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213995</wp:posOffset>
            </wp:positionV>
            <wp:extent cx="72466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274320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4"/>
          <w:szCs w:val="24"/>
          <w:color w:val="auto"/>
        </w:rPr>
      </w:pPr>
    </w:p>
    <w:p>
      <w:pPr>
        <w:spacing w:after="0" w:line="279"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UNITED STATES SECURITIES AND EXCHANGE COMMISSION</w:t>
      </w:r>
    </w:p>
    <w:p>
      <w:pPr>
        <w:spacing w:after="0" w:line="14"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Washington, DC 20549-1004</w:t>
      </w:r>
    </w:p>
    <w:p>
      <w:pPr>
        <w:spacing w:after="0" w:line="128"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Form 10-Q</w:t>
      </w:r>
    </w:p>
    <w:p>
      <w:pPr>
        <w:spacing w:after="0" w:line="206" w:lineRule="exact"/>
        <w:rPr>
          <w:sz w:val="24"/>
          <w:szCs w:val="24"/>
          <w:color w:val="auto"/>
        </w:rPr>
      </w:pPr>
    </w:p>
    <w:p>
      <w:pPr>
        <w:ind w:left="460" w:right="2040" w:hanging="452"/>
        <w:spacing w:after="0" w:line="344" w:lineRule="auto"/>
        <w:tabs>
          <w:tab w:leader="none" w:pos="454" w:val="left"/>
        </w:tabs>
        <w:numPr>
          <w:ilvl w:val="0"/>
          <w:numId w:val="1"/>
        </w:numPr>
        <w:rPr>
          <w:rFonts w:ascii="MS PGothic" w:cs="MS PGothic" w:eastAsia="MS PGothic" w:hAnsi="MS PGothic"/>
          <w:sz w:val="18"/>
          <w:szCs w:val="18"/>
          <w:color w:val="auto"/>
        </w:rPr>
      </w:pPr>
      <w:r>
        <w:rPr>
          <w:rFonts w:ascii="Arial" w:cs="Arial" w:eastAsia="Arial" w:hAnsi="Arial"/>
          <w:sz w:val="18"/>
          <w:szCs w:val="18"/>
          <w:b w:val="1"/>
          <w:bCs w:val="1"/>
          <w:color w:val="auto"/>
        </w:rPr>
        <w:t>QUARTERLY REPORT PURSUANT TO SECTION 13 OR 15(d) OF THE SECURITIES EXCHANGE ACT OF 1934 For the quarterly period ended September 30, 2010</w:t>
      </w:r>
    </w:p>
    <w:p>
      <w:pPr>
        <w:spacing w:after="0" w:line="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OR</w:t>
      </w:r>
    </w:p>
    <w:p>
      <w:pPr>
        <w:ind w:left="460" w:hanging="452"/>
        <w:spacing w:after="0" w:line="180" w:lineRule="auto"/>
        <w:tabs>
          <w:tab w:leader="none" w:pos="460" w:val="left"/>
        </w:tabs>
        <w:numPr>
          <w:ilvl w:val="0"/>
          <w:numId w:val="2"/>
        </w:numPr>
        <w:rPr>
          <w:rFonts w:ascii="MS PGothic" w:cs="MS PGothic" w:eastAsia="MS PGothic" w:hAnsi="MS PGothic"/>
          <w:sz w:val="12"/>
          <w:szCs w:val="12"/>
          <w:color w:val="auto"/>
        </w:rPr>
      </w:pPr>
      <w:r>
        <w:rPr>
          <w:rFonts w:ascii="Arial" w:cs="Arial" w:eastAsia="Arial" w:hAnsi="Arial"/>
          <w:sz w:val="12"/>
          <w:szCs w:val="12"/>
          <w:b w:val="1"/>
          <w:bCs w:val="1"/>
          <w:color w:val="auto"/>
        </w:rPr>
        <w:t>TRANSITION REPORT PURSUANT TO SECTION 13 OR 15(d) OF THE SECURITIES EXCHANGE ACT OF 1934</w:t>
      </w:r>
    </w:p>
    <w:p>
      <w:pPr>
        <w:spacing w:after="0" w:line="284" w:lineRule="exact"/>
        <w:rPr>
          <w:sz w:val="24"/>
          <w:szCs w:val="24"/>
          <w:color w:val="auto"/>
        </w:rPr>
      </w:pPr>
    </w:p>
    <w:p>
      <w:pPr>
        <w:ind w:left="460"/>
        <w:spacing w:after="0"/>
        <w:tabs>
          <w:tab w:leader="none" w:pos="3680" w:val="left"/>
        </w:tabs>
        <w:rPr>
          <w:sz w:val="20"/>
          <w:szCs w:val="20"/>
          <w:color w:val="auto"/>
        </w:rPr>
      </w:pPr>
      <w:r>
        <w:rPr>
          <w:rFonts w:ascii="Arial" w:cs="Arial" w:eastAsia="Arial" w:hAnsi="Arial"/>
          <w:sz w:val="18"/>
          <w:szCs w:val="18"/>
          <w:b w:val="1"/>
          <w:bCs w:val="1"/>
          <w:color w:val="auto"/>
        </w:rPr>
        <w:t>For the transition period from</w:t>
      </w:r>
      <w:r>
        <w:rPr>
          <w:sz w:val="20"/>
          <w:szCs w:val="20"/>
          <w:color w:val="auto"/>
        </w:rPr>
        <w:tab/>
      </w:r>
      <w:r>
        <w:rPr>
          <w:rFonts w:ascii="Arial" w:cs="Arial" w:eastAsia="Arial" w:hAnsi="Arial"/>
          <w:sz w:val="14"/>
          <w:szCs w:val="14"/>
          <w:b w:val="1"/>
          <w:bCs w:val="1"/>
          <w:color w:val="auto"/>
        </w:rPr>
        <w:t>to</w:t>
      </w:r>
    </w:p>
    <w:p>
      <w:pPr>
        <w:spacing w:after="0" w:line="17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Commission file number 000-53930</w:t>
      </w:r>
    </w:p>
    <w:p>
      <w:pPr>
        <w:spacing w:after="0" w:line="144"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GENERAL MOTORS COMPANY</w:t>
      </w:r>
    </w:p>
    <w:p>
      <w:pPr>
        <w:spacing w:after="0" w:line="43" w:lineRule="exact"/>
        <w:rPr>
          <w:sz w:val="24"/>
          <w:szCs w:val="24"/>
          <w:color w:val="auto"/>
        </w:rPr>
      </w:pPr>
    </w:p>
    <w:p>
      <w:pPr>
        <w:jc w:val="center"/>
        <w:spacing w:after="0"/>
        <w:rPr>
          <w:sz w:val="20"/>
          <w:szCs w:val="20"/>
          <w:color w:val="auto"/>
        </w:rPr>
      </w:pPr>
      <w:r>
        <w:rPr>
          <w:rFonts w:ascii="Arial" w:cs="Arial" w:eastAsia="Arial" w:hAnsi="Arial"/>
          <w:sz w:val="18"/>
          <w:szCs w:val="18"/>
          <w:i w:val="1"/>
          <w:iCs w:val="1"/>
          <w:color w:val="auto"/>
        </w:rPr>
        <w:t>(Exact Name of Registrant as Specified in its Charter)</w:t>
      </w:r>
    </w:p>
    <w:p>
      <w:pPr>
        <w:sectPr>
          <w:pgSz w:w="11900" w:h="16838" w:orient="portrait"/>
          <w:cols w:equalWidth="0" w:num="1">
            <w:col w:w="11420"/>
          </w:cols>
          <w:pgMar w:left="240" w:top="230" w:right="239" w:bottom="1440" w:gutter="0" w:footer="0" w:header="0"/>
        </w:sectPr>
      </w:pPr>
    </w:p>
    <w:p>
      <w:pPr>
        <w:spacing w:after="0" w:line="192" w:lineRule="exact"/>
        <w:rPr>
          <w:sz w:val="24"/>
          <w:szCs w:val="24"/>
          <w:color w:val="auto"/>
        </w:rPr>
      </w:pPr>
    </w:p>
    <w:p>
      <w:pPr>
        <w:ind w:left="1920"/>
        <w:spacing w:after="0"/>
        <w:rPr>
          <w:sz w:val="20"/>
          <w:szCs w:val="20"/>
          <w:color w:val="auto"/>
        </w:rPr>
      </w:pPr>
      <w:r>
        <w:rPr>
          <w:rFonts w:ascii="Arial" w:cs="Arial" w:eastAsia="Arial" w:hAnsi="Arial"/>
          <w:sz w:val="16"/>
          <w:szCs w:val="16"/>
          <w:b w:val="1"/>
          <w:bCs w:val="1"/>
          <w:color w:val="auto"/>
        </w:rPr>
        <w:t>STATE OF DELAWARE</w:t>
      </w:r>
    </w:p>
    <w:p>
      <w:pPr>
        <w:spacing w:after="0" w:line="20" w:lineRule="exact"/>
        <w:rPr>
          <w:sz w:val="24"/>
          <w:szCs w:val="24"/>
          <w:color w:val="auto"/>
        </w:rPr>
      </w:pPr>
      <w:r>
        <w:rPr>
          <w:sz w:val="24"/>
          <w:szCs w:val="24"/>
          <w:color w:val="auto"/>
        </w:rPr>
        <w:br w:type="column"/>
      </w:r>
    </w:p>
    <w:p>
      <w:pPr>
        <w:spacing w:after="0" w:line="172" w:lineRule="exact"/>
        <w:rPr>
          <w:sz w:val="24"/>
          <w:szCs w:val="24"/>
          <w:color w:val="auto"/>
        </w:rPr>
      </w:pPr>
    </w:p>
    <w:p>
      <w:pPr>
        <w:spacing w:after="0"/>
        <w:rPr>
          <w:sz w:val="20"/>
          <w:szCs w:val="20"/>
          <w:color w:val="auto"/>
        </w:rPr>
      </w:pPr>
      <w:r>
        <w:rPr>
          <w:rFonts w:ascii="Arial" w:cs="Arial" w:eastAsia="Arial" w:hAnsi="Arial"/>
          <w:sz w:val="15"/>
          <w:szCs w:val="15"/>
          <w:b w:val="1"/>
          <w:bCs w:val="1"/>
          <w:color w:val="auto"/>
        </w:rPr>
        <w:t>27-0756180</w:t>
      </w:r>
    </w:p>
    <w:p>
      <w:pPr>
        <w:spacing w:after="0" w:line="55" w:lineRule="exact"/>
        <w:rPr>
          <w:sz w:val="24"/>
          <w:szCs w:val="24"/>
          <w:color w:val="auto"/>
        </w:rPr>
      </w:pPr>
    </w:p>
    <w:p>
      <w:pPr>
        <w:sectPr>
          <w:pgSz w:w="11900" w:h="16838" w:orient="portrait"/>
          <w:cols w:equalWidth="0" w:num="2">
            <w:col w:w="7540" w:space="720"/>
            <w:col w:w="3160"/>
          </w:cols>
          <w:pgMar w:left="240" w:top="230" w:right="239" w:bottom="1440" w:gutter="0" w:footer="0" w:header="0"/>
          <w:type w:val="continuous"/>
        </w:sectPr>
      </w:pPr>
    </w:p>
    <w:p>
      <w:pPr>
        <w:jc w:val="center"/>
        <w:ind w:right="1720"/>
        <w:spacing w:after="0"/>
        <w:rPr>
          <w:sz w:val="20"/>
          <w:szCs w:val="20"/>
          <w:color w:val="auto"/>
        </w:rPr>
      </w:pPr>
      <w:r>
        <w:rPr>
          <w:rFonts w:ascii="Arial" w:cs="Arial" w:eastAsia="Arial" w:hAnsi="Arial"/>
          <w:sz w:val="12"/>
          <w:szCs w:val="12"/>
          <w:i w:val="1"/>
          <w:iCs w:val="1"/>
          <w:color w:val="auto"/>
        </w:rPr>
        <w:t>(State or other jurisdiction of</w:t>
      </w:r>
    </w:p>
    <w:p>
      <w:pPr>
        <w:spacing w:after="0" w:line="14" w:lineRule="exact"/>
        <w:rPr>
          <w:sz w:val="24"/>
          <w:szCs w:val="24"/>
          <w:color w:val="auto"/>
        </w:rPr>
      </w:pPr>
    </w:p>
    <w:p>
      <w:pPr>
        <w:jc w:val="center"/>
        <w:ind w:right="1720"/>
        <w:spacing w:after="0"/>
        <w:rPr>
          <w:sz w:val="20"/>
          <w:szCs w:val="20"/>
          <w:color w:val="auto"/>
        </w:rPr>
      </w:pPr>
      <w:r>
        <w:rPr>
          <w:rFonts w:ascii="Arial" w:cs="Arial" w:eastAsia="Arial" w:hAnsi="Arial"/>
          <w:sz w:val="12"/>
          <w:szCs w:val="12"/>
          <w:i w:val="1"/>
          <w:iCs w:val="1"/>
          <w:color w:val="auto"/>
        </w:rPr>
        <w:t>Incorporation or Organization)</w:t>
      </w:r>
    </w:p>
    <w:p>
      <w:pPr>
        <w:spacing w:after="0" w:line="20" w:lineRule="exact"/>
        <w:rPr>
          <w:sz w:val="24"/>
          <w:szCs w:val="24"/>
          <w:color w:val="auto"/>
        </w:rPr>
      </w:pPr>
      <w:r>
        <w:rPr>
          <w:sz w:val="24"/>
          <w:szCs w:val="24"/>
          <w:color w:val="auto"/>
        </w:rPr>
        <w:br w:type="column"/>
      </w:r>
    </w:p>
    <w:p>
      <w:pPr>
        <w:jc w:val="center"/>
        <w:ind w:right="2240"/>
        <w:spacing w:after="0"/>
        <w:rPr>
          <w:sz w:val="20"/>
          <w:szCs w:val="20"/>
          <w:color w:val="auto"/>
        </w:rPr>
      </w:pPr>
      <w:r>
        <w:rPr>
          <w:rFonts w:ascii="Arial" w:cs="Arial" w:eastAsia="Arial" w:hAnsi="Arial"/>
          <w:sz w:val="12"/>
          <w:szCs w:val="12"/>
          <w:i w:val="1"/>
          <w:iCs w:val="1"/>
          <w:color w:val="auto"/>
        </w:rPr>
        <w:t>(I.R.S. Employer</w:t>
      </w:r>
    </w:p>
    <w:p>
      <w:pPr>
        <w:spacing w:after="0" w:line="14" w:lineRule="exact"/>
        <w:rPr>
          <w:sz w:val="24"/>
          <w:szCs w:val="24"/>
          <w:color w:val="auto"/>
        </w:rPr>
      </w:pPr>
    </w:p>
    <w:p>
      <w:pPr>
        <w:jc w:val="center"/>
        <w:ind w:right="2240"/>
        <w:spacing w:after="0"/>
        <w:rPr>
          <w:sz w:val="20"/>
          <w:szCs w:val="20"/>
          <w:color w:val="auto"/>
        </w:rPr>
      </w:pPr>
      <w:r>
        <w:rPr>
          <w:rFonts w:ascii="Arial" w:cs="Arial" w:eastAsia="Arial" w:hAnsi="Arial"/>
          <w:sz w:val="12"/>
          <w:szCs w:val="12"/>
          <w:i w:val="1"/>
          <w:iCs w:val="1"/>
          <w:color w:val="auto"/>
        </w:rPr>
        <w:t>Identification No.)</w:t>
      </w:r>
    </w:p>
    <w:p>
      <w:pPr>
        <w:spacing w:after="0" w:line="117" w:lineRule="exact"/>
        <w:rPr>
          <w:sz w:val="24"/>
          <w:szCs w:val="24"/>
          <w:color w:val="auto"/>
        </w:rPr>
      </w:pPr>
    </w:p>
    <w:p>
      <w:pPr>
        <w:sectPr>
          <w:pgSz w:w="11900" w:h="16838" w:orient="portrait"/>
          <w:cols w:equalWidth="0" w:num="2">
            <w:col w:w="7460" w:space="720"/>
            <w:col w:w="3240"/>
          </w:cols>
          <w:pgMar w:left="240" w:top="230" w:right="239" w:bottom="1440" w:gutter="0" w:footer="0" w:header="0"/>
          <w:type w:val="continuous"/>
        </w:sectPr>
      </w:pPr>
    </w:p>
    <w:p>
      <w:pPr>
        <w:ind w:left="1280"/>
        <w:spacing w:after="0"/>
        <w:rPr>
          <w:sz w:val="20"/>
          <w:szCs w:val="20"/>
          <w:color w:val="auto"/>
        </w:rPr>
      </w:pPr>
      <w:r>
        <w:rPr>
          <w:rFonts w:ascii="Arial" w:cs="Arial" w:eastAsia="Arial" w:hAnsi="Arial"/>
          <w:sz w:val="15"/>
          <w:szCs w:val="15"/>
          <w:b w:val="1"/>
          <w:bCs w:val="1"/>
          <w:color w:val="auto"/>
        </w:rPr>
        <w:t>300 Renaissance Center, Detroit, Michigan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5"/>
          <w:szCs w:val="15"/>
          <w:b w:val="1"/>
          <w:bCs w:val="1"/>
          <w:color w:val="auto"/>
        </w:rPr>
        <w:t>48265-3000</w:t>
      </w:r>
    </w:p>
    <w:p>
      <w:pPr>
        <w:spacing w:after="0" w:line="56" w:lineRule="exact"/>
        <w:rPr>
          <w:sz w:val="24"/>
          <w:szCs w:val="24"/>
          <w:color w:val="auto"/>
        </w:rPr>
      </w:pPr>
    </w:p>
    <w:p>
      <w:pPr>
        <w:sectPr>
          <w:pgSz w:w="11900" w:h="16838" w:orient="portrait"/>
          <w:cols w:equalWidth="0" w:num="2">
            <w:col w:w="7540" w:space="720"/>
            <w:col w:w="3160"/>
          </w:cols>
          <w:pgMar w:left="240" w:top="230" w:right="239" w:bottom="1440" w:gutter="0" w:footer="0" w:header="0"/>
          <w:type w:val="continuous"/>
        </w:sectPr>
      </w:pPr>
    </w:p>
    <w:p>
      <w:pPr>
        <w:ind w:left="1780"/>
        <w:spacing w:after="0"/>
        <w:rPr>
          <w:sz w:val="20"/>
          <w:szCs w:val="20"/>
          <w:color w:val="auto"/>
        </w:rPr>
      </w:pPr>
      <w:r>
        <w:rPr>
          <w:rFonts w:ascii="Arial" w:cs="Arial" w:eastAsia="Arial" w:hAnsi="Arial"/>
          <w:sz w:val="12"/>
          <w:szCs w:val="12"/>
          <w:i w:val="1"/>
          <w:iCs w:val="1"/>
          <w:color w:val="auto"/>
        </w:rPr>
        <w:t>(Address of Principal Executive Offices)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2"/>
          <w:szCs w:val="12"/>
          <w:i w:val="1"/>
          <w:iCs w:val="1"/>
          <w:color w:val="auto"/>
        </w:rPr>
        <w:t>(Zip Code)</w:t>
      </w:r>
    </w:p>
    <w:p>
      <w:pPr>
        <w:spacing w:after="0" w:line="160" w:lineRule="exact"/>
        <w:rPr>
          <w:sz w:val="24"/>
          <w:szCs w:val="24"/>
          <w:color w:val="auto"/>
        </w:rPr>
      </w:pPr>
    </w:p>
    <w:p>
      <w:pPr>
        <w:sectPr>
          <w:pgSz w:w="11900" w:h="16838" w:orient="portrait"/>
          <w:cols w:equalWidth="0" w:num="2">
            <w:col w:w="7680" w:space="720"/>
            <w:col w:w="3020"/>
          </w:cols>
          <w:pgMar w:left="240" w:top="230" w:right="239" w:bottom="1440" w:gutter="0" w:footer="0" w:header="0"/>
          <w:type w:val="continuous"/>
        </w:sectPr>
      </w:pPr>
    </w:p>
    <w:p>
      <w:pPr>
        <w:jc w:val="center"/>
        <w:ind w:right="-19"/>
        <w:spacing w:after="0"/>
        <w:rPr>
          <w:sz w:val="20"/>
          <w:szCs w:val="20"/>
          <w:color w:val="auto"/>
        </w:rPr>
      </w:pPr>
      <w:r>
        <w:rPr>
          <w:rFonts w:ascii="Arial" w:cs="Arial" w:eastAsia="Arial" w:hAnsi="Arial"/>
          <w:sz w:val="18"/>
          <w:szCs w:val="18"/>
          <w:b w:val="1"/>
          <w:bCs w:val="1"/>
          <w:color w:val="auto"/>
        </w:rPr>
        <w:t>(313) 556-5000</w:t>
      </w:r>
    </w:p>
    <w:p>
      <w:pPr>
        <w:spacing w:after="0" w:line="21" w:lineRule="exact"/>
        <w:rPr>
          <w:sz w:val="24"/>
          <w:szCs w:val="24"/>
          <w:color w:val="auto"/>
        </w:rPr>
      </w:pPr>
    </w:p>
    <w:p>
      <w:pPr>
        <w:jc w:val="center"/>
        <w:ind w:right="-19"/>
        <w:spacing w:after="0"/>
        <w:rPr>
          <w:sz w:val="20"/>
          <w:szCs w:val="20"/>
          <w:color w:val="auto"/>
        </w:rPr>
      </w:pPr>
      <w:r>
        <w:rPr>
          <w:rFonts w:ascii="Arial" w:cs="Arial" w:eastAsia="Arial" w:hAnsi="Arial"/>
          <w:sz w:val="15"/>
          <w:szCs w:val="15"/>
          <w:b w:val="1"/>
          <w:bCs w:val="1"/>
          <w:color w:val="auto"/>
        </w:rPr>
        <w:t>Registrant’s telephone number, including area code</w:t>
      </w:r>
    </w:p>
    <w:p>
      <w:pPr>
        <w:sectPr>
          <w:pgSz w:w="11900" w:h="16838" w:orient="portrait"/>
          <w:cols w:equalWidth="0" w:num="1">
            <w:col w:w="11420"/>
          </w:cols>
          <w:pgMar w:left="240" w:top="230" w:right="239" w:bottom="1440" w:gutter="0" w:footer="0" w:header="0"/>
          <w:type w:val="continuous"/>
        </w:sectPr>
      </w:pPr>
    </w:p>
    <w:p>
      <w:pPr>
        <w:spacing w:after="0" w:line="193"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Not applicable</w:t>
      </w:r>
    </w:p>
    <w:p>
      <w:pPr>
        <w:spacing w:after="0" w:line="21" w:lineRule="exact"/>
        <w:rPr>
          <w:sz w:val="24"/>
          <w:szCs w:val="24"/>
          <w:color w:val="auto"/>
        </w:rPr>
      </w:pPr>
    </w:p>
    <w:p>
      <w:pPr>
        <w:jc w:val="center"/>
        <w:ind w:right="-19"/>
        <w:spacing w:after="0"/>
        <w:rPr>
          <w:sz w:val="20"/>
          <w:szCs w:val="20"/>
          <w:color w:val="auto"/>
        </w:rPr>
      </w:pPr>
      <w:r>
        <w:rPr>
          <w:rFonts w:ascii="Arial" w:cs="Arial" w:eastAsia="Arial" w:hAnsi="Arial"/>
          <w:sz w:val="18"/>
          <w:szCs w:val="18"/>
          <w:i w:val="1"/>
          <w:iCs w:val="1"/>
          <w:color w:val="auto"/>
        </w:rPr>
        <w:t>(former name, former address and former fiscal year, if changed since last report)</w:t>
      </w:r>
    </w:p>
    <w:p>
      <w:pPr>
        <w:spacing w:after="0" w:line="165" w:lineRule="exact"/>
        <w:rPr>
          <w:sz w:val="24"/>
          <w:szCs w:val="24"/>
          <w:color w:val="auto"/>
        </w:rPr>
      </w:pPr>
    </w:p>
    <w:p>
      <w:pPr>
        <w:ind w:firstLine="228"/>
        <w:spacing w:after="0" w:line="225"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38" w:lineRule="exact"/>
        <w:rPr>
          <w:sz w:val="24"/>
          <w:szCs w:val="24"/>
          <w:color w:val="auto"/>
        </w:rPr>
      </w:pPr>
    </w:p>
    <w:p>
      <w:pPr>
        <w:ind w:right="140" w:firstLine="228"/>
        <w:spacing w:after="0" w:line="225" w:lineRule="exact"/>
        <w:rPr>
          <w:sz w:val="20"/>
          <w:szCs w:val="20"/>
          <w:color w:val="auto"/>
        </w:rPr>
      </w:pPr>
      <w:r>
        <w:rPr>
          <w:rFonts w:ascii="Arial" w:cs="Arial" w:eastAsia="Arial" w:hAnsi="Arial"/>
          <w:sz w:val="18"/>
          <w:szCs w:val="18"/>
          <w:color w:val="auto"/>
        </w:rPr>
        <w:t xml:space="preserve">Indicate by check mark whether the registrant has submitted electronically and posted on its company Web site, if any, every Interactive Data File required to be submitted and posted pursuant to Rule 405 of Regulation S-T (§ 232.405 of this chapter) during the preceding 12 months (or for such shorter period that the registrant was required to submit and post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38" w:lineRule="exact"/>
        <w:rPr>
          <w:sz w:val="24"/>
          <w:szCs w:val="24"/>
          <w:color w:val="auto"/>
        </w:rPr>
      </w:pPr>
    </w:p>
    <w:p>
      <w:pPr>
        <w:ind w:right="320" w:firstLine="228"/>
        <w:spacing w:after="0" w:line="268" w:lineRule="auto"/>
        <w:rPr>
          <w:sz w:val="20"/>
          <w:szCs w:val="20"/>
          <w:color w:val="auto"/>
        </w:rPr>
      </w:pPr>
      <w:r>
        <w:rPr>
          <w:rFonts w:ascii="Arial" w:cs="Arial" w:eastAsia="Arial" w:hAnsi="Arial"/>
          <w:sz w:val="18"/>
          <w:szCs w:val="18"/>
          <w:color w:val="auto"/>
        </w:rPr>
        <w:t>Indicate by check mark whether the registrant is a large accelerated filer, an accelerated filer, or a non-accelerated filer. See definition of “large accelerated filer,” “accelerated filer” and “smaller reporting company” in Rule 12b-2 of the Exchange Act. (Check one):</w:t>
      </w:r>
    </w:p>
    <w:p>
      <w:pPr>
        <w:spacing w:after="0" w:line="18" w:lineRule="exact"/>
        <w:rPr>
          <w:sz w:val="24"/>
          <w:szCs w:val="24"/>
          <w:color w:val="auto"/>
        </w:rPr>
      </w:pPr>
    </w:p>
    <w:p>
      <w:pPr>
        <w:jc w:val="center"/>
        <w:ind w:right="-19"/>
        <w:spacing w:after="0" w:line="207" w:lineRule="exact"/>
        <w:rPr>
          <w:sz w:val="20"/>
          <w:szCs w:val="20"/>
          <w:color w:val="auto"/>
        </w:rPr>
      </w:pPr>
      <w:r>
        <w:rPr>
          <w:rFonts w:ascii="Arial" w:cs="Arial" w:eastAsia="Arial" w:hAnsi="Arial"/>
          <w:sz w:val="18"/>
          <w:szCs w:val="18"/>
          <w:color w:val="auto"/>
        </w:rPr>
        <w:t xml:space="preserve">Large accelerated filer </w:t>
      </w:r>
      <w:r>
        <w:rPr>
          <w:rFonts w:ascii="MS PGothic" w:cs="MS PGothic" w:eastAsia="MS PGothic" w:hAnsi="MS PGothic"/>
          <w:sz w:val="18"/>
          <w:szCs w:val="18"/>
          <w:color w:val="auto"/>
        </w:rPr>
        <w:t>☐</w:t>
      </w:r>
      <w:r>
        <w:rPr>
          <w:rFonts w:ascii="Arial" w:cs="Arial" w:eastAsia="Arial" w:hAnsi="Arial"/>
          <w:sz w:val="18"/>
          <w:szCs w:val="18"/>
          <w:color w:val="auto"/>
        </w:rPr>
        <w:t xml:space="preserve"> Accelerated filer </w:t>
      </w:r>
      <w:r>
        <w:rPr>
          <w:rFonts w:ascii="MS PGothic" w:cs="MS PGothic" w:eastAsia="MS PGothic" w:hAnsi="MS PGothic"/>
          <w:sz w:val="18"/>
          <w:szCs w:val="18"/>
          <w:color w:val="auto"/>
        </w:rPr>
        <w:t>☐</w:t>
      </w:r>
      <w:r>
        <w:rPr>
          <w:rFonts w:ascii="Arial" w:cs="Arial" w:eastAsia="Arial" w:hAnsi="Arial"/>
          <w:sz w:val="18"/>
          <w:szCs w:val="18"/>
          <w:color w:val="auto"/>
        </w:rPr>
        <w:t xml:space="preserve"> Non-accelerated filer </w:t>
      </w:r>
      <w:r>
        <w:rPr>
          <w:rFonts w:ascii="MS PGothic" w:cs="MS PGothic" w:eastAsia="MS PGothic" w:hAnsi="MS PGothic"/>
          <w:sz w:val="18"/>
          <w:szCs w:val="18"/>
          <w:color w:val="auto"/>
        </w:rPr>
        <w:t>☑</w:t>
      </w:r>
      <w:r>
        <w:rPr>
          <w:rFonts w:ascii="Arial" w:cs="Arial" w:eastAsia="Arial" w:hAnsi="Arial"/>
          <w:sz w:val="18"/>
          <w:szCs w:val="18"/>
          <w:color w:val="auto"/>
        </w:rPr>
        <w:t xml:space="preserve"> Smaller reporting company </w:t>
      </w:r>
      <w:r>
        <w:rPr>
          <w:rFonts w:ascii="MS PGothic" w:cs="MS PGothic" w:eastAsia="MS PGothic" w:hAnsi="MS PGothic"/>
          <w:sz w:val="18"/>
          <w:szCs w:val="18"/>
          <w:color w:val="auto"/>
        </w:rPr>
        <w:t>☐</w:t>
      </w:r>
    </w:p>
    <w:p>
      <w:pPr>
        <w:spacing w:after="0" w:line="56"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Do not check if smaller reporting company</w:t>
      </w:r>
    </w:p>
    <w:p>
      <w:pPr>
        <w:spacing w:after="0" w:line="125" w:lineRule="exact"/>
        <w:rPr>
          <w:sz w:val="24"/>
          <w:szCs w:val="24"/>
          <w:color w:val="auto"/>
        </w:rPr>
      </w:pPr>
    </w:p>
    <w:p>
      <w:pPr>
        <w:ind w:left="240"/>
        <w:spacing w:after="0" w:line="207" w:lineRule="exact"/>
        <w:rPr>
          <w:sz w:val="20"/>
          <w:szCs w:val="20"/>
          <w:color w:val="auto"/>
        </w:rPr>
      </w:pPr>
      <w:r>
        <w:rPr>
          <w:rFonts w:ascii="Arial" w:cs="Arial" w:eastAsia="Arial" w:hAnsi="Arial"/>
          <w:sz w:val="18"/>
          <w:szCs w:val="18"/>
          <w:color w:val="auto"/>
        </w:rPr>
        <w:t xml:space="preserve">Indicate by check mark whether the registrant is a shell company (as defined in Rule 12b-2 of the Exchange Act).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204" w:lineRule="exact"/>
        <w:rPr>
          <w:sz w:val="24"/>
          <w:szCs w:val="24"/>
          <w:color w:val="auto"/>
        </w:rPr>
      </w:pPr>
    </w:p>
    <w:p>
      <w:pPr>
        <w:ind w:left="240"/>
        <w:spacing w:after="0"/>
        <w:rPr>
          <w:sz w:val="20"/>
          <w:szCs w:val="20"/>
          <w:color w:val="auto"/>
        </w:rPr>
      </w:pPr>
      <w:r>
        <w:rPr>
          <w:rFonts w:ascii="Arial" w:cs="Arial" w:eastAsia="Arial" w:hAnsi="Arial"/>
          <w:sz w:val="18"/>
          <w:szCs w:val="18"/>
          <w:color w:val="auto"/>
        </w:rPr>
        <w:t>As of November 1, 2010, the number of shares outstanding of $0.01 par value common stock was 1,500,000,000 shares.</w:t>
      </w:r>
    </w:p>
    <w:p>
      <w:pPr>
        <w:spacing w:after="0" w:line="165"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Website Access to Company’s Reports</w:t>
      </w:r>
    </w:p>
    <w:p>
      <w:pPr>
        <w:spacing w:after="0" w:line="177" w:lineRule="exact"/>
        <w:rPr>
          <w:sz w:val="24"/>
          <w:szCs w:val="24"/>
          <w:color w:val="auto"/>
        </w:rPr>
      </w:pPr>
    </w:p>
    <w:p>
      <w:pPr>
        <w:jc w:val="both"/>
        <w:ind w:right="300" w:firstLine="228"/>
        <w:spacing w:after="0" w:line="306" w:lineRule="auto"/>
        <w:rPr>
          <w:sz w:val="20"/>
          <w:szCs w:val="20"/>
          <w:color w:val="auto"/>
        </w:rPr>
      </w:pPr>
      <w:r>
        <w:rPr>
          <w:rFonts w:ascii="Arial" w:cs="Arial" w:eastAsia="Arial" w:hAnsi="Arial"/>
          <w:sz w:val="16"/>
          <w:szCs w:val="16"/>
          <w:color w:val="auto"/>
        </w:rPr>
        <w:t>General Motors Company’s internet website address is www.gm.com. Our annual report on Form 10-K, quarterly reports on Form 10-Q, current reports on Form 8-K, and amendments to those reports filed or furnished pursuant to section 13(a) or 15(d) of the Exchange Act are available free of charge through our website as soon as reasonably practicable after they are electronically filed with, or furnished to, the Securities and Exchange Commission.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55880</wp:posOffset>
            </wp:positionV>
            <wp:extent cx="7246620" cy="342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230" w:right="239" w:bottom="1440" w:gutter="0" w:footer="0" w:header="0"/>
          <w:type w:val="continuous"/>
        </w:sectPr>
      </w:pPr>
    </w:p>
    <w:bookmarkStart w:id="1" w:name="page2"/>
    <w:bookmarkEnd w:id="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171"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INDEX</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0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80" w:type="dxa"/>
            <w:vAlign w:val="bottom"/>
            <w:gridSpan w:val="10"/>
            <w:vMerge w:val="restart"/>
          </w:tcPr>
          <w:p>
            <w:pPr>
              <w:jc w:val="center"/>
              <w:ind w:right="3240"/>
              <w:spacing w:after="0"/>
              <w:rPr>
                <w:rFonts w:ascii="Arial" w:cs="Arial" w:eastAsia="Arial" w:hAnsi="Arial"/>
                <w:sz w:val="18"/>
                <w:szCs w:val="18"/>
                <w:b w:val="1"/>
                <w:bCs w:val="1"/>
                <w:color w:val="0000EE"/>
                <w:w w:val="92"/>
              </w:rPr>
            </w:pPr>
            <w:hyperlink w:anchor="page3">
              <w:r>
                <w:rPr>
                  <w:rFonts w:ascii="Arial" w:cs="Arial" w:eastAsia="Arial" w:hAnsi="Arial"/>
                  <w:sz w:val="18"/>
                  <w:szCs w:val="18"/>
                  <w:b w:val="1"/>
                  <w:bCs w:val="1"/>
                  <w:color w:val="0000EE"/>
                  <w:w w:val="92"/>
                </w:rPr>
                <w:t>Part I — Financial Information</w:t>
              </w:r>
            </w:hyperlink>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80"/>
              </w:rPr>
              <w:t>Page No.</w:t>
            </w:r>
          </w:p>
        </w:tc>
        <w:tc>
          <w:tcPr>
            <w:tcW w:w="0" w:type="dxa"/>
            <w:vAlign w:val="bottom"/>
          </w:tcPr>
          <w:p>
            <w:pPr>
              <w:spacing w:after="0"/>
              <w:rPr>
                <w:sz w:val="1"/>
                <w:szCs w:val="1"/>
                <w:color w:val="auto"/>
              </w:rPr>
            </w:pPr>
          </w:p>
        </w:tc>
      </w:tr>
      <w:tr>
        <w:trPr>
          <w:trHeight w:val="169"/>
        </w:trPr>
        <w:tc>
          <w:tcPr>
            <w:tcW w:w="10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80" w:type="dxa"/>
            <w:vAlign w:val="bottom"/>
            <w:gridSpan w:val="10"/>
            <w:vMerge w:val="continue"/>
          </w:tcPr>
          <w:p>
            <w:pPr>
              <w:spacing w:after="0"/>
              <w:rPr>
                <w:sz w:val="14"/>
                <w:szCs w:val="14"/>
                <w:color w:val="auto"/>
              </w:rPr>
            </w:pPr>
          </w:p>
        </w:tc>
        <w:tc>
          <w:tcPr>
            <w:tcW w:w="5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1000" w:type="dxa"/>
            <w:vAlign w:val="bottom"/>
          </w:tcPr>
          <w:p>
            <w:pPr>
              <w:spacing w:after="0" w:line="196" w:lineRule="exact"/>
              <w:rPr>
                <w:sz w:val="20"/>
                <w:szCs w:val="20"/>
                <w:color w:val="auto"/>
              </w:rPr>
            </w:pPr>
            <w:r>
              <w:rPr>
                <w:rFonts w:ascii="Arial" w:cs="Arial" w:eastAsia="Arial" w:hAnsi="Arial"/>
                <w:sz w:val="18"/>
                <w:szCs w:val="18"/>
                <w:color w:val="auto"/>
              </w:rPr>
              <w:t>Item 1.</w:t>
            </w:r>
          </w:p>
        </w:tc>
        <w:tc>
          <w:tcPr>
            <w:tcW w:w="4180" w:type="dxa"/>
            <w:vAlign w:val="bottom"/>
            <w:gridSpan w:val="31"/>
          </w:tcPr>
          <w:p>
            <w:pPr>
              <w:spacing w:after="0" w:line="196" w:lineRule="exact"/>
              <w:rPr>
                <w:rFonts w:ascii="Arial" w:cs="Arial" w:eastAsia="Arial" w:hAnsi="Arial"/>
                <w:sz w:val="18"/>
                <w:szCs w:val="18"/>
                <w:color w:val="0000EE"/>
                <w:w w:val="87"/>
              </w:rPr>
            </w:pPr>
            <w:hyperlink w:anchor="page3">
              <w:r>
                <w:rPr>
                  <w:rFonts w:ascii="Arial" w:cs="Arial" w:eastAsia="Arial" w:hAnsi="Arial"/>
                  <w:sz w:val="18"/>
                  <w:szCs w:val="18"/>
                  <w:color w:val="0000EE"/>
                  <w:w w:val="87"/>
                </w:rPr>
                <w:t>Condensed Consolidated Financial Statements (Unaudited)</w:t>
              </w:r>
            </w:hyperlink>
          </w:p>
        </w:tc>
        <w:tc>
          <w:tcPr>
            <w:tcW w:w="2360" w:type="dxa"/>
            <w:vAlign w:val="bottom"/>
            <w:tcBorders>
              <w:top w:val="single" w:sz="8" w:color="0000EE"/>
            </w:tcBorders>
            <w:gridSpan w:val="8"/>
          </w:tcPr>
          <w:p>
            <w:pPr>
              <w:spacing w:after="0"/>
              <w:rPr>
                <w:sz w:val="17"/>
                <w:szCs w:val="17"/>
                <w:color w:val="auto"/>
              </w:rPr>
            </w:pPr>
          </w:p>
        </w:tc>
        <w:tc>
          <w:tcPr>
            <w:tcW w:w="3280" w:type="dxa"/>
            <w:vAlign w:val="bottom"/>
          </w:tcPr>
          <w:p>
            <w:pPr>
              <w:spacing w:after="0"/>
              <w:rPr>
                <w:sz w:val="17"/>
                <w:szCs w:val="17"/>
                <w:color w:val="auto"/>
              </w:rPr>
            </w:pPr>
          </w:p>
        </w:tc>
        <w:tc>
          <w:tcPr>
            <w:tcW w:w="500" w:type="dxa"/>
            <w:vAlign w:val="bottom"/>
          </w:tcPr>
          <w:p>
            <w:pPr>
              <w:jc w:val="right"/>
              <w:spacing w:after="0" w:line="196" w:lineRule="exact"/>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196"/>
        </w:trPr>
        <w:tc>
          <w:tcPr>
            <w:tcW w:w="1000" w:type="dxa"/>
            <w:vAlign w:val="bottom"/>
          </w:tcPr>
          <w:p>
            <w:pPr>
              <w:spacing w:after="0"/>
              <w:rPr>
                <w:sz w:val="17"/>
                <w:szCs w:val="17"/>
                <w:color w:val="auto"/>
              </w:rPr>
            </w:pPr>
          </w:p>
        </w:tc>
        <w:tc>
          <w:tcPr>
            <w:tcW w:w="4140" w:type="dxa"/>
            <w:vAlign w:val="bottom"/>
            <w:tcBorders>
              <w:top w:val="single" w:sz="8" w:color="0000EE"/>
            </w:tcBorders>
            <w:gridSpan w:val="30"/>
          </w:tcPr>
          <w:p>
            <w:pPr>
              <w:spacing w:after="0" w:line="196" w:lineRule="exact"/>
              <w:rPr>
                <w:rFonts w:ascii="Arial" w:cs="Arial" w:eastAsia="Arial" w:hAnsi="Arial"/>
                <w:sz w:val="18"/>
                <w:szCs w:val="18"/>
                <w:color w:val="0000EE"/>
              </w:rPr>
            </w:pPr>
            <w:hyperlink w:anchor="page3">
              <w:r>
                <w:rPr>
                  <w:rFonts w:ascii="Arial" w:cs="Arial" w:eastAsia="Arial" w:hAnsi="Arial"/>
                  <w:sz w:val="18"/>
                  <w:szCs w:val="18"/>
                  <w:color w:val="0000EE"/>
                </w:rPr>
                <w:t>Condensed Consolidated Statements of Operations</w:t>
              </w:r>
            </w:hyperlink>
          </w:p>
        </w:tc>
        <w:tc>
          <w:tcPr>
            <w:tcW w:w="5680" w:type="dxa"/>
            <w:vAlign w:val="bottom"/>
            <w:gridSpan w:val="10"/>
          </w:tcPr>
          <w:p>
            <w:pPr>
              <w:spacing w:after="0"/>
              <w:rPr>
                <w:sz w:val="17"/>
                <w:szCs w:val="17"/>
                <w:color w:val="auto"/>
              </w:rPr>
            </w:pPr>
          </w:p>
        </w:tc>
        <w:tc>
          <w:tcPr>
            <w:tcW w:w="500" w:type="dxa"/>
            <w:vAlign w:val="bottom"/>
          </w:tcPr>
          <w:p>
            <w:pPr>
              <w:jc w:val="right"/>
              <w:spacing w:after="0" w:line="196" w:lineRule="exact"/>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196"/>
        </w:trPr>
        <w:tc>
          <w:tcPr>
            <w:tcW w:w="1000" w:type="dxa"/>
            <w:vAlign w:val="bottom"/>
          </w:tcPr>
          <w:p>
            <w:pPr>
              <w:spacing w:after="0"/>
              <w:rPr>
                <w:sz w:val="17"/>
                <w:szCs w:val="17"/>
                <w:color w:val="auto"/>
              </w:rPr>
            </w:pPr>
          </w:p>
        </w:tc>
        <w:tc>
          <w:tcPr>
            <w:tcW w:w="2860" w:type="dxa"/>
            <w:vAlign w:val="bottom"/>
            <w:tcBorders>
              <w:top w:val="single" w:sz="8" w:color="0000EE"/>
              <w:bottom w:val="single" w:sz="8" w:color="0000EE"/>
            </w:tcBorders>
            <w:gridSpan w:val="17"/>
          </w:tcPr>
          <w:p>
            <w:pPr>
              <w:spacing w:after="0" w:line="196" w:lineRule="exact"/>
              <w:rPr>
                <w:rFonts w:ascii="Arial" w:cs="Arial" w:eastAsia="Arial" w:hAnsi="Arial"/>
                <w:sz w:val="18"/>
                <w:szCs w:val="18"/>
                <w:color w:val="0000EE"/>
                <w:w w:val="85"/>
              </w:rPr>
            </w:pPr>
            <w:hyperlink w:anchor="page4">
              <w:r>
                <w:rPr>
                  <w:rFonts w:ascii="Arial" w:cs="Arial" w:eastAsia="Arial" w:hAnsi="Arial"/>
                  <w:sz w:val="18"/>
                  <w:szCs w:val="18"/>
                  <w:color w:val="0000EE"/>
                  <w:w w:val="85"/>
                </w:rPr>
                <w:t>Condensed Consolidated Balance Sheets</w:t>
              </w:r>
            </w:hyperlink>
          </w:p>
        </w:tc>
        <w:tc>
          <w:tcPr>
            <w:tcW w:w="700" w:type="dxa"/>
            <w:vAlign w:val="bottom"/>
            <w:tcBorders>
              <w:top w:val="single" w:sz="8" w:color="0000EE"/>
            </w:tcBorders>
            <w:gridSpan w:val="6"/>
          </w:tcPr>
          <w:p>
            <w:pPr>
              <w:spacing w:after="0"/>
              <w:rPr>
                <w:sz w:val="17"/>
                <w:szCs w:val="17"/>
                <w:color w:val="auto"/>
              </w:rPr>
            </w:pPr>
          </w:p>
        </w:tc>
        <w:tc>
          <w:tcPr>
            <w:tcW w:w="6260" w:type="dxa"/>
            <w:vAlign w:val="bottom"/>
            <w:gridSpan w:val="17"/>
          </w:tcPr>
          <w:p>
            <w:pPr>
              <w:spacing w:after="0"/>
              <w:rPr>
                <w:sz w:val="17"/>
                <w:szCs w:val="17"/>
                <w:color w:val="auto"/>
              </w:rPr>
            </w:pPr>
          </w:p>
        </w:tc>
        <w:tc>
          <w:tcPr>
            <w:tcW w:w="500" w:type="dxa"/>
            <w:vAlign w:val="bottom"/>
          </w:tcPr>
          <w:p>
            <w:pPr>
              <w:jc w:val="right"/>
              <w:spacing w:after="0" w:line="196" w:lineRule="exact"/>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196"/>
        </w:trPr>
        <w:tc>
          <w:tcPr>
            <w:tcW w:w="1000" w:type="dxa"/>
            <w:vAlign w:val="bottom"/>
          </w:tcPr>
          <w:p>
            <w:pPr>
              <w:spacing w:after="0"/>
              <w:rPr>
                <w:sz w:val="17"/>
                <w:szCs w:val="17"/>
                <w:color w:val="auto"/>
              </w:rPr>
            </w:pPr>
          </w:p>
        </w:tc>
        <w:tc>
          <w:tcPr>
            <w:tcW w:w="3920" w:type="dxa"/>
            <w:vAlign w:val="bottom"/>
            <w:tcBorders>
              <w:bottom w:val="single" w:sz="8" w:color="0000EE"/>
            </w:tcBorders>
            <w:gridSpan w:val="27"/>
          </w:tcPr>
          <w:p>
            <w:pPr>
              <w:spacing w:after="0" w:line="196" w:lineRule="exact"/>
              <w:rPr>
                <w:rFonts w:ascii="Arial" w:cs="Arial" w:eastAsia="Arial" w:hAnsi="Arial"/>
                <w:sz w:val="18"/>
                <w:szCs w:val="18"/>
                <w:color w:val="0000EE"/>
                <w:w w:val="88"/>
              </w:rPr>
            </w:pPr>
            <w:hyperlink w:anchor="page5">
              <w:r>
                <w:rPr>
                  <w:rFonts w:ascii="Arial" w:cs="Arial" w:eastAsia="Arial" w:hAnsi="Arial"/>
                  <w:sz w:val="18"/>
                  <w:szCs w:val="18"/>
                  <w:color w:val="0000EE"/>
                  <w:w w:val="88"/>
                </w:rPr>
                <w:t>Condensed Consolidated Statements of Equity (Deficit)</w:t>
              </w:r>
            </w:hyperlink>
          </w:p>
        </w:tc>
        <w:tc>
          <w:tcPr>
            <w:tcW w:w="5900" w:type="dxa"/>
            <w:vAlign w:val="bottom"/>
            <w:gridSpan w:val="13"/>
          </w:tcPr>
          <w:p>
            <w:pPr>
              <w:spacing w:after="0"/>
              <w:rPr>
                <w:sz w:val="17"/>
                <w:szCs w:val="17"/>
                <w:color w:val="auto"/>
              </w:rPr>
            </w:pPr>
          </w:p>
        </w:tc>
        <w:tc>
          <w:tcPr>
            <w:tcW w:w="500" w:type="dxa"/>
            <w:vAlign w:val="bottom"/>
          </w:tcPr>
          <w:p>
            <w:pPr>
              <w:jc w:val="right"/>
              <w:spacing w:after="0" w:line="196" w:lineRule="exact"/>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196"/>
        </w:trPr>
        <w:tc>
          <w:tcPr>
            <w:tcW w:w="1000" w:type="dxa"/>
            <w:vAlign w:val="bottom"/>
          </w:tcPr>
          <w:p>
            <w:pPr>
              <w:spacing w:after="0"/>
              <w:rPr>
                <w:sz w:val="17"/>
                <w:szCs w:val="17"/>
                <w:color w:val="auto"/>
              </w:rPr>
            </w:pPr>
          </w:p>
        </w:tc>
        <w:tc>
          <w:tcPr>
            <w:tcW w:w="3620" w:type="dxa"/>
            <w:vAlign w:val="bottom"/>
            <w:tcBorders>
              <w:bottom w:val="single" w:sz="8" w:color="0000EE"/>
            </w:tcBorders>
            <w:gridSpan w:val="24"/>
          </w:tcPr>
          <w:p>
            <w:pPr>
              <w:spacing w:after="0" w:line="196" w:lineRule="exact"/>
              <w:rPr>
                <w:rFonts w:ascii="Arial" w:cs="Arial" w:eastAsia="Arial" w:hAnsi="Arial"/>
                <w:sz w:val="18"/>
                <w:szCs w:val="18"/>
                <w:color w:val="0000EE"/>
                <w:w w:val="86"/>
              </w:rPr>
            </w:pPr>
            <w:hyperlink w:anchor="page7">
              <w:r>
                <w:rPr>
                  <w:rFonts w:ascii="Arial" w:cs="Arial" w:eastAsia="Arial" w:hAnsi="Arial"/>
                  <w:sz w:val="18"/>
                  <w:szCs w:val="18"/>
                  <w:color w:val="0000EE"/>
                  <w:w w:val="86"/>
                </w:rPr>
                <w:t>Condensed Consolidated Statements of Cash Flows</w:t>
              </w:r>
            </w:hyperlink>
          </w:p>
        </w:tc>
        <w:tc>
          <w:tcPr>
            <w:tcW w:w="6200" w:type="dxa"/>
            <w:vAlign w:val="bottom"/>
            <w:gridSpan w:val="16"/>
          </w:tcPr>
          <w:p>
            <w:pPr>
              <w:spacing w:after="0"/>
              <w:rPr>
                <w:sz w:val="17"/>
                <w:szCs w:val="17"/>
                <w:color w:val="auto"/>
              </w:rPr>
            </w:pPr>
          </w:p>
        </w:tc>
        <w:tc>
          <w:tcPr>
            <w:tcW w:w="500" w:type="dxa"/>
            <w:vAlign w:val="bottom"/>
          </w:tcPr>
          <w:p>
            <w:pPr>
              <w:jc w:val="right"/>
              <w:spacing w:after="0" w:line="196" w:lineRule="exact"/>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196"/>
        </w:trPr>
        <w:tc>
          <w:tcPr>
            <w:tcW w:w="1000" w:type="dxa"/>
            <w:vAlign w:val="bottom"/>
          </w:tcPr>
          <w:p>
            <w:pPr>
              <w:spacing w:after="0"/>
              <w:rPr>
                <w:sz w:val="17"/>
                <w:szCs w:val="17"/>
                <w:color w:val="auto"/>
              </w:rPr>
            </w:pPr>
          </w:p>
        </w:tc>
        <w:tc>
          <w:tcPr>
            <w:tcW w:w="3900" w:type="dxa"/>
            <w:vAlign w:val="bottom"/>
            <w:tcBorders>
              <w:bottom w:val="single" w:sz="8" w:color="0000EE"/>
            </w:tcBorders>
            <w:gridSpan w:val="26"/>
          </w:tcPr>
          <w:p>
            <w:pPr>
              <w:spacing w:after="0" w:line="196" w:lineRule="exact"/>
              <w:rPr>
                <w:rFonts w:ascii="Arial" w:cs="Arial" w:eastAsia="Arial" w:hAnsi="Arial"/>
                <w:sz w:val="18"/>
                <w:szCs w:val="18"/>
                <w:color w:val="0000EE"/>
                <w:w w:val="86"/>
              </w:rPr>
            </w:pPr>
            <w:hyperlink w:anchor="page8">
              <w:r>
                <w:rPr>
                  <w:rFonts w:ascii="Arial" w:cs="Arial" w:eastAsia="Arial" w:hAnsi="Arial"/>
                  <w:sz w:val="18"/>
                  <w:szCs w:val="18"/>
                  <w:color w:val="0000EE"/>
                  <w:w w:val="86"/>
                </w:rPr>
                <w:t>Notes to Condensed Consolidated Financial Statements</w:t>
              </w:r>
            </w:hyperlink>
          </w:p>
        </w:tc>
        <w:tc>
          <w:tcPr>
            <w:tcW w:w="5920" w:type="dxa"/>
            <w:vAlign w:val="bottom"/>
            <w:gridSpan w:val="14"/>
          </w:tcPr>
          <w:p>
            <w:pPr>
              <w:spacing w:after="0"/>
              <w:rPr>
                <w:sz w:val="17"/>
                <w:szCs w:val="17"/>
                <w:color w:val="auto"/>
              </w:rPr>
            </w:pPr>
          </w:p>
        </w:tc>
        <w:tc>
          <w:tcPr>
            <w:tcW w:w="500" w:type="dxa"/>
            <w:vAlign w:val="bottom"/>
          </w:tcPr>
          <w:p>
            <w:pPr>
              <w:jc w:val="right"/>
              <w:spacing w:after="0" w:line="196" w:lineRule="exact"/>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196"/>
        </w:trPr>
        <w:tc>
          <w:tcPr>
            <w:tcW w:w="1000" w:type="dxa"/>
            <w:vAlign w:val="bottom"/>
          </w:tcPr>
          <w:p>
            <w:pPr>
              <w:spacing w:after="0"/>
              <w:rPr>
                <w:sz w:val="17"/>
                <w:szCs w:val="17"/>
                <w:color w:val="auto"/>
              </w:rPr>
            </w:pPr>
          </w:p>
        </w:tc>
        <w:tc>
          <w:tcPr>
            <w:tcW w:w="1000" w:type="dxa"/>
            <w:vAlign w:val="bottom"/>
            <w:gridSpan w:val="4"/>
          </w:tcPr>
          <w:p>
            <w:pPr>
              <w:ind w:left="220"/>
              <w:spacing w:after="0" w:line="196" w:lineRule="exact"/>
              <w:rPr>
                <w:sz w:val="20"/>
                <w:szCs w:val="20"/>
                <w:color w:val="auto"/>
              </w:rPr>
            </w:pPr>
            <w:r>
              <w:rPr>
                <w:rFonts w:ascii="Arial" w:cs="Arial" w:eastAsia="Arial" w:hAnsi="Arial"/>
                <w:sz w:val="18"/>
                <w:szCs w:val="18"/>
                <w:color w:val="auto"/>
              </w:rPr>
              <w:t>Note 1.</w:t>
            </w:r>
          </w:p>
        </w:tc>
        <w:tc>
          <w:tcPr>
            <w:tcW w:w="8820" w:type="dxa"/>
            <w:vAlign w:val="bottom"/>
            <w:gridSpan w:val="36"/>
          </w:tcPr>
          <w:p>
            <w:pPr>
              <w:spacing w:after="0" w:line="196" w:lineRule="exact"/>
              <w:rPr>
                <w:rFonts w:ascii="Arial" w:cs="Arial" w:eastAsia="Arial" w:hAnsi="Arial"/>
                <w:sz w:val="18"/>
                <w:szCs w:val="18"/>
                <w:color w:val="0000EE"/>
              </w:rPr>
            </w:pPr>
            <w:hyperlink w:anchor="page8">
              <w:r>
                <w:rPr>
                  <w:rFonts w:ascii="Arial" w:cs="Arial" w:eastAsia="Arial" w:hAnsi="Arial"/>
                  <w:sz w:val="18"/>
                  <w:szCs w:val="18"/>
                  <w:color w:val="0000EE"/>
                </w:rPr>
                <w:t>Nature of Operations</w:t>
              </w:r>
            </w:hyperlink>
          </w:p>
        </w:tc>
        <w:tc>
          <w:tcPr>
            <w:tcW w:w="500" w:type="dxa"/>
            <w:vAlign w:val="bottom"/>
          </w:tcPr>
          <w:p>
            <w:pPr>
              <w:jc w:val="right"/>
              <w:spacing w:after="0" w:line="196" w:lineRule="exact"/>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0"/>
        </w:trPr>
        <w:tc>
          <w:tcPr>
            <w:tcW w:w="10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380" w:type="dxa"/>
            <w:vAlign w:val="bottom"/>
            <w:tcBorders>
              <w:right w:val="single" w:sz="8" w:color="0000EE"/>
            </w:tcBorders>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gridSpan w:val="3"/>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380" w:type="dxa"/>
            <w:vAlign w:val="bottom"/>
            <w:gridSpan w:val="2"/>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00" w:type="dxa"/>
            <w:vAlign w:val="bottom"/>
          </w:tcPr>
          <w:p>
            <w:pPr>
              <w:spacing w:after="0"/>
              <w:rPr>
                <w:sz w:val="17"/>
                <w:szCs w:val="17"/>
                <w:color w:val="auto"/>
              </w:rPr>
            </w:pPr>
          </w:p>
        </w:tc>
        <w:tc>
          <w:tcPr>
            <w:tcW w:w="1000" w:type="dxa"/>
            <w:vAlign w:val="bottom"/>
            <w:gridSpan w:val="4"/>
          </w:tcPr>
          <w:p>
            <w:pPr>
              <w:ind w:left="220"/>
              <w:spacing w:after="0" w:line="196" w:lineRule="exact"/>
              <w:rPr>
                <w:sz w:val="20"/>
                <w:szCs w:val="20"/>
                <w:color w:val="auto"/>
              </w:rPr>
            </w:pPr>
            <w:r>
              <w:rPr>
                <w:rFonts w:ascii="Arial" w:cs="Arial" w:eastAsia="Arial" w:hAnsi="Arial"/>
                <w:sz w:val="18"/>
                <w:szCs w:val="18"/>
                <w:color w:val="auto"/>
              </w:rPr>
              <w:t>Note 2.</w:t>
            </w:r>
          </w:p>
        </w:tc>
        <w:tc>
          <w:tcPr>
            <w:tcW w:w="8820" w:type="dxa"/>
            <w:vAlign w:val="bottom"/>
            <w:gridSpan w:val="36"/>
          </w:tcPr>
          <w:p>
            <w:pPr>
              <w:spacing w:after="0" w:line="196" w:lineRule="exact"/>
              <w:rPr>
                <w:rFonts w:ascii="Arial" w:cs="Arial" w:eastAsia="Arial" w:hAnsi="Arial"/>
                <w:sz w:val="18"/>
                <w:szCs w:val="18"/>
                <w:color w:val="0000EE"/>
              </w:rPr>
            </w:pPr>
            <w:hyperlink w:anchor="page8">
              <w:r>
                <w:rPr>
                  <w:rFonts w:ascii="Arial" w:cs="Arial" w:eastAsia="Arial" w:hAnsi="Arial"/>
                  <w:sz w:val="18"/>
                  <w:szCs w:val="18"/>
                  <w:color w:val="0000EE"/>
                </w:rPr>
                <w:t>Chapter 11 Proceedings and the 363 Sale</w:t>
              </w:r>
            </w:hyperlink>
          </w:p>
        </w:tc>
        <w:tc>
          <w:tcPr>
            <w:tcW w:w="500" w:type="dxa"/>
            <w:vAlign w:val="bottom"/>
          </w:tcPr>
          <w:p>
            <w:pPr>
              <w:jc w:val="right"/>
              <w:spacing w:after="0" w:line="196" w:lineRule="exact"/>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0"/>
        </w:trPr>
        <w:tc>
          <w:tcPr>
            <w:tcW w:w="10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380" w:type="dxa"/>
            <w:vAlign w:val="bottom"/>
            <w:tcBorders>
              <w:right w:val="single" w:sz="8" w:color="0000EE"/>
            </w:tcBorders>
            <w:shd w:val="clear" w:color="auto" w:fill="0000EE"/>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0" w:type="dxa"/>
            <w:vAlign w:val="bottom"/>
            <w:tcBorders>
              <w:right w:val="single" w:sz="8" w:color="0000EE"/>
            </w:tcBorders>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6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40" w:type="dxa"/>
            <w:vAlign w:val="bottom"/>
            <w:tcBorders>
              <w:right w:val="single" w:sz="8" w:color="0000EE"/>
            </w:tcBorders>
            <w:gridSpan w:val="3"/>
            <w:shd w:val="clear" w:color="auto" w:fill="0000EE"/>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380" w:type="dxa"/>
            <w:vAlign w:val="bottom"/>
            <w:gridSpan w:val="2"/>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00" w:type="dxa"/>
            <w:vAlign w:val="bottom"/>
          </w:tcPr>
          <w:p>
            <w:pPr>
              <w:spacing w:after="0"/>
              <w:rPr>
                <w:sz w:val="17"/>
                <w:szCs w:val="17"/>
                <w:color w:val="auto"/>
              </w:rPr>
            </w:pPr>
          </w:p>
        </w:tc>
        <w:tc>
          <w:tcPr>
            <w:tcW w:w="1000" w:type="dxa"/>
            <w:vAlign w:val="bottom"/>
            <w:gridSpan w:val="4"/>
          </w:tcPr>
          <w:p>
            <w:pPr>
              <w:ind w:left="220"/>
              <w:spacing w:after="0" w:line="196" w:lineRule="exact"/>
              <w:rPr>
                <w:sz w:val="20"/>
                <w:szCs w:val="20"/>
                <w:color w:val="auto"/>
              </w:rPr>
            </w:pPr>
            <w:r>
              <w:rPr>
                <w:rFonts w:ascii="Arial" w:cs="Arial" w:eastAsia="Arial" w:hAnsi="Arial"/>
                <w:sz w:val="18"/>
                <w:szCs w:val="18"/>
                <w:color w:val="auto"/>
              </w:rPr>
              <w:t>Note 3.</w:t>
            </w:r>
          </w:p>
        </w:tc>
        <w:tc>
          <w:tcPr>
            <w:tcW w:w="3920" w:type="dxa"/>
            <w:vAlign w:val="bottom"/>
            <w:tcBorders>
              <w:bottom w:val="single" w:sz="8" w:color="0000EE"/>
            </w:tcBorders>
            <w:gridSpan w:val="31"/>
          </w:tcPr>
          <w:p>
            <w:pPr>
              <w:spacing w:after="0" w:line="196" w:lineRule="exact"/>
              <w:rPr>
                <w:rFonts w:ascii="Arial" w:cs="Arial" w:eastAsia="Arial" w:hAnsi="Arial"/>
                <w:sz w:val="18"/>
                <w:szCs w:val="18"/>
                <w:color w:val="0000EE"/>
                <w:w w:val="86"/>
              </w:rPr>
            </w:pPr>
            <w:hyperlink w:anchor="page10">
              <w:r>
                <w:rPr>
                  <w:rFonts w:ascii="Arial" w:cs="Arial" w:eastAsia="Arial" w:hAnsi="Arial"/>
                  <w:sz w:val="18"/>
                  <w:szCs w:val="18"/>
                  <w:color w:val="0000EE"/>
                  <w:w w:val="86"/>
                </w:rPr>
                <w:t>Basis of Presentation and Recent Accounting Standards</w:t>
              </w:r>
            </w:hyperlink>
          </w:p>
        </w:tc>
        <w:tc>
          <w:tcPr>
            <w:tcW w:w="4900" w:type="dxa"/>
            <w:vAlign w:val="bottom"/>
            <w:gridSpan w:val="5"/>
          </w:tcPr>
          <w:p>
            <w:pPr>
              <w:spacing w:after="0"/>
              <w:rPr>
                <w:sz w:val="17"/>
                <w:szCs w:val="17"/>
                <w:color w:val="auto"/>
              </w:rPr>
            </w:pPr>
          </w:p>
        </w:tc>
        <w:tc>
          <w:tcPr>
            <w:tcW w:w="500" w:type="dxa"/>
            <w:vAlign w:val="bottom"/>
          </w:tcPr>
          <w:p>
            <w:pPr>
              <w:jc w:val="right"/>
              <w:spacing w:after="0" w:line="196" w:lineRule="exact"/>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196"/>
        </w:trPr>
        <w:tc>
          <w:tcPr>
            <w:tcW w:w="1000" w:type="dxa"/>
            <w:vAlign w:val="bottom"/>
          </w:tcPr>
          <w:p>
            <w:pPr>
              <w:spacing w:after="0"/>
              <w:rPr>
                <w:sz w:val="17"/>
                <w:szCs w:val="17"/>
                <w:color w:val="auto"/>
              </w:rPr>
            </w:pPr>
          </w:p>
        </w:tc>
        <w:tc>
          <w:tcPr>
            <w:tcW w:w="1000" w:type="dxa"/>
            <w:vAlign w:val="bottom"/>
            <w:gridSpan w:val="4"/>
          </w:tcPr>
          <w:p>
            <w:pPr>
              <w:ind w:left="220"/>
              <w:spacing w:after="0" w:line="196" w:lineRule="exact"/>
              <w:rPr>
                <w:sz w:val="20"/>
                <w:szCs w:val="20"/>
                <w:color w:val="auto"/>
              </w:rPr>
            </w:pPr>
            <w:r>
              <w:rPr>
                <w:rFonts w:ascii="Arial" w:cs="Arial" w:eastAsia="Arial" w:hAnsi="Arial"/>
                <w:sz w:val="18"/>
                <w:szCs w:val="18"/>
                <w:color w:val="auto"/>
              </w:rPr>
              <w:t>Note 4.</w:t>
            </w:r>
          </w:p>
        </w:tc>
        <w:tc>
          <w:tcPr>
            <w:tcW w:w="2880" w:type="dxa"/>
            <w:vAlign w:val="bottom"/>
            <w:tcBorders>
              <w:bottom w:val="single" w:sz="8" w:color="0000EE"/>
            </w:tcBorders>
            <w:gridSpan w:val="21"/>
          </w:tcPr>
          <w:p>
            <w:pPr>
              <w:spacing w:after="0" w:line="196" w:lineRule="exact"/>
              <w:rPr>
                <w:rFonts w:ascii="Arial" w:cs="Arial" w:eastAsia="Arial" w:hAnsi="Arial"/>
                <w:sz w:val="18"/>
                <w:szCs w:val="18"/>
                <w:color w:val="0000EE"/>
                <w:w w:val="88"/>
              </w:rPr>
            </w:pPr>
            <w:hyperlink w:anchor="page14">
              <w:r>
                <w:rPr>
                  <w:rFonts w:ascii="Arial" w:cs="Arial" w:eastAsia="Arial" w:hAnsi="Arial"/>
                  <w:sz w:val="18"/>
                  <w:szCs w:val="18"/>
                  <w:color w:val="0000EE"/>
                  <w:w w:val="88"/>
                </w:rPr>
                <w:t>Acquisition and Disposals of Businesses</w:t>
              </w:r>
            </w:hyperlink>
          </w:p>
        </w:tc>
        <w:tc>
          <w:tcPr>
            <w:tcW w:w="5940" w:type="dxa"/>
            <w:vAlign w:val="bottom"/>
            <w:gridSpan w:val="15"/>
          </w:tcPr>
          <w:p>
            <w:pPr>
              <w:spacing w:after="0"/>
              <w:rPr>
                <w:sz w:val="17"/>
                <w:szCs w:val="17"/>
                <w:color w:val="auto"/>
              </w:rPr>
            </w:pPr>
          </w:p>
        </w:tc>
        <w:tc>
          <w:tcPr>
            <w:tcW w:w="500" w:type="dxa"/>
            <w:vAlign w:val="bottom"/>
          </w:tcPr>
          <w:p>
            <w:pPr>
              <w:jc w:val="right"/>
              <w:spacing w:after="0" w:line="196" w:lineRule="exact"/>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196"/>
        </w:trPr>
        <w:tc>
          <w:tcPr>
            <w:tcW w:w="1000" w:type="dxa"/>
            <w:vAlign w:val="bottom"/>
          </w:tcPr>
          <w:p>
            <w:pPr>
              <w:spacing w:after="0"/>
              <w:rPr>
                <w:sz w:val="17"/>
                <w:szCs w:val="17"/>
                <w:color w:val="auto"/>
              </w:rPr>
            </w:pPr>
          </w:p>
        </w:tc>
        <w:tc>
          <w:tcPr>
            <w:tcW w:w="1000" w:type="dxa"/>
            <w:vAlign w:val="bottom"/>
            <w:gridSpan w:val="4"/>
          </w:tcPr>
          <w:p>
            <w:pPr>
              <w:ind w:left="220"/>
              <w:spacing w:after="0" w:line="196" w:lineRule="exact"/>
              <w:rPr>
                <w:sz w:val="20"/>
                <w:szCs w:val="20"/>
                <w:color w:val="auto"/>
              </w:rPr>
            </w:pPr>
            <w:r>
              <w:rPr>
                <w:rFonts w:ascii="Arial" w:cs="Arial" w:eastAsia="Arial" w:hAnsi="Arial"/>
                <w:sz w:val="18"/>
                <w:szCs w:val="18"/>
                <w:color w:val="auto"/>
              </w:rPr>
              <w:t>Note 5.</w:t>
            </w:r>
          </w:p>
        </w:tc>
        <w:tc>
          <w:tcPr>
            <w:tcW w:w="8820" w:type="dxa"/>
            <w:vAlign w:val="bottom"/>
            <w:gridSpan w:val="36"/>
          </w:tcPr>
          <w:p>
            <w:pPr>
              <w:spacing w:after="0" w:line="196" w:lineRule="exact"/>
              <w:rPr>
                <w:rFonts w:ascii="Arial" w:cs="Arial" w:eastAsia="Arial" w:hAnsi="Arial"/>
                <w:sz w:val="18"/>
                <w:szCs w:val="18"/>
                <w:color w:val="0000EE"/>
              </w:rPr>
            </w:pPr>
            <w:hyperlink w:anchor="page16">
              <w:r>
                <w:rPr>
                  <w:rFonts w:ascii="Arial" w:cs="Arial" w:eastAsia="Arial" w:hAnsi="Arial"/>
                  <w:sz w:val="18"/>
                  <w:szCs w:val="18"/>
                  <w:color w:val="0000EE"/>
                </w:rPr>
                <w:t>Marketable Securities</w:t>
              </w:r>
            </w:hyperlink>
          </w:p>
        </w:tc>
        <w:tc>
          <w:tcPr>
            <w:tcW w:w="500" w:type="dxa"/>
            <w:vAlign w:val="bottom"/>
          </w:tcPr>
          <w:p>
            <w:pPr>
              <w:jc w:val="right"/>
              <w:spacing w:after="0" w:line="196" w:lineRule="exact"/>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196"/>
        </w:trPr>
        <w:tc>
          <w:tcPr>
            <w:tcW w:w="1000" w:type="dxa"/>
            <w:vAlign w:val="bottom"/>
          </w:tcPr>
          <w:p>
            <w:pPr>
              <w:spacing w:after="0"/>
              <w:rPr>
                <w:sz w:val="17"/>
                <w:szCs w:val="17"/>
                <w:color w:val="auto"/>
              </w:rPr>
            </w:pPr>
          </w:p>
        </w:tc>
        <w:tc>
          <w:tcPr>
            <w:tcW w:w="1000" w:type="dxa"/>
            <w:vAlign w:val="bottom"/>
            <w:gridSpan w:val="4"/>
          </w:tcPr>
          <w:p>
            <w:pPr>
              <w:ind w:left="220"/>
              <w:spacing w:after="0" w:line="196" w:lineRule="exact"/>
              <w:rPr>
                <w:sz w:val="20"/>
                <w:szCs w:val="20"/>
                <w:color w:val="auto"/>
              </w:rPr>
            </w:pPr>
            <w:r>
              <w:rPr>
                <w:rFonts w:ascii="Arial" w:cs="Arial" w:eastAsia="Arial" w:hAnsi="Arial"/>
                <w:sz w:val="18"/>
                <w:szCs w:val="18"/>
                <w:color w:val="auto"/>
              </w:rPr>
              <w:t>Note 6.</w:t>
            </w:r>
          </w:p>
        </w:tc>
        <w:tc>
          <w:tcPr>
            <w:tcW w:w="800" w:type="dxa"/>
            <w:vAlign w:val="bottom"/>
            <w:tcBorders>
              <w:top w:val="single" w:sz="8" w:color="0000EE"/>
              <w:bottom w:val="single" w:sz="8" w:color="0000EE"/>
            </w:tcBorders>
            <w:gridSpan w:val="4"/>
          </w:tcPr>
          <w:p>
            <w:pPr>
              <w:spacing w:after="0" w:line="196" w:lineRule="exact"/>
              <w:rPr>
                <w:rFonts w:ascii="Arial" w:cs="Arial" w:eastAsia="Arial" w:hAnsi="Arial"/>
                <w:sz w:val="18"/>
                <w:szCs w:val="18"/>
                <w:color w:val="0000EE"/>
                <w:w w:val="88"/>
              </w:rPr>
            </w:pPr>
            <w:hyperlink w:anchor="page17">
              <w:r>
                <w:rPr>
                  <w:rFonts w:ascii="Arial" w:cs="Arial" w:eastAsia="Arial" w:hAnsi="Arial"/>
                  <w:sz w:val="18"/>
                  <w:szCs w:val="18"/>
                  <w:color w:val="0000EE"/>
                  <w:w w:val="88"/>
                </w:rPr>
                <w:t>Inventories</w:t>
              </w:r>
            </w:hyperlink>
          </w:p>
        </w:tc>
        <w:tc>
          <w:tcPr>
            <w:tcW w:w="740" w:type="dxa"/>
            <w:vAlign w:val="bottom"/>
            <w:tcBorders>
              <w:top w:val="single" w:sz="8" w:color="0000EE"/>
            </w:tcBorders>
            <w:gridSpan w:val="6"/>
          </w:tcPr>
          <w:p>
            <w:pPr>
              <w:spacing w:after="0"/>
              <w:rPr>
                <w:sz w:val="17"/>
                <w:szCs w:val="17"/>
                <w:color w:val="auto"/>
              </w:rPr>
            </w:pPr>
          </w:p>
        </w:tc>
        <w:tc>
          <w:tcPr>
            <w:tcW w:w="7280" w:type="dxa"/>
            <w:vAlign w:val="bottom"/>
            <w:gridSpan w:val="26"/>
          </w:tcPr>
          <w:p>
            <w:pPr>
              <w:spacing w:after="0"/>
              <w:rPr>
                <w:sz w:val="17"/>
                <w:szCs w:val="17"/>
                <w:color w:val="auto"/>
              </w:rPr>
            </w:pPr>
          </w:p>
        </w:tc>
        <w:tc>
          <w:tcPr>
            <w:tcW w:w="500" w:type="dxa"/>
            <w:vAlign w:val="bottom"/>
          </w:tcPr>
          <w:p>
            <w:pPr>
              <w:jc w:val="right"/>
              <w:spacing w:after="0" w:line="196" w:lineRule="exact"/>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196"/>
        </w:trPr>
        <w:tc>
          <w:tcPr>
            <w:tcW w:w="1000" w:type="dxa"/>
            <w:vAlign w:val="bottom"/>
          </w:tcPr>
          <w:p>
            <w:pPr>
              <w:spacing w:after="0"/>
              <w:rPr>
                <w:sz w:val="17"/>
                <w:szCs w:val="17"/>
                <w:color w:val="auto"/>
              </w:rPr>
            </w:pPr>
          </w:p>
        </w:tc>
        <w:tc>
          <w:tcPr>
            <w:tcW w:w="1000" w:type="dxa"/>
            <w:vAlign w:val="bottom"/>
            <w:gridSpan w:val="4"/>
          </w:tcPr>
          <w:p>
            <w:pPr>
              <w:ind w:left="220"/>
              <w:spacing w:after="0" w:line="196" w:lineRule="exact"/>
              <w:rPr>
                <w:sz w:val="20"/>
                <w:szCs w:val="20"/>
                <w:color w:val="auto"/>
              </w:rPr>
            </w:pPr>
            <w:r>
              <w:rPr>
                <w:rFonts w:ascii="Arial" w:cs="Arial" w:eastAsia="Arial" w:hAnsi="Arial"/>
                <w:sz w:val="18"/>
                <w:szCs w:val="18"/>
                <w:color w:val="auto"/>
              </w:rPr>
              <w:t>Note 7.</w:t>
            </w:r>
          </w:p>
        </w:tc>
        <w:tc>
          <w:tcPr>
            <w:tcW w:w="8820" w:type="dxa"/>
            <w:vAlign w:val="bottom"/>
            <w:gridSpan w:val="36"/>
          </w:tcPr>
          <w:p>
            <w:pPr>
              <w:spacing w:after="0" w:line="196" w:lineRule="exact"/>
              <w:rPr>
                <w:rFonts w:ascii="Arial" w:cs="Arial" w:eastAsia="Arial" w:hAnsi="Arial"/>
                <w:sz w:val="18"/>
                <w:szCs w:val="18"/>
                <w:color w:val="0000EE"/>
              </w:rPr>
            </w:pPr>
            <w:hyperlink w:anchor="page17">
              <w:r>
                <w:rPr>
                  <w:rFonts w:ascii="Arial" w:cs="Arial" w:eastAsia="Arial" w:hAnsi="Arial"/>
                  <w:sz w:val="18"/>
                  <w:szCs w:val="18"/>
                  <w:color w:val="0000EE"/>
                </w:rPr>
                <w:t>Equity in Net Assets of Nonconsolidated Affiliates</w:t>
              </w:r>
            </w:hyperlink>
          </w:p>
        </w:tc>
        <w:tc>
          <w:tcPr>
            <w:tcW w:w="500" w:type="dxa"/>
            <w:vAlign w:val="bottom"/>
          </w:tcPr>
          <w:p>
            <w:pPr>
              <w:jc w:val="right"/>
              <w:spacing w:after="0" w:line="196" w:lineRule="exact"/>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196"/>
        </w:trPr>
        <w:tc>
          <w:tcPr>
            <w:tcW w:w="1000" w:type="dxa"/>
            <w:vAlign w:val="bottom"/>
          </w:tcPr>
          <w:p>
            <w:pPr>
              <w:spacing w:after="0"/>
              <w:rPr>
                <w:sz w:val="17"/>
                <w:szCs w:val="17"/>
                <w:color w:val="auto"/>
              </w:rPr>
            </w:pPr>
          </w:p>
        </w:tc>
        <w:tc>
          <w:tcPr>
            <w:tcW w:w="1000" w:type="dxa"/>
            <w:vAlign w:val="bottom"/>
            <w:gridSpan w:val="4"/>
          </w:tcPr>
          <w:p>
            <w:pPr>
              <w:ind w:left="220"/>
              <w:spacing w:after="0" w:line="196" w:lineRule="exact"/>
              <w:rPr>
                <w:sz w:val="20"/>
                <w:szCs w:val="20"/>
                <w:color w:val="auto"/>
              </w:rPr>
            </w:pPr>
            <w:r>
              <w:rPr>
                <w:rFonts w:ascii="Arial" w:cs="Arial" w:eastAsia="Arial" w:hAnsi="Arial"/>
                <w:sz w:val="18"/>
                <w:szCs w:val="18"/>
                <w:color w:val="auto"/>
              </w:rPr>
              <w:t>Note 8.</w:t>
            </w:r>
          </w:p>
        </w:tc>
        <w:tc>
          <w:tcPr>
            <w:tcW w:w="680" w:type="dxa"/>
            <w:vAlign w:val="bottom"/>
            <w:tcBorders>
              <w:top w:val="single" w:sz="8" w:color="0000EE"/>
              <w:bottom w:val="single" w:sz="8" w:color="0000EE"/>
            </w:tcBorders>
            <w:gridSpan w:val="2"/>
          </w:tcPr>
          <w:p>
            <w:pPr>
              <w:spacing w:after="0" w:line="196" w:lineRule="exact"/>
              <w:rPr>
                <w:rFonts w:ascii="Arial" w:cs="Arial" w:eastAsia="Arial" w:hAnsi="Arial"/>
                <w:sz w:val="18"/>
                <w:szCs w:val="18"/>
                <w:color w:val="0000EE"/>
                <w:w w:val="95"/>
              </w:rPr>
            </w:pPr>
            <w:hyperlink w:anchor="page22">
              <w:r>
                <w:rPr>
                  <w:rFonts w:ascii="Arial" w:cs="Arial" w:eastAsia="Arial" w:hAnsi="Arial"/>
                  <w:sz w:val="18"/>
                  <w:szCs w:val="18"/>
                  <w:color w:val="0000EE"/>
                  <w:w w:val="95"/>
                </w:rPr>
                <w:t>Goodwill</w:t>
              </w:r>
            </w:hyperlink>
          </w:p>
        </w:tc>
        <w:tc>
          <w:tcPr>
            <w:tcW w:w="2900" w:type="dxa"/>
            <w:vAlign w:val="bottom"/>
            <w:tcBorders>
              <w:top w:val="single" w:sz="8" w:color="0000EE"/>
            </w:tcBorders>
            <w:gridSpan w:val="28"/>
          </w:tcPr>
          <w:p>
            <w:pPr>
              <w:spacing w:after="0"/>
              <w:rPr>
                <w:sz w:val="17"/>
                <w:szCs w:val="17"/>
                <w:color w:val="auto"/>
              </w:rPr>
            </w:pPr>
          </w:p>
        </w:tc>
        <w:tc>
          <w:tcPr>
            <w:tcW w:w="5240" w:type="dxa"/>
            <w:vAlign w:val="bottom"/>
            <w:gridSpan w:val="6"/>
          </w:tcPr>
          <w:p>
            <w:pPr>
              <w:spacing w:after="0"/>
              <w:rPr>
                <w:sz w:val="17"/>
                <w:szCs w:val="17"/>
                <w:color w:val="auto"/>
              </w:rPr>
            </w:pPr>
          </w:p>
        </w:tc>
        <w:tc>
          <w:tcPr>
            <w:tcW w:w="500" w:type="dxa"/>
            <w:vAlign w:val="bottom"/>
          </w:tcPr>
          <w:p>
            <w:pPr>
              <w:jc w:val="right"/>
              <w:spacing w:after="0" w:line="196" w:lineRule="exact"/>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196"/>
        </w:trPr>
        <w:tc>
          <w:tcPr>
            <w:tcW w:w="1000" w:type="dxa"/>
            <w:vAlign w:val="bottom"/>
          </w:tcPr>
          <w:p>
            <w:pPr>
              <w:spacing w:after="0"/>
              <w:rPr>
                <w:sz w:val="17"/>
                <w:szCs w:val="17"/>
                <w:color w:val="auto"/>
              </w:rPr>
            </w:pPr>
          </w:p>
        </w:tc>
        <w:tc>
          <w:tcPr>
            <w:tcW w:w="1000" w:type="dxa"/>
            <w:vAlign w:val="bottom"/>
            <w:gridSpan w:val="4"/>
          </w:tcPr>
          <w:p>
            <w:pPr>
              <w:ind w:left="220"/>
              <w:spacing w:after="0" w:line="196" w:lineRule="exact"/>
              <w:rPr>
                <w:sz w:val="20"/>
                <w:szCs w:val="20"/>
                <w:color w:val="auto"/>
              </w:rPr>
            </w:pPr>
            <w:r>
              <w:rPr>
                <w:rFonts w:ascii="Arial" w:cs="Arial" w:eastAsia="Arial" w:hAnsi="Arial"/>
                <w:sz w:val="18"/>
                <w:szCs w:val="18"/>
                <w:color w:val="auto"/>
              </w:rPr>
              <w:t>Note 9.</w:t>
            </w:r>
          </w:p>
        </w:tc>
        <w:tc>
          <w:tcPr>
            <w:tcW w:w="8820" w:type="dxa"/>
            <w:vAlign w:val="bottom"/>
            <w:gridSpan w:val="36"/>
          </w:tcPr>
          <w:p>
            <w:pPr>
              <w:spacing w:after="0" w:line="196" w:lineRule="exact"/>
              <w:rPr>
                <w:rFonts w:ascii="Arial" w:cs="Arial" w:eastAsia="Arial" w:hAnsi="Arial"/>
                <w:sz w:val="18"/>
                <w:szCs w:val="18"/>
                <w:color w:val="0000EE"/>
              </w:rPr>
            </w:pPr>
            <w:hyperlink w:anchor="page23">
              <w:r>
                <w:rPr>
                  <w:rFonts w:ascii="Arial" w:cs="Arial" w:eastAsia="Arial" w:hAnsi="Arial"/>
                  <w:sz w:val="18"/>
                  <w:szCs w:val="18"/>
                  <w:color w:val="0000EE"/>
                </w:rPr>
                <w:t>Intangible Assets, net</w:t>
              </w:r>
            </w:hyperlink>
          </w:p>
        </w:tc>
        <w:tc>
          <w:tcPr>
            <w:tcW w:w="500" w:type="dxa"/>
            <w:vAlign w:val="bottom"/>
          </w:tcPr>
          <w:p>
            <w:pPr>
              <w:jc w:val="right"/>
              <w:spacing w:after="0" w:line="196" w:lineRule="exact"/>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0"/>
        </w:trPr>
        <w:tc>
          <w:tcPr>
            <w:tcW w:w="10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380" w:type="dxa"/>
            <w:vAlign w:val="bottom"/>
            <w:tcBorders>
              <w:right w:val="single" w:sz="8" w:color="0000EE"/>
            </w:tcBorders>
            <w:shd w:val="clear" w:color="auto" w:fill="0000EE"/>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gridSpan w:val="6"/>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gridSpan w:val="3"/>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380" w:type="dxa"/>
            <w:vAlign w:val="bottom"/>
            <w:gridSpan w:val="2"/>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00" w:type="dxa"/>
            <w:vAlign w:val="bottom"/>
          </w:tcPr>
          <w:p>
            <w:pPr>
              <w:spacing w:after="0"/>
              <w:rPr>
                <w:sz w:val="17"/>
                <w:szCs w:val="17"/>
                <w:color w:val="auto"/>
              </w:rPr>
            </w:pPr>
          </w:p>
        </w:tc>
        <w:tc>
          <w:tcPr>
            <w:tcW w:w="1000" w:type="dxa"/>
            <w:vAlign w:val="bottom"/>
            <w:gridSpan w:val="4"/>
          </w:tcPr>
          <w:p>
            <w:pPr>
              <w:ind w:left="220"/>
              <w:spacing w:after="0" w:line="196" w:lineRule="exact"/>
              <w:rPr>
                <w:sz w:val="20"/>
                <w:szCs w:val="20"/>
                <w:color w:val="auto"/>
              </w:rPr>
            </w:pPr>
            <w:r>
              <w:rPr>
                <w:rFonts w:ascii="Arial" w:cs="Arial" w:eastAsia="Arial" w:hAnsi="Arial"/>
                <w:sz w:val="18"/>
                <w:szCs w:val="18"/>
                <w:color w:val="auto"/>
              </w:rPr>
              <w:t>Note 10.</w:t>
            </w:r>
          </w:p>
        </w:tc>
        <w:tc>
          <w:tcPr>
            <w:tcW w:w="8820" w:type="dxa"/>
            <w:vAlign w:val="bottom"/>
            <w:gridSpan w:val="36"/>
          </w:tcPr>
          <w:p>
            <w:pPr>
              <w:spacing w:after="0" w:line="196" w:lineRule="exact"/>
              <w:rPr>
                <w:rFonts w:ascii="Arial" w:cs="Arial" w:eastAsia="Arial" w:hAnsi="Arial"/>
                <w:sz w:val="18"/>
                <w:szCs w:val="18"/>
                <w:color w:val="0000EE"/>
              </w:rPr>
            </w:pPr>
            <w:hyperlink w:anchor="page24">
              <w:r>
                <w:rPr>
                  <w:rFonts w:ascii="Arial" w:cs="Arial" w:eastAsia="Arial" w:hAnsi="Arial"/>
                  <w:sz w:val="18"/>
                  <w:szCs w:val="18"/>
                  <w:color w:val="0000EE"/>
                </w:rPr>
                <w:t>Variable Interest Entities</w:t>
              </w:r>
            </w:hyperlink>
          </w:p>
        </w:tc>
        <w:tc>
          <w:tcPr>
            <w:tcW w:w="500" w:type="dxa"/>
            <w:vAlign w:val="bottom"/>
          </w:tcPr>
          <w:p>
            <w:pPr>
              <w:jc w:val="right"/>
              <w:spacing w:after="0" w:line="196" w:lineRule="exact"/>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0"/>
        </w:trPr>
        <w:tc>
          <w:tcPr>
            <w:tcW w:w="10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380" w:type="dxa"/>
            <w:vAlign w:val="bottom"/>
            <w:tcBorders>
              <w:right w:val="single" w:sz="8" w:color="0000EE"/>
            </w:tcBorders>
            <w:shd w:val="clear" w:color="auto" w:fill="0000EE"/>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220" w:type="dxa"/>
            <w:vAlign w:val="bottom"/>
            <w:tcBorders>
              <w:right w:val="single" w:sz="8" w:color="0000EE"/>
            </w:tcBorders>
            <w:gridSpan w:val="2"/>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gridSpan w:val="6"/>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gridSpan w:val="3"/>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380" w:type="dxa"/>
            <w:vAlign w:val="bottom"/>
            <w:gridSpan w:val="2"/>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00" w:type="dxa"/>
            <w:vAlign w:val="bottom"/>
          </w:tcPr>
          <w:p>
            <w:pPr>
              <w:spacing w:after="0"/>
              <w:rPr>
                <w:sz w:val="17"/>
                <w:szCs w:val="17"/>
                <w:color w:val="auto"/>
              </w:rPr>
            </w:pPr>
          </w:p>
        </w:tc>
        <w:tc>
          <w:tcPr>
            <w:tcW w:w="1000" w:type="dxa"/>
            <w:vAlign w:val="bottom"/>
            <w:gridSpan w:val="4"/>
          </w:tcPr>
          <w:p>
            <w:pPr>
              <w:ind w:left="220"/>
              <w:spacing w:after="0" w:line="196" w:lineRule="exact"/>
              <w:rPr>
                <w:sz w:val="20"/>
                <w:szCs w:val="20"/>
                <w:color w:val="auto"/>
              </w:rPr>
            </w:pPr>
            <w:r>
              <w:rPr>
                <w:rFonts w:ascii="Arial" w:cs="Arial" w:eastAsia="Arial" w:hAnsi="Arial"/>
                <w:sz w:val="18"/>
                <w:szCs w:val="18"/>
                <w:color w:val="auto"/>
              </w:rPr>
              <w:t>Note 11.</w:t>
            </w:r>
          </w:p>
        </w:tc>
        <w:tc>
          <w:tcPr>
            <w:tcW w:w="2200" w:type="dxa"/>
            <w:vAlign w:val="bottom"/>
            <w:tcBorders>
              <w:bottom w:val="single" w:sz="8" w:color="0000EE"/>
            </w:tcBorders>
            <w:gridSpan w:val="15"/>
          </w:tcPr>
          <w:p>
            <w:pPr>
              <w:spacing w:after="0" w:line="196" w:lineRule="exact"/>
              <w:rPr>
                <w:rFonts w:ascii="Arial" w:cs="Arial" w:eastAsia="Arial" w:hAnsi="Arial"/>
                <w:sz w:val="18"/>
                <w:szCs w:val="18"/>
                <w:color w:val="0000EE"/>
                <w:w w:val="90"/>
              </w:rPr>
            </w:pPr>
            <w:hyperlink w:anchor="page28">
              <w:r>
                <w:rPr>
                  <w:rFonts w:ascii="Arial" w:cs="Arial" w:eastAsia="Arial" w:hAnsi="Arial"/>
                  <w:sz w:val="18"/>
                  <w:szCs w:val="18"/>
                  <w:color w:val="0000EE"/>
                  <w:w w:val="90"/>
                </w:rPr>
                <w:t>Depreciation and Amortization</w:t>
              </w:r>
            </w:hyperlink>
          </w:p>
        </w:tc>
        <w:tc>
          <w:tcPr>
            <w:tcW w:w="6620" w:type="dxa"/>
            <w:vAlign w:val="bottom"/>
            <w:gridSpan w:val="21"/>
          </w:tcPr>
          <w:p>
            <w:pPr>
              <w:spacing w:after="0"/>
              <w:rPr>
                <w:sz w:val="17"/>
                <w:szCs w:val="17"/>
                <w:color w:val="auto"/>
              </w:rPr>
            </w:pPr>
          </w:p>
        </w:tc>
        <w:tc>
          <w:tcPr>
            <w:tcW w:w="500" w:type="dxa"/>
            <w:vAlign w:val="bottom"/>
          </w:tcPr>
          <w:p>
            <w:pPr>
              <w:jc w:val="right"/>
              <w:spacing w:after="0" w:line="196" w:lineRule="exact"/>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196"/>
        </w:trPr>
        <w:tc>
          <w:tcPr>
            <w:tcW w:w="1000" w:type="dxa"/>
            <w:vAlign w:val="bottom"/>
          </w:tcPr>
          <w:p>
            <w:pPr>
              <w:spacing w:after="0"/>
              <w:rPr>
                <w:sz w:val="17"/>
                <w:szCs w:val="17"/>
                <w:color w:val="auto"/>
              </w:rPr>
            </w:pPr>
          </w:p>
        </w:tc>
        <w:tc>
          <w:tcPr>
            <w:tcW w:w="1000" w:type="dxa"/>
            <w:vAlign w:val="bottom"/>
            <w:gridSpan w:val="4"/>
          </w:tcPr>
          <w:p>
            <w:pPr>
              <w:ind w:left="220"/>
              <w:spacing w:after="0" w:line="196" w:lineRule="exact"/>
              <w:rPr>
                <w:sz w:val="20"/>
                <w:szCs w:val="20"/>
                <w:color w:val="auto"/>
              </w:rPr>
            </w:pPr>
            <w:r>
              <w:rPr>
                <w:rFonts w:ascii="Arial" w:cs="Arial" w:eastAsia="Arial" w:hAnsi="Arial"/>
                <w:sz w:val="18"/>
                <w:szCs w:val="18"/>
                <w:color w:val="auto"/>
              </w:rPr>
              <w:t>Note 12.</w:t>
            </w:r>
          </w:p>
        </w:tc>
        <w:tc>
          <w:tcPr>
            <w:tcW w:w="3000" w:type="dxa"/>
            <w:vAlign w:val="bottom"/>
            <w:tcBorders>
              <w:bottom w:val="single" w:sz="8" w:color="0000EE"/>
            </w:tcBorders>
            <w:gridSpan w:val="24"/>
          </w:tcPr>
          <w:p>
            <w:pPr>
              <w:spacing w:after="0" w:line="196" w:lineRule="exact"/>
              <w:rPr>
                <w:rFonts w:ascii="Arial" w:cs="Arial" w:eastAsia="Arial" w:hAnsi="Arial"/>
                <w:sz w:val="18"/>
                <w:szCs w:val="18"/>
                <w:color w:val="0000EE"/>
                <w:w w:val="87"/>
              </w:rPr>
            </w:pPr>
            <w:hyperlink w:anchor="page28">
              <w:r>
                <w:rPr>
                  <w:rFonts w:ascii="Arial" w:cs="Arial" w:eastAsia="Arial" w:hAnsi="Arial"/>
                  <w:sz w:val="18"/>
                  <w:szCs w:val="18"/>
                  <w:color w:val="0000EE"/>
                  <w:w w:val="87"/>
                </w:rPr>
                <w:t>Restricted Cash and Marketable Securities</w:t>
              </w:r>
            </w:hyperlink>
          </w:p>
        </w:tc>
        <w:tc>
          <w:tcPr>
            <w:tcW w:w="5820" w:type="dxa"/>
            <w:vAlign w:val="bottom"/>
            <w:gridSpan w:val="12"/>
          </w:tcPr>
          <w:p>
            <w:pPr>
              <w:spacing w:after="0"/>
              <w:rPr>
                <w:sz w:val="17"/>
                <w:szCs w:val="17"/>
                <w:color w:val="auto"/>
              </w:rPr>
            </w:pPr>
          </w:p>
        </w:tc>
        <w:tc>
          <w:tcPr>
            <w:tcW w:w="500" w:type="dxa"/>
            <w:vAlign w:val="bottom"/>
          </w:tcPr>
          <w:p>
            <w:pPr>
              <w:jc w:val="right"/>
              <w:spacing w:after="0" w:line="196" w:lineRule="exact"/>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196"/>
        </w:trPr>
        <w:tc>
          <w:tcPr>
            <w:tcW w:w="1000" w:type="dxa"/>
            <w:vAlign w:val="bottom"/>
          </w:tcPr>
          <w:p>
            <w:pPr>
              <w:spacing w:after="0"/>
              <w:rPr>
                <w:sz w:val="17"/>
                <w:szCs w:val="17"/>
                <w:color w:val="auto"/>
              </w:rPr>
            </w:pPr>
          </w:p>
        </w:tc>
        <w:tc>
          <w:tcPr>
            <w:tcW w:w="1000" w:type="dxa"/>
            <w:vAlign w:val="bottom"/>
            <w:gridSpan w:val="4"/>
          </w:tcPr>
          <w:p>
            <w:pPr>
              <w:ind w:left="220"/>
              <w:spacing w:after="0" w:line="196" w:lineRule="exact"/>
              <w:rPr>
                <w:sz w:val="20"/>
                <w:szCs w:val="20"/>
                <w:color w:val="auto"/>
              </w:rPr>
            </w:pPr>
            <w:r>
              <w:rPr>
                <w:rFonts w:ascii="Arial" w:cs="Arial" w:eastAsia="Arial" w:hAnsi="Arial"/>
                <w:sz w:val="18"/>
                <w:szCs w:val="18"/>
                <w:color w:val="auto"/>
              </w:rPr>
              <w:t>Note 13.</w:t>
            </w:r>
          </w:p>
        </w:tc>
        <w:tc>
          <w:tcPr>
            <w:tcW w:w="2340" w:type="dxa"/>
            <w:vAlign w:val="bottom"/>
            <w:tcBorders>
              <w:bottom w:val="single" w:sz="8" w:color="0000EE"/>
            </w:tcBorders>
            <w:gridSpan w:val="17"/>
          </w:tcPr>
          <w:p>
            <w:pPr>
              <w:spacing w:after="0" w:line="196" w:lineRule="exact"/>
              <w:rPr>
                <w:rFonts w:ascii="Arial" w:cs="Arial" w:eastAsia="Arial" w:hAnsi="Arial"/>
                <w:sz w:val="18"/>
                <w:szCs w:val="18"/>
                <w:color w:val="0000EE"/>
                <w:w w:val="88"/>
              </w:rPr>
            </w:pPr>
            <w:hyperlink w:anchor="page29">
              <w:r>
                <w:rPr>
                  <w:rFonts w:ascii="Arial" w:cs="Arial" w:eastAsia="Arial" w:hAnsi="Arial"/>
                  <w:sz w:val="18"/>
                  <w:szCs w:val="18"/>
                  <w:color w:val="0000EE"/>
                  <w:w w:val="88"/>
                </w:rPr>
                <w:t>Short-Term and Long-Term Debt</w:t>
              </w:r>
            </w:hyperlink>
          </w:p>
        </w:tc>
        <w:tc>
          <w:tcPr>
            <w:tcW w:w="6480" w:type="dxa"/>
            <w:vAlign w:val="bottom"/>
            <w:gridSpan w:val="19"/>
          </w:tcPr>
          <w:p>
            <w:pPr>
              <w:spacing w:after="0"/>
              <w:rPr>
                <w:sz w:val="17"/>
                <w:szCs w:val="17"/>
                <w:color w:val="auto"/>
              </w:rPr>
            </w:pPr>
          </w:p>
        </w:tc>
        <w:tc>
          <w:tcPr>
            <w:tcW w:w="500" w:type="dxa"/>
            <w:vAlign w:val="bottom"/>
          </w:tcPr>
          <w:p>
            <w:pPr>
              <w:jc w:val="right"/>
              <w:spacing w:after="0" w:line="196" w:lineRule="exact"/>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196"/>
        </w:trPr>
        <w:tc>
          <w:tcPr>
            <w:tcW w:w="1000" w:type="dxa"/>
            <w:vAlign w:val="bottom"/>
          </w:tcPr>
          <w:p>
            <w:pPr>
              <w:spacing w:after="0"/>
              <w:rPr>
                <w:sz w:val="17"/>
                <w:szCs w:val="17"/>
                <w:color w:val="auto"/>
              </w:rPr>
            </w:pPr>
          </w:p>
        </w:tc>
        <w:tc>
          <w:tcPr>
            <w:tcW w:w="1000" w:type="dxa"/>
            <w:vAlign w:val="bottom"/>
            <w:gridSpan w:val="4"/>
          </w:tcPr>
          <w:p>
            <w:pPr>
              <w:ind w:left="220"/>
              <w:spacing w:after="0" w:line="196" w:lineRule="exact"/>
              <w:rPr>
                <w:sz w:val="20"/>
                <w:szCs w:val="20"/>
                <w:color w:val="auto"/>
              </w:rPr>
            </w:pPr>
            <w:r>
              <w:rPr>
                <w:rFonts w:ascii="Arial" w:cs="Arial" w:eastAsia="Arial" w:hAnsi="Arial"/>
                <w:sz w:val="18"/>
                <w:szCs w:val="18"/>
                <w:color w:val="auto"/>
              </w:rPr>
              <w:t>Note 14.</w:t>
            </w:r>
          </w:p>
        </w:tc>
        <w:tc>
          <w:tcPr>
            <w:tcW w:w="1900" w:type="dxa"/>
            <w:vAlign w:val="bottom"/>
            <w:tcBorders>
              <w:bottom w:val="single" w:sz="8" w:color="0000EE"/>
            </w:tcBorders>
            <w:gridSpan w:val="14"/>
          </w:tcPr>
          <w:p>
            <w:pPr>
              <w:spacing w:after="0" w:line="196" w:lineRule="exact"/>
              <w:rPr>
                <w:rFonts w:ascii="Arial" w:cs="Arial" w:eastAsia="Arial" w:hAnsi="Arial"/>
                <w:sz w:val="18"/>
                <w:szCs w:val="18"/>
                <w:color w:val="0000EE"/>
                <w:w w:val="91"/>
              </w:rPr>
            </w:pPr>
            <w:hyperlink w:anchor="page33">
              <w:r>
                <w:rPr>
                  <w:rFonts w:ascii="Arial" w:cs="Arial" w:eastAsia="Arial" w:hAnsi="Arial"/>
                  <w:sz w:val="18"/>
                  <w:szCs w:val="18"/>
                  <w:color w:val="0000EE"/>
                  <w:w w:val="91"/>
                </w:rPr>
                <w:t>Product Warranty Liability</w:t>
              </w:r>
            </w:hyperlink>
          </w:p>
        </w:tc>
        <w:tc>
          <w:tcPr>
            <w:tcW w:w="6920" w:type="dxa"/>
            <w:vAlign w:val="bottom"/>
            <w:gridSpan w:val="22"/>
          </w:tcPr>
          <w:p>
            <w:pPr>
              <w:spacing w:after="0"/>
              <w:rPr>
                <w:sz w:val="17"/>
                <w:szCs w:val="17"/>
                <w:color w:val="auto"/>
              </w:rPr>
            </w:pPr>
          </w:p>
        </w:tc>
        <w:tc>
          <w:tcPr>
            <w:tcW w:w="500" w:type="dxa"/>
            <w:vAlign w:val="bottom"/>
          </w:tcPr>
          <w:p>
            <w:pPr>
              <w:jc w:val="right"/>
              <w:spacing w:after="0" w:line="196" w:lineRule="exact"/>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196"/>
        </w:trPr>
        <w:tc>
          <w:tcPr>
            <w:tcW w:w="1000" w:type="dxa"/>
            <w:vAlign w:val="bottom"/>
          </w:tcPr>
          <w:p>
            <w:pPr>
              <w:spacing w:after="0"/>
              <w:rPr>
                <w:sz w:val="17"/>
                <w:szCs w:val="17"/>
                <w:color w:val="auto"/>
              </w:rPr>
            </w:pPr>
          </w:p>
        </w:tc>
        <w:tc>
          <w:tcPr>
            <w:tcW w:w="1000" w:type="dxa"/>
            <w:vAlign w:val="bottom"/>
            <w:gridSpan w:val="4"/>
          </w:tcPr>
          <w:p>
            <w:pPr>
              <w:ind w:left="220"/>
              <w:spacing w:after="0" w:line="196" w:lineRule="exact"/>
              <w:rPr>
                <w:sz w:val="20"/>
                <w:szCs w:val="20"/>
                <w:color w:val="auto"/>
              </w:rPr>
            </w:pPr>
            <w:r>
              <w:rPr>
                <w:rFonts w:ascii="Arial" w:cs="Arial" w:eastAsia="Arial" w:hAnsi="Arial"/>
                <w:sz w:val="18"/>
                <w:szCs w:val="18"/>
                <w:color w:val="auto"/>
              </w:rPr>
              <w:t>Note 15.</w:t>
            </w:r>
          </w:p>
        </w:tc>
        <w:tc>
          <w:tcPr>
            <w:tcW w:w="8820" w:type="dxa"/>
            <w:vAlign w:val="bottom"/>
            <w:gridSpan w:val="36"/>
          </w:tcPr>
          <w:p>
            <w:pPr>
              <w:spacing w:after="0" w:line="196" w:lineRule="exact"/>
              <w:rPr>
                <w:rFonts w:ascii="Arial" w:cs="Arial" w:eastAsia="Arial" w:hAnsi="Arial"/>
                <w:sz w:val="18"/>
                <w:szCs w:val="18"/>
                <w:color w:val="0000EE"/>
              </w:rPr>
            </w:pPr>
            <w:hyperlink w:anchor="page33">
              <w:r>
                <w:rPr>
                  <w:rFonts w:ascii="Arial" w:cs="Arial" w:eastAsia="Arial" w:hAnsi="Arial"/>
                  <w:sz w:val="18"/>
                  <w:szCs w:val="18"/>
                  <w:color w:val="0000EE"/>
                </w:rPr>
                <w:t>Pensions and Other Postretirement Benefits</w:t>
              </w:r>
            </w:hyperlink>
          </w:p>
        </w:tc>
        <w:tc>
          <w:tcPr>
            <w:tcW w:w="500" w:type="dxa"/>
            <w:vAlign w:val="bottom"/>
          </w:tcPr>
          <w:p>
            <w:pPr>
              <w:jc w:val="right"/>
              <w:spacing w:after="0" w:line="196" w:lineRule="exact"/>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20"/>
        </w:trPr>
        <w:tc>
          <w:tcPr>
            <w:tcW w:w="10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380" w:type="dxa"/>
            <w:vAlign w:val="bottom"/>
            <w:tcBorders>
              <w:right w:val="single" w:sz="8" w:color="0000EE"/>
            </w:tcBorders>
            <w:shd w:val="clear" w:color="auto" w:fill="0000EE"/>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220" w:type="dxa"/>
            <w:vAlign w:val="bottom"/>
            <w:tcBorders>
              <w:right w:val="single" w:sz="8" w:color="0000EE"/>
            </w:tcBorders>
            <w:gridSpan w:val="2"/>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460" w:type="dxa"/>
            <w:vAlign w:val="bottom"/>
            <w:gridSpan w:val="4"/>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620" w:type="dxa"/>
            <w:vAlign w:val="bottom"/>
            <w:gridSpan w:val="7"/>
            <w:shd w:val="clear" w:color="auto" w:fill="0000EE"/>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gridSpan w:val="3"/>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380" w:type="dxa"/>
            <w:vAlign w:val="bottom"/>
            <w:gridSpan w:val="2"/>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00" w:type="dxa"/>
            <w:vAlign w:val="bottom"/>
          </w:tcPr>
          <w:p>
            <w:pPr>
              <w:spacing w:after="0"/>
              <w:rPr>
                <w:sz w:val="17"/>
                <w:szCs w:val="17"/>
                <w:color w:val="auto"/>
              </w:rPr>
            </w:pPr>
          </w:p>
        </w:tc>
        <w:tc>
          <w:tcPr>
            <w:tcW w:w="1000" w:type="dxa"/>
            <w:vAlign w:val="bottom"/>
            <w:gridSpan w:val="4"/>
          </w:tcPr>
          <w:p>
            <w:pPr>
              <w:ind w:left="220"/>
              <w:spacing w:after="0" w:line="196" w:lineRule="exact"/>
              <w:rPr>
                <w:sz w:val="20"/>
                <w:szCs w:val="20"/>
                <w:color w:val="auto"/>
              </w:rPr>
            </w:pPr>
            <w:r>
              <w:rPr>
                <w:rFonts w:ascii="Arial" w:cs="Arial" w:eastAsia="Arial" w:hAnsi="Arial"/>
                <w:sz w:val="18"/>
                <w:szCs w:val="18"/>
                <w:color w:val="auto"/>
              </w:rPr>
              <w:t>Note 16.</w:t>
            </w:r>
          </w:p>
        </w:tc>
        <w:tc>
          <w:tcPr>
            <w:tcW w:w="8820" w:type="dxa"/>
            <w:vAlign w:val="bottom"/>
            <w:gridSpan w:val="36"/>
          </w:tcPr>
          <w:p>
            <w:pPr>
              <w:spacing w:after="0" w:line="196" w:lineRule="exact"/>
              <w:rPr>
                <w:rFonts w:ascii="Arial" w:cs="Arial" w:eastAsia="Arial" w:hAnsi="Arial"/>
                <w:sz w:val="18"/>
                <w:szCs w:val="18"/>
                <w:color w:val="0000EE"/>
              </w:rPr>
            </w:pPr>
            <w:hyperlink w:anchor="page40">
              <w:r>
                <w:rPr>
                  <w:rFonts w:ascii="Arial" w:cs="Arial" w:eastAsia="Arial" w:hAnsi="Arial"/>
                  <w:sz w:val="18"/>
                  <w:szCs w:val="18"/>
                  <w:color w:val="0000EE"/>
                </w:rPr>
                <w:t>Derivative Financial Instruments and Risk Management</w:t>
              </w:r>
            </w:hyperlink>
          </w:p>
        </w:tc>
        <w:tc>
          <w:tcPr>
            <w:tcW w:w="500" w:type="dxa"/>
            <w:vAlign w:val="bottom"/>
          </w:tcPr>
          <w:p>
            <w:pPr>
              <w:jc w:val="right"/>
              <w:spacing w:after="0" w:line="196" w:lineRule="exact"/>
              <w:rPr>
                <w:sz w:val="20"/>
                <w:szCs w:val="20"/>
                <w:color w:val="auto"/>
              </w:rPr>
            </w:pPr>
            <w:r>
              <w:rPr>
                <w:rFonts w:ascii="Arial" w:cs="Arial" w:eastAsia="Arial" w:hAnsi="Arial"/>
                <w:sz w:val="18"/>
                <w:szCs w:val="18"/>
                <w:color w:val="auto"/>
              </w:rPr>
              <w:t>38</w:t>
            </w:r>
          </w:p>
        </w:tc>
        <w:tc>
          <w:tcPr>
            <w:tcW w:w="0" w:type="dxa"/>
            <w:vAlign w:val="bottom"/>
          </w:tcPr>
          <w:p>
            <w:pPr>
              <w:spacing w:after="0"/>
              <w:rPr>
                <w:sz w:val="1"/>
                <w:szCs w:val="1"/>
                <w:color w:val="auto"/>
              </w:rPr>
            </w:pPr>
          </w:p>
        </w:tc>
      </w:tr>
      <w:tr>
        <w:trPr>
          <w:trHeight w:val="196"/>
        </w:trPr>
        <w:tc>
          <w:tcPr>
            <w:tcW w:w="1000" w:type="dxa"/>
            <w:vAlign w:val="bottom"/>
          </w:tcPr>
          <w:p>
            <w:pPr>
              <w:spacing w:after="0"/>
              <w:rPr>
                <w:sz w:val="17"/>
                <w:szCs w:val="17"/>
                <w:color w:val="auto"/>
              </w:rPr>
            </w:pPr>
          </w:p>
        </w:tc>
        <w:tc>
          <w:tcPr>
            <w:tcW w:w="1000" w:type="dxa"/>
            <w:vAlign w:val="bottom"/>
            <w:gridSpan w:val="4"/>
          </w:tcPr>
          <w:p>
            <w:pPr>
              <w:ind w:left="220"/>
              <w:spacing w:after="0" w:line="196" w:lineRule="exact"/>
              <w:rPr>
                <w:sz w:val="20"/>
                <w:szCs w:val="20"/>
                <w:color w:val="auto"/>
              </w:rPr>
            </w:pPr>
            <w:r>
              <w:rPr>
                <w:rFonts w:ascii="Arial" w:cs="Arial" w:eastAsia="Arial" w:hAnsi="Arial"/>
                <w:sz w:val="18"/>
                <w:szCs w:val="18"/>
                <w:color w:val="auto"/>
              </w:rPr>
              <w:t>Note 17.</w:t>
            </w:r>
          </w:p>
        </w:tc>
        <w:tc>
          <w:tcPr>
            <w:tcW w:w="3940" w:type="dxa"/>
            <w:vAlign w:val="bottom"/>
            <w:tcBorders>
              <w:top w:val="single" w:sz="8" w:color="0000EE"/>
            </w:tcBorders>
            <w:gridSpan w:val="32"/>
          </w:tcPr>
          <w:p>
            <w:pPr>
              <w:spacing w:after="0" w:line="196" w:lineRule="exact"/>
              <w:rPr>
                <w:rFonts w:ascii="Arial" w:cs="Arial" w:eastAsia="Arial" w:hAnsi="Arial"/>
                <w:sz w:val="18"/>
                <w:szCs w:val="18"/>
                <w:color w:val="0000EE"/>
              </w:rPr>
            </w:pPr>
            <w:hyperlink w:anchor="page46">
              <w:r>
                <w:rPr>
                  <w:rFonts w:ascii="Arial" w:cs="Arial" w:eastAsia="Arial" w:hAnsi="Arial"/>
                  <w:sz w:val="18"/>
                  <w:szCs w:val="18"/>
                  <w:color w:val="0000EE"/>
                </w:rPr>
                <w:t>Commitments and Contingencies</w:t>
              </w:r>
            </w:hyperlink>
          </w:p>
        </w:tc>
        <w:tc>
          <w:tcPr>
            <w:tcW w:w="4880" w:type="dxa"/>
            <w:vAlign w:val="bottom"/>
            <w:gridSpan w:val="4"/>
          </w:tcPr>
          <w:p>
            <w:pPr>
              <w:spacing w:after="0"/>
              <w:rPr>
                <w:sz w:val="17"/>
                <w:szCs w:val="17"/>
                <w:color w:val="auto"/>
              </w:rPr>
            </w:pPr>
          </w:p>
        </w:tc>
        <w:tc>
          <w:tcPr>
            <w:tcW w:w="500" w:type="dxa"/>
            <w:vAlign w:val="bottom"/>
          </w:tcPr>
          <w:p>
            <w:pPr>
              <w:jc w:val="right"/>
              <w:spacing w:after="0" w:line="196" w:lineRule="exact"/>
              <w:rPr>
                <w:sz w:val="20"/>
                <w:szCs w:val="20"/>
                <w:color w:val="auto"/>
              </w:rPr>
            </w:pPr>
            <w:r>
              <w:rPr>
                <w:rFonts w:ascii="Arial" w:cs="Arial" w:eastAsia="Arial" w:hAnsi="Arial"/>
                <w:sz w:val="18"/>
                <w:szCs w:val="18"/>
                <w:color w:val="auto"/>
              </w:rPr>
              <w:t>44</w:t>
            </w:r>
          </w:p>
        </w:tc>
        <w:tc>
          <w:tcPr>
            <w:tcW w:w="0" w:type="dxa"/>
            <w:vAlign w:val="bottom"/>
          </w:tcPr>
          <w:p>
            <w:pPr>
              <w:spacing w:after="0"/>
              <w:rPr>
                <w:sz w:val="1"/>
                <w:szCs w:val="1"/>
                <w:color w:val="auto"/>
              </w:rPr>
            </w:pPr>
          </w:p>
        </w:tc>
      </w:tr>
      <w:tr>
        <w:trPr>
          <w:trHeight w:val="196"/>
        </w:trPr>
        <w:tc>
          <w:tcPr>
            <w:tcW w:w="1000" w:type="dxa"/>
            <w:vAlign w:val="bottom"/>
          </w:tcPr>
          <w:p>
            <w:pPr>
              <w:spacing w:after="0"/>
              <w:rPr>
                <w:sz w:val="17"/>
                <w:szCs w:val="17"/>
                <w:color w:val="auto"/>
              </w:rPr>
            </w:pPr>
          </w:p>
        </w:tc>
        <w:tc>
          <w:tcPr>
            <w:tcW w:w="1000" w:type="dxa"/>
            <w:vAlign w:val="bottom"/>
            <w:gridSpan w:val="4"/>
          </w:tcPr>
          <w:p>
            <w:pPr>
              <w:ind w:left="220"/>
              <w:spacing w:after="0" w:line="196" w:lineRule="exact"/>
              <w:rPr>
                <w:sz w:val="20"/>
                <w:szCs w:val="20"/>
                <w:color w:val="auto"/>
              </w:rPr>
            </w:pPr>
            <w:r>
              <w:rPr>
                <w:rFonts w:ascii="Arial" w:cs="Arial" w:eastAsia="Arial" w:hAnsi="Arial"/>
                <w:sz w:val="18"/>
                <w:szCs w:val="18"/>
                <w:color w:val="auto"/>
              </w:rPr>
              <w:t>Note 18.</w:t>
            </w:r>
          </w:p>
        </w:tc>
        <w:tc>
          <w:tcPr>
            <w:tcW w:w="2340" w:type="dxa"/>
            <w:vAlign w:val="bottom"/>
            <w:tcBorders>
              <w:top w:val="single" w:sz="8" w:color="0000EE"/>
            </w:tcBorders>
            <w:gridSpan w:val="17"/>
          </w:tcPr>
          <w:p>
            <w:pPr>
              <w:spacing w:after="0" w:line="196" w:lineRule="exact"/>
              <w:rPr>
                <w:rFonts w:ascii="Arial" w:cs="Arial" w:eastAsia="Arial" w:hAnsi="Arial"/>
                <w:sz w:val="18"/>
                <w:szCs w:val="18"/>
                <w:color w:val="0000EE"/>
              </w:rPr>
            </w:pPr>
            <w:hyperlink w:anchor="page52">
              <w:r>
                <w:rPr>
                  <w:rFonts w:ascii="Arial" w:cs="Arial" w:eastAsia="Arial" w:hAnsi="Arial"/>
                  <w:sz w:val="18"/>
                  <w:szCs w:val="18"/>
                  <w:color w:val="0000EE"/>
                </w:rPr>
                <w:t>Income Taxes</w:t>
              </w:r>
            </w:hyperlink>
          </w:p>
        </w:tc>
        <w:tc>
          <w:tcPr>
            <w:tcW w:w="6480" w:type="dxa"/>
            <w:vAlign w:val="bottom"/>
            <w:gridSpan w:val="19"/>
          </w:tcPr>
          <w:p>
            <w:pPr>
              <w:spacing w:after="0"/>
              <w:rPr>
                <w:sz w:val="17"/>
                <w:szCs w:val="17"/>
                <w:color w:val="auto"/>
              </w:rPr>
            </w:pPr>
          </w:p>
        </w:tc>
        <w:tc>
          <w:tcPr>
            <w:tcW w:w="500" w:type="dxa"/>
            <w:vAlign w:val="bottom"/>
          </w:tcPr>
          <w:p>
            <w:pPr>
              <w:jc w:val="right"/>
              <w:spacing w:after="0" w:line="196" w:lineRule="exact"/>
              <w:rPr>
                <w:sz w:val="20"/>
                <w:szCs w:val="20"/>
                <w:color w:val="auto"/>
              </w:rPr>
            </w:pPr>
            <w:r>
              <w:rPr>
                <w:rFonts w:ascii="Arial" w:cs="Arial" w:eastAsia="Arial" w:hAnsi="Arial"/>
                <w:sz w:val="18"/>
                <w:szCs w:val="18"/>
                <w:color w:val="auto"/>
              </w:rPr>
              <w:t>50</w:t>
            </w:r>
          </w:p>
        </w:tc>
        <w:tc>
          <w:tcPr>
            <w:tcW w:w="0" w:type="dxa"/>
            <w:vAlign w:val="bottom"/>
          </w:tcPr>
          <w:p>
            <w:pPr>
              <w:spacing w:after="0"/>
              <w:rPr>
                <w:sz w:val="1"/>
                <w:szCs w:val="1"/>
                <w:color w:val="auto"/>
              </w:rPr>
            </w:pPr>
          </w:p>
        </w:tc>
      </w:tr>
      <w:tr>
        <w:trPr>
          <w:trHeight w:val="20"/>
        </w:trPr>
        <w:tc>
          <w:tcPr>
            <w:tcW w:w="10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gridSpan w:val="4"/>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800" w:type="dxa"/>
            <w:vAlign w:val="bottom"/>
            <w:gridSpan w:val="1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40" w:type="dxa"/>
            <w:vAlign w:val="bottom"/>
            <w:gridSpan w:val="4"/>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380" w:type="dxa"/>
            <w:vAlign w:val="bottom"/>
            <w:gridSpan w:val="2"/>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00" w:type="dxa"/>
            <w:vAlign w:val="bottom"/>
          </w:tcPr>
          <w:p>
            <w:pPr>
              <w:spacing w:after="0"/>
              <w:rPr>
                <w:sz w:val="17"/>
                <w:szCs w:val="17"/>
                <w:color w:val="auto"/>
              </w:rPr>
            </w:pPr>
          </w:p>
        </w:tc>
        <w:tc>
          <w:tcPr>
            <w:tcW w:w="1000" w:type="dxa"/>
            <w:vAlign w:val="bottom"/>
            <w:gridSpan w:val="4"/>
          </w:tcPr>
          <w:p>
            <w:pPr>
              <w:ind w:left="220"/>
              <w:spacing w:after="0" w:line="196" w:lineRule="exact"/>
              <w:rPr>
                <w:sz w:val="20"/>
                <w:szCs w:val="20"/>
                <w:color w:val="auto"/>
              </w:rPr>
            </w:pPr>
            <w:r>
              <w:rPr>
                <w:rFonts w:ascii="Arial" w:cs="Arial" w:eastAsia="Arial" w:hAnsi="Arial"/>
                <w:sz w:val="18"/>
                <w:szCs w:val="18"/>
                <w:color w:val="auto"/>
              </w:rPr>
              <w:t>Note 19.</w:t>
            </w:r>
          </w:p>
        </w:tc>
        <w:tc>
          <w:tcPr>
            <w:tcW w:w="8820" w:type="dxa"/>
            <w:vAlign w:val="bottom"/>
            <w:gridSpan w:val="36"/>
          </w:tcPr>
          <w:p>
            <w:pPr>
              <w:spacing w:after="0" w:line="196" w:lineRule="exact"/>
              <w:rPr>
                <w:rFonts w:ascii="Arial" w:cs="Arial" w:eastAsia="Arial" w:hAnsi="Arial"/>
                <w:sz w:val="18"/>
                <w:szCs w:val="18"/>
                <w:color w:val="0000EE"/>
              </w:rPr>
            </w:pPr>
            <w:hyperlink w:anchor="page53">
              <w:r>
                <w:rPr>
                  <w:rFonts w:ascii="Arial" w:cs="Arial" w:eastAsia="Arial" w:hAnsi="Arial"/>
                  <w:sz w:val="18"/>
                  <w:szCs w:val="18"/>
                  <w:color w:val="0000EE"/>
                </w:rPr>
                <w:t>Fair Value Measurements</w:t>
              </w:r>
            </w:hyperlink>
          </w:p>
        </w:tc>
        <w:tc>
          <w:tcPr>
            <w:tcW w:w="500" w:type="dxa"/>
            <w:vAlign w:val="bottom"/>
          </w:tcPr>
          <w:p>
            <w:pPr>
              <w:jc w:val="right"/>
              <w:spacing w:after="0" w:line="196" w:lineRule="exact"/>
              <w:rPr>
                <w:sz w:val="20"/>
                <w:szCs w:val="20"/>
                <w:color w:val="auto"/>
              </w:rPr>
            </w:pPr>
            <w:r>
              <w:rPr>
                <w:rFonts w:ascii="Arial" w:cs="Arial" w:eastAsia="Arial" w:hAnsi="Arial"/>
                <w:sz w:val="18"/>
                <w:szCs w:val="18"/>
                <w:color w:val="auto"/>
              </w:rPr>
              <w:t>51</w:t>
            </w:r>
          </w:p>
        </w:tc>
        <w:tc>
          <w:tcPr>
            <w:tcW w:w="0" w:type="dxa"/>
            <w:vAlign w:val="bottom"/>
          </w:tcPr>
          <w:p>
            <w:pPr>
              <w:spacing w:after="0"/>
              <w:rPr>
                <w:sz w:val="1"/>
                <w:szCs w:val="1"/>
                <w:color w:val="auto"/>
              </w:rPr>
            </w:pPr>
          </w:p>
        </w:tc>
      </w:tr>
      <w:tr>
        <w:trPr>
          <w:trHeight w:val="20"/>
        </w:trPr>
        <w:tc>
          <w:tcPr>
            <w:tcW w:w="10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460" w:type="dxa"/>
            <w:vAlign w:val="bottom"/>
            <w:tcBorders>
              <w:right w:val="single" w:sz="8" w:color="0000EE"/>
            </w:tcBorders>
            <w:gridSpan w:val="2"/>
            <w:shd w:val="clear" w:color="auto" w:fill="0000EE"/>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220" w:type="dxa"/>
            <w:vAlign w:val="bottom"/>
            <w:tcBorders>
              <w:right w:val="single" w:sz="8" w:color="0000EE"/>
            </w:tcBorders>
            <w:gridSpan w:val="2"/>
            <w:shd w:val="clear" w:color="auto" w:fill="0000EE"/>
          </w:tcPr>
          <w:p>
            <w:pPr>
              <w:spacing w:after="0" w:line="20" w:lineRule="exact"/>
              <w:rPr>
                <w:sz w:val="1"/>
                <w:szCs w:val="1"/>
                <w:color w:val="auto"/>
              </w:rPr>
            </w:pPr>
          </w:p>
        </w:tc>
        <w:tc>
          <w:tcPr>
            <w:tcW w:w="100" w:type="dxa"/>
            <w:vAlign w:val="bottom"/>
            <w:tcBorders>
              <w:left w:val="single" w:sz="8" w:color="0000EE"/>
            </w:tcBorders>
          </w:tcPr>
          <w:p>
            <w:pPr>
              <w:spacing w:after="0" w:line="20" w:lineRule="exact"/>
              <w:rPr>
                <w:sz w:val="1"/>
                <w:szCs w:val="1"/>
                <w:color w:val="auto"/>
              </w:rPr>
            </w:pPr>
          </w:p>
        </w:tc>
        <w:tc>
          <w:tcPr>
            <w:tcW w:w="460" w:type="dxa"/>
            <w:vAlign w:val="bottom"/>
            <w:gridSpan w:val="4"/>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800" w:type="dxa"/>
            <w:vAlign w:val="bottom"/>
            <w:gridSpan w:val="1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40" w:type="dxa"/>
            <w:vAlign w:val="bottom"/>
            <w:gridSpan w:val="4"/>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380" w:type="dxa"/>
            <w:vAlign w:val="bottom"/>
            <w:gridSpan w:val="2"/>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00" w:type="dxa"/>
            <w:vAlign w:val="bottom"/>
          </w:tcPr>
          <w:p>
            <w:pPr>
              <w:spacing w:after="0"/>
              <w:rPr>
                <w:sz w:val="17"/>
                <w:szCs w:val="17"/>
                <w:color w:val="auto"/>
              </w:rPr>
            </w:pPr>
          </w:p>
        </w:tc>
        <w:tc>
          <w:tcPr>
            <w:tcW w:w="1000" w:type="dxa"/>
            <w:vAlign w:val="bottom"/>
            <w:gridSpan w:val="4"/>
          </w:tcPr>
          <w:p>
            <w:pPr>
              <w:ind w:left="220"/>
              <w:spacing w:after="0" w:line="196" w:lineRule="exact"/>
              <w:rPr>
                <w:sz w:val="20"/>
                <w:szCs w:val="20"/>
                <w:color w:val="auto"/>
              </w:rPr>
            </w:pPr>
            <w:r>
              <w:rPr>
                <w:rFonts w:ascii="Arial" w:cs="Arial" w:eastAsia="Arial" w:hAnsi="Arial"/>
                <w:sz w:val="18"/>
                <w:szCs w:val="18"/>
                <w:color w:val="auto"/>
              </w:rPr>
              <w:t>Note 20.</w:t>
            </w:r>
          </w:p>
        </w:tc>
        <w:tc>
          <w:tcPr>
            <w:tcW w:w="8820" w:type="dxa"/>
            <w:vAlign w:val="bottom"/>
            <w:gridSpan w:val="36"/>
          </w:tcPr>
          <w:p>
            <w:pPr>
              <w:spacing w:after="0" w:line="196" w:lineRule="exact"/>
              <w:rPr>
                <w:rFonts w:ascii="Arial" w:cs="Arial" w:eastAsia="Arial" w:hAnsi="Arial"/>
                <w:sz w:val="18"/>
                <w:szCs w:val="18"/>
                <w:color w:val="0000EE"/>
              </w:rPr>
            </w:pPr>
            <w:hyperlink w:anchor="page60">
              <w:r>
                <w:rPr>
                  <w:rFonts w:ascii="Arial" w:cs="Arial" w:eastAsia="Arial" w:hAnsi="Arial"/>
                  <w:sz w:val="18"/>
                  <w:szCs w:val="18"/>
                  <w:color w:val="0000EE"/>
                </w:rPr>
                <w:t>Restructuring and Other Initiatives</w:t>
              </w:r>
            </w:hyperlink>
          </w:p>
        </w:tc>
        <w:tc>
          <w:tcPr>
            <w:tcW w:w="500" w:type="dxa"/>
            <w:vAlign w:val="bottom"/>
          </w:tcPr>
          <w:p>
            <w:pPr>
              <w:jc w:val="right"/>
              <w:spacing w:after="0" w:line="196" w:lineRule="exact"/>
              <w:rPr>
                <w:sz w:val="20"/>
                <w:szCs w:val="20"/>
                <w:color w:val="auto"/>
              </w:rPr>
            </w:pPr>
            <w:r>
              <w:rPr>
                <w:rFonts w:ascii="Arial" w:cs="Arial" w:eastAsia="Arial" w:hAnsi="Arial"/>
                <w:sz w:val="18"/>
                <w:szCs w:val="18"/>
                <w:color w:val="auto"/>
              </w:rPr>
              <w:t>58</w:t>
            </w:r>
          </w:p>
        </w:tc>
        <w:tc>
          <w:tcPr>
            <w:tcW w:w="0" w:type="dxa"/>
            <w:vAlign w:val="bottom"/>
          </w:tcPr>
          <w:p>
            <w:pPr>
              <w:spacing w:after="0"/>
              <w:rPr>
                <w:sz w:val="1"/>
                <w:szCs w:val="1"/>
                <w:color w:val="auto"/>
              </w:rPr>
            </w:pPr>
          </w:p>
        </w:tc>
      </w:tr>
      <w:tr>
        <w:trPr>
          <w:trHeight w:val="196"/>
        </w:trPr>
        <w:tc>
          <w:tcPr>
            <w:tcW w:w="1000" w:type="dxa"/>
            <w:vAlign w:val="bottom"/>
          </w:tcPr>
          <w:p>
            <w:pPr>
              <w:spacing w:after="0"/>
              <w:rPr>
                <w:sz w:val="17"/>
                <w:szCs w:val="17"/>
                <w:color w:val="auto"/>
              </w:rPr>
            </w:pPr>
          </w:p>
        </w:tc>
        <w:tc>
          <w:tcPr>
            <w:tcW w:w="1000" w:type="dxa"/>
            <w:vAlign w:val="bottom"/>
            <w:gridSpan w:val="4"/>
          </w:tcPr>
          <w:p>
            <w:pPr>
              <w:ind w:left="220"/>
              <w:spacing w:after="0" w:line="196" w:lineRule="exact"/>
              <w:rPr>
                <w:sz w:val="20"/>
                <w:szCs w:val="20"/>
                <w:color w:val="auto"/>
              </w:rPr>
            </w:pPr>
            <w:r>
              <w:rPr>
                <w:rFonts w:ascii="Arial" w:cs="Arial" w:eastAsia="Arial" w:hAnsi="Arial"/>
                <w:sz w:val="18"/>
                <w:szCs w:val="18"/>
                <w:color w:val="auto"/>
              </w:rPr>
              <w:t>Note 21.</w:t>
            </w:r>
          </w:p>
        </w:tc>
        <w:tc>
          <w:tcPr>
            <w:tcW w:w="900" w:type="dxa"/>
            <w:vAlign w:val="bottom"/>
            <w:tcBorders>
              <w:top w:val="single" w:sz="8" w:color="0000EE"/>
              <w:bottom w:val="single" w:sz="8" w:color="0000EE"/>
            </w:tcBorders>
            <w:gridSpan w:val="5"/>
          </w:tcPr>
          <w:p>
            <w:pPr>
              <w:spacing w:after="0" w:line="196" w:lineRule="exact"/>
              <w:rPr>
                <w:rFonts w:ascii="Arial" w:cs="Arial" w:eastAsia="Arial" w:hAnsi="Arial"/>
                <w:sz w:val="18"/>
                <w:szCs w:val="18"/>
                <w:color w:val="0000EE"/>
                <w:w w:val="88"/>
              </w:rPr>
            </w:pPr>
            <w:hyperlink w:anchor="page65">
              <w:r>
                <w:rPr>
                  <w:rFonts w:ascii="Arial" w:cs="Arial" w:eastAsia="Arial" w:hAnsi="Arial"/>
                  <w:sz w:val="18"/>
                  <w:szCs w:val="18"/>
                  <w:color w:val="0000EE"/>
                  <w:w w:val="88"/>
                </w:rPr>
                <w:t>Impairments</w:t>
              </w:r>
            </w:hyperlink>
          </w:p>
        </w:tc>
        <w:tc>
          <w:tcPr>
            <w:tcW w:w="1540" w:type="dxa"/>
            <w:vAlign w:val="bottom"/>
            <w:tcBorders>
              <w:top w:val="single" w:sz="8" w:color="0000EE"/>
            </w:tcBorders>
            <w:gridSpan w:val="13"/>
          </w:tcPr>
          <w:p>
            <w:pPr>
              <w:spacing w:after="0"/>
              <w:rPr>
                <w:sz w:val="17"/>
                <w:szCs w:val="17"/>
                <w:color w:val="auto"/>
              </w:rPr>
            </w:pPr>
          </w:p>
        </w:tc>
        <w:tc>
          <w:tcPr>
            <w:tcW w:w="6380" w:type="dxa"/>
            <w:vAlign w:val="bottom"/>
            <w:gridSpan w:val="18"/>
          </w:tcPr>
          <w:p>
            <w:pPr>
              <w:spacing w:after="0"/>
              <w:rPr>
                <w:sz w:val="17"/>
                <w:szCs w:val="17"/>
                <w:color w:val="auto"/>
              </w:rPr>
            </w:pPr>
          </w:p>
        </w:tc>
        <w:tc>
          <w:tcPr>
            <w:tcW w:w="500" w:type="dxa"/>
            <w:vAlign w:val="bottom"/>
          </w:tcPr>
          <w:p>
            <w:pPr>
              <w:jc w:val="right"/>
              <w:spacing w:after="0" w:line="196" w:lineRule="exact"/>
              <w:rPr>
                <w:sz w:val="20"/>
                <w:szCs w:val="20"/>
                <w:color w:val="auto"/>
              </w:rPr>
            </w:pPr>
            <w:r>
              <w:rPr>
                <w:rFonts w:ascii="Arial" w:cs="Arial" w:eastAsia="Arial" w:hAnsi="Arial"/>
                <w:sz w:val="18"/>
                <w:szCs w:val="18"/>
                <w:color w:val="auto"/>
              </w:rPr>
              <w:t>63</w:t>
            </w:r>
          </w:p>
        </w:tc>
        <w:tc>
          <w:tcPr>
            <w:tcW w:w="0" w:type="dxa"/>
            <w:vAlign w:val="bottom"/>
          </w:tcPr>
          <w:p>
            <w:pPr>
              <w:spacing w:after="0"/>
              <w:rPr>
                <w:sz w:val="1"/>
                <w:szCs w:val="1"/>
                <w:color w:val="auto"/>
              </w:rPr>
            </w:pPr>
          </w:p>
        </w:tc>
      </w:tr>
      <w:tr>
        <w:trPr>
          <w:trHeight w:val="196"/>
        </w:trPr>
        <w:tc>
          <w:tcPr>
            <w:tcW w:w="1000" w:type="dxa"/>
            <w:vAlign w:val="bottom"/>
          </w:tcPr>
          <w:p>
            <w:pPr>
              <w:spacing w:after="0"/>
              <w:rPr>
                <w:sz w:val="17"/>
                <w:szCs w:val="17"/>
                <w:color w:val="auto"/>
              </w:rPr>
            </w:pPr>
          </w:p>
        </w:tc>
        <w:tc>
          <w:tcPr>
            <w:tcW w:w="1000" w:type="dxa"/>
            <w:vAlign w:val="bottom"/>
            <w:gridSpan w:val="4"/>
          </w:tcPr>
          <w:p>
            <w:pPr>
              <w:ind w:left="220"/>
              <w:spacing w:after="0" w:line="196" w:lineRule="exact"/>
              <w:rPr>
                <w:sz w:val="20"/>
                <w:szCs w:val="20"/>
                <w:color w:val="auto"/>
              </w:rPr>
            </w:pPr>
            <w:r>
              <w:rPr>
                <w:rFonts w:ascii="Arial" w:cs="Arial" w:eastAsia="Arial" w:hAnsi="Arial"/>
                <w:sz w:val="18"/>
                <w:szCs w:val="18"/>
                <w:color w:val="auto"/>
              </w:rPr>
              <w:t>Note 22.</w:t>
            </w:r>
          </w:p>
        </w:tc>
        <w:tc>
          <w:tcPr>
            <w:tcW w:w="8820" w:type="dxa"/>
            <w:vAlign w:val="bottom"/>
            <w:gridSpan w:val="36"/>
          </w:tcPr>
          <w:p>
            <w:pPr>
              <w:spacing w:after="0" w:line="196" w:lineRule="exact"/>
              <w:rPr>
                <w:rFonts w:ascii="Arial" w:cs="Arial" w:eastAsia="Arial" w:hAnsi="Arial"/>
                <w:sz w:val="18"/>
                <w:szCs w:val="18"/>
                <w:color w:val="0000EE"/>
              </w:rPr>
            </w:pPr>
            <w:hyperlink w:anchor="page69">
              <w:r>
                <w:rPr>
                  <w:rFonts w:ascii="Arial" w:cs="Arial" w:eastAsia="Arial" w:hAnsi="Arial"/>
                  <w:sz w:val="18"/>
                  <w:szCs w:val="18"/>
                  <w:color w:val="0000EE"/>
                </w:rPr>
                <w:t>Earnings (Loss) Per Share</w:t>
              </w:r>
            </w:hyperlink>
          </w:p>
        </w:tc>
        <w:tc>
          <w:tcPr>
            <w:tcW w:w="500" w:type="dxa"/>
            <w:vAlign w:val="bottom"/>
          </w:tcPr>
          <w:p>
            <w:pPr>
              <w:jc w:val="right"/>
              <w:spacing w:after="0" w:line="196" w:lineRule="exact"/>
              <w:rPr>
                <w:sz w:val="20"/>
                <w:szCs w:val="20"/>
                <w:color w:val="auto"/>
              </w:rPr>
            </w:pPr>
            <w:r>
              <w:rPr>
                <w:rFonts w:ascii="Arial" w:cs="Arial" w:eastAsia="Arial" w:hAnsi="Arial"/>
                <w:sz w:val="18"/>
                <w:szCs w:val="18"/>
                <w:color w:val="auto"/>
              </w:rPr>
              <w:t>67</w:t>
            </w:r>
          </w:p>
        </w:tc>
        <w:tc>
          <w:tcPr>
            <w:tcW w:w="0" w:type="dxa"/>
            <w:vAlign w:val="bottom"/>
          </w:tcPr>
          <w:p>
            <w:pPr>
              <w:spacing w:after="0"/>
              <w:rPr>
                <w:sz w:val="1"/>
                <w:szCs w:val="1"/>
                <w:color w:val="auto"/>
              </w:rPr>
            </w:pPr>
          </w:p>
        </w:tc>
      </w:tr>
      <w:tr>
        <w:trPr>
          <w:trHeight w:val="20"/>
        </w:trPr>
        <w:tc>
          <w:tcPr>
            <w:tcW w:w="10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640" w:type="dxa"/>
            <w:vAlign w:val="bottom"/>
            <w:tcBorders>
              <w:right w:val="single" w:sz="8" w:color="0000EE"/>
            </w:tcBorders>
            <w:gridSpan w:val="4"/>
            <w:shd w:val="clear" w:color="auto" w:fill="0000EE"/>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220" w:type="dxa"/>
            <w:vAlign w:val="bottom"/>
            <w:tcBorders>
              <w:right w:val="single" w:sz="8" w:color="0000EE"/>
            </w:tcBorders>
            <w:gridSpan w:val="2"/>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460" w:type="dxa"/>
            <w:vAlign w:val="bottom"/>
            <w:gridSpan w:val="4"/>
          </w:tcPr>
          <w:p>
            <w:pPr>
              <w:spacing w:after="0" w:line="20" w:lineRule="exact"/>
              <w:rPr>
                <w:sz w:val="1"/>
                <w:szCs w:val="1"/>
                <w:color w:val="auto"/>
              </w:rPr>
            </w:pPr>
          </w:p>
        </w:tc>
        <w:tc>
          <w:tcPr>
            <w:tcW w:w="940" w:type="dxa"/>
            <w:vAlign w:val="bottom"/>
            <w:gridSpan w:val="1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40" w:type="dxa"/>
            <w:vAlign w:val="bottom"/>
            <w:gridSpan w:val="4"/>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380" w:type="dxa"/>
            <w:vAlign w:val="bottom"/>
            <w:gridSpan w:val="2"/>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00" w:type="dxa"/>
            <w:vAlign w:val="bottom"/>
          </w:tcPr>
          <w:p>
            <w:pPr>
              <w:spacing w:after="0"/>
              <w:rPr>
                <w:sz w:val="17"/>
                <w:szCs w:val="17"/>
                <w:color w:val="auto"/>
              </w:rPr>
            </w:pPr>
          </w:p>
        </w:tc>
        <w:tc>
          <w:tcPr>
            <w:tcW w:w="1000" w:type="dxa"/>
            <w:vAlign w:val="bottom"/>
            <w:gridSpan w:val="4"/>
          </w:tcPr>
          <w:p>
            <w:pPr>
              <w:ind w:left="220"/>
              <w:spacing w:after="0" w:line="196" w:lineRule="exact"/>
              <w:rPr>
                <w:sz w:val="20"/>
                <w:szCs w:val="20"/>
                <w:color w:val="auto"/>
              </w:rPr>
            </w:pPr>
            <w:r>
              <w:rPr>
                <w:rFonts w:ascii="Arial" w:cs="Arial" w:eastAsia="Arial" w:hAnsi="Arial"/>
                <w:sz w:val="18"/>
                <w:szCs w:val="18"/>
                <w:color w:val="auto"/>
              </w:rPr>
              <w:t>Note 23.</w:t>
            </w:r>
          </w:p>
        </w:tc>
        <w:tc>
          <w:tcPr>
            <w:tcW w:w="8820" w:type="dxa"/>
            <w:vAlign w:val="bottom"/>
            <w:gridSpan w:val="36"/>
          </w:tcPr>
          <w:p>
            <w:pPr>
              <w:spacing w:after="0" w:line="196" w:lineRule="exact"/>
              <w:rPr>
                <w:rFonts w:ascii="Arial" w:cs="Arial" w:eastAsia="Arial" w:hAnsi="Arial"/>
                <w:sz w:val="18"/>
                <w:szCs w:val="18"/>
                <w:color w:val="0000EE"/>
              </w:rPr>
            </w:pPr>
            <w:hyperlink w:anchor="page71">
              <w:r>
                <w:rPr>
                  <w:rFonts w:ascii="Arial" w:cs="Arial" w:eastAsia="Arial" w:hAnsi="Arial"/>
                  <w:sz w:val="18"/>
                  <w:szCs w:val="18"/>
                  <w:color w:val="0000EE"/>
                </w:rPr>
                <w:t>Transactions with Ally Financial</w:t>
              </w:r>
            </w:hyperlink>
          </w:p>
        </w:tc>
        <w:tc>
          <w:tcPr>
            <w:tcW w:w="500" w:type="dxa"/>
            <w:vAlign w:val="bottom"/>
          </w:tcPr>
          <w:p>
            <w:pPr>
              <w:jc w:val="right"/>
              <w:spacing w:after="0" w:line="196" w:lineRule="exact"/>
              <w:rPr>
                <w:sz w:val="20"/>
                <w:szCs w:val="20"/>
                <w:color w:val="auto"/>
              </w:rPr>
            </w:pPr>
            <w:r>
              <w:rPr>
                <w:rFonts w:ascii="Arial" w:cs="Arial" w:eastAsia="Arial" w:hAnsi="Arial"/>
                <w:sz w:val="18"/>
                <w:szCs w:val="18"/>
                <w:color w:val="auto"/>
              </w:rPr>
              <w:t>69</w:t>
            </w:r>
          </w:p>
        </w:tc>
        <w:tc>
          <w:tcPr>
            <w:tcW w:w="0" w:type="dxa"/>
            <w:vAlign w:val="bottom"/>
          </w:tcPr>
          <w:p>
            <w:pPr>
              <w:spacing w:after="0"/>
              <w:rPr>
                <w:sz w:val="1"/>
                <w:szCs w:val="1"/>
                <w:color w:val="auto"/>
              </w:rPr>
            </w:pPr>
          </w:p>
        </w:tc>
      </w:tr>
      <w:tr>
        <w:trPr>
          <w:trHeight w:val="196"/>
        </w:trPr>
        <w:tc>
          <w:tcPr>
            <w:tcW w:w="1000" w:type="dxa"/>
            <w:vAlign w:val="bottom"/>
          </w:tcPr>
          <w:p>
            <w:pPr>
              <w:spacing w:after="0"/>
              <w:rPr>
                <w:sz w:val="17"/>
                <w:szCs w:val="17"/>
                <w:color w:val="auto"/>
              </w:rPr>
            </w:pPr>
          </w:p>
        </w:tc>
        <w:tc>
          <w:tcPr>
            <w:tcW w:w="1000" w:type="dxa"/>
            <w:vAlign w:val="bottom"/>
            <w:gridSpan w:val="4"/>
          </w:tcPr>
          <w:p>
            <w:pPr>
              <w:ind w:left="220"/>
              <w:spacing w:after="0" w:line="196" w:lineRule="exact"/>
              <w:rPr>
                <w:sz w:val="20"/>
                <w:szCs w:val="20"/>
                <w:color w:val="auto"/>
              </w:rPr>
            </w:pPr>
            <w:r>
              <w:rPr>
                <w:rFonts w:ascii="Arial" w:cs="Arial" w:eastAsia="Arial" w:hAnsi="Arial"/>
                <w:sz w:val="18"/>
                <w:szCs w:val="18"/>
                <w:color w:val="auto"/>
              </w:rPr>
              <w:t>Note 24.</w:t>
            </w:r>
          </w:p>
        </w:tc>
        <w:tc>
          <w:tcPr>
            <w:tcW w:w="1740" w:type="dxa"/>
            <w:vAlign w:val="bottom"/>
            <w:tcBorders>
              <w:top w:val="single" w:sz="8" w:color="0000EE"/>
              <w:bottom w:val="single" w:sz="8" w:color="0000EE"/>
            </w:tcBorders>
            <w:gridSpan w:val="11"/>
          </w:tcPr>
          <w:p>
            <w:pPr>
              <w:spacing w:after="0" w:line="196" w:lineRule="exact"/>
              <w:rPr>
                <w:rFonts w:ascii="Arial" w:cs="Arial" w:eastAsia="Arial" w:hAnsi="Arial"/>
                <w:sz w:val="18"/>
                <w:szCs w:val="18"/>
                <w:color w:val="0000EE"/>
                <w:w w:val="92"/>
              </w:rPr>
            </w:pPr>
            <w:hyperlink w:anchor="page73">
              <w:r>
                <w:rPr>
                  <w:rFonts w:ascii="Arial" w:cs="Arial" w:eastAsia="Arial" w:hAnsi="Arial"/>
                  <w:sz w:val="18"/>
                  <w:szCs w:val="18"/>
                  <w:color w:val="0000EE"/>
                  <w:w w:val="92"/>
                </w:rPr>
                <w:t>Transactions with MLC</w:t>
              </w:r>
            </w:hyperlink>
          </w:p>
        </w:tc>
        <w:tc>
          <w:tcPr>
            <w:tcW w:w="560" w:type="dxa"/>
            <w:vAlign w:val="bottom"/>
            <w:tcBorders>
              <w:top w:val="single" w:sz="8" w:color="0000EE"/>
            </w:tcBorders>
            <w:gridSpan w:val="5"/>
          </w:tcPr>
          <w:p>
            <w:pPr>
              <w:spacing w:after="0"/>
              <w:rPr>
                <w:sz w:val="17"/>
                <w:szCs w:val="17"/>
                <w:color w:val="auto"/>
              </w:rPr>
            </w:pPr>
          </w:p>
        </w:tc>
        <w:tc>
          <w:tcPr>
            <w:tcW w:w="6520" w:type="dxa"/>
            <w:vAlign w:val="bottom"/>
            <w:gridSpan w:val="20"/>
          </w:tcPr>
          <w:p>
            <w:pPr>
              <w:spacing w:after="0"/>
              <w:rPr>
                <w:sz w:val="17"/>
                <w:szCs w:val="17"/>
                <w:color w:val="auto"/>
              </w:rPr>
            </w:pPr>
          </w:p>
        </w:tc>
        <w:tc>
          <w:tcPr>
            <w:tcW w:w="500" w:type="dxa"/>
            <w:vAlign w:val="bottom"/>
          </w:tcPr>
          <w:p>
            <w:pPr>
              <w:jc w:val="right"/>
              <w:spacing w:after="0" w:line="196" w:lineRule="exact"/>
              <w:rPr>
                <w:sz w:val="20"/>
                <w:szCs w:val="20"/>
                <w:color w:val="auto"/>
              </w:rPr>
            </w:pPr>
            <w:r>
              <w:rPr>
                <w:rFonts w:ascii="Arial" w:cs="Arial" w:eastAsia="Arial" w:hAnsi="Arial"/>
                <w:sz w:val="18"/>
                <w:szCs w:val="18"/>
                <w:color w:val="auto"/>
              </w:rPr>
              <w:t>71</w:t>
            </w:r>
          </w:p>
        </w:tc>
        <w:tc>
          <w:tcPr>
            <w:tcW w:w="0" w:type="dxa"/>
            <w:vAlign w:val="bottom"/>
          </w:tcPr>
          <w:p>
            <w:pPr>
              <w:spacing w:after="0"/>
              <w:rPr>
                <w:sz w:val="1"/>
                <w:szCs w:val="1"/>
                <w:color w:val="auto"/>
              </w:rPr>
            </w:pPr>
          </w:p>
        </w:tc>
      </w:tr>
      <w:tr>
        <w:trPr>
          <w:trHeight w:val="196"/>
        </w:trPr>
        <w:tc>
          <w:tcPr>
            <w:tcW w:w="1000" w:type="dxa"/>
            <w:vAlign w:val="bottom"/>
          </w:tcPr>
          <w:p>
            <w:pPr>
              <w:spacing w:after="0"/>
              <w:rPr>
                <w:sz w:val="17"/>
                <w:szCs w:val="17"/>
                <w:color w:val="auto"/>
              </w:rPr>
            </w:pPr>
          </w:p>
        </w:tc>
        <w:tc>
          <w:tcPr>
            <w:tcW w:w="1000" w:type="dxa"/>
            <w:vAlign w:val="bottom"/>
            <w:gridSpan w:val="4"/>
          </w:tcPr>
          <w:p>
            <w:pPr>
              <w:ind w:left="220"/>
              <w:spacing w:after="0" w:line="196" w:lineRule="exact"/>
              <w:rPr>
                <w:sz w:val="20"/>
                <w:szCs w:val="20"/>
                <w:color w:val="auto"/>
              </w:rPr>
            </w:pPr>
            <w:r>
              <w:rPr>
                <w:rFonts w:ascii="Arial" w:cs="Arial" w:eastAsia="Arial" w:hAnsi="Arial"/>
                <w:sz w:val="18"/>
                <w:szCs w:val="18"/>
                <w:color w:val="auto"/>
              </w:rPr>
              <w:t>Note 25.</w:t>
            </w:r>
          </w:p>
        </w:tc>
        <w:tc>
          <w:tcPr>
            <w:tcW w:w="8820" w:type="dxa"/>
            <w:vAlign w:val="bottom"/>
            <w:gridSpan w:val="36"/>
          </w:tcPr>
          <w:p>
            <w:pPr>
              <w:spacing w:after="0" w:line="196" w:lineRule="exact"/>
              <w:rPr>
                <w:rFonts w:ascii="Arial" w:cs="Arial" w:eastAsia="Arial" w:hAnsi="Arial"/>
                <w:sz w:val="18"/>
                <w:szCs w:val="18"/>
                <w:color w:val="0000EE"/>
              </w:rPr>
            </w:pPr>
            <w:hyperlink w:anchor="page74">
              <w:r>
                <w:rPr>
                  <w:rFonts w:ascii="Arial" w:cs="Arial" w:eastAsia="Arial" w:hAnsi="Arial"/>
                  <w:sz w:val="18"/>
                  <w:szCs w:val="18"/>
                  <w:color w:val="0000EE"/>
                </w:rPr>
                <w:t>Segment Reporting</w:t>
              </w:r>
            </w:hyperlink>
          </w:p>
        </w:tc>
        <w:tc>
          <w:tcPr>
            <w:tcW w:w="500" w:type="dxa"/>
            <w:vAlign w:val="bottom"/>
          </w:tcPr>
          <w:p>
            <w:pPr>
              <w:jc w:val="right"/>
              <w:spacing w:after="0" w:line="196" w:lineRule="exact"/>
              <w:rPr>
                <w:sz w:val="20"/>
                <w:szCs w:val="20"/>
                <w:color w:val="auto"/>
              </w:rPr>
            </w:pPr>
            <w:r>
              <w:rPr>
                <w:rFonts w:ascii="Arial" w:cs="Arial" w:eastAsia="Arial" w:hAnsi="Arial"/>
                <w:sz w:val="18"/>
                <w:szCs w:val="18"/>
                <w:color w:val="auto"/>
              </w:rPr>
              <w:t>72</w:t>
            </w:r>
          </w:p>
        </w:tc>
        <w:tc>
          <w:tcPr>
            <w:tcW w:w="0" w:type="dxa"/>
            <w:vAlign w:val="bottom"/>
          </w:tcPr>
          <w:p>
            <w:pPr>
              <w:spacing w:after="0"/>
              <w:rPr>
                <w:sz w:val="1"/>
                <w:szCs w:val="1"/>
                <w:color w:val="auto"/>
              </w:rPr>
            </w:pPr>
          </w:p>
        </w:tc>
      </w:tr>
      <w:tr>
        <w:trPr>
          <w:trHeight w:val="20"/>
        </w:trPr>
        <w:tc>
          <w:tcPr>
            <w:tcW w:w="10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640" w:type="dxa"/>
            <w:vAlign w:val="bottom"/>
            <w:tcBorders>
              <w:right w:val="single" w:sz="8" w:color="0000EE"/>
            </w:tcBorders>
            <w:gridSpan w:val="4"/>
            <w:shd w:val="clear" w:color="auto" w:fill="0000EE"/>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1720" w:type="dxa"/>
            <w:vAlign w:val="bottom"/>
            <w:gridSpan w:val="19"/>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40" w:type="dxa"/>
            <w:vAlign w:val="bottom"/>
            <w:gridSpan w:val="4"/>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380" w:type="dxa"/>
            <w:vAlign w:val="bottom"/>
            <w:gridSpan w:val="2"/>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00" w:type="dxa"/>
            <w:vAlign w:val="bottom"/>
          </w:tcPr>
          <w:p>
            <w:pPr>
              <w:spacing w:after="0"/>
              <w:rPr>
                <w:sz w:val="17"/>
                <w:szCs w:val="17"/>
                <w:color w:val="auto"/>
              </w:rPr>
            </w:pPr>
          </w:p>
        </w:tc>
        <w:tc>
          <w:tcPr>
            <w:tcW w:w="1000" w:type="dxa"/>
            <w:vAlign w:val="bottom"/>
            <w:gridSpan w:val="4"/>
          </w:tcPr>
          <w:p>
            <w:pPr>
              <w:ind w:left="220"/>
              <w:spacing w:after="0" w:line="196" w:lineRule="exact"/>
              <w:rPr>
                <w:sz w:val="20"/>
                <w:szCs w:val="20"/>
                <w:color w:val="auto"/>
              </w:rPr>
            </w:pPr>
            <w:r>
              <w:rPr>
                <w:rFonts w:ascii="Arial" w:cs="Arial" w:eastAsia="Arial" w:hAnsi="Arial"/>
                <w:sz w:val="18"/>
                <w:szCs w:val="18"/>
                <w:color w:val="auto"/>
              </w:rPr>
              <w:t>Note 26.</w:t>
            </w:r>
          </w:p>
        </w:tc>
        <w:tc>
          <w:tcPr>
            <w:tcW w:w="8820" w:type="dxa"/>
            <w:vAlign w:val="bottom"/>
            <w:gridSpan w:val="36"/>
          </w:tcPr>
          <w:p>
            <w:pPr>
              <w:spacing w:after="0" w:line="196" w:lineRule="exact"/>
              <w:rPr>
                <w:rFonts w:ascii="Arial" w:cs="Arial" w:eastAsia="Arial" w:hAnsi="Arial"/>
                <w:sz w:val="18"/>
                <w:szCs w:val="18"/>
                <w:color w:val="0000EE"/>
              </w:rPr>
            </w:pPr>
            <w:hyperlink w:anchor="page79">
              <w:r>
                <w:rPr>
                  <w:rFonts w:ascii="Arial" w:cs="Arial" w:eastAsia="Arial" w:hAnsi="Arial"/>
                  <w:sz w:val="18"/>
                  <w:szCs w:val="18"/>
                  <w:color w:val="0000EE"/>
                </w:rPr>
                <w:t>Stock Incentive Plans</w:t>
              </w:r>
            </w:hyperlink>
          </w:p>
        </w:tc>
        <w:tc>
          <w:tcPr>
            <w:tcW w:w="500" w:type="dxa"/>
            <w:vAlign w:val="bottom"/>
          </w:tcPr>
          <w:p>
            <w:pPr>
              <w:jc w:val="right"/>
              <w:spacing w:after="0" w:line="196" w:lineRule="exact"/>
              <w:rPr>
                <w:sz w:val="20"/>
                <w:szCs w:val="20"/>
                <w:color w:val="auto"/>
              </w:rPr>
            </w:pPr>
            <w:r>
              <w:rPr>
                <w:rFonts w:ascii="Arial" w:cs="Arial" w:eastAsia="Arial" w:hAnsi="Arial"/>
                <w:sz w:val="18"/>
                <w:szCs w:val="18"/>
                <w:color w:val="auto"/>
              </w:rPr>
              <w:t>77</w:t>
            </w:r>
          </w:p>
        </w:tc>
        <w:tc>
          <w:tcPr>
            <w:tcW w:w="0" w:type="dxa"/>
            <w:vAlign w:val="bottom"/>
          </w:tcPr>
          <w:p>
            <w:pPr>
              <w:spacing w:after="0"/>
              <w:rPr>
                <w:sz w:val="1"/>
                <w:szCs w:val="1"/>
                <w:color w:val="auto"/>
              </w:rPr>
            </w:pPr>
          </w:p>
        </w:tc>
      </w:tr>
      <w:tr>
        <w:trPr>
          <w:trHeight w:val="196"/>
        </w:trPr>
        <w:tc>
          <w:tcPr>
            <w:tcW w:w="1000" w:type="dxa"/>
            <w:vAlign w:val="bottom"/>
          </w:tcPr>
          <w:p>
            <w:pPr>
              <w:spacing w:after="0"/>
              <w:rPr>
                <w:sz w:val="17"/>
                <w:szCs w:val="17"/>
                <w:color w:val="auto"/>
              </w:rPr>
            </w:pPr>
          </w:p>
        </w:tc>
        <w:tc>
          <w:tcPr>
            <w:tcW w:w="1000" w:type="dxa"/>
            <w:vAlign w:val="bottom"/>
            <w:gridSpan w:val="4"/>
          </w:tcPr>
          <w:p>
            <w:pPr>
              <w:ind w:left="220"/>
              <w:spacing w:after="0" w:line="196" w:lineRule="exact"/>
              <w:rPr>
                <w:sz w:val="20"/>
                <w:szCs w:val="20"/>
                <w:color w:val="auto"/>
              </w:rPr>
            </w:pPr>
            <w:r>
              <w:rPr>
                <w:rFonts w:ascii="Arial" w:cs="Arial" w:eastAsia="Arial" w:hAnsi="Arial"/>
                <w:sz w:val="18"/>
                <w:szCs w:val="18"/>
                <w:color w:val="auto"/>
              </w:rPr>
              <w:t>Note 27.</w:t>
            </w:r>
          </w:p>
        </w:tc>
        <w:tc>
          <w:tcPr>
            <w:tcW w:w="1360" w:type="dxa"/>
            <w:vAlign w:val="bottom"/>
            <w:tcBorders>
              <w:top w:val="single" w:sz="8" w:color="0000EE"/>
              <w:bottom w:val="single" w:sz="8" w:color="0000EE"/>
            </w:tcBorders>
            <w:gridSpan w:val="7"/>
          </w:tcPr>
          <w:p>
            <w:pPr>
              <w:spacing w:after="0" w:line="196" w:lineRule="exact"/>
              <w:rPr>
                <w:rFonts w:ascii="Arial" w:cs="Arial" w:eastAsia="Arial" w:hAnsi="Arial"/>
                <w:sz w:val="18"/>
                <w:szCs w:val="18"/>
                <w:color w:val="0000EE"/>
                <w:w w:val="84"/>
              </w:rPr>
            </w:pPr>
            <w:hyperlink w:anchor="page83">
              <w:r>
                <w:rPr>
                  <w:rFonts w:ascii="Arial" w:cs="Arial" w:eastAsia="Arial" w:hAnsi="Arial"/>
                  <w:sz w:val="18"/>
                  <w:szCs w:val="18"/>
                  <w:color w:val="0000EE"/>
                  <w:w w:val="84"/>
                </w:rPr>
                <w:t>Subsequent Events</w:t>
              </w:r>
            </w:hyperlink>
          </w:p>
        </w:tc>
        <w:tc>
          <w:tcPr>
            <w:tcW w:w="160" w:type="dxa"/>
            <w:vAlign w:val="bottom"/>
            <w:tcBorders>
              <w:top w:val="single" w:sz="8" w:color="0000EE"/>
            </w:tcBorders>
            <w:gridSpan w:val="2"/>
          </w:tcPr>
          <w:p>
            <w:pPr>
              <w:spacing w:after="0"/>
              <w:rPr>
                <w:sz w:val="17"/>
                <w:szCs w:val="17"/>
                <w:color w:val="auto"/>
              </w:rPr>
            </w:pPr>
          </w:p>
        </w:tc>
        <w:tc>
          <w:tcPr>
            <w:tcW w:w="7300" w:type="dxa"/>
            <w:vAlign w:val="bottom"/>
            <w:gridSpan w:val="27"/>
          </w:tcPr>
          <w:p>
            <w:pPr>
              <w:spacing w:after="0"/>
              <w:rPr>
                <w:sz w:val="17"/>
                <w:szCs w:val="17"/>
                <w:color w:val="auto"/>
              </w:rPr>
            </w:pPr>
          </w:p>
        </w:tc>
        <w:tc>
          <w:tcPr>
            <w:tcW w:w="500" w:type="dxa"/>
            <w:vAlign w:val="bottom"/>
          </w:tcPr>
          <w:p>
            <w:pPr>
              <w:jc w:val="right"/>
              <w:spacing w:after="0" w:line="196" w:lineRule="exact"/>
              <w:rPr>
                <w:sz w:val="20"/>
                <w:szCs w:val="20"/>
                <w:color w:val="auto"/>
              </w:rPr>
            </w:pPr>
            <w:r>
              <w:rPr>
                <w:rFonts w:ascii="Arial" w:cs="Arial" w:eastAsia="Arial" w:hAnsi="Arial"/>
                <w:sz w:val="18"/>
                <w:szCs w:val="18"/>
                <w:color w:val="auto"/>
              </w:rPr>
              <w:t>81</w:t>
            </w:r>
          </w:p>
        </w:tc>
        <w:tc>
          <w:tcPr>
            <w:tcW w:w="0" w:type="dxa"/>
            <w:vAlign w:val="bottom"/>
          </w:tcPr>
          <w:p>
            <w:pPr>
              <w:spacing w:after="0"/>
              <w:rPr>
                <w:sz w:val="1"/>
                <w:szCs w:val="1"/>
                <w:color w:val="auto"/>
              </w:rPr>
            </w:pPr>
          </w:p>
        </w:tc>
      </w:tr>
      <w:tr>
        <w:trPr>
          <w:trHeight w:val="196"/>
        </w:trPr>
        <w:tc>
          <w:tcPr>
            <w:tcW w:w="1000" w:type="dxa"/>
            <w:vAlign w:val="bottom"/>
          </w:tcPr>
          <w:p>
            <w:pPr>
              <w:spacing w:after="0" w:line="196" w:lineRule="exact"/>
              <w:rPr>
                <w:sz w:val="20"/>
                <w:szCs w:val="20"/>
                <w:color w:val="auto"/>
              </w:rPr>
            </w:pPr>
            <w:r>
              <w:rPr>
                <w:rFonts w:ascii="Arial" w:cs="Arial" w:eastAsia="Arial" w:hAnsi="Arial"/>
                <w:sz w:val="18"/>
                <w:szCs w:val="18"/>
                <w:color w:val="auto"/>
              </w:rPr>
              <w:t>Item 2</w:t>
            </w:r>
          </w:p>
        </w:tc>
        <w:tc>
          <w:tcPr>
            <w:tcW w:w="6300" w:type="dxa"/>
            <w:vAlign w:val="bottom"/>
            <w:tcBorders>
              <w:bottom w:val="single" w:sz="8" w:color="0000EE"/>
            </w:tcBorders>
            <w:gridSpan w:val="37"/>
          </w:tcPr>
          <w:p>
            <w:pPr>
              <w:spacing w:after="0" w:line="196" w:lineRule="exact"/>
              <w:rPr>
                <w:rFonts w:ascii="Arial" w:cs="Arial" w:eastAsia="Arial" w:hAnsi="Arial"/>
                <w:sz w:val="18"/>
                <w:szCs w:val="18"/>
                <w:color w:val="0000EE"/>
                <w:w w:val="88"/>
              </w:rPr>
            </w:pPr>
            <w:hyperlink w:anchor="page86">
              <w:r>
                <w:rPr>
                  <w:rFonts w:ascii="Arial" w:cs="Arial" w:eastAsia="Arial" w:hAnsi="Arial"/>
                  <w:sz w:val="18"/>
                  <w:szCs w:val="18"/>
                  <w:color w:val="0000EE"/>
                  <w:w w:val="88"/>
                </w:rPr>
                <w:t>Management’s Discussion and Analysis of Financial Condition and Results of Operations</w:t>
              </w:r>
            </w:hyperlink>
          </w:p>
        </w:tc>
        <w:tc>
          <w:tcPr>
            <w:tcW w:w="3520" w:type="dxa"/>
            <w:vAlign w:val="bottom"/>
            <w:gridSpan w:val="3"/>
          </w:tcPr>
          <w:p>
            <w:pPr>
              <w:spacing w:after="0"/>
              <w:rPr>
                <w:sz w:val="17"/>
                <w:szCs w:val="17"/>
                <w:color w:val="auto"/>
              </w:rPr>
            </w:pPr>
          </w:p>
        </w:tc>
        <w:tc>
          <w:tcPr>
            <w:tcW w:w="500" w:type="dxa"/>
            <w:vAlign w:val="bottom"/>
          </w:tcPr>
          <w:p>
            <w:pPr>
              <w:jc w:val="right"/>
              <w:spacing w:after="0" w:line="196" w:lineRule="exact"/>
              <w:rPr>
                <w:sz w:val="20"/>
                <w:szCs w:val="20"/>
                <w:color w:val="auto"/>
              </w:rPr>
            </w:pPr>
            <w:r>
              <w:rPr>
                <w:rFonts w:ascii="Arial" w:cs="Arial" w:eastAsia="Arial" w:hAnsi="Arial"/>
                <w:sz w:val="18"/>
                <w:szCs w:val="18"/>
                <w:color w:val="auto"/>
              </w:rPr>
              <w:t>84</w:t>
            </w:r>
          </w:p>
        </w:tc>
        <w:tc>
          <w:tcPr>
            <w:tcW w:w="0" w:type="dxa"/>
            <w:vAlign w:val="bottom"/>
          </w:tcPr>
          <w:p>
            <w:pPr>
              <w:spacing w:after="0"/>
              <w:rPr>
                <w:sz w:val="1"/>
                <w:szCs w:val="1"/>
                <w:color w:val="auto"/>
              </w:rPr>
            </w:pPr>
          </w:p>
        </w:tc>
      </w:tr>
      <w:tr>
        <w:trPr>
          <w:trHeight w:val="196"/>
        </w:trPr>
        <w:tc>
          <w:tcPr>
            <w:tcW w:w="1000" w:type="dxa"/>
            <w:vAlign w:val="bottom"/>
          </w:tcPr>
          <w:p>
            <w:pPr>
              <w:spacing w:after="0" w:line="196" w:lineRule="exact"/>
              <w:rPr>
                <w:sz w:val="20"/>
                <w:szCs w:val="20"/>
                <w:color w:val="auto"/>
              </w:rPr>
            </w:pPr>
            <w:r>
              <w:rPr>
                <w:rFonts w:ascii="Arial" w:cs="Arial" w:eastAsia="Arial" w:hAnsi="Arial"/>
                <w:sz w:val="18"/>
                <w:szCs w:val="18"/>
                <w:color w:val="auto"/>
              </w:rPr>
              <w:t>Item 3.</w:t>
            </w:r>
          </w:p>
        </w:tc>
        <w:tc>
          <w:tcPr>
            <w:tcW w:w="9820" w:type="dxa"/>
            <w:vAlign w:val="bottom"/>
            <w:gridSpan w:val="40"/>
          </w:tcPr>
          <w:p>
            <w:pPr>
              <w:spacing w:after="0" w:line="196" w:lineRule="exact"/>
              <w:rPr>
                <w:rFonts w:ascii="Arial" w:cs="Arial" w:eastAsia="Arial" w:hAnsi="Arial"/>
                <w:sz w:val="18"/>
                <w:szCs w:val="18"/>
                <w:color w:val="0000EE"/>
              </w:rPr>
            </w:pPr>
            <w:hyperlink w:anchor="page149">
              <w:r>
                <w:rPr>
                  <w:rFonts w:ascii="Arial" w:cs="Arial" w:eastAsia="Arial" w:hAnsi="Arial"/>
                  <w:sz w:val="18"/>
                  <w:szCs w:val="18"/>
                  <w:color w:val="0000EE"/>
                </w:rPr>
                <w:t>Quantitative and Qualitative Disclosures About Market Risk</w:t>
              </w:r>
            </w:hyperlink>
          </w:p>
        </w:tc>
        <w:tc>
          <w:tcPr>
            <w:tcW w:w="500" w:type="dxa"/>
            <w:vAlign w:val="bottom"/>
          </w:tcPr>
          <w:p>
            <w:pPr>
              <w:jc w:val="right"/>
              <w:spacing w:after="0" w:line="196" w:lineRule="exact"/>
              <w:rPr>
                <w:sz w:val="20"/>
                <w:szCs w:val="20"/>
                <w:color w:val="auto"/>
              </w:rPr>
            </w:pPr>
            <w:r>
              <w:rPr>
                <w:rFonts w:ascii="Arial" w:cs="Arial" w:eastAsia="Arial" w:hAnsi="Arial"/>
                <w:sz w:val="18"/>
                <w:szCs w:val="18"/>
                <w:color w:val="auto"/>
              </w:rPr>
              <w:t>147</w:t>
            </w:r>
          </w:p>
        </w:tc>
        <w:tc>
          <w:tcPr>
            <w:tcW w:w="0" w:type="dxa"/>
            <w:vAlign w:val="bottom"/>
          </w:tcPr>
          <w:p>
            <w:pPr>
              <w:spacing w:after="0"/>
              <w:rPr>
                <w:sz w:val="1"/>
                <w:szCs w:val="1"/>
                <w:color w:val="auto"/>
              </w:rPr>
            </w:pPr>
          </w:p>
        </w:tc>
      </w:tr>
      <w:tr>
        <w:trPr>
          <w:trHeight w:val="196"/>
        </w:trPr>
        <w:tc>
          <w:tcPr>
            <w:tcW w:w="1000" w:type="dxa"/>
            <w:vAlign w:val="bottom"/>
          </w:tcPr>
          <w:p>
            <w:pPr>
              <w:spacing w:after="0" w:line="196" w:lineRule="exact"/>
              <w:rPr>
                <w:sz w:val="20"/>
                <w:szCs w:val="20"/>
                <w:color w:val="auto"/>
              </w:rPr>
            </w:pPr>
            <w:r>
              <w:rPr>
                <w:rFonts w:ascii="Arial" w:cs="Arial" w:eastAsia="Arial" w:hAnsi="Arial"/>
                <w:sz w:val="18"/>
                <w:szCs w:val="18"/>
                <w:color w:val="auto"/>
              </w:rPr>
              <w:t>Item 4.</w:t>
            </w:r>
          </w:p>
        </w:tc>
        <w:tc>
          <w:tcPr>
            <w:tcW w:w="4240" w:type="dxa"/>
            <w:vAlign w:val="bottom"/>
            <w:tcBorders>
              <w:top w:val="single" w:sz="8" w:color="0000EE"/>
            </w:tcBorders>
            <w:gridSpan w:val="32"/>
          </w:tcPr>
          <w:p>
            <w:pPr>
              <w:spacing w:after="0" w:line="196" w:lineRule="exact"/>
              <w:rPr>
                <w:rFonts w:ascii="Arial" w:cs="Arial" w:eastAsia="Arial" w:hAnsi="Arial"/>
                <w:sz w:val="18"/>
                <w:szCs w:val="18"/>
                <w:color w:val="0000EE"/>
              </w:rPr>
            </w:pPr>
            <w:hyperlink w:anchor="page149">
              <w:r>
                <w:rPr>
                  <w:rFonts w:ascii="Arial" w:cs="Arial" w:eastAsia="Arial" w:hAnsi="Arial"/>
                  <w:sz w:val="18"/>
                  <w:szCs w:val="18"/>
                  <w:color w:val="0000EE"/>
                </w:rPr>
                <w:t>Controls and Procedures</w:t>
              </w:r>
            </w:hyperlink>
          </w:p>
        </w:tc>
        <w:tc>
          <w:tcPr>
            <w:tcW w:w="5580" w:type="dxa"/>
            <w:vAlign w:val="bottom"/>
            <w:gridSpan w:val="8"/>
          </w:tcPr>
          <w:p>
            <w:pPr>
              <w:spacing w:after="0"/>
              <w:rPr>
                <w:sz w:val="17"/>
                <w:szCs w:val="17"/>
                <w:color w:val="auto"/>
              </w:rPr>
            </w:pPr>
          </w:p>
        </w:tc>
        <w:tc>
          <w:tcPr>
            <w:tcW w:w="500" w:type="dxa"/>
            <w:vAlign w:val="bottom"/>
          </w:tcPr>
          <w:p>
            <w:pPr>
              <w:jc w:val="right"/>
              <w:spacing w:after="0" w:line="196" w:lineRule="exact"/>
              <w:rPr>
                <w:sz w:val="20"/>
                <w:szCs w:val="20"/>
                <w:color w:val="auto"/>
              </w:rPr>
            </w:pPr>
            <w:r>
              <w:rPr>
                <w:rFonts w:ascii="Arial" w:cs="Arial" w:eastAsia="Arial" w:hAnsi="Arial"/>
                <w:sz w:val="18"/>
                <w:szCs w:val="18"/>
                <w:color w:val="auto"/>
              </w:rPr>
              <w:t>147</w:t>
            </w:r>
          </w:p>
        </w:tc>
        <w:tc>
          <w:tcPr>
            <w:tcW w:w="0" w:type="dxa"/>
            <w:vAlign w:val="bottom"/>
          </w:tcPr>
          <w:p>
            <w:pPr>
              <w:spacing w:after="0"/>
              <w:rPr>
                <w:sz w:val="1"/>
                <w:szCs w:val="1"/>
                <w:color w:val="auto"/>
              </w:rPr>
            </w:pPr>
          </w:p>
        </w:tc>
      </w:tr>
      <w:tr>
        <w:trPr>
          <w:trHeight w:val="196"/>
        </w:trPr>
        <w:tc>
          <w:tcPr>
            <w:tcW w:w="1000" w:type="dxa"/>
            <w:vAlign w:val="bottom"/>
          </w:tcPr>
          <w:p>
            <w:pPr>
              <w:spacing w:after="0"/>
              <w:rPr>
                <w:sz w:val="17"/>
                <w:szCs w:val="17"/>
                <w:color w:val="auto"/>
              </w:rPr>
            </w:pPr>
          </w:p>
        </w:tc>
        <w:tc>
          <w:tcPr>
            <w:tcW w:w="58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220" w:type="dxa"/>
            <w:vAlign w:val="bottom"/>
            <w:tcBorders>
              <w:top w:val="single" w:sz="8" w:color="0000EE"/>
            </w:tcBorders>
          </w:tcPr>
          <w:p>
            <w:pPr>
              <w:spacing w:after="0"/>
              <w:rPr>
                <w:sz w:val="17"/>
                <w:szCs w:val="17"/>
                <w:color w:val="auto"/>
              </w:rPr>
            </w:pPr>
          </w:p>
        </w:tc>
        <w:tc>
          <w:tcPr>
            <w:tcW w:w="120" w:type="dxa"/>
            <w:vAlign w:val="bottom"/>
            <w:tcBorders>
              <w:top w:val="single" w:sz="8" w:color="0000EE"/>
            </w:tcBorders>
          </w:tcPr>
          <w:p>
            <w:pPr>
              <w:spacing w:after="0"/>
              <w:rPr>
                <w:sz w:val="17"/>
                <w:szCs w:val="17"/>
                <w:color w:val="auto"/>
              </w:rPr>
            </w:pPr>
          </w:p>
        </w:tc>
        <w:tc>
          <w:tcPr>
            <w:tcW w:w="300" w:type="dxa"/>
            <w:vAlign w:val="bottom"/>
            <w:tcBorders>
              <w:top w:val="single" w:sz="8" w:color="0000EE"/>
            </w:tcBorders>
          </w:tcPr>
          <w:p>
            <w:pPr>
              <w:spacing w:after="0"/>
              <w:rPr>
                <w:sz w:val="17"/>
                <w:szCs w:val="17"/>
                <w:color w:val="auto"/>
              </w:rPr>
            </w:pPr>
          </w:p>
        </w:tc>
        <w:tc>
          <w:tcPr>
            <w:tcW w:w="38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560" w:type="dxa"/>
            <w:vAlign w:val="bottom"/>
            <w:gridSpan w:val="7"/>
          </w:tcPr>
          <w:p>
            <w:pPr>
              <w:jc w:val="center"/>
              <w:ind w:right="3380"/>
              <w:spacing w:after="0" w:line="196" w:lineRule="exact"/>
              <w:rPr>
                <w:rFonts w:ascii="Arial" w:cs="Arial" w:eastAsia="Arial" w:hAnsi="Arial"/>
                <w:sz w:val="18"/>
                <w:szCs w:val="18"/>
                <w:b w:val="1"/>
                <w:bCs w:val="1"/>
                <w:color w:val="0000EE"/>
                <w:w w:val="94"/>
              </w:rPr>
            </w:pPr>
            <w:hyperlink w:anchor="page151">
              <w:r>
                <w:rPr>
                  <w:rFonts w:ascii="Arial" w:cs="Arial" w:eastAsia="Arial" w:hAnsi="Arial"/>
                  <w:sz w:val="18"/>
                  <w:szCs w:val="18"/>
                  <w:b w:val="1"/>
                  <w:bCs w:val="1"/>
                  <w:color w:val="0000EE"/>
                  <w:w w:val="94"/>
                </w:rPr>
                <w:t>Part II — Other Information</w:t>
              </w:r>
            </w:hyperlink>
          </w:p>
        </w:tc>
        <w:tc>
          <w:tcPr>
            <w:tcW w:w="5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000" w:type="dxa"/>
            <w:vAlign w:val="bottom"/>
          </w:tcPr>
          <w:p>
            <w:pPr>
              <w:spacing w:after="0" w:line="196" w:lineRule="exact"/>
              <w:rPr>
                <w:sz w:val="20"/>
                <w:szCs w:val="20"/>
                <w:color w:val="auto"/>
              </w:rPr>
            </w:pPr>
            <w:r>
              <w:rPr>
                <w:rFonts w:ascii="Arial" w:cs="Arial" w:eastAsia="Arial" w:hAnsi="Arial"/>
                <w:sz w:val="18"/>
                <w:szCs w:val="18"/>
                <w:color w:val="auto"/>
              </w:rPr>
              <w:t>Item 1.</w:t>
            </w:r>
          </w:p>
        </w:tc>
        <w:tc>
          <w:tcPr>
            <w:tcW w:w="4260" w:type="dxa"/>
            <w:vAlign w:val="bottom"/>
            <w:gridSpan w:val="33"/>
          </w:tcPr>
          <w:p>
            <w:pPr>
              <w:spacing w:after="0" w:line="196" w:lineRule="exact"/>
              <w:rPr>
                <w:rFonts w:ascii="Arial" w:cs="Arial" w:eastAsia="Arial" w:hAnsi="Arial"/>
                <w:sz w:val="18"/>
                <w:szCs w:val="18"/>
                <w:color w:val="0000EE"/>
              </w:rPr>
            </w:pPr>
            <w:hyperlink w:anchor="page151">
              <w:r>
                <w:rPr>
                  <w:rFonts w:ascii="Arial" w:cs="Arial" w:eastAsia="Arial" w:hAnsi="Arial"/>
                  <w:sz w:val="18"/>
                  <w:szCs w:val="18"/>
                  <w:color w:val="0000EE"/>
                </w:rPr>
                <w:t>Legal Proceedings</w:t>
              </w:r>
            </w:hyperlink>
          </w:p>
        </w:tc>
        <w:tc>
          <w:tcPr>
            <w:tcW w:w="2180" w:type="dxa"/>
            <w:vAlign w:val="bottom"/>
            <w:tcBorders>
              <w:top w:val="single" w:sz="8" w:color="0000EE"/>
            </w:tcBorders>
            <w:gridSpan w:val="5"/>
          </w:tcPr>
          <w:p>
            <w:pPr>
              <w:spacing w:after="0"/>
              <w:rPr>
                <w:sz w:val="17"/>
                <w:szCs w:val="17"/>
                <w:color w:val="auto"/>
              </w:rPr>
            </w:pPr>
          </w:p>
        </w:tc>
        <w:tc>
          <w:tcPr>
            <w:tcW w:w="3380" w:type="dxa"/>
            <w:vAlign w:val="bottom"/>
            <w:gridSpan w:val="2"/>
          </w:tcPr>
          <w:p>
            <w:pPr>
              <w:spacing w:after="0"/>
              <w:rPr>
                <w:sz w:val="17"/>
                <w:szCs w:val="17"/>
                <w:color w:val="auto"/>
              </w:rPr>
            </w:pPr>
          </w:p>
        </w:tc>
        <w:tc>
          <w:tcPr>
            <w:tcW w:w="500" w:type="dxa"/>
            <w:vAlign w:val="bottom"/>
          </w:tcPr>
          <w:p>
            <w:pPr>
              <w:jc w:val="right"/>
              <w:spacing w:after="0" w:line="196" w:lineRule="exact"/>
              <w:rPr>
                <w:sz w:val="20"/>
                <w:szCs w:val="20"/>
                <w:color w:val="auto"/>
              </w:rPr>
            </w:pPr>
            <w:r>
              <w:rPr>
                <w:rFonts w:ascii="Arial" w:cs="Arial" w:eastAsia="Arial" w:hAnsi="Arial"/>
                <w:sz w:val="18"/>
                <w:szCs w:val="18"/>
                <w:color w:val="auto"/>
              </w:rPr>
              <w:t>149</w:t>
            </w:r>
          </w:p>
        </w:tc>
        <w:tc>
          <w:tcPr>
            <w:tcW w:w="0" w:type="dxa"/>
            <w:vAlign w:val="bottom"/>
          </w:tcPr>
          <w:p>
            <w:pPr>
              <w:spacing w:after="0"/>
              <w:rPr>
                <w:sz w:val="1"/>
                <w:szCs w:val="1"/>
                <w:color w:val="auto"/>
              </w:rPr>
            </w:pPr>
          </w:p>
        </w:tc>
      </w:tr>
      <w:tr>
        <w:trPr>
          <w:trHeight w:val="196"/>
        </w:trPr>
        <w:tc>
          <w:tcPr>
            <w:tcW w:w="1000" w:type="dxa"/>
            <w:vAlign w:val="bottom"/>
          </w:tcPr>
          <w:p>
            <w:pPr>
              <w:spacing w:after="0" w:line="196" w:lineRule="exact"/>
              <w:rPr>
                <w:sz w:val="20"/>
                <w:szCs w:val="20"/>
                <w:color w:val="auto"/>
              </w:rPr>
            </w:pPr>
            <w:r>
              <w:rPr>
                <w:rFonts w:ascii="Arial" w:cs="Arial" w:eastAsia="Arial" w:hAnsi="Arial"/>
                <w:sz w:val="18"/>
                <w:szCs w:val="18"/>
                <w:color w:val="auto"/>
              </w:rPr>
              <w:t>Item 1A.</w:t>
            </w:r>
          </w:p>
        </w:tc>
        <w:tc>
          <w:tcPr>
            <w:tcW w:w="880" w:type="dxa"/>
            <w:vAlign w:val="bottom"/>
            <w:tcBorders>
              <w:top w:val="single" w:sz="8" w:color="0000EE"/>
              <w:bottom w:val="single" w:sz="8" w:color="0000EE"/>
            </w:tcBorders>
            <w:gridSpan w:val="3"/>
          </w:tcPr>
          <w:p>
            <w:pPr>
              <w:spacing w:after="0" w:line="196" w:lineRule="exact"/>
              <w:rPr>
                <w:rFonts w:ascii="Arial" w:cs="Arial" w:eastAsia="Arial" w:hAnsi="Arial"/>
                <w:sz w:val="18"/>
                <w:szCs w:val="18"/>
                <w:color w:val="0000EE"/>
                <w:w w:val="85"/>
              </w:rPr>
            </w:pPr>
            <w:hyperlink w:anchor="page154">
              <w:r>
                <w:rPr>
                  <w:rFonts w:ascii="Arial" w:cs="Arial" w:eastAsia="Arial" w:hAnsi="Arial"/>
                  <w:sz w:val="18"/>
                  <w:szCs w:val="18"/>
                  <w:color w:val="0000EE"/>
                  <w:w w:val="85"/>
                </w:rPr>
                <w:t>Risk Factors</w:t>
              </w:r>
            </w:hyperlink>
          </w:p>
        </w:tc>
        <w:tc>
          <w:tcPr>
            <w:tcW w:w="120" w:type="dxa"/>
            <w:vAlign w:val="bottom"/>
            <w:tcBorders>
              <w:top w:val="single" w:sz="8" w:color="0000EE"/>
            </w:tcBorders>
          </w:tcPr>
          <w:p>
            <w:pPr>
              <w:spacing w:after="0"/>
              <w:rPr>
                <w:sz w:val="17"/>
                <w:szCs w:val="17"/>
                <w:color w:val="auto"/>
              </w:rPr>
            </w:pPr>
          </w:p>
        </w:tc>
        <w:tc>
          <w:tcPr>
            <w:tcW w:w="300" w:type="dxa"/>
            <w:vAlign w:val="bottom"/>
            <w:tcBorders>
              <w:top w:val="single" w:sz="8" w:color="0000EE"/>
            </w:tcBorders>
          </w:tcPr>
          <w:p>
            <w:pPr>
              <w:spacing w:after="0"/>
              <w:rPr>
                <w:sz w:val="17"/>
                <w:szCs w:val="17"/>
                <w:color w:val="auto"/>
              </w:rPr>
            </w:pPr>
          </w:p>
        </w:tc>
        <w:tc>
          <w:tcPr>
            <w:tcW w:w="3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80" w:type="dxa"/>
            <w:vAlign w:val="bottom"/>
          </w:tcPr>
          <w:p>
            <w:pPr>
              <w:spacing w:after="0"/>
              <w:rPr>
                <w:sz w:val="17"/>
                <w:szCs w:val="17"/>
                <w:color w:val="auto"/>
              </w:rPr>
            </w:pPr>
          </w:p>
        </w:tc>
        <w:tc>
          <w:tcPr>
            <w:tcW w:w="500" w:type="dxa"/>
            <w:vAlign w:val="bottom"/>
          </w:tcPr>
          <w:p>
            <w:pPr>
              <w:jc w:val="right"/>
              <w:spacing w:after="0" w:line="196" w:lineRule="exact"/>
              <w:rPr>
                <w:sz w:val="20"/>
                <w:szCs w:val="20"/>
                <w:color w:val="auto"/>
              </w:rPr>
            </w:pPr>
            <w:r>
              <w:rPr>
                <w:rFonts w:ascii="Arial" w:cs="Arial" w:eastAsia="Arial" w:hAnsi="Arial"/>
                <w:sz w:val="18"/>
                <w:szCs w:val="18"/>
                <w:color w:val="auto"/>
              </w:rPr>
              <w:t>152</w:t>
            </w:r>
          </w:p>
        </w:tc>
        <w:tc>
          <w:tcPr>
            <w:tcW w:w="0" w:type="dxa"/>
            <w:vAlign w:val="bottom"/>
          </w:tcPr>
          <w:p>
            <w:pPr>
              <w:spacing w:after="0"/>
              <w:rPr>
                <w:sz w:val="1"/>
                <w:szCs w:val="1"/>
                <w:color w:val="auto"/>
              </w:rPr>
            </w:pPr>
          </w:p>
        </w:tc>
      </w:tr>
      <w:tr>
        <w:trPr>
          <w:trHeight w:val="196"/>
        </w:trPr>
        <w:tc>
          <w:tcPr>
            <w:tcW w:w="1000" w:type="dxa"/>
            <w:vAlign w:val="bottom"/>
          </w:tcPr>
          <w:p>
            <w:pPr>
              <w:spacing w:after="0" w:line="196" w:lineRule="exact"/>
              <w:rPr>
                <w:sz w:val="20"/>
                <w:szCs w:val="20"/>
                <w:color w:val="auto"/>
              </w:rPr>
            </w:pPr>
            <w:r>
              <w:rPr>
                <w:rFonts w:ascii="Arial" w:cs="Arial" w:eastAsia="Arial" w:hAnsi="Arial"/>
                <w:sz w:val="18"/>
                <w:szCs w:val="18"/>
                <w:color w:val="auto"/>
              </w:rPr>
              <w:t>Item 6.</w:t>
            </w:r>
          </w:p>
        </w:tc>
        <w:tc>
          <w:tcPr>
            <w:tcW w:w="580" w:type="dxa"/>
            <w:vAlign w:val="bottom"/>
            <w:tcBorders>
              <w:bottom w:val="single" w:sz="8" w:color="0000EE"/>
            </w:tcBorders>
          </w:tcPr>
          <w:p>
            <w:pPr>
              <w:spacing w:after="0" w:line="196" w:lineRule="exact"/>
              <w:rPr>
                <w:rFonts w:ascii="Arial" w:cs="Arial" w:eastAsia="Arial" w:hAnsi="Arial"/>
                <w:sz w:val="18"/>
                <w:szCs w:val="18"/>
                <w:color w:val="0000EE"/>
                <w:w w:val="88"/>
              </w:rPr>
            </w:pPr>
            <w:hyperlink w:anchor="page169">
              <w:r>
                <w:rPr>
                  <w:rFonts w:ascii="Arial" w:cs="Arial" w:eastAsia="Arial" w:hAnsi="Arial"/>
                  <w:sz w:val="18"/>
                  <w:szCs w:val="18"/>
                  <w:color w:val="0000EE"/>
                  <w:w w:val="88"/>
                </w:rPr>
                <w:t>Exhibits</w:t>
              </w:r>
            </w:hyperlink>
          </w:p>
        </w:tc>
        <w:tc>
          <w:tcPr>
            <w:tcW w:w="420" w:type="dxa"/>
            <w:vAlign w:val="bottom"/>
            <w:gridSpan w:val="3"/>
          </w:tcPr>
          <w:p>
            <w:pPr>
              <w:spacing w:after="0"/>
              <w:rPr>
                <w:sz w:val="17"/>
                <w:szCs w:val="17"/>
                <w:color w:val="auto"/>
              </w:rPr>
            </w:pPr>
          </w:p>
        </w:tc>
        <w:tc>
          <w:tcPr>
            <w:tcW w:w="3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80" w:type="dxa"/>
            <w:vAlign w:val="bottom"/>
          </w:tcPr>
          <w:p>
            <w:pPr>
              <w:spacing w:after="0"/>
              <w:rPr>
                <w:sz w:val="17"/>
                <w:szCs w:val="17"/>
                <w:color w:val="auto"/>
              </w:rPr>
            </w:pPr>
          </w:p>
        </w:tc>
        <w:tc>
          <w:tcPr>
            <w:tcW w:w="500" w:type="dxa"/>
            <w:vAlign w:val="bottom"/>
          </w:tcPr>
          <w:p>
            <w:pPr>
              <w:jc w:val="right"/>
              <w:spacing w:after="0" w:line="196" w:lineRule="exact"/>
              <w:rPr>
                <w:sz w:val="20"/>
                <w:szCs w:val="20"/>
                <w:color w:val="auto"/>
              </w:rPr>
            </w:pPr>
            <w:r>
              <w:rPr>
                <w:rFonts w:ascii="Arial" w:cs="Arial" w:eastAsia="Arial" w:hAnsi="Arial"/>
                <w:sz w:val="18"/>
                <w:szCs w:val="18"/>
                <w:color w:val="auto"/>
              </w:rPr>
              <w:t>167</w:t>
            </w:r>
          </w:p>
        </w:tc>
        <w:tc>
          <w:tcPr>
            <w:tcW w:w="0" w:type="dxa"/>
            <w:vAlign w:val="bottom"/>
          </w:tcPr>
          <w:p>
            <w:pPr>
              <w:spacing w:after="0"/>
              <w:rPr>
                <w:sz w:val="1"/>
                <w:szCs w:val="1"/>
                <w:color w:val="auto"/>
              </w:rPr>
            </w:pPr>
          </w:p>
        </w:tc>
      </w:tr>
      <w:tr>
        <w:trPr>
          <w:trHeight w:val="196"/>
        </w:trPr>
        <w:tc>
          <w:tcPr>
            <w:tcW w:w="1000" w:type="dxa"/>
            <w:vAlign w:val="bottom"/>
          </w:tcPr>
          <w:p>
            <w:pPr>
              <w:spacing w:after="0"/>
              <w:rPr>
                <w:sz w:val="17"/>
                <w:szCs w:val="17"/>
                <w:color w:val="auto"/>
              </w:rPr>
            </w:pPr>
          </w:p>
        </w:tc>
        <w:tc>
          <w:tcPr>
            <w:tcW w:w="1000" w:type="dxa"/>
            <w:vAlign w:val="bottom"/>
            <w:gridSpan w:val="4"/>
          </w:tcPr>
          <w:p>
            <w:pPr>
              <w:spacing w:after="0" w:line="196" w:lineRule="exact"/>
              <w:rPr>
                <w:rFonts w:ascii="Arial" w:cs="Arial" w:eastAsia="Arial" w:hAnsi="Arial"/>
                <w:sz w:val="18"/>
                <w:szCs w:val="18"/>
                <w:color w:val="0000EE"/>
              </w:rPr>
            </w:pPr>
            <w:hyperlink w:anchor="page170">
              <w:r>
                <w:rPr>
                  <w:rFonts w:ascii="Arial" w:cs="Arial" w:eastAsia="Arial" w:hAnsi="Arial"/>
                  <w:sz w:val="18"/>
                  <w:szCs w:val="18"/>
                  <w:color w:val="0000EE"/>
                </w:rPr>
                <w:t>Signature</w:t>
              </w:r>
            </w:hyperlink>
          </w:p>
        </w:tc>
        <w:tc>
          <w:tcPr>
            <w:tcW w:w="3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80" w:type="dxa"/>
            <w:vAlign w:val="bottom"/>
          </w:tcPr>
          <w:p>
            <w:pPr>
              <w:spacing w:after="0"/>
              <w:rPr>
                <w:sz w:val="17"/>
                <w:szCs w:val="17"/>
                <w:color w:val="auto"/>
              </w:rPr>
            </w:pPr>
          </w:p>
        </w:tc>
        <w:tc>
          <w:tcPr>
            <w:tcW w:w="500" w:type="dxa"/>
            <w:vAlign w:val="bottom"/>
          </w:tcPr>
          <w:p>
            <w:pPr>
              <w:jc w:val="right"/>
              <w:spacing w:after="0" w:line="196" w:lineRule="exact"/>
              <w:rPr>
                <w:sz w:val="20"/>
                <w:szCs w:val="20"/>
                <w:color w:val="auto"/>
              </w:rPr>
            </w:pPr>
            <w:r>
              <w:rPr>
                <w:rFonts w:ascii="Arial" w:cs="Arial" w:eastAsia="Arial" w:hAnsi="Arial"/>
                <w:sz w:val="18"/>
                <w:szCs w:val="18"/>
                <w:color w:val="auto"/>
              </w:rPr>
              <w:t>168</w:t>
            </w:r>
          </w:p>
        </w:tc>
        <w:tc>
          <w:tcPr>
            <w:tcW w:w="0" w:type="dxa"/>
            <w:vAlign w:val="bottom"/>
          </w:tcPr>
          <w:p>
            <w:pPr>
              <w:spacing w:after="0"/>
              <w:rPr>
                <w:sz w:val="1"/>
                <w:szCs w:val="1"/>
                <w:color w:val="auto"/>
              </w:rPr>
            </w:pPr>
          </w:p>
        </w:tc>
      </w:tr>
      <w:tr>
        <w:trPr>
          <w:trHeight w:val="20"/>
        </w:trPr>
        <w:tc>
          <w:tcPr>
            <w:tcW w:w="1000" w:type="dxa"/>
            <w:vAlign w:val="bottom"/>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1">
            <w:col w:w="11320"/>
          </w:cols>
          <w:pgMar w:left="240" w:top="459" w:right="339" w:bottom="1440" w:gutter="0" w:footer="0" w:header="0"/>
        </w:sectPr>
      </w:pPr>
    </w:p>
    <w:bookmarkStart w:id="2" w:name="page3"/>
    <w:bookmarkEnd w:id="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Condensed Consolidated Financial Statements</w:t>
      </w:r>
    </w:p>
    <w:p>
      <w:pPr>
        <w:spacing w:after="0" w:line="171" w:lineRule="exact"/>
        <w:rPr>
          <w:sz w:val="20"/>
          <w:szCs w:val="20"/>
          <w:color w:val="auto"/>
        </w:rPr>
      </w:pPr>
    </w:p>
    <w:p>
      <w:pPr>
        <w:ind w:left="3080"/>
        <w:spacing w:after="0"/>
        <w:rPr>
          <w:sz w:val="20"/>
          <w:szCs w:val="20"/>
          <w:color w:val="auto"/>
        </w:rPr>
      </w:pPr>
      <w:r>
        <w:rPr>
          <w:rFonts w:ascii="Arial" w:cs="Arial" w:eastAsia="Arial" w:hAnsi="Arial"/>
          <w:sz w:val="18"/>
          <w:szCs w:val="18"/>
          <w:b w:val="1"/>
          <w:bCs w:val="1"/>
          <w:color w:val="auto"/>
        </w:rPr>
        <w:t>CONDENSED CONSOLIDATED STATEMENTS OF OPERATIONS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millions, except per share amounts)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4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0" w:type="dxa"/>
            <w:vAlign w:val="bottom"/>
            <w:gridSpan w:val="2"/>
          </w:tcPr>
          <w:p>
            <w:pPr>
              <w:jc w:val="center"/>
              <w:ind w:right="560"/>
              <w:spacing w:after="0"/>
              <w:rPr>
                <w:sz w:val="20"/>
                <w:szCs w:val="20"/>
                <w:color w:val="auto"/>
              </w:rPr>
            </w:pPr>
            <w:r>
              <w:rPr>
                <w:rFonts w:ascii="Arial" w:cs="Arial" w:eastAsia="Arial" w:hAnsi="Arial"/>
                <w:sz w:val="14"/>
                <w:szCs w:val="14"/>
                <w:b w:val="1"/>
                <w:bCs w:val="1"/>
                <w:color w:val="auto"/>
                <w:w w:val="79"/>
              </w:rPr>
              <w:t>Successor</w:t>
            </w:r>
          </w:p>
        </w:tc>
        <w:tc>
          <w:tcPr>
            <w:tcW w:w="1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540" w:type="dxa"/>
            <w:vAlign w:val="bottom"/>
            <w:tcBorders>
              <w:right w:val="single" w:sz="8" w:color="auto"/>
            </w:tcBorders>
          </w:tcPr>
          <w:p>
            <w:pPr>
              <w:spacing w:after="0"/>
              <w:rPr>
                <w:sz w:val="14"/>
                <w:szCs w:val="14"/>
                <w:color w:val="auto"/>
              </w:rPr>
            </w:pPr>
          </w:p>
        </w:tc>
        <w:tc>
          <w:tcPr>
            <w:tcW w:w="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0" w:type="dxa"/>
            <w:vAlign w:val="bottom"/>
            <w:gridSpan w:val="6"/>
          </w:tcPr>
          <w:p>
            <w:pPr>
              <w:jc w:val="right"/>
              <w:ind w:right="660"/>
              <w:spacing w:after="0"/>
              <w:rPr>
                <w:sz w:val="20"/>
                <w:szCs w:val="20"/>
                <w:color w:val="auto"/>
              </w:rPr>
            </w:pPr>
            <w:r>
              <w:rPr>
                <w:rFonts w:ascii="Arial" w:cs="Arial" w:eastAsia="Arial" w:hAnsi="Arial"/>
                <w:sz w:val="14"/>
                <w:szCs w:val="14"/>
                <w:b w:val="1"/>
                <w:bCs w:val="1"/>
                <w:color w:val="auto"/>
              </w:rPr>
              <w:t>Predecessor</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442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1020" w:type="dxa"/>
            <w:vAlign w:val="bottom"/>
            <w:tcBorders>
              <w:top w:val="single" w:sz="8" w:color="auto"/>
            </w:tcBorders>
          </w:tcPr>
          <w:p>
            <w:pPr>
              <w:spacing w:after="0"/>
              <w:rPr>
                <w:sz w:val="11"/>
                <w:szCs w:val="11"/>
                <w:color w:val="auto"/>
              </w:rPr>
            </w:pPr>
          </w:p>
        </w:tc>
        <w:tc>
          <w:tcPr>
            <w:tcW w:w="240" w:type="dxa"/>
            <w:vAlign w:val="bottom"/>
            <w:tcBorders>
              <w:top w:val="single" w:sz="8" w:color="auto"/>
            </w:tcBorders>
          </w:tcPr>
          <w:p>
            <w:pPr>
              <w:spacing w:after="0"/>
              <w:rPr>
                <w:sz w:val="11"/>
                <w:szCs w:val="11"/>
                <w:color w:val="auto"/>
              </w:rPr>
            </w:pPr>
          </w:p>
        </w:tc>
        <w:tc>
          <w:tcPr>
            <w:tcW w:w="180" w:type="dxa"/>
            <w:vAlign w:val="bottom"/>
            <w:tcBorders>
              <w:top w:val="single" w:sz="8" w:color="auto"/>
            </w:tcBorders>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980" w:type="dxa"/>
            <w:vAlign w:val="bottom"/>
            <w:tcBorders>
              <w:top w:val="single" w:sz="8" w:color="auto"/>
            </w:tcBorders>
          </w:tcPr>
          <w:p>
            <w:pPr>
              <w:spacing w:after="0"/>
              <w:rPr>
                <w:sz w:val="11"/>
                <w:szCs w:val="11"/>
                <w:color w:val="auto"/>
              </w:rPr>
            </w:pPr>
          </w:p>
        </w:tc>
        <w:tc>
          <w:tcPr>
            <w:tcW w:w="420" w:type="dxa"/>
            <w:vAlign w:val="bottom"/>
            <w:tcBorders>
              <w:top w:val="single" w:sz="8" w:color="auto"/>
            </w:tcBorders>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1000" w:type="dxa"/>
            <w:vAlign w:val="bottom"/>
            <w:tcBorders>
              <w:top w:val="single" w:sz="8" w:color="auto"/>
            </w:tcBorders>
          </w:tcPr>
          <w:p>
            <w:pPr>
              <w:spacing w:after="0"/>
              <w:rPr>
                <w:sz w:val="11"/>
                <w:szCs w:val="11"/>
                <w:color w:val="auto"/>
              </w:rPr>
            </w:pPr>
          </w:p>
        </w:tc>
        <w:tc>
          <w:tcPr>
            <w:tcW w:w="540" w:type="dxa"/>
            <w:vAlign w:val="bottom"/>
            <w:tcBorders>
              <w:right w:val="single" w:sz="8" w:color="auto"/>
            </w:tcBorders>
          </w:tcPr>
          <w:p>
            <w:pPr>
              <w:spacing w:after="0"/>
              <w:rPr>
                <w:sz w:val="11"/>
                <w:szCs w:val="11"/>
                <w:color w:val="auto"/>
              </w:rPr>
            </w:pPr>
          </w:p>
        </w:tc>
        <w:tc>
          <w:tcPr>
            <w:tcW w:w="30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820" w:type="dxa"/>
            <w:vAlign w:val="bottom"/>
            <w:tcBorders>
              <w:top w:val="single" w:sz="8" w:color="auto"/>
            </w:tcBorders>
            <w:gridSpan w:val="2"/>
          </w:tcPr>
          <w:p>
            <w:pPr>
              <w:jc w:val="center"/>
              <w:ind w:right="360"/>
              <w:spacing w:after="0" w:line="129" w:lineRule="exact"/>
              <w:rPr>
                <w:sz w:val="20"/>
                <w:szCs w:val="20"/>
                <w:color w:val="auto"/>
              </w:rPr>
            </w:pPr>
            <w:r>
              <w:rPr>
                <w:rFonts w:ascii="Arial" w:cs="Arial" w:eastAsia="Arial" w:hAnsi="Arial"/>
                <w:sz w:val="14"/>
                <w:szCs w:val="14"/>
                <w:b w:val="1"/>
                <w:bCs w:val="1"/>
                <w:color w:val="auto"/>
                <w:w w:val="87"/>
              </w:rPr>
              <w:t>July 1,</w:t>
            </w:r>
          </w:p>
        </w:tc>
        <w:tc>
          <w:tcPr>
            <w:tcW w:w="200" w:type="dxa"/>
            <w:vAlign w:val="bottom"/>
            <w:tcBorders>
              <w:top w:val="single" w:sz="8" w:color="auto"/>
            </w:tcBorders>
          </w:tcPr>
          <w:p>
            <w:pPr>
              <w:spacing w:after="0"/>
              <w:rPr>
                <w:sz w:val="11"/>
                <w:szCs w:val="11"/>
                <w:color w:val="auto"/>
              </w:rPr>
            </w:pPr>
          </w:p>
        </w:tc>
        <w:tc>
          <w:tcPr>
            <w:tcW w:w="680" w:type="dxa"/>
            <w:vAlign w:val="bottom"/>
            <w:tcBorders>
              <w:top w:val="single" w:sz="8" w:color="auto"/>
            </w:tcBorders>
            <w:gridSpan w:val="2"/>
          </w:tcPr>
          <w:p>
            <w:pPr>
              <w:spacing w:after="0" w:line="129" w:lineRule="exact"/>
              <w:rPr>
                <w:sz w:val="20"/>
                <w:szCs w:val="20"/>
                <w:color w:val="auto"/>
              </w:rPr>
            </w:pPr>
            <w:r>
              <w:rPr>
                <w:rFonts w:ascii="Arial" w:cs="Arial" w:eastAsia="Arial" w:hAnsi="Arial"/>
                <w:sz w:val="14"/>
                <w:szCs w:val="14"/>
                <w:b w:val="1"/>
                <w:bCs w:val="1"/>
                <w:color w:val="auto"/>
                <w:w w:val="95"/>
              </w:rPr>
              <w:t>January 1,</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4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540" w:type="dxa"/>
            <w:vAlign w:val="bottom"/>
            <w:tcBorders>
              <w:right w:val="single" w:sz="8" w:color="auto"/>
            </w:tcBorders>
          </w:tcPr>
          <w:p>
            <w:pPr>
              <w:spacing w:after="0"/>
              <w:rPr>
                <w:sz w:val="12"/>
                <w:szCs w:val="12"/>
                <w:color w:val="auto"/>
              </w:rPr>
            </w:pPr>
          </w:p>
        </w:tc>
        <w:tc>
          <w:tcPr>
            <w:tcW w:w="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3"/>
              </w:rPr>
              <w:t>2009</w:t>
            </w:r>
          </w:p>
        </w:tc>
        <w:tc>
          <w:tcPr>
            <w:tcW w:w="2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jc w:val="center"/>
              <w:ind w:right="35"/>
              <w:spacing w:after="0" w:line="149" w:lineRule="exact"/>
              <w:rPr>
                <w:sz w:val="20"/>
                <w:szCs w:val="20"/>
                <w:color w:val="auto"/>
              </w:rPr>
            </w:pPr>
            <w:r>
              <w:rPr>
                <w:rFonts w:ascii="Arial" w:cs="Arial" w:eastAsia="Arial" w:hAnsi="Arial"/>
                <w:sz w:val="14"/>
                <w:szCs w:val="14"/>
                <w:b w:val="1"/>
                <w:bCs w:val="1"/>
                <w:color w:val="auto"/>
                <w:w w:val="83"/>
              </w:rPr>
              <w:t>2009</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4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60" w:type="dxa"/>
            <w:vAlign w:val="bottom"/>
            <w:gridSpan w:val="2"/>
          </w:tcPr>
          <w:p>
            <w:pPr>
              <w:jc w:val="right"/>
              <w:ind w:right="400"/>
              <w:spacing w:after="0" w:line="149" w:lineRule="exact"/>
              <w:rPr>
                <w:sz w:val="20"/>
                <w:szCs w:val="20"/>
                <w:color w:val="auto"/>
              </w:rPr>
            </w:pPr>
            <w:r>
              <w:rPr>
                <w:rFonts w:ascii="Arial" w:cs="Arial" w:eastAsia="Arial" w:hAnsi="Arial"/>
                <w:sz w:val="14"/>
                <w:szCs w:val="14"/>
                <w:b w:val="1"/>
                <w:bCs w:val="1"/>
                <w:color w:val="auto"/>
                <w:w w:val="91"/>
              </w:rPr>
              <w:t>Three Months</w:t>
            </w: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0" w:type="dxa"/>
            <w:vAlign w:val="bottom"/>
            <w:gridSpan w:val="2"/>
          </w:tcPr>
          <w:p>
            <w:pPr>
              <w:jc w:val="center"/>
              <w:ind w:right="560"/>
              <w:spacing w:after="0" w:line="149" w:lineRule="exact"/>
              <w:rPr>
                <w:sz w:val="20"/>
                <w:szCs w:val="20"/>
                <w:color w:val="auto"/>
              </w:rPr>
            </w:pPr>
            <w:r>
              <w:rPr>
                <w:rFonts w:ascii="Arial" w:cs="Arial" w:eastAsia="Arial" w:hAnsi="Arial"/>
                <w:sz w:val="14"/>
                <w:szCs w:val="14"/>
                <w:b w:val="1"/>
                <w:bCs w:val="1"/>
                <w:color w:val="auto"/>
                <w:w w:val="90"/>
              </w:rPr>
              <w:t>Nine Months</w:t>
            </w:r>
          </w:p>
        </w:tc>
        <w:tc>
          <w:tcPr>
            <w:tcW w:w="140" w:type="dxa"/>
            <w:vAlign w:val="bottom"/>
          </w:tcPr>
          <w:p>
            <w:pPr>
              <w:spacing w:after="0"/>
              <w:rPr>
                <w:sz w:val="12"/>
                <w:szCs w:val="12"/>
                <w:color w:val="auto"/>
              </w:rPr>
            </w:pPr>
          </w:p>
        </w:tc>
        <w:tc>
          <w:tcPr>
            <w:tcW w:w="1540" w:type="dxa"/>
            <w:vAlign w:val="bottom"/>
            <w:tcBorders>
              <w:right w:val="single" w:sz="8" w:color="auto"/>
            </w:tcBorders>
            <w:gridSpan w:val="2"/>
          </w:tcPr>
          <w:p>
            <w:pPr>
              <w:jc w:val="right"/>
              <w:ind w:right="740"/>
              <w:spacing w:after="0" w:line="149" w:lineRule="exact"/>
              <w:rPr>
                <w:sz w:val="20"/>
                <w:szCs w:val="20"/>
                <w:color w:val="auto"/>
              </w:rPr>
            </w:pPr>
            <w:r>
              <w:rPr>
                <w:rFonts w:ascii="Arial" w:cs="Arial" w:eastAsia="Arial" w:hAnsi="Arial"/>
                <w:sz w:val="14"/>
                <w:szCs w:val="14"/>
                <w:b w:val="1"/>
                <w:bCs w:val="1"/>
                <w:color w:val="auto"/>
                <w:w w:val="90"/>
              </w:rPr>
              <w:t>July 10, 2009</w:t>
            </w:r>
          </w:p>
        </w:tc>
        <w:tc>
          <w:tcPr>
            <w:tcW w:w="300" w:type="dxa"/>
            <w:vAlign w:val="bottom"/>
          </w:tcPr>
          <w:p>
            <w:pPr>
              <w:spacing w:after="0"/>
              <w:rPr>
                <w:sz w:val="12"/>
                <w:szCs w:val="12"/>
                <w:color w:val="auto"/>
              </w:rPr>
            </w:pPr>
          </w:p>
        </w:tc>
        <w:tc>
          <w:tcPr>
            <w:tcW w:w="920" w:type="dxa"/>
            <w:vAlign w:val="bottom"/>
            <w:gridSpan w:val="3"/>
          </w:tcPr>
          <w:p>
            <w:pPr>
              <w:jc w:val="center"/>
              <w:ind w:right="220"/>
              <w:spacing w:after="0" w:line="149" w:lineRule="exact"/>
              <w:rPr>
                <w:sz w:val="20"/>
                <w:szCs w:val="20"/>
                <w:color w:val="auto"/>
              </w:rPr>
            </w:pPr>
            <w:r>
              <w:rPr>
                <w:rFonts w:ascii="Arial" w:cs="Arial" w:eastAsia="Arial" w:hAnsi="Arial"/>
                <w:sz w:val="14"/>
                <w:szCs w:val="14"/>
                <w:b w:val="1"/>
                <w:bCs w:val="1"/>
                <w:color w:val="auto"/>
                <w:w w:val="87"/>
              </w:rPr>
              <w:t>Through</w:t>
            </w:r>
          </w:p>
        </w:tc>
        <w:tc>
          <w:tcPr>
            <w:tcW w:w="200" w:type="dxa"/>
            <w:vAlign w:val="bottom"/>
          </w:tcPr>
          <w:p>
            <w:pPr>
              <w:spacing w:after="0"/>
              <w:rPr>
                <w:sz w:val="12"/>
                <w:szCs w:val="12"/>
                <w:color w:val="auto"/>
              </w:rPr>
            </w:pPr>
          </w:p>
        </w:tc>
        <w:tc>
          <w:tcPr>
            <w:tcW w:w="780" w:type="dxa"/>
            <w:vAlign w:val="bottom"/>
            <w:gridSpan w:val="3"/>
          </w:tcPr>
          <w:p>
            <w:pPr>
              <w:jc w:val="center"/>
              <w:ind w:right="120"/>
              <w:spacing w:after="0" w:line="149" w:lineRule="exact"/>
              <w:rPr>
                <w:sz w:val="20"/>
                <w:szCs w:val="20"/>
                <w:color w:val="auto"/>
              </w:rPr>
            </w:pPr>
            <w:r>
              <w:rPr>
                <w:rFonts w:ascii="Arial" w:cs="Arial" w:eastAsia="Arial" w:hAnsi="Arial"/>
                <w:sz w:val="14"/>
                <w:szCs w:val="14"/>
                <w:b w:val="1"/>
                <w:bCs w:val="1"/>
                <w:color w:val="auto"/>
                <w:w w:val="87"/>
              </w:rPr>
              <w:t>Through</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4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60" w:type="dxa"/>
            <w:vAlign w:val="bottom"/>
            <w:gridSpan w:val="2"/>
          </w:tcPr>
          <w:p>
            <w:pPr>
              <w:jc w:val="right"/>
              <w:ind w:right="620"/>
              <w:spacing w:after="0" w:line="149" w:lineRule="exact"/>
              <w:rPr>
                <w:sz w:val="20"/>
                <w:szCs w:val="20"/>
                <w:color w:val="auto"/>
              </w:rPr>
            </w:pPr>
            <w:r>
              <w:rPr>
                <w:rFonts w:ascii="Arial" w:cs="Arial" w:eastAsia="Arial" w:hAnsi="Arial"/>
                <w:sz w:val="14"/>
                <w:szCs w:val="14"/>
                <w:b w:val="1"/>
                <w:bCs w:val="1"/>
                <w:color w:val="auto"/>
              </w:rPr>
              <w:t>Ended</w:t>
            </w: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0" w:type="dxa"/>
            <w:vAlign w:val="bottom"/>
            <w:gridSpan w:val="2"/>
          </w:tcPr>
          <w:p>
            <w:pPr>
              <w:jc w:val="center"/>
              <w:ind w:right="560"/>
              <w:spacing w:after="0" w:line="149" w:lineRule="exact"/>
              <w:rPr>
                <w:sz w:val="20"/>
                <w:szCs w:val="20"/>
                <w:color w:val="auto"/>
              </w:rPr>
            </w:pPr>
            <w:r>
              <w:rPr>
                <w:rFonts w:ascii="Arial" w:cs="Arial" w:eastAsia="Arial" w:hAnsi="Arial"/>
                <w:sz w:val="14"/>
                <w:szCs w:val="14"/>
                <w:b w:val="1"/>
                <w:bCs w:val="1"/>
                <w:color w:val="auto"/>
                <w:w w:val="84"/>
              </w:rPr>
              <w:t>Ended</w:t>
            </w:r>
          </w:p>
        </w:tc>
        <w:tc>
          <w:tcPr>
            <w:tcW w:w="140" w:type="dxa"/>
            <w:vAlign w:val="bottom"/>
          </w:tcPr>
          <w:p>
            <w:pPr>
              <w:spacing w:after="0"/>
              <w:rPr>
                <w:sz w:val="12"/>
                <w:szCs w:val="12"/>
                <w:color w:val="auto"/>
              </w:rPr>
            </w:pPr>
          </w:p>
        </w:tc>
        <w:tc>
          <w:tcPr>
            <w:tcW w:w="1540" w:type="dxa"/>
            <w:vAlign w:val="bottom"/>
            <w:tcBorders>
              <w:right w:val="single" w:sz="8" w:color="auto"/>
            </w:tcBorders>
            <w:gridSpan w:val="2"/>
          </w:tcPr>
          <w:p>
            <w:pPr>
              <w:jc w:val="right"/>
              <w:ind w:right="860"/>
              <w:spacing w:after="0" w:line="149" w:lineRule="exact"/>
              <w:rPr>
                <w:sz w:val="20"/>
                <w:szCs w:val="20"/>
                <w:color w:val="auto"/>
              </w:rPr>
            </w:pPr>
            <w:r>
              <w:rPr>
                <w:rFonts w:ascii="Arial" w:cs="Arial" w:eastAsia="Arial" w:hAnsi="Arial"/>
                <w:sz w:val="14"/>
                <w:szCs w:val="14"/>
                <w:b w:val="1"/>
                <w:bCs w:val="1"/>
                <w:color w:val="auto"/>
              </w:rPr>
              <w:t>Through</w:t>
            </w:r>
          </w:p>
        </w:tc>
        <w:tc>
          <w:tcPr>
            <w:tcW w:w="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87"/>
              </w:rPr>
              <w:t>July 9,</w:t>
            </w: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87"/>
              </w:rPr>
              <w:t>July 9,</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4420" w:type="dxa"/>
            <w:vAlign w:val="bottom"/>
          </w:tcPr>
          <w:p>
            <w:pPr>
              <w:spacing w:after="0"/>
              <w:rPr>
                <w:sz w:val="14"/>
                <w:szCs w:val="14"/>
                <w:color w:val="auto"/>
              </w:rPr>
            </w:pPr>
          </w:p>
        </w:tc>
        <w:tc>
          <w:tcPr>
            <w:tcW w:w="1140" w:type="dxa"/>
            <w:vAlign w:val="bottom"/>
            <w:gridSpan w:val="2"/>
          </w:tcPr>
          <w:p>
            <w:pPr>
              <w:spacing w:after="0"/>
              <w:rPr>
                <w:sz w:val="20"/>
                <w:szCs w:val="20"/>
                <w:color w:val="auto"/>
              </w:rPr>
            </w:pPr>
            <w:r>
              <w:rPr>
                <w:rFonts w:ascii="Arial" w:cs="Arial" w:eastAsia="Arial" w:hAnsi="Arial"/>
                <w:sz w:val="14"/>
                <w:szCs w:val="14"/>
                <w:b w:val="1"/>
                <w:bCs w:val="1"/>
                <w:color w:val="auto"/>
                <w:w w:val="85"/>
              </w:rPr>
              <w:t>September 30, 2010</w:t>
            </w:r>
          </w:p>
        </w:tc>
        <w:tc>
          <w:tcPr>
            <w:tcW w:w="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540" w:type="dxa"/>
            <w:vAlign w:val="bottom"/>
            <w:gridSpan w:val="3"/>
          </w:tcPr>
          <w:p>
            <w:pPr>
              <w:spacing w:after="0"/>
              <w:rPr>
                <w:sz w:val="20"/>
                <w:szCs w:val="20"/>
                <w:color w:val="auto"/>
              </w:rPr>
            </w:pPr>
            <w:r>
              <w:rPr>
                <w:rFonts w:ascii="Arial" w:cs="Arial" w:eastAsia="Arial" w:hAnsi="Arial"/>
                <w:sz w:val="14"/>
                <w:szCs w:val="14"/>
                <w:b w:val="1"/>
                <w:bCs w:val="1"/>
                <w:color w:val="auto"/>
              </w:rPr>
              <w:t>September 30, 2010</w:t>
            </w:r>
          </w:p>
        </w:tc>
        <w:tc>
          <w:tcPr>
            <w:tcW w:w="1680" w:type="dxa"/>
            <w:vAlign w:val="bottom"/>
            <w:tcBorders>
              <w:right w:val="single" w:sz="8" w:color="auto"/>
            </w:tcBorders>
            <w:gridSpan w:val="3"/>
          </w:tcPr>
          <w:p>
            <w:pPr>
              <w:spacing w:after="0"/>
              <w:rPr>
                <w:sz w:val="20"/>
                <w:szCs w:val="20"/>
                <w:color w:val="auto"/>
              </w:rPr>
            </w:pPr>
            <w:r>
              <w:rPr>
                <w:rFonts w:ascii="Arial" w:cs="Arial" w:eastAsia="Arial" w:hAnsi="Arial"/>
                <w:sz w:val="14"/>
                <w:szCs w:val="14"/>
                <w:b w:val="1"/>
                <w:bCs w:val="1"/>
                <w:color w:val="auto"/>
              </w:rPr>
              <w:t>September 30, 2009</w:t>
            </w:r>
          </w:p>
        </w:tc>
        <w:tc>
          <w:tcPr>
            <w:tcW w:w="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jc w:val="center"/>
              <w:spacing w:after="0"/>
              <w:rPr>
                <w:sz w:val="20"/>
                <w:szCs w:val="20"/>
                <w:color w:val="auto"/>
              </w:rPr>
            </w:pPr>
            <w:r>
              <w:rPr>
                <w:rFonts w:ascii="Arial" w:cs="Arial" w:eastAsia="Arial" w:hAnsi="Arial"/>
                <w:sz w:val="14"/>
                <w:szCs w:val="14"/>
                <w:b w:val="1"/>
                <w:bCs w:val="1"/>
                <w:color w:val="auto"/>
                <w:w w:val="83"/>
              </w:rPr>
              <w:t>2009</w:t>
            </w:r>
          </w:p>
        </w:tc>
        <w:tc>
          <w:tcPr>
            <w:tcW w:w="2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jc w:val="center"/>
              <w:ind w:right="35"/>
              <w:spacing w:after="0"/>
              <w:rPr>
                <w:sz w:val="20"/>
                <w:szCs w:val="20"/>
                <w:color w:val="auto"/>
              </w:rPr>
            </w:pPr>
            <w:r>
              <w:rPr>
                <w:rFonts w:ascii="Arial" w:cs="Arial" w:eastAsia="Arial" w:hAnsi="Arial"/>
                <w:sz w:val="14"/>
                <w:szCs w:val="14"/>
                <w:b w:val="1"/>
                <w:bCs w:val="1"/>
                <w:color w:val="auto"/>
                <w:w w:val="83"/>
              </w:rPr>
              <w:t>2009</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44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540" w:type="dxa"/>
            <w:vAlign w:val="bottom"/>
            <w:tcBorders>
              <w:right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44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sales and revenue</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34,060</w:t>
            </w:r>
          </w:p>
        </w:tc>
        <w:tc>
          <w:tcPr>
            <w:tcW w:w="240" w:type="dxa"/>
            <w:vAlign w:val="bottom"/>
            <w:shd w:val="clear" w:color="auto" w:fill="CCEEFF"/>
          </w:tcPr>
          <w:p>
            <w:pPr>
              <w:spacing w:after="0"/>
              <w:rPr>
                <w:sz w:val="18"/>
                <w:szCs w:val="18"/>
                <w:color w:val="auto"/>
              </w:rPr>
            </w:pPr>
          </w:p>
        </w:tc>
        <w:tc>
          <w:tcPr>
            <w:tcW w:w="3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98,710</w:t>
            </w:r>
          </w:p>
        </w:tc>
        <w:tc>
          <w:tcPr>
            <w:tcW w:w="4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540" w:type="dxa"/>
            <w:vAlign w:val="bottom"/>
            <w:tcBorders>
              <w:right w:val="single" w:sz="8" w:color="auto"/>
            </w:tcBorders>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25,147</w:t>
            </w: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1,637</w:t>
            </w:r>
          </w:p>
        </w:tc>
        <w:tc>
          <w:tcPr>
            <w:tcW w:w="240" w:type="dxa"/>
            <w:vAlign w:val="bottom"/>
            <w:shd w:val="clear" w:color="auto" w:fill="CCEEFF"/>
          </w:tcPr>
          <w:p>
            <w:pPr>
              <w:spacing w:after="0"/>
              <w:rPr>
                <w:sz w:val="18"/>
                <w:szCs w:val="18"/>
                <w:color w:val="auto"/>
              </w:rPr>
            </w:pPr>
          </w:p>
        </w:tc>
        <w:tc>
          <w:tcPr>
            <w:tcW w:w="30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w w:val="79"/>
              </w:rPr>
              <w:t>$</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47,115</w:t>
            </w:r>
          </w:p>
        </w:tc>
        <w:tc>
          <w:tcPr>
            <w:tcW w:w="0" w:type="dxa"/>
            <w:vAlign w:val="bottom"/>
          </w:tcPr>
          <w:p>
            <w:pPr>
              <w:spacing w:after="0"/>
              <w:rPr>
                <w:sz w:val="1"/>
                <w:szCs w:val="1"/>
                <w:color w:val="auto"/>
              </w:rPr>
            </w:pPr>
          </w:p>
        </w:tc>
      </w:tr>
      <w:tr>
        <w:trPr>
          <w:trHeight w:val="222"/>
        </w:trPr>
        <w:tc>
          <w:tcPr>
            <w:tcW w:w="4440" w:type="dxa"/>
            <w:vAlign w:val="bottom"/>
            <w:gridSpan w:val="2"/>
          </w:tcPr>
          <w:p>
            <w:pPr>
              <w:spacing w:after="0"/>
              <w:rPr>
                <w:sz w:val="20"/>
                <w:szCs w:val="20"/>
                <w:color w:val="auto"/>
              </w:rPr>
            </w:pPr>
            <w:r>
              <w:rPr>
                <w:rFonts w:ascii="Arial" w:cs="Arial" w:eastAsia="Arial" w:hAnsi="Arial"/>
                <w:sz w:val="18"/>
                <w:szCs w:val="18"/>
                <w:b w:val="1"/>
                <w:bCs w:val="1"/>
                <w:color w:val="auto"/>
              </w:rPr>
              <w:t>Costs and expenses</w:t>
            </w:r>
          </w:p>
        </w:tc>
        <w:tc>
          <w:tcPr>
            <w:tcW w:w="120" w:type="dxa"/>
            <w:vAlign w:val="bottom"/>
            <w:tcBorders>
              <w:top w:val="single" w:sz="8" w:color="auto"/>
            </w:tcBorders>
          </w:tcPr>
          <w:p>
            <w:pPr>
              <w:spacing w:after="0"/>
              <w:rPr>
                <w:sz w:val="19"/>
                <w:szCs w:val="19"/>
                <w:color w:val="auto"/>
              </w:rPr>
            </w:pPr>
          </w:p>
        </w:tc>
        <w:tc>
          <w:tcPr>
            <w:tcW w:w="1020" w:type="dxa"/>
            <w:vAlign w:val="bottom"/>
            <w:tcBorders>
              <w:top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980" w:type="dxa"/>
            <w:vAlign w:val="bottom"/>
            <w:tcBorders>
              <w:top w:val="single" w:sz="8" w:color="auto"/>
            </w:tcBorders>
          </w:tcPr>
          <w:p>
            <w:pPr>
              <w:spacing w:after="0"/>
              <w:rPr>
                <w:sz w:val="19"/>
                <w:szCs w:val="19"/>
                <w:color w:val="auto"/>
              </w:rPr>
            </w:pPr>
          </w:p>
        </w:tc>
        <w:tc>
          <w:tcPr>
            <w:tcW w:w="42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1000" w:type="dxa"/>
            <w:vAlign w:val="bottom"/>
            <w:tcBorders>
              <w:top w:val="single" w:sz="8" w:color="auto"/>
            </w:tcBorders>
          </w:tcPr>
          <w:p>
            <w:pPr>
              <w:spacing w:after="0"/>
              <w:rPr>
                <w:sz w:val="19"/>
                <w:szCs w:val="19"/>
                <w:color w:val="auto"/>
              </w:rPr>
            </w:pPr>
          </w:p>
        </w:tc>
        <w:tc>
          <w:tcPr>
            <w:tcW w:w="540" w:type="dxa"/>
            <w:vAlign w:val="bottom"/>
            <w:tcBorders>
              <w:right w:val="single" w:sz="8" w:color="auto"/>
            </w:tcBorders>
          </w:tcPr>
          <w:p>
            <w:pPr>
              <w:spacing w:after="0"/>
              <w:rPr>
                <w:sz w:val="19"/>
                <w:szCs w:val="19"/>
                <w:color w:val="auto"/>
              </w:rPr>
            </w:pPr>
          </w:p>
        </w:tc>
        <w:tc>
          <w:tcPr>
            <w:tcW w:w="3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44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Cost of sales</w:t>
            </w:r>
          </w:p>
        </w:tc>
        <w:tc>
          <w:tcPr>
            <w:tcW w:w="1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29,468</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85,818</w:t>
            </w:r>
          </w:p>
        </w:tc>
        <w:tc>
          <w:tcPr>
            <w:tcW w:w="4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540" w:type="dxa"/>
            <w:vAlign w:val="bottom"/>
            <w:tcBorders>
              <w:right w:val="single" w:sz="8" w:color="auto"/>
            </w:tcBorders>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23,554</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1,819</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55,814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20" w:type="dxa"/>
            <w:vAlign w:val="bottom"/>
          </w:tcPr>
          <w:p>
            <w:pPr>
              <w:ind w:left="200"/>
              <w:spacing w:after="0"/>
              <w:rPr>
                <w:sz w:val="20"/>
                <w:szCs w:val="20"/>
                <w:color w:val="auto"/>
              </w:rPr>
            </w:pPr>
            <w:r>
              <w:rPr>
                <w:rFonts w:ascii="Arial" w:cs="Arial" w:eastAsia="Arial" w:hAnsi="Arial"/>
                <w:sz w:val="18"/>
                <w:szCs w:val="18"/>
                <w:color w:val="auto"/>
              </w:rPr>
              <w:t>Selling, general and administrative expense</w:t>
            </w:r>
          </w:p>
        </w:tc>
        <w:tc>
          <w:tcPr>
            <w:tcW w:w="120" w:type="dxa"/>
            <w:vAlign w:val="bottom"/>
          </w:tcPr>
          <w:p>
            <w:pPr>
              <w:spacing w:after="0"/>
              <w:rPr>
                <w:sz w:val="18"/>
                <w:szCs w:val="18"/>
                <w:color w:val="auto"/>
              </w:rPr>
            </w:pPr>
          </w:p>
        </w:tc>
        <w:tc>
          <w:tcPr>
            <w:tcW w:w="1260" w:type="dxa"/>
            <w:vAlign w:val="bottom"/>
            <w:gridSpan w:val="2"/>
          </w:tcPr>
          <w:p>
            <w:pPr>
              <w:jc w:val="right"/>
              <w:ind w:right="240"/>
              <w:spacing w:after="0"/>
              <w:rPr>
                <w:sz w:val="20"/>
                <w:szCs w:val="20"/>
                <w:color w:val="auto"/>
              </w:rPr>
            </w:pPr>
            <w:r>
              <w:rPr>
                <w:rFonts w:ascii="Arial" w:cs="Arial" w:eastAsia="Arial" w:hAnsi="Arial"/>
                <w:sz w:val="18"/>
                <w:szCs w:val="18"/>
                <w:color w:val="auto"/>
              </w:rPr>
              <w:t>2,710</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8,017</w:t>
            </w:r>
          </w:p>
        </w:tc>
        <w:tc>
          <w:tcPr>
            <w:tcW w:w="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40" w:type="dxa"/>
            <w:vAlign w:val="bottom"/>
            <w:tcBorders>
              <w:right w:val="single" w:sz="8" w:color="auto"/>
            </w:tcBorders>
            <w:gridSpan w:val="2"/>
          </w:tcPr>
          <w:p>
            <w:pPr>
              <w:jc w:val="right"/>
              <w:ind w:right="540"/>
              <w:spacing w:after="0"/>
              <w:rPr>
                <w:sz w:val="20"/>
                <w:szCs w:val="20"/>
                <w:color w:val="auto"/>
              </w:rPr>
            </w:pPr>
            <w:r>
              <w:rPr>
                <w:rFonts w:ascii="Arial" w:cs="Arial" w:eastAsia="Arial" w:hAnsi="Arial"/>
                <w:sz w:val="18"/>
                <w:szCs w:val="18"/>
                <w:color w:val="auto"/>
              </w:rPr>
              <w:t>2,636</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728</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6,161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Other expenses (income), net</w:t>
            </w: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115</w:t>
            </w:r>
          </w:p>
        </w:tc>
        <w:tc>
          <w:tcPr>
            <w:tcW w:w="140" w:type="dxa"/>
            <w:vAlign w:val="bottom"/>
            <w:shd w:val="clear" w:color="auto" w:fill="CCEEFF"/>
          </w:tcPr>
          <w:p>
            <w:pPr>
              <w:spacing w:after="0"/>
              <w:rPr>
                <w:sz w:val="18"/>
                <w:szCs w:val="18"/>
                <w:color w:val="auto"/>
              </w:rPr>
            </w:pPr>
          </w:p>
        </w:tc>
        <w:tc>
          <w:tcPr>
            <w:tcW w:w="1540" w:type="dxa"/>
            <w:vAlign w:val="bottom"/>
            <w:tcBorders>
              <w:right w:val="single" w:sz="8" w:color="auto"/>
            </w:tcBorders>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(40)</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1,235</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420" w:type="dxa"/>
            <w:vAlign w:val="bottom"/>
          </w:tcPr>
          <w:p>
            <w:pPr>
              <w:ind w:left="200"/>
              <w:spacing w:after="0"/>
              <w:rPr>
                <w:sz w:val="20"/>
                <w:szCs w:val="20"/>
                <w:color w:val="auto"/>
              </w:rPr>
            </w:pPr>
            <w:r>
              <w:rPr>
                <w:rFonts w:ascii="Arial" w:cs="Arial" w:eastAsia="Arial" w:hAnsi="Arial"/>
                <w:sz w:val="18"/>
                <w:szCs w:val="18"/>
                <w:color w:val="auto"/>
              </w:rPr>
              <w:t>Total costs and expenses</w:t>
            </w:r>
          </w:p>
        </w:tc>
        <w:tc>
          <w:tcPr>
            <w:tcW w:w="120" w:type="dxa"/>
            <w:vAlign w:val="bottom"/>
            <w:tcBorders>
              <w:top w:val="single" w:sz="8" w:color="auto"/>
              <w:bottom w:val="single" w:sz="8" w:color="auto"/>
            </w:tcBorders>
          </w:tcPr>
          <w:p>
            <w:pPr>
              <w:spacing w:after="0"/>
              <w:rPr>
                <w:sz w:val="20"/>
                <w:szCs w:val="20"/>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32,208</w:t>
            </w:r>
          </w:p>
        </w:tc>
        <w:tc>
          <w:tcPr>
            <w:tcW w:w="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0" w:type="dxa"/>
            <w:vAlign w:val="bottom"/>
            <w:tcBorders>
              <w:top w:val="single" w:sz="8" w:color="auto"/>
              <w:bottom w:val="single" w:sz="8" w:color="auto"/>
            </w:tcBorders>
          </w:tcPr>
          <w:p>
            <w:pPr>
              <w:spacing w:after="0"/>
              <w:rPr>
                <w:sz w:val="20"/>
                <w:szCs w:val="20"/>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93,950</w:t>
            </w:r>
          </w:p>
        </w:tc>
        <w:tc>
          <w:tcPr>
            <w:tcW w:w="420" w:type="dxa"/>
            <w:vAlign w:val="bottom"/>
          </w:tcPr>
          <w:p>
            <w:pPr>
              <w:spacing w:after="0"/>
              <w:rPr>
                <w:sz w:val="20"/>
                <w:szCs w:val="20"/>
                <w:color w:val="auto"/>
              </w:rPr>
            </w:pPr>
          </w:p>
        </w:tc>
        <w:tc>
          <w:tcPr>
            <w:tcW w:w="140" w:type="dxa"/>
            <w:vAlign w:val="bottom"/>
            <w:tcBorders>
              <w:top w:val="single" w:sz="8" w:color="auto"/>
              <w:bottom w:val="single" w:sz="8" w:color="auto"/>
            </w:tcBorders>
          </w:tcPr>
          <w:p>
            <w:pPr>
              <w:spacing w:after="0"/>
              <w:rPr>
                <w:sz w:val="20"/>
                <w:szCs w:val="20"/>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26,150</w:t>
            </w:r>
          </w:p>
        </w:tc>
        <w:tc>
          <w:tcPr>
            <w:tcW w:w="540" w:type="dxa"/>
            <w:vAlign w:val="bottom"/>
            <w:tcBorders>
              <w:right w:val="single" w:sz="8" w:color="auto"/>
            </w:tcBorders>
          </w:tcPr>
          <w:p>
            <w:pPr>
              <w:spacing w:after="0"/>
              <w:rPr>
                <w:sz w:val="20"/>
                <w:szCs w:val="20"/>
                <w:color w:val="auto"/>
              </w:rPr>
            </w:pPr>
          </w:p>
        </w:tc>
        <w:tc>
          <w:tcPr>
            <w:tcW w:w="30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2,628</w:t>
            </w:r>
          </w:p>
        </w:tc>
        <w:tc>
          <w:tcPr>
            <w:tcW w:w="2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63,210</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Operating income (loss)</w:t>
            </w:r>
          </w:p>
        </w:tc>
        <w:tc>
          <w:tcPr>
            <w:tcW w:w="1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1,852</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4,760</w:t>
            </w:r>
          </w:p>
        </w:tc>
        <w:tc>
          <w:tcPr>
            <w:tcW w:w="4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540" w:type="dxa"/>
            <w:vAlign w:val="bottom"/>
            <w:tcBorders>
              <w:right w:val="single" w:sz="8" w:color="auto"/>
            </w:tcBorders>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(1,003)</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(991)</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2"/>
              </w:rPr>
              <w:t>(16,095)</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4420" w:type="dxa"/>
            <w:vAlign w:val="bottom"/>
          </w:tcPr>
          <w:p>
            <w:pPr>
              <w:spacing w:after="0"/>
              <w:rPr>
                <w:sz w:val="20"/>
                <w:szCs w:val="20"/>
                <w:color w:val="auto"/>
              </w:rPr>
            </w:pPr>
            <w:r>
              <w:rPr>
                <w:rFonts w:ascii="Arial" w:cs="Arial" w:eastAsia="Arial" w:hAnsi="Arial"/>
                <w:sz w:val="18"/>
                <w:szCs w:val="18"/>
                <w:color w:val="auto"/>
              </w:rPr>
              <w:t>Equity in income of and disposition of interest in Ally</w:t>
            </w: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540" w:type="dxa"/>
            <w:vAlign w:val="bottom"/>
            <w:tcBorders>
              <w:right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420" w:type="dxa"/>
            <w:vAlign w:val="bottom"/>
          </w:tcPr>
          <w:p>
            <w:pPr>
              <w:ind w:left="200"/>
              <w:spacing w:after="0"/>
              <w:rPr>
                <w:sz w:val="20"/>
                <w:szCs w:val="20"/>
                <w:color w:val="auto"/>
              </w:rPr>
            </w:pPr>
            <w:r>
              <w:rPr>
                <w:rFonts w:ascii="Arial" w:cs="Arial" w:eastAsia="Arial" w:hAnsi="Arial"/>
                <w:sz w:val="18"/>
                <w:szCs w:val="18"/>
                <w:color w:val="auto"/>
              </w:rPr>
              <w:t>Financial</w:t>
            </w:r>
          </w:p>
        </w:tc>
        <w:tc>
          <w:tcPr>
            <w:tcW w:w="120" w:type="dxa"/>
            <w:vAlign w:val="bottom"/>
          </w:tcPr>
          <w:p>
            <w:pPr>
              <w:spacing w:after="0"/>
              <w:rPr>
                <w:sz w:val="19"/>
                <w:szCs w:val="19"/>
                <w:color w:val="auto"/>
              </w:rPr>
            </w:pPr>
          </w:p>
        </w:tc>
        <w:tc>
          <w:tcPr>
            <w:tcW w:w="12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540" w:type="dxa"/>
            <w:vAlign w:val="bottom"/>
            <w:tcBorders>
              <w:right w:val="single" w:sz="8" w:color="auto"/>
            </w:tcBorders>
            <w:gridSpan w:val="2"/>
          </w:tcPr>
          <w:p>
            <w:pPr>
              <w:jc w:val="right"/>
              <w:ind w:right="54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1,380</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4420" w:type="dxa"/>
            <w:vAlign w:val="bottom"/>
            <w:shd w:val="clear" w:color="auto" w:fill="CCEEFF"/>
          </w:tcPr>
          <w:p>
            <w:pPr>
              <w:spacing w:after="0"/>
              <w:rPr>
                <w:sz w:val="20"/>
                <w:szCs w:val="20"/>
                <w:color w:val="auto"/>
              </w:rPr>
            </w:pPr>
            <w:r>
              <w:rPr>
                <w:rFonts w:ascii="Arial" w:cs="Arial" w:eastAsia="Arial" w:hAnsi="Arial"/>
                <w:sz w:val="18"/>
                <w:szCs w:val="18"/>
                <w:color w:val="auto"/>
              </w:rPr>
              <w:t>Interest expense</w:t>
            </w:r>
          </w:p>
        </w:tc>
        <w:tc>
          <w:tcPr>
            <w:tcW w:w="1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(263)</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(850)</w:t>
            </w:r>
          </w:p>
        </w:tc>
        <w:tc>
          <w:tcPr>
            <w:tcW w:w="140" w:type="dxa"/>
            <w:vAlign w:val="bottom"/>
            <w:shd w:val="clear" w:color="auto" w:fill="CCEEFF"/>
          </w:tcPr>
          <w:p>
            <w:pPr>
              <w:spacing w:after="0"/>
              <w:rPr>
                <w:sz w:val="18"/>
                <w:szCs w:val="18"/>
                <w:color w:val="auto"/>
              </w:rPr>
            </w:pPr>
          </w:p>
        </w:tc>
        <w:tc>
          <w:tcPr>
            <w:tcW w:w="1540" w:type="dxa"/>
            <w:vAlign w:val="bottom"/>
            <w:tcBorders>
              <w:right w:val="single" w:sz="8" w:color="auto"/>
            </w:tcBorders>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(365)</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(823)</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(5,428)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20" w:type="dxa"/>
            <w:vAlign w:val="bottom"/>
          </w:tcPr>
          <w:p>
            <w:pPr>
              <w:spacing w:after="0"/>
              <w:rPr>
                <w:sz w:val="20"/>
                <w:szCs w:val="20"/>
                <w:color w:val="auto"/>
              </w:rPr>
            </w:pPr>
            <w:r>
              <w:rPr>
                <w:rFonts w:ascii="Arial" w:cs="Arial" w:eastAsia="Arial" w:hAnsi="Arial"/>
                <w:sz w:val="18"/>
                <w:szCs w:val="18"/>
                <w:color w:val="auto"/>
              </w:rPr>
              <w:t>Interest income and other non-operating income, net</w:t>
            </w:r>
          </w:p>
        </w:tc>
        <w:tc>
          <w:tcPr>
            <w:tcW w:w="120" w:type="dxa"/>
            <w:vAlign w:val="bottom"/>
          </w:tcPr>
          <w:p>
            <w:pPr>
              <w:spacing w:after="0"/>
              <w:rPr>
                <w:sz w:val="18"/>
                <w:szCs w:val="18"/>
                <w:color w:val="auto"/>
              </w:rPr>
            </w:pPr>
          </w:p>
        </w:tc>
        <w:tc>
          <w:tcPr>
            <w:tcW w:w="1260" w:type="dxa"/>
            <w:vAlign w:val="bottom"/>
            <w:gridSpan w:val="2"/>
          </w:tcPr>
          <w:p>
            <w:pPr>
              <w:jc w:val="right"/>
              <w:ind w:right="240"/>
              <w:spacing w:after="0"/>
              <w:rPr>
                <w:sz w:val="20"/>
                <w:szCs w:val="20"/>
                <w:color w:val="auto"/>
              </w:rPr>
            </w:pPr>
            <w:r>
              <w:rPr>
                <w:rFonts w:ascii="Arial" w:cs="Arial" w:eastAsia="Arial" w:hAnsi="Arial"/>
                <w:sz w:val="18"/>
                <w:szCs w:val="18"/>
                <w:color w:val="auto"/>
              </w:rPr>
              <w:t>258</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802</w:t>
            </w:r>
          </w:p>
        </w:tc>
        <w:tc>
          <w:tcPr>
            <w:tcW w:w="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40" w:type="dxa"/>
            <w:vAlign w:val="bottom"/>
            <w:tcBorders>
              <w:right w:val="single" w:sz="8" w:color="auto"/>
            </w:tcBorders>
            <w:gridSpan w:val="2"/>
          </w:tcPr>
          <w:p>
            <w:pPr>
              <w:jc w:val="right"/>
              <w:ind w:right="540"/>
              <w:spacing w:after="0"/>
              <w:rPr>
                <w:sz w:val="20"/>
                <w:szCs w:val="20"/>
                <w:color w:val="auto"/>
              </w:rPr>
            </w:pPr>
            <w:r>
              <w:rPr>
                <w:rFonts w:ascii="Arial" w:cs="Arial" w:eastAsia="Arial" w:hAnsi="Arial"/>
                <w:sz w:val="18"/>
                <w:szCs w:val="18"/>
                <w:color w:val="auto"/>
              </w:rPr>
              <w:t>454</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19</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852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20" w:type="dxa"/>
            <w:vAlign w:val="bottom"/>
            <w:shd w:val="clear" w:color="auto" w:fill="CCEEFF"/>
          </w:tcPr>
          <w:p>
            <w:pPr>
              <w:spacing w:after="0"/>
              <w:rPr>
                <w:sz w:val="20"/>
                <w:szCs w:val="20"/>
                <w:color w:val="auto"/>
              </w:rPr>
            </w:pPr>
            <w:r>
              <w:rPr>
                <w:rFonts w:ascii="Arial" w:cs="Arial" w:eastAsia="Arial" w:hAnsi="Arial"/>
                <w:sz w:val="18"/>
                <w:szCs w:val="18"/>
                <w:color w:val="auto"/>
              </w:rPr>
              <w:t>Loss on extinguishment of debt</w:t>
            </w:r>
          </w:p>
        </w:tc>
        <w:tc>
          <w:tcPr>
            <w:tcW w:w="1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w:t>
            </w:r>
          </w:p>
        </w:tc>
        <w:tc>
          <w:tcPr>
            <w:tcW w:w="140" w:type="dxa"/>
            <w:vAlign w:val="bottom"/>
            <w:shd w:val="clear" w:color="auto" w:fill="CCEEFF"/>
          </w:tcPr>
          <w:p>
            <w:pPr>
              <w:spacing w:after="0"/>
              <w:rPr>
                <w:sz w:val="18"/>
                <w:szCs w:val="18"/>
                <w:color w:val="auto"/>
              </w:rPr>
            </w:pPr>
          </w:p>
        </w:tc>
        <w:tc>
          <w:tcPr>
            <w:tcW w:w="1540" w:type="dxa"/>
            <w:vAlign w:val="bottom"/>
            <w:tcBorders>
              <w:right w:val="single" w:sz="8" w:color="auto"/>
            </w:tcBorders>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(1,088)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20" w:type="dxa"/>
            <w:vAlign w:val="bottom"/>
          </w:tcPr>
          <w:p>
            <w:pPr>
              <w:spacing w:after="0"/>
              <w:rPr>
                <w:sz w:val="20"/>
                <w:szCs w:val="20"/>
                <w:color w:val="auto"/>
              </w:rPr>
            </w:pPr>
            <w:r>
              <w:rPr>
                <w:rFonts w:ascii="Arial" w:cs="Arial" w:eastAsia="Arial" w:hAnsi="Arial"/>
                <w:sz w:val="18"/>
                <w:szCs w:val="18"/>
                <w:color w:val="auto"/>
              </w:rPr>
              <w:t>Reorganization gains, net (Note 2)</w:t>
            </w:r>
          </w:p>
        </w:tc>
        <w:tc>
          <w:tcPr>
            <w:tcW w:w="1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540" w:type="dxa"/>
            <w:vAlign w:val="bottom"/>
            <w:tcBorders>
              <w:right w:val="single" w:sz="8" w:color="auto"/>
            </w:tcBorders>
            <w:gridSpan w:val="2"/>
          </w:tcPr>
          <w:p>
            <w:pPr>
              <w:jc w:val="right"/>
              <w:ind w:right="54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86"/>
              </w:rPr>
              <w:t>129,312</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w w:val="86"/>
              </w:rPr>
              <w:t>128,155</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4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540" w:type="dxa"/>
            <w:vAlign w:val="bottom"/>
            <w:tcBorders>
              <w:right w:val="single" w:sz="8" w:color="auto"/>
            </w:tcBorders>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420" w:type="dxa"/>
            <w:vAlign w:val="bottom"/>
            <w:shd w:val="clear" w:color="auto" w:fill="CCEEFF"/>
          </w:tcPr>
          <w:p>
            <w:pPr>
              <w:spacing w:after="0"/>
              <w:rPr>
                <w:sz w:val="20"/>
                <w:szCs w:val="20"/>
                <w:color w:val="auto"/>
              </w:rPr>
            </w:pPr>
            <w:r>
              <w:rPr>
                <w:rFonts w:ascii="Arial" w:cs="Arial" w:eastAsia="Arial" w:hAnsi="Arial"/>
                <w:sz w:val="18"/>
                <w:szCs w:val="18"/>
                <w:color w:val="auto"/>
              </w:rPr>
              <w:t>Income (loss) before income taxes and equity income</w:t>
            </w: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1,847</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4,711</w:t>
            </w:r>
          </w:p>
        </w:tc>
        <w:tc>
          <w:tcPr>
            <w:tcW w:w="140" w:type="dxa"/>
            <w:vAlign w:val="bottom"/>
            <w:shd w:val="clear" w:color="auto" w:fill="CCEEFF"/>
          </w:tcPr>
          <w:p>
            <w:pPr>
              <w:spacing w:after="0"/>
              <w:rPr>
                <w:sz w:val="18"/>
                <w:szCs w:val="18"/>
                <w:color w:val="auto"/>
              </w:rPr>
            </w:pPr>
          </w:p>
        </w:tc>
        <w:tc>
          <w:tcPr>
            <w:tcW w:w="1540" w:type="dxa"/>
            <w:vAlign w:val="bottom"/>
            <w:tcBorders>
              <w:right w:val="single" w:sz="8" w:color="auto"/>
            </w:tcBorders>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(914)</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127,517</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6"/>
              </w:rPr>
              <w:t>107,776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20" w:type="dxa"/>
            <w:vAlign w:val="bottom"/>
          </w:tcPr>
          <w:p>
            <w:pPr>
              <w:spacing w:after="0"/>
              <w:rPr>
                <w:sz w:val="20"/>
                <w:szCs w:val="20"/>
                <w:color w:val="auto"/>
              </w:rPr>
            </w:pPr>
            <w:r>
              <w:rPr>
                <w:rFonts w:ascii="Arial" w:cs="Arial" w:eastAsia="Arial" w:hAnsi="Arial"/>
                <w:sz w:val="18"/>
                <w:szCs w:val="18"/>
                <w:color w:val="auto"/>
              </w:rPr>
              <w:t>Income tax expense (benefit)</w:t>
            </w:r>
          </w:p>
        </w:tc>
        <w:tc>
          <w:tcPr>
            <w:tcW w:w="120" w:type="dxa"/>
            <w:vAlign w:val="bottom"/>
          </w:tcPr>
          <w:p>
            <w:pPr>
              <w:spacing w:after="0"/>
              <w:rPr>
                <w:sz w:val="18"/>
                <w:szCs w:val="18"/>
                <w:color w:val="auto"/>
              </w:rPr>
            </w:pPr>
          </w:p>
        </w:tc>
        <w:tc>
          <w:tcPr>
            <w:tcW w:w="1260" w:type="dxa"/>
            <w:vAlign w:val="bottom"/>
            <w:gridSpan w:val="2"/>
          </w:tcPr>
          <w:p>
            <w:pPr>
              <w:jc w:val="right"/>
              <w:ind w:right="180"/>
              <w:spacing w:after="0"/>
              <w:rPr>
                <w:sz w:val="20"/>
                <w:szCs w:val="20"/>
                <w:color w:val="auto"/>
              </w:rPr>
            </w:pPr>
            <w:r>
              <w:rPr>
                <w:rFonts w:ascii="Arial" w:cs="Arial" w:eastAsia="Arial" w:hAnsi="Arial"/>
                <w:sz w:val="18"/>
                <w:szCs w:val="18"/>
                <w:color w:val="auto"/>
              </w:rPr>
              <w:t>(25)</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845</w:t>
            </w:r>
          </w:p>
        </w:tc>
        <w:tc>
          <w:tcPr>
            <w:tcW w:w="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40" w:type="dxa"/>
            <w:vAlign w:val="bottom"/>
            <w:tcBorders>
              <w:right w:val="single" w:sz="8" w:color="auto"/>
            </w:tcBorders>
            <w:gridSpan w:val="2"/>
          </w:tcPr>
          <w:p>
            <w:pPr>
              <w:jc w:val="right"/>
              <w:ind w:right="480"/>
              <w:spacing w:after="0"/>
              <w:rPr>
                <w:sz w:val="20"/>
                <w:szCs w:val="20"/>
                <w:color w:val="auto"/>
              </w:rPr>
            </w:pPr>
            <w:r>
              <w:rPr>
                <w:rFonts w:ascii="Arial" w:cs="Arial" w:eastAsia="Arial" w:hAnsi="Arial"/>
                <w:sz w:val="18"/>
                <w:szCs w:val="18"/>
                <w:color w:val="auto"/>
              </w:rPr>
              <w:t>(139)</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180"/>
              <w:spacing w:after="0"/>
              <w:rPr>
                <w:sz w:val="20"/>
                <w:szCs w:val="20"/>
                <w:color w:val="auto"/>
              </w:rPr>
            </w:pPr>
            <w:r>
              <w:rPr>
                <w:rFonts w:ascii="Arial" w:cs="Arial" w:eastAsia="Arial" w:hAnsi="Arial"/>
                <w:sz w:val="18"/>
                <w:szCs w:val="18"/>
                <w:color w:val="auto"/>
              </w:rPr>
              <w:t>(607)</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rPr>
              <w:t>(1,166)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20" w:type="dxa"/>
            <w:vAlign w:val="bottom"/>
            <w:shd w:val="clear" w:color="auto" w:fill="CCEEFF"/>
          </w:tcPr>
          <w:p>
            <w:pPr>
              <w:spacing w:after="0"/>
              <w:rPr>
                <w:sz w:val="20"/>
                <w:szCs w:val="20"/>
                <w:color w:val="auto"/>
              </w:rPr>
            </w:pPr>
            <w:r>
              <w:rPr>
                <w:rFonts w:ascii="Arial" w:cs="Arial" w:eastAsia="Arial" w:hAnsi="Arial"/>
                <w:sz w:val="18"/>
                <w:szCs w:val="18"/>
                <w:color w:val="auto"/>
              </w:rPr>
              <w:t>Equity income, net of tax</w:t>
            </w:r>
          </w:p>
        </w:tc>
        <w:tc>
          <w:tcPr>
            <w:tcW w:w="12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351</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1,165</w:t>
            </w:r>
          </w:p>
        </w:tc>
        <w:tc>
          <w:tcPr>
            <w:tcW w:w="4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204</w:t>
            </w:r>
          </w:p>
        </w:tc>
        <w:tc>
          <w:tcPr>
            <w:tcW w:w="540" w:type="dxa"/>
            <w:vAlign w:val="bottom"/>
            <w:tcBorders>
              <w:right w:val="single" w:sz="8" w:color="auto"/>
            </w:tcBorders>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4440" w:type="dxa"/>
            <w:vAlign w:val="bottom"/>
            <w:gridSpan w:val="2"/>
          </w:tcPr>
          <w:p>
            <w:pPr>
              <w:spacing w:after="0"/>
              <w:rPr>
                <w:sz w:val="20"/>
                <w:szCs w:val="20"/>
                <w:color w:val="auto"/>
              </w:rPr>
            </w:pPr>
            <w:r>
              <w:rPr>
                <w:rFonts w:ascii="Arial" w:cs="Arial" w:eastAsia="Arial" w:hAnsi="Arial"/>
                <w:sz w:val="18"/>
                <w:szCs w:val="18"/>
                <w:b w:val="1"/>
                <w:bCs w:val="1"/>
                <w:color w:val="auto"/>
              </w:rPr>
              <w:t>Net income (loss)</w:t>
            </w:r>
          </w:p>
        </w:tc>
        <w:tc>
          <w:tcPr>
            <w:tcW w:w="120" w:type="dxa"/>
            <w:vAlign w:val="bottom"/>
          </w:tcPr>
          <w:p>
            <w:pPr>
              <w:spacing w:after="0"/>
              <w:rPr>
                <w:sz w:val="19"/>
                <w:szCs w:val="19"/>
                <w:color w:val="auto"/>
              </w:rPr>
            </w:pPr>
          </w:p>
        </w:tc>
        <w:tc>
          <w:tcPr>
            <w:tcW w:w="1260" w:type="dxa"/>
            <w:vAlign w:val="bottom"/>
            <w:gridSpan w:val="2"/>
          </w:tcPr>
          <w:p>
            <w:pPr>
              <w:jc w:val="right"/>
              <w:ind w:right="240"/>
              <w:spacing w:after="0"/>
              <w:rPr>
                <w:sz w:val="20"/>
                <w:szCs w:val="20"/>
                <w:color w:val="auto"/>
              </w:rPr>
            </w:pPr>
            <w:r>
              <w:rPr>
                <w:rFonts w:ascii="Arial" w:cs="Arial" w:eastAsia="Arial" w:hAnsi="Arial"/>
                <w:sz w:val="18"/>
                <w:szCs w:val="18"/>
                <w:color w:val="auto"/>
              </w:rPr>
              <w:t>2,223</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5,031</w:t>
            </w:r>
          </w:p>
        </w:tc>
        <w:tc>
          <w:tcPr>
            <w:tcW w:w="4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540" w:type="dxa"/>
            <w:vAlign w:val="bottom"/>
            <w:tcBorders>
              <w:right w:val="single" w:sz="8" w:color="auto"/>
            </w:tcBorders>
            <w:gridSpan w:val="2"/>
          </w:tcPr>
          <w:p>
            <w:pPr>
              <w:jc w:val="right"/>
              <w:ind w:right="480"/>
              <w:spacing w:after="0"/>
              <w:rPr>
                <w:sz w:val="20"/>
                <w:szCs w:val="20"/>
                <w:color w:val="auto"/>
              </w:rPr>
            </w:pPr>
            <w:r>
              <w:rPr>
                <w:rFonts w:ascii="Arial" w:cs="Arial" w:eastAsia="Arial" w:hAnsi="Arial"/>
                <w:sz w:val="18"/>
                <w:szCs w:val="18"/>
                <w:color w:val="auto"/>
              </w:rPr>
              <w:t>(571)</w:t>
            </w:r>
          </w:p>
        </w:tc>
        <w:tc>
          <w:tcPr>
            <w:tcW w:w="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86"/>
              </w:rPr>
              <w:t>128,139</w:t>
            </w: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w w:val="86"/>
              </w:rPr>
              <w:t>109,003</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420" w:type="dxa"/>
            <w:vAlign w:val="bottom"/>
            <w:shd w:val="clear" w:color="auto" w:fill="CCEEFF"/>
          </w:tcPr>
          <w:p>
            <w:pPr>
              <w:spacing w:after="0"/>
              <w:rPr>
                <w:sz w:val="20"/>
                <w:szCs w:val="20"/>
                <w:color w:val="auto"/>
              </w:rPr>
            </w:pPr>
            <w:r>
              <w:rPr>
                <w:rFonts w:ascii="Arial" w:cs="Arial" w:eastAsia="Arial" w:hAnsi="Arial"/>
                <w:sz w:val="18"/>
                <w:szCs w:val="18"/>
                <w:color w:val="auto"/>
              </w:rPr>
              <w:t>Less: Net income (loss) attributable to noncontrolling</w:t>
            </w: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540" w:type="dxa"/>
            <w:vAlign w:val="bottom"/>
            <w:tcBorders>
              <w:right w:val="single" w:sz="8" w:color="auto"/>
            </w:tcBorders>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44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interests</w:t>
            </w:r>
          </w:p>
        </w:tc>
        <w:tc>
          <w:tcPr>
            <w:tcW w:w="1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w:t>
            </w:r>
          </w:p>
        </w:tc>
        <w:tc>
          <w:tcPr>
            <w:tcW w:w="2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265</w:t>
            </w:r>
          </w:p>
        </w:tc>
        <w:tc>
          <w:tcPr>
            <w:tcW w:w="4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287</w:t>
            </w:r>
          </w:p>
        </w:tc>
        <w:tc>
          <w:tcPr>
            <w:tcW w:w="540" w:type="dxa"/>
            <w:vAlign w:val="bottom"/>
            <w:tcBorders>
              <w:right w:val="single" w:sz="8" w:color="auto"/>
            </w:tcBorders>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141</w:t>
            </w:r>
          </w:p>
        </w:tc>
        <w:tc>
          <w:tcPr>
            <w:tcW w:w="2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(115)</w:t>
            </w:r>
          </w:p>
        </w:tc>
        <w:tc>
          <w:tcPr>
            <w:tcW w:w="0" w:type="dxa"/>
            <w:vAlign w:val="bottom"/>
          </w:tcPr>
          <w:p>
            <w:pPr>
              <w:spacing w:after="0"/>
              <w:rPr>
                <w:sz w:val="1"/>
                <w:szCs w:val="1"/>
                <w:color w:val="auto"/>
              </w:rPr>
            </w:pPr>
          </w:p>
        </w:tc>
      </w:tr>
      <w:tr>
        <w:trPr>
          <w:trHeight w:val="20"/>
        </w:trPr>
        <w:tc>
          <w:tcPr>
            <w:tcW w:w="444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Net income (loss) attributable to stockholders</w:t>
            </w:r>
          </w:p>
        </w:tc>
        <w:tc>
          <w:tcPr>
            <w:tcW w:w="12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540" w:type="dxa"/>
            <w:vAlign w:val="bottom"/>
            <w:tcBorders>
              <w:right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4440" w:type="dxa"/>
            <w:vAlign w:val="bottom"/>
            <w:gridSpan w:val="2"/>
            <w:vMerge w:val="continue"/>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2,162</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4,766</w:t>
            </w:r>
          </w:p>
        </w:tc>
        <w:tc>
          <w:tcPr>
            <w:tcW w:w="4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540" w:type="dxa"/>
            <w:vAlign w:val="bottom"/>
            <w:tcBorders>
              <w:right w:val="single" w:sz="8" w:color="auto"/>
            </w:tcBorders>
            <w:gridSpan w:val="2"/>
          </w:tcPr>
          <w:p>
            <w:pPr>
              <w:jc w:val="right"/>
              <w:ind w:right="480"/>
              <w:spacing w:after="0"/>
              <w:rPr>
                <w:sz w:val="20"/>
                <w:szCs w:val="20"/>
                <w:color w:val="auto"/>
              </w:rPr>
            </w:pPr>
            <w:r>
              <w:rPr>
                <w:rFonts w:ascii="Arial" w:cs="Arial" w:eastAsia="Arial" w:hAnsi="Arial"/>
                <w:sz w:val="18"/>
                <w:szCs w:val="18"/>
                <w:color w:val="auto"/>
              </w:rPr>
              <w:t>(858)</w:t>
            </w:r>
          </w:p>
        </w:tc>
        <w:tc>
          <w:tcPr>
            <w:tcW w:w="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86"/>
              </w:rPr>
              <w:t>127,998</w:t>
            </w: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w w:val="86"/>
              </w:rPr>
              <w:t>109,118</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4420" w:type="dxa"/>
            <w:vAlign w:val="bottom"/>
            <w:shd w:val="clear" w:color="auto" w:fill="CCEEFF"/>
          </w:tcPr>
          <w:p>
            <w:pPr>
              <w:spacing w:after="0"/>
              <w:rPr>
                <w:sz w:val="20"/>
                <w:szCs w:val="20"/>
                <w:color w:val="auto"/>
              </w:rPr>
            </w:pPr>
            <w:r>
              <w:rPr>
                <w:rFonts w:ascii="Arial" w:cs="Arial" w:eastAsia="Arial" w:hAnsi="Arial"/>
                <w:sz w:val="18"/>
                <w:szCs w:val="18"/>
                <w:color w:val="auto"/>
              </w:rPr>
              <w:t>Less: Cumulative dividends on preferred stock</w:t>
            </w: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203</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608</w:t>
            </w:r>
          </w:p>
        </w:tc>
        <w:tc>
          <w:tcPr>
            <w:tcW w:w="4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w:t>
            </w:r>
          </w:p>
        </w:tc>
        <w:tc>
          <w:tcPr>
            <w:tcW w:w="540" w:type="dxa"/>
            <w:vAlign w:val="bottom"/>
            <w:tcBorders>
              <w:right w:val="single" w:sz="8" w:color="auto"/>
            </w:tcBorders>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4440" w:type="dxa"/>
            <w:vAlign w:val="bottom"/>
            <w:gridSpan w:val="2"/>
            <w:vMerge w:val="restart"/>
          </w:tcPr>
          <w:p>
            <w:pPr>
              <w:spacing w:after="0"/>
              <w:rPr>
                <w:sz w:val="20"/>
                <w:szCs w:val="20"/>
                <w:color w:val="auto"/>
              </w:rPr>
            </w:pPr>
            <w:r>
              <w:rPr>
                <w:rFonts w:ascii="Arial" w:cs="Arial" w:eastAsia="Arial" w:hAnsi="Arial"/>
                <w:sz w:val="18"/>
                <w:szCs w:val="18"/>
                <w:b w:val="1"/>
                <w:bCs w:val="1"/>
                <w:color w:val="auto"/>
                <w:w w:val="93"/>
              </w:rPr>
              <w:t>Net income (loss) attributable to common stockholders</w:t>
            </w:r>
          </w:p>
        </w:tc>
        <w:tc>
          <w:tcPr>
            <w:tcW w:w="12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540" w:type="dxa"/>
            <w:vAlign w:val="bottom"/>
            <w:tcBorders>
              <w:right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4440" w:type="dxa"/>
            <w:vAlign w:val="bottom"/>
            <w:gridSpan w:val="2"/>
            <w:vMerge w:val="continue"/>
          </w:tcPr>
          <w:p>
            <w:pPr>
              <w:spacing w:after="0"/>
              <w:rPr>
                <w:sz w:val="19"/>
                <w:szCs w:val="19"/>
                <w:color w:val="auto"/>
              </w:rPr>
            </w:pP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1,959</w:t>
            </w:r>
          </w:p>
        </w:tc>
        <w:tc>
          <w:tcPr>
            <w:tcW w:w="240" w:type="dxa"/>
            <w:vAlign w:val="bottom"/>
          </w:tcPr>
          <w:p>
            <w:pPr>
              <w:spacing w:after="0"/>
              <w:rPr>
                <w:sz w:val="19"/>
                <w:szCs w:val="19"/>
                <w:color w:val="auto"/>
              </w:rPr>
            </w:pPr>
          </w:p>
        </w:tc>
        <w:tc>
          <w:tcPr>
            <w:tcW w:w="320" w:type="dxa"/>
            <w:vAlign w:val="bottom"/>
            <w:gridSpan w:val="2"/>
          </w:tcPr>
          <w:p>
            <w:pPr>
              <w:ind w:left="180"/>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4,158</w:t>
            </w:r>
          </w:p>
        </w:tc>
        <w:tc>
          <w:tcPr>
            <w:tcW w:w="420" w:type="dxa"/>
            <w:vAlign w:val="bottom"/>
          </w:tcPr>
          <w:p>
            <w:pPr>
              <w:spacing w:after="0"/>
              <w:rPr>
                <w:sz w:val="19"/>
                <w:szCs w:val="19"/>
                <w:color w:val="auto"/>
              </w:rPr>
            </w:pP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1540" w:type="dxa"/>
            <w:vAlign w:val="bottom"/>
            <w:tcBorders>
              <w:right w:val="single" w:sz="8" w:color="auto"/>
            </w:tcBorders>
            <w:gridSpan w:val="2"/>
          </w:tcPr>
          <w:p>
            <w:pPr>
              <w:jc w:val="right"/>
              <w:ind w:right="480"/>
              <w:spacing w:after="0"/>
              <w:rPr>
                <w:sz w:val="20"/>
                <w:szCs w:val="20"/>
                <w:color w:val="auto"/>
              </w:rPr>
            </w:pPr>
            <w:r>
              <w:rPr>
                <w:rFonts w:ascii="Arial" w:cs="Arial" w:eastAsia="Arial" w:hAnsi="Arial"/>
                <w:sz w:val="18"/>
                <w:szCs w:val="18"/>
                <w:color w:val="auto"/>
              </w:rPr>
              <w:t>(908)</w:t>
            </w:r>
          </w:p>
        </w:tc>
        <w:tc>
          <w:tcPr>
            <w:tcW w:w="40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86"/>
              </w:rPr>
              <w:t>127,998</w:t>
            </w:r>
          </w:p>
        </w:tc>
        <w:tc>
          <w:tcPr>
            <w:tcW w:w="240" w:type="dxa"/>
            <w:vAlign w:val="bottom"/>
          </w:tcPr>
          <w:p>
            <w:pPr>
              <w:spacing w:after="0"/>
              <w:rPr>
                <w:sz w:val="19"/>
                <w:szCs w:val="19"/>
                <w:color w:val="auto"/>
              </w:rPr>
            </w:pPr>
          </w:p>
        </w:tc>
        <w:tc>
          <w:tcPr>
            <w:tcW w:w="300" w:type="dxa"/>
            <w:vAlign w:val="bottom"/>
            <w:gridSpan w:val="2"/>
          </w:tcPr>
          <w:p>
            <w:pPr>
              <w:ind w:left="200"/>
              <w:spacing w:after="0"/>
              <w:rPr>
                <w:sz w:val="20"/>
                <w:szCs w:val="20"/>
                <w:color w:val="auto"/>
              </w:rPr>
            </w:pPr>
            <w:r>
              <w:rPr>
                <w:rFonts w:ascii="Arial" w:cs="Arial" w:eastAsia="Arial" w:hAnsi="Arial"/>
                <w:sz w:val="18"/>
                <w:szCs w:val="18"/>
                <w:color w:val="auto"/>
                <w:w w:val="79"/>
              </w:rPr>
              <w:t>$</w:t>
            </w: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w w:val="86"/>
              </w:rPr>
              <w:t>109,118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4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right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20" w:type="dxa"/>
            <w:vAlign w:val="bottom"/>
          </w:tcPr>
          <w:p>
            <w:pPr>
              <w:spacing w:after="0"/>
              <w:rPr>
                <w:sz w:val="18"/>
                <w:szCs w:val="18"/>
                <w:color w:val="auto"/>
              </w:rPr>
            </w:pPr>
          </w:p>
        </w:tc>
        <w:tc>
          <w:tcPr>
            <w:tcW w:w="44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Earnings (loss) per share (Note 22)</w:t>
            </w: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540" w:type="dxa"/>
            <w:vAlign w:val="bottom"/>
            <w:tcBorders>
              <w:right w:val="single" w:sz="8" w:color="auto"/>
            </w:tcBorders>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20" w:type="dxa"/>
            <w:vAlign w:val="bottom"/>
          </w:tcPr>
          <w:p>
            <w:pPr>
              <w:spacing w:after="0"/>
              <w:rPr>
                <w:sz w:val="20"/>
                <w:szCs w:val="20"/>
                <w:color w:val="auto"/>
              </w:rPr>
            </w:pPr>
            <w:r>
              <w:rPr>
                <w:rFonts w:ascii="Arial" w:cs="Arial" w:eastAsia="Arial" w:hAnsi="Arial"/>
                <w:sz w:val="18"/>
                <w:szCs w:val="18"/>
                <w:b w:val="1"/>
                <w:bCs w:val="1"/>
                <w:color w:val="auto"/>
              </w:rPr>
              <w:t>Basic</w:t>
            </w: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540" w:type="dxa"/>
            <w:vAlign w:val="bottom"/>
            <w:tcBorders>
              <w:right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20" w:type="dxa"/>
            <w:vAlign w:val="bottom"/>
            <w:shd w:val="clear" w:color="auto" w:fill="CCEEFF"/>
          </w:tcPr>
          <w:p>
            <w:pPr>
              <w:spacing w:after="0"/>
              <w:rPr>
                <w:sz w:val="20"/>
                <w:szCs w:val="20"/>
                <w:color w:val="auto"/>
              </w:rPr>
            </w:pPr>
            <w:r>
              <w:rPr>
                <w:rFonts w:ascii="Arial" w:cs="Arial" w:eastAsia="Arial" w:hAnsi="Arial"/>
                <w:sz w:val="18"/>
                <w:szCs w:val="18"/>
                <w:color w:val="auto"/>
              </w:rPr>
              <w:t>Net income (loss) attributable to common stockholders</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12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1.31</w:t>
            </w:r>
          </w:p>
        </w:tc>
        <w:tc>
          <w:tcPr>
            <w:tcW w:w="3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2.77</w:t>
            </w:r>
          </w:p>
        </w:tc>
        <w:tc>
          <w:tcPr>
            <w:tcW w:w="4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540" w:type="dxa"/>
            <w:vAlign w:val="bottom"/>
            <w:tcBorders>
              <w:right w:val="single" w:sz="8" w:color="auto"/>
            </w:tcBorders>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(0.73)</w:t>
            </w: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209.49</w:t>
            </w:r>
          </w:p>
        </w:tc>
        <w:tc>
          <w:tcPr>
            <w:tcW w:w="240" w:type="dxa"/>
            <w:vAlign w:val="bottom"/>
            <w:shd w:val="clear" w:color="auto" w:fill="CCEEFF"/>
          </w:tcPr>
          <w:p>
            <w:pPr>
              <w:spacing w:after="0"/>
              <w:rPr>
                <w:sz w:val="18"/>
                <w:szCs w:val="18"/>
                <w:color w:val="auto"/>
              </w:rPr>
            </w:pPr>
          </w:p>
        </w:tc>
        <w:tc>
          <w:tcPr>
            <w:tcW w:w="30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w w:val="79"/>
              </w:rPr>
              <w:t>$</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178.63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20" w:type="dxa"/>
            <w:vAlign w:val="bottom"/>
          </w:tcPr>
          <w:p>
            <w:pPr>
              <w:spacing w:after="0"/>
              <w:rPr>
                <w:sz w:val="20"/>
                <w:szCs w:val="20"/>
                <w:color w:val="auto"/>
              </w:rPr>
            </w:pPr>
            <w:r>
              <w:rPr>
                <w:rFonts w:ascii="Arial" w:cs="Arial" w:eastAsia="Arial" w:hAnsi="Arial"/>
                <w:sz w:val="18"/>
                <w:szCs w:val="18"/>
                <w:color w:val="auto"/>
              </w:rPr>
              <w:t>Weighted-average common shares outstanding</w:t>
            </w:r>
          </w:p>
        </w:tc>
        <w:tc>
          <w:tcPr>
            <w:tcW w:w="120" w:type="dxa"/>
            <w:vAlign w:val="bottom"/>
          </w:tcPr>
          <w:p>
            <w:pPr>
              <w:spacing w:after="0"/>
              <w:rPr>
                <w:sz w:val="18"/>
                <w:szCs w:val="18"/>
                <w:color w:val="auto"/>
              </w:rPr>
            </w:pPr>
          </w:p>
        </w:tc>
        <w:tc>
          <w:tcPr>
            <w:tcW w:w="1260" w:type="dxa"/>
            <w:vAlign w:val="bottom"/>
            <w:gridSpan w:val="2"/>
          </w:tcPr>
          <w:p>
            <w:pPr>
              <w:jc w:val="right"/>
              <w:ind w:right="240"/>
              <w:spacing w:after="0"/>
              <w:rPr>
                <w:sz w:val="20"/>
                <w:szCs w:val="20"/>
                <w:color w:val="auto"/>
              </w:rPr>
            </w:pPr>
            <w:r>
              <w:rPr>
                <w:rFonts w:ascii="Arial" w:cs="Arial" w:eastAsia="Arial" w:hAnsi="Arial"/>
                <w:sz w:val="18"/>
                <w:szCs w:val="18"/>
                <w:color w:val="auto"/>
              </w:rPr>
              <w:t>1,500</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1,500</w:t>
            </w:r>
          </w:p>
        </w:tc>
        <w:tc>
          <w:tcPr>
            <w:tcW w:w="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40" w:type="dxa"/>
            <w:vAlign w:val="bottom"/>
            <w:tcBorders>
              <w:right w:val="single" w:sz="8" w:color="auto"/>
            </w:tcBorders>
            <w:gridSpan w:val="2"/>
          </w:tcPr>
          <w:p>
            <w:pPr>
              <w:jc w:val="right"/>
              <w:ind w:right="540"/>
              <w:spacing w:after="0"/>
              <w:rPr>
                <w:sz w:val="20"/>
                <w:szCs w:val="20"/>
                <w:color w:val="auto"/>
              </w:rPr>
            </w:pPr>
            <w:r>
              <w:rPr>
                <w:rFonts w:ascii="Arial" w:cs="Arial" w:eastAsia="Arial" w:hAnsi="Arial"/>
                <w:sz w:val="18"/>
                <w:szCs w:val="18"/>
                <w:color w:val="auto"/>
              </w:rPr>
              <w:t>1,238</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8"/>
                <w:szCs w:val="18"/>
                <w:color w:val="auto"/>
              </w:rPr>
              <w:t>611</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611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Diluted</w:t>
            </w: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540" w:type="dxa"/>
            <w:vAlign w:val="bottom"/>
            <w:tcBorders>
              <w:right w:val="single" w:sz="8" w:color="auto"/>
            </w:tcBorders>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20" w:type="dxa"/>
            <w:vAlign w:val="bottom"/>
          </w:tcPr>
          <w:p>
            <w:pPr>
              <w:spacing w:after="0"/>
              <w:rPr>
                <w:sz w:val="20"/>
                <w:szCs w:val="20"/>
                <w:color w:val="auto"/>
              </w:rPr>
            </w:pPr>
            <w:r>
              <w:rPr>
                <w:rFonts w:ascii="Arial" w:cs="Arial" w:eastAsia="Arial" w:hAnsi="Arial"/>
                <w:sz w:val="18"/>
                <w:szCs w:val="18"/>
                <w:color w:val="auto"/>
              </w:rPr>
              <w:t>Net income (loss) attributable to common stockholders</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1260" w:type="dxa"/>
            <w:vAlign w:val="bottom"/>
            <w:gridSpan w:val="2"/>
          </w:tcPr>
          <w:p>
            <w:pPr>
              <w:jc w:val="right"/>
              <w:ind w:right="240"/>
              <w:spacing w:after="0"/>
              <w:rPr>
                <w:sz w:val="20"/>
                <w:szCs w:val="20"/>
                <w:color w:val="auto"/>
              </w:rPr>
            </w:pPr>
            <w:r>
              <w:rPr>
                <w:rFonts w:ascii="Arial" w:cs="Arial" w:eastAsia="Arial" w:hAnsi="Arial"/>
                <w:sz w:val="18"/>
                <w:szCs w:val="18"/>
                <w:color w:val="auto"/>
              </w:rPr>
              <w:t>1.20</w:t>
            </w:r>
          </w:p>
        </w:tc>
        <w:tc>
          <w:tcPr>
            <w:tcW w:w="320" w:type="dxa"/>
            <w:vAlign w:val="bottom"/>
            <w:gridSpan w:val="2"/>
          </w:tcPr>
          <w:p>
            <w:pPr>
              <w:ind w:left="180"/>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2.62</w:t>
            </w:r>
          </w:p>
        </w:tc>
        <w:tc>
          <w:tcPr>
            <w:tcW w:w="420" w:type="dxa"/>
            <w:vAlign w:val="bottom"/>
          </w:tcPr>
          <w:p>
            <w:pPr>
              <w:spacing w:after="0"/>
              <w:rPr>
                <w:sz w:val="18"/>
                <w:szCs w:val="18"/>
                <w:color w:val="auto"/>
              </w:rPr>
            </w:pP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1540" w:type="dxa"/>
            <w:vAlign w:val="bottom"/>
            <w:tcBorders>
              <w:right w:val="single" w:sz="8" w:color="auto"/>
            </w:tcBorders>
            <w:gridSpan w:val="2"/>
          </w:tcPr>
          <w:p>
            <w:pPr>
              <w:jc w:val="right"/>
              <w:ind w:right="480"/>
              <w:spacing w:after="0"/>
              <w:rPr>
                <w:sz w:val="20"/>
                <w:szCs w:val="20"/>
                <w:color w:val="auto"/>
              </w:rPr>
            </w:pPr>
            <w:r>
              <w:rPr>
                <w:rFonts w:ascii="Arial" w:cs="Arial" w:eastAsia="Arial" w:hAnsi="Arial"/>
                <w:sz w:val="18"/>
                <w:szCs w:val="18"/>
                <w:color w:val="auto"/>
              </w:rPr>
              <w:t>(0.73)</w:t>
            </w:r>
          </w:p>
        </w:tc>
        <w:tc>
          <w:tcPr>
            <w:tcW w:w="4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209.38</w:t>
            </w:r>
          </w:p>
        </w:tc>
        <w:tc>
          <w:tcPr>
            <w:tcW w:w="240" w:type="dxa"/>
            <w:vAlign w:val="bottom"/>
          </w:tcPr>
          <w:p>
            <w:pPr>
              <w:spacing w:after="0"/>
              <w:rPr>
                <w:sz w:val="18"/>
                <w:szCs w:val="18"/>
                <w:color w:val="auto"/>
              </w:rPr>
            </w:pPr>
          </w:p>
        </w:tc>
        <w:tc>
          <w:tcPr>
            <w:tcW w:w="300" w:type="dxa"/>
            <w:vAlign w:val="bottom"/>
            <w:gridSpan w:val="2"/>
          </w:tcPr>
          <w:p>
            <w:pPr>
              <w:ind w:left="200"/>
              <w:spacing w:after="0"/>
              <w:rPr>
                <w:sz w:val="20"/>
                <w:szCs w:val="20"/>
                <w:color w:val="auto"/>
              </w:rPr>
            </w:pPr>
            <w:r>
              <w:rPr>
                <w:rFonts w:ascii="Arial" w:cs="Arial" w:eastAsia="Arial" w:hAnsi="Arial"/>
                <w:sz w:val="18"/>
                <w:szCs w:val="18"/>
                <w:color w:val="auto"/>
                <w:w w:val="79"/>
              </w:rPr>
              <w:t>$</w:t>
            </w: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178.55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20" w:type="dxa"/>
            <w:vAlign w:val="bottom"/>
            <w:shd w:val="clear" w:color="auto" w:fill="CCEEFF"/>
          </w:tcPr>
          <w:p>
            <w:pPr>
              <w:spacing w:after="0"/>
              <w:rPr>
                <w:sz w:val="20"/>
                <w:szCs w:val="20"/>
                <w:color w:val="auto"/>
              </w:rPr>
            </w:pPr>
            <w:r>
              <w:rPr>
                <w:rFonts w:ascii="Arial" w:cs="Arial" w:eastAsia="Arial" w:hAnsi="Arial"/>
                <w:sz w:val="18"/>
                <w:szCs w:val="18"/>
                <w:color w:val="auto"/>
              </w:rPr>
              <w:t>Weighted-average common shares outstanding</w:t>
            </w:r>
          </w:p>
        </w:tc>
        <w:tc>
          <w:tcPr>
            <w:tcW w:w="1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1,630</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1,588</w:t>
            </w:r>
          </w:p>
        </w:tc>
        <w:tc>
          <w:tcPr>
            <w:tcW w:w="4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540" w:type="dxa"/>
            <w:vAlign w:val="bottom"/>
            <w:tcBorders>
              <w:right w:val="single" w:sz="8" w:color="auto"/>
            </w:tcBorders>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1,238</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611</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20" w:type="dxa"/>
            <w:vAlign w:val="bottom"/>
          </w:tcPr>
          <w:p>
            <w:pPr>
              <w:spacing w:after="0"/>
              <w:rPr>
                <w:sz w:val="20"/>
                <w:szCs w:val="20"/>
                <w:color w:val="auto"/>
              </w:rPr>
            </w:pPr>
            <w:r>
              <w:rPr>
                <w:rFonts w:ascii="Arial" w:cs="Arial" w:eastAsia="Arial" w:hAnsi="Arial"/>
                <w:sz w:val="18"/>
                <w:szCs w:val="18"/>
                <w:b w:val="1"/>
                <w:bCs w:val="1"/>
                <w:color w:val="auto"/>
              </w:rPr>
              <w:t>Pro forma earnings (loss) per share (Note 27)</w:t>
            </w: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540" w:type="dxa"/>
            <w:vAlign w:val="bottom"/>
            <w:tcBorders>
              <w:right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Basic</w:t>
            </w: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540" w:type="dxa"/>
            <w:vAlign w:val="bottom"/>
            <w:tcBorders>
              <w:right w:val="single" w:sz="8" w:color="auto"/>
            </w:tcBorders>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20" w:type="dxa"/>
            <w:vAlign w:val="bottom"/>
          </w:tcPr>
          <w:p>
            <w:pPr>
              <w:spacing w:after="0"/>
              <w:rPr>
                <w:sz w:val="20"/>
                <w:szCs w:val="20"/>
                <w:color w:val="auto"/>
              </w:rPr>
            </w:pPr>
            <w:r>
              <w:rPr>
                <w:rFonts w:ascii="Arial" w:cs="Arial" w:eastAsia="Arial" w:hAnsi="Arial"/>
                <w:sz w:val="18"/>
                <w:szCs w:val="18"/>
                <w:color w:val="auto"/>
              </w:rPr>
              <w:t>Net income attributable to common stockholders</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1260" w:type="dxa"/>
            <w:vAlign w:val="bottom"/>
            <w:gridSpan w:val="2"/>
          </w:tcPr>
          <w:p>
            <w:pPr>
              <w:jc w:val="right"/>
              <w:ind w:right="240"/>
              <w:spacing w:after="0"/>
              <w:rPr>
                <w:sz w:val="20"/>
                <w:szCs w:val="20"/>
                <w:color w:val="auto"/>
              </w:rPr>
            </w:pPr>
            <w:r>
              <w:rPr>
                <w:rFonts w:ascii="Arial" w:cs="Arial" w:eastAsia="Arial" w:hAnsi="Arial"/>
                <w:sz w:val="18"/>
                <w:szCs w:val="18"/>
                <w:color w:val="auto"/>
              </w:rPr>
              <w:t>0.85</w:t>
            </w:r>
          </w:p>
        </w:tc>
        <w:tc>
          <w:tcPr>
            <w:tcW w:w="320" w:type="dxa"/>
            <w:vAlign w:val="bottom"/>
            <w:gridSpan w:val="2"/>
          </w:tcPr>
          <w:p>
            <w:pPr>
              <w:ind w:left="180"/>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2.32</w:t>
            </w:r>
          </w:p>
        </w:tc>
        <w:tc>
          <w:tcPr>
            <w:tcW w:w="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540" w:type="dxa"/>
            <w:vAlign w:val="bottom"/>
            <w:tcBorders>
              <w:right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20" w:type="dxa"/>
            <w:vAlign w:val="bottom"/>
            <w:shd w:val="clear" w:color="auto" w:fill="CCEEFF"/>
          </w:tcPr>
          <w:p>
            <w:pPr>
              <w:spacing w:after="0"/>
              <w:rPr>
                <w:sz w:val="20"/>
                <w:szCs w:val="20"/>
                <w:color w:val="auto"/>
              </w:rPr>
            </w:pPr>
            <w:r>
              <w:rPr>
                <w:rFonts w:ascii="Arial" w:cs="Arial" w:eastAsia="Arial" w:hAnsi="Arial"/>
                <w:sz w:val="18"/>
                <w:szCs w:val="18"/>
                <w:color w:val="auto"/>
              </w:rPr>
              <w:t>Weighted average common shares outstanding</w:t>
            </w:r>
          </w:p>
        </w:tc>
        <w:tc>
          <w:tcPr>
            <w:tcW w:w="1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1,500</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1,500</w:t>
            </w:r>
          </w:p>
        </w:tc>
        <w:tc>
          <w:tcPr>
            <w:tcW w:w="4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540" w:type="dxa"/>
            <w:vAlign w:val="bottom"/>
            <w:tcBorders>
              <w:right w:val="single" w:sz="8" w:color="auto"/>
            </w:tcBorders>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20" w:type="dxa"/>
            <w:vAlign w:val="bottom"/>
          </w:tcPr>
          <w:p>
            <w:pPr>
              <w:spacing w:after="0"/>
              <w:rPr>
                <w:sz w:val="20"/>
                <w:szCs w:val="20"/>
                <w:color w:val="auto"/>
              </w:rPr>
            </w:pPr>
            <w:r>
              <w:rPr>
                <w:rFonts w:ascii="Arial" w:cs="Arial" w:eastAsia="Arial" w:hAnsi="Arial"/>
                <w:sz w:val="18"/>
                <w:szCs w:val="18"/>
                <w:b w:val="1"/>
                <w:bCs w:val="1"/>
                <w:color w:val="auto"/>
              </w:rPr>
              <w:t>Diluted</w:t>
            </w: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540" w:type="dxa"/>
            <w:vAlign w:val="bottom"/>
            <w:tcBorders>
              <w:right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20" w:type="dxa"/>
            <w:vAlign w:val="bottom"/>
            <w:shd w:val="clear" w:color="auto" w:fill="CCEEFF"/>
          </w:tcPr>
          <w:p>
            <w:pPr>
              <w:spacing w:after="0"/>
              <w:rPr>
                <w:sz w:val="20"/>
                <w:szCs w:val="20"/>
                <w:color w:val="auto"/>
              </w:rPr>
            </w:pPr>
            <w:r>
              <w:rPr>
                <w:rFonts w:ascii="Arial" w:cs="Arial" w:eastAsia="Arial" w:hAnsi="Arial"/>
                <w:sz w:val="18"/>
                <w:szCs w:val="18"/>
                <w:color w:val="auto"/>
              </w:rPr>
              <w:t>Net income attributable to common stockholders</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12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0.79</w:t>
            </w:r>
          </w:p>
        </w:tc>
        <w:tc>
          <w:tcPr>
            <w:tcW w:w="3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2.19</w:t>
            </w:r>
          </w:p>
        </w:tc>
        <w:tc>
          <w:tcPr>
            <w:tcW w:w="4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540" w:type="dxa"/>
            <w:vAlign w:val="bottom"/>
            <w:tcBorders>
              <w:right w:val="single" w:sz="8" w:color="auto"/>
            </w:tcBorders>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20" w:type="dxa"/>
            <w:vAlign w:val="bottom"/>
          </w:tcPr>
          <w:p>
            <w:pPr>
              <w:spacing w:after="0"/>
              <w:rPr>
                <w:sz w:val="20"/>
                <w:szCs w:val="20"/>
                <w:color w:val="auto"/>
              </w:rPr>
            </w:pPr>
            <w:r>
              <w:rPr>
                <w:rFonts w:ascii="Arial" w:cs="Arial" w:eastAsia="Arial" w:hAnsi="Arial"/>
                <w:sz w:val="18"/>
                <w:szCs w:val="18"/>
                <w:color w:val="auto"/>
              </w:rPr>
              <w:t>Weighted-average common shares outstanding</w:t>
            </w:r>
          </w:p>
        </w:tc>
        <w:tc>
          <w:tcPr>
            <w:tcW w:w="120" w:type="dxa"/>
            <w:vAlign w:val="bottom"/>
          </w:tcPr>
          <w:p>
            <w:pPr>
              <w:spacing w:after="0"/>
              <w:rPr>
                <w:sz w:val="18"/>
                <w:szCs w:val="18"/>
                <w:color w:val="auto"/>
              </w:rPr>
            </w:pPr>
          </w:p>
        </w:tc>
        <w:tc>
          <w:tcPr>
            <w:tcW w:w="1260" w:type="dxa"/>
            <w:vAlign w:val="bottom"/>
            <w:gridSpan w:val="2"/>
          </w:tcPr>
          <w:p>
            <w:pPr>
              <w:jc w:val="right"/>
              <w:ind w:right="240"/>
              <w:spacing w:after="0"/>
              <w:rPr>
                <w:sz w:val="20"/>
                <w:szCs w:val="20"/>
                <w:color w:val="auto"/>
              </w:rPr>
            </w:pPr>
            <w:r>
              <w:rPr>
                <w:rFonts w:ascii="Arial" w:cs="Arial" w:eastAsia="Arial" w:hAnsi="Arial"/>
                <w:sz w:val="18"/>
                <w:szCs w:val="18"/>
                <w:color w:val="auto"/>
              </w:rPr>
              <w:t>1,630</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1,588</w:t>
            </w:r>
          </w:p>
        </w:tc>
        <w:tc>
          <w:tcPr>
            <w:tcW w:w="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540" w:type="dxa"/>
            <w:vAlign w:val="bottom"/>
            <w:tcBorders>
              <w:right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Reference should be made to the notes to the condensed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420"/>
          </w:cols>
          <w:pgMar w:left="240" w:top="459" w:right="239"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3540"/>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171" w:lineRule="exact"/>
        <w:rPr>
          <w:sz w:val="20"/>
          <w:szCs w:val="20"/>
          <w:color w:val="auto"/>
        </w:rPr>
      </w:pPr>
    </w:p>
    <w:p>
      <w:pPr>
        <w:ind w:left="3620"/>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millions, except share amounts)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904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79"/>
              </w:rPr>
              <w:t>Successor</w:t>
            </w:r>
          </w:p>
        </w:tc>
        <w:tc>
          <w:tcPr>
            <w:tcW w:w="16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9040" w:type="dxa"/>
            <w:vAlign w:val="bottom"/>
          </w:tcPr>
          <w:p>
            <w:pPr>
              <w:spacing w:after="0"/>
              <w:rPr>
                <w:sz w:val="11"/>
                <w:szCs w:val="11"/>
                <w:color w:val="auto"/>
              </w:rPr>
            </w:pPr>
          </w:p>
        </w:tc>
        <w:tc>
          <w:tcPr>
            <w:tcW w:w="1460" w:type="dxa"/>
            <w:vAlign w:val="bottom"/>
            <w:gridSpan w:val="3"/>
          </w:tcPr>
          <w:p>
            <w:pPr>
              <w:spacing w:after="0" w:line="129" w:lineRule="exact"/>
              <w:rPr>
                <w:sz w:val="20"/>
                <w:szCs w:val="20"/>
                <w:color w:val="auto"/>
              </w:rPr>
            </w:pPr>
            <w:r>
              <w:rPr>
                <w:rFonts w:ascii="Arial" w:cs="Arial" w:eastAsia="Arial" w:hAnsi="Arial"/>
                <w:sz w:val="14"/>
                <w:szCs w:val="14"/>
                <w:b w:val="1"/>
                <w:bCs w:val="1"/>
                <w:color w:val="auto"/>
              </w:rPr>
              <w:t>September 30,</w:t>
            </w:r>
          </w:p>
        </w:tc>
        <w:tc>
          <w:tcPr>
            <w:tcW w:w="800" w:type="dxa"/>
            <w:vAlign w:val="bottom"/>
            <w:gridSpan w:val="2"/>
          </w:tcPr>
          <w:p>
            <w:pPr>
              <w:spacing w:after="0" w:line="129" w:lineRule="exact"/>
              <w:rPr>
                <w:sz w:val="20"/>
                <w:szCs w:val="20"/>
                <w:color w:val="auto"/>
              </w:rPr>
            </w:pPr>
            <w:r>
              <w:rPr>
                <w:rFonts w:ascii="Arial" w:cs="Arial" w:eastAsia="Arial" w:hAnsi="Arial"/>
                <w:sz w:val="14"/>
                <w:szCs w:val="14"/>
                <w:b w:val="1"/>
                <w:bCs w:val="1"/>
                <w:color w:val="auto"/>
                <w:w w:val="85"/>
              </w:rPr>
              <w:t>December 31,</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904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193"/>
              <w:spacing w:after="0"/>
              <w:rPr>
                <w:sz w:val="20"/>
                <w:szCs w:val="20"/>
                <w:color w:val="auto"/>
              </w:rPr>
            </w:pPr>
            <w:r>
              <w:rPr>
                <w:rFonts w:ascii="Arial" w:cs="Arial" w:eastAsia="Arial" w:hAnsi="Arial"/>
                <w:sz w:val="14"/>
                <w:szCs w:val="14"/>
                <w:b w:val="1"/>
                <w:bCs w:val="1"/>
                <w:color w:val="auto"/>
              </w:rPr>
              <w:t>2010</w:t>
            </w:r>
          </w:p>
        </w:tc>
        <w:tc>
          <w:tcPr>
            <w:tcW w:w="64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193"/>
              <w:spacing w:after="0"/>
              <w:rPr>
                <w:sz w:val="20"/>
                <w:szCs w:val="20"/>
                <w:color w:val="auto"/>
              </w:rPr>
            </w:pPr>
            <w:r>
              <w:rPr>
                <w:rFonts w:ascii="Arial" w:cs="Arial" w:eastAsia="Arial" w:hAnsi="Arial"/>
                <w:sz w:val="14"/>
                <w:szCs w:val="14"/>
                <w:b w:val="1"/>
                <w:bCs w:val="1"/>
                <w:color w:val="auto"/>
              </w:rPr>
              <w:t>2009</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9040" w:type="dxa"/>
            <w:vAlign w:val="bottom"/>
            <w:shd w:val="clear" w:color="auto" w:fill="CCEEFF"/>
          </w:tcPr>
          <w:p>
            <w:pPr>
              <w:ind w:left="3920"/>
              <w:spacing w:after="0"/>
              <w:rPr>
                <w:sz w:val="20"/>
                <w:szCs w:val="20"/>
                <w:color w:val="auto"/>
              </w:rPr>
            </w:pPr>
            <w:r>
              <w:rPr>
                <w:rFonts w:ascii="Arial" w:cs="Arial" w:eastAsia="Arial" w:hAnsi="Arial"/>
                <w:sz w:val="18"/>
                <w:szCs w:val="18"/>
                <w:b w:val="1"/>
                <w:bCs w:val="1"/>
                <w:color w:val="auto"/>
              </w:rPr>
              <w:t>ASSETS</w:t>
            </w: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40" w:type="dxa"/>
            <w:vAlign w:val="bottom"/>
          </w:tcPr>
          <w:p>
            <w:pPr>
              <w:spacing w:after="0"/>
              <w:rPr>
                <w:sz w:val="20"/>
                <w:szCs w:val="20"/>
                <w:color w:val="auto"/>
              </w:rPr>
            </w:pPr>
            <w:r>
              <w:rPr>
                <w:rFonts w:ascii="Arial" w:cs="Arial" w:eastAsia="Arial" w:hAnsi="Arial"/>
                <w:sz w:val="18"/>
                <w:szCs w:val="18"/>
                <w:b w:val="1"/>
                <w:bCs w:val="1"/>
                <w:color w:val="auto"/>
              </w:rPr>
              <w:t>Current Assets</w:t>
            </w:r>
          </w:p>
        </w:tc>
        <w:tc>
          <w:tcPr>
            <w:tcW w:w="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Cash and cash equivalents</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300" w:type="dxa"/>
            <w:vAlign w:val="bottom"/>
            <w:gridSpan w:val="2"/>
            <w:shd w:val="clear" w:color="auto" w:fill="CCEEFF"/>
          </w:tcPr>
          <w:p>
            <w:pPr>
              <w:jc w:val="right"/>
              <w:ind w:right="572"/>
              <w:spacing w:after="0"/>
              <w:rPr>
                <w:sz w:val="20"/>
                <w:szCs w:val="20"/>
                <w:color w:val="auto"/>
              </w:rPr>
            </w:pPr>
            <w:r>
              <w:rPr>
                <w:rFonts w:ascii="Arial" w:cs="Arial" w:eastAsia="Arial" w:hAnsi="Arial"/>
                <w:sz w:val="18"/>
                <w:szCs w:val="18"/>
                <w:color w:val="auto"/>
              </w:rPr>
              <w:t>27,466</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22,679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40" w:type="dxa"/>
            <w:vAlign w:val="bottom"/>
          </w:tcPr>
          <w:p>
            <w:pPr>
              <w:ind w:left="200"/>
              <w:spacing w:after="0"/>
              <w:rPr>
                <w:sz w:val="20"/>
                <w:szCs w:val="20"/>
                <w:color w:val="auto"/>
              </w:rPr>
            </w:pPr>
            <w:r>
              <w:rPr>
                <w:rFonts w:ascii="Arial" w:cs="Arial" w:eastAsia="Arial" w:hAnsi="Arial"/>
                <w:sz w:val="18"/>
                <w:szCs w:val="18"/>
                <w:color w:val="auto"/>
              </w:rPr>
              <w:t>Marketable securities</w:t>
            </w:r>
          </w:p>
        </w:tc>
        <w:tc>
          <w:tcPr>
            <w:tcW w:w="160" w:type="dxa"/>
            <w:vAlign w:val="bottom"/>
          </w:tcPr>
          <w:p>
            <w:pPr>
              <w:spacing w:after="0"/>
              <w:rPr>
                <w:sz w:val="18"/>
                <w:szCs w:val="18"/>
                <w:color w:val="auto"/>
              </w:rPr>
            </w:pPr>
          </w:p>
        </w:tc>
        <w:tc>
          <w:tcPr>
            <w:tcW w:w="1300" w:type="dxa"/>
            <w:vAlign w:val="bottom"/>
            <w:gridSpan w:val="2"/>
          </w:tcPr>
          <w:p>
            <w:pPr>
              <w:jc w:val="right"/>
              <w:ind w:right="572"/>
              <w:spacing w:after="0"/>
              <w:rPr>
                <w:sz w:val="20"/>
                <w:szCs w:val="20"/>
                <w:color w:val="auto"/>
              </w:rPr>
            </w:pPr>
            <w:r>
              <w:rPr>
                <w:rFonts w:ascii="Arial" w:cs="Arial" w:eastAsia="Arial" w:hAnsi="Arial"/>
                <w:sz w:val="18"/>
                <w:szCs w:val="18"/>
                <w:color w:val="auto"/>
              </w:rPr>
              <w:t>6,010</w:t>
            </w:r>
          </w:p>
        </w:tc>
        <w:tc>
          <w:tcPr>
            <w:tcW w:w="16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134</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904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64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90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Total cash, cash equivalents and marketable securities</w:t>
            </w:r>
          </w:p>
        </w:tc>
        <w:tc>
          <w:tcPr>
            <w:tcW w:w="1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572"/>
              <w:spacing w:after="0"/>
              <w:rPr>
                <w:sz w:val="20"/>
                <w:szCs w:val="20"/>
                <w:color w:val="auto"/>
              </w:rPr>
            </w:pPr>
            <w:r>
              <w:rPr>
                <w:rFonts w:ascii="Arial" w:cs="Arial" w:eastAsia="Arial" w:hAnsi="Arial"/>
                <w:sz w:val="18"/>
                <w:szCs w:val="18"/>
                <w:color w:val="auto"/>
              </w:rPr>
              <w:t>33,476</w:t>
            </w: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22,813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40" w:type="dxa"/>
            <w:vAlign w:val="bottom"/>
          </w:tcPr>
          <w:p>
            <w:pPr>
              <w:ind w:left="200"/>
              <w:spacing w:after="0"/>
              <w:rPr>
                <w:sz w:val="20"/>
                <w:szCs w:val="20"/>
                <w:color w:val="auto"/>
              </w:rPr>
            </w:pPr>
            <w:r>
              <w:rPr>
                <w:rFonts w:ascii="Arial" w:cs="Arial" w:eastAsia="Arial" w:hAnsi="Arial"/>
                <w:sz w:val="18"/>
                <w:szCs w:val="18"/>
                <w:color w:val="auto"/>
              </w:rPr>
              <w:t>Restricted cash and marketable securities</w:t>
            </w:r>
          </w:p>
        </w:tc>
        <w:tc>
          <w:tcPr>
            <w:tcW w:w="160" w:type="dxa"/>
            <w:vAlign w:val="bottom"/>
          </w:tcPr>
          <w:p>
            <w:pPr>
              <w:spacing w:after="0"/>
              <w:rPr>
                <w:sz w:val="18"/>
                <w:szCs w:val="18"/>
                <w:color w:val="auto"/>
              </w:rPr>
            </w:pPr>
          </w:p>
        </w:tc>
        <w:tc>
          <w:tcPr>
            <w:tcW w:w="1300" w:type="dxa"/>
            <w:vAlign w:val="bottom"/>
            <w:gridSpan w:val="2"/>
          </w:tcPr>
          <w:p>
            <w:pPr>
              <w:jc w:val="right"/>
              <w:ind w:right="572"/>
              <w:spacing w:after="0"/>
              <w:rPr>
                <w:sz w:val="20"/>
                <w:szCs w:val="20"/>
                <w:color w:val="auto"/>
              </w:rPr>
            </w:pPr>
            <w:r>
              <w:rPr>
                <w:rFonts w:ascii="Arial" w:cs="Arial" w:eastAsia="Arial" w:hAnsi="Arial"/>
                <w:sz w:val="18"/>
                <w:szCs w:val="18"/>
                <w:color w:val="auto"/>
              </w:rPr>
              <w:t>1,323</w:t>
            </w:r>
          </w:p>
        </w:tc>
        <w:tc>
          <w:tcPr>
            <w:tcW w:w="16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13,917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Accounts and notes receivable (net of allowance of $279 and $250)</w:t>
            </w:r>
          </w:p>
        </w:tc>
        <w:tc>
          <w:tcPr>
            <w:tcW w:w="1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572"/>
              <w:spacing w:after="0"/>
              <w:rPr>
                <w:sz w:val="20"/>
                <w:szCs w:val="20"/>
                <w:color w:val="auto"/>
              </w:rPr>
            </w:pPr>
            <w:r>
              <w:rPr>
                <w:rFonts w:ascii="Arial" w:cs="Arial" w:eastAsia="Arial" w:hAnsi="Arial"/>
                <w:sz w:val="18"/>
                <w:szCs w:val="18"/>
                <w:color w:val="auto"/>
              </w:rPr>
              <w:t>8,725</w:t>
            </w: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7,518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40" w:type="dxa"/>
            <w:vAlign w:val="bottom"/>
          </w:tcPr>
          <w:p>
            <w:pPr>
              <w:ind w:left="200"/>
              <w:spacing w:after="0"/>
              <w:rPr>
                <w:sz w:val="20"/>
                <w:szCs w:val="20"/>
                <w:color w:val="auto"/>
              </w:rPr>
            </w:pPr>
            <w:r>
              <w:rPr>
                <w:rFonts w:ascii="Arial" w:cs="Arial" w:eastAsia="Arial" w:hAnsi="Arial"/>
                <w:sz w:val="18"/>
                <w:szCs w:val="18"/>
                <w:color w:val="auto"/>
              </w:rPr>
              <w:t>Inventories</w:t>
            </w:r>
          </w:p>
        </w:tc>
        <w:tc>
          <w:tcPr>
            <w:tcW w:w="160" w:type="dxa"/>
            <w:vAlign w:val="bottom"/>
          </w:tcPr>
          <w:p>
            <w:pPr>
              <w:spacing w:after="0"/>
              <w:rPr>
                <w:sz w:val="18"/>
                <w:szCs w:val="18"/>
                <w:color w:val="auto"/>
              </w:rPr>
            </w:pPr>
          </w:p>
        </w:tc>
        <w:tc>
          <w:tcPr>
            <w:tcW w:w="1300" w:type="dxa"/>
            <w:vAlign w:val="bottom"/>
            <w:gridSpan w:val="2"/>
          </w:tcPr>
          <w:p>
            <w:pPr>
              <w:jc w:val="right"/>
              <w:ind w:right="572"/>
              <w:spacing w:after="0"/>
              <w:rPr>
                <w:sz w:val="20"/>
                <w:szCs w:val="20"/>
                <w:color w:val="auto"/>
              </w:rPr>
            </w:pPr>
            <w:r>
              <w:rPr>
                <w:rFonts w:ascii="Arial" w:cs="Arial" w:eastAsia="Arial" w:hAnsi="Arial"/>
                <w:sz w:val="18"/>
                <w:szCs w:val="18"/>
                <w:color w:val="auto"/>
              </w:rPr>
              <w:t>13,044</w:t>
            </w:r>
          </w:p>
        </w:tc>
        <w:tc>
          <w:tcPr>
            <w:tcW w:w="16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10,107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Assets held for sale</w:t>
            </w:r>
          </w:p>
        </w:tc>
        <w:tc>
          <w:tcPr>
            <w:tcW w:w="1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572"/>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388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40" w:type="dxa"/>
            <w:vAlign w:val="bottom"/>
          </w:tcPr>
          <w:p>
            <w:pPr>
              <w:ind w:left="200"/>
              <w:spacing w:after="0"/>
              <w:rPr>
                <w:sz w:val="20"/>
                <w:szCs w:val="20"/>
                <w:color w:val="auto"/>
              </w:rPr>
            </w:pPr>
            <w:r>
              <w:rPr>
                <w:rFonts w:ascii="Arial" w:cs="Arial" w:eastAsia="Arial" w:hAnsi="Arial"/>
                <w:sz w:val="18"/>
                <w:szCs w:val="18"/>
                <w:color w:val="auto"/>
              </w:rPr>
              <w:t>Equipment on operating leases, net</w:t>
            </w:r>
          </w:p>
        </w:tc>
        <w:tc>
          <w:tcPr>
            <w:tcW w:w="160" w:type="dxa"/>
            <w:vAlign w:val="bottom"/>
          </w:tcPr>
          <w:p>
            <w:pPr>
              <w:spacing w:after="0"/>
              <w:rPr>
                <w:sz w:val="18"/>
                <w:szCs w:val="18"/>
                <w:color w:val="auto"/>
              </w:rPr>
            </w:pPr>
          </w:p>
        </w:tc>
        <w:tc>
          <w:tcPr>
            <w:tcW w:w="1300" w:type="dxa"/>
            <w:vAlign w:val="bottom"/>
            <w:gridSpan w:val="2"/>
          </w:tcPr>
          <w:p>
            <w:pPr>
              <w:jc w:val="right"/>
              <w:ind w:right="572"/>
              <w:spacing w:after="0"/>
              <w:rPr>
                <w:sz w:val="20"/>
                <w:szCs w:val="20"/>
                <w:color w:val="auto"/>
              </w:rPr>
            </w:pPr>
            <w:r>
              <w:rPr>
                <w:rFonts w:ascii="Arial" w:cs="Arial" w:eastAsia="Arial" w:hAnsi="Arial"/>
                <w:sz w:val="18"/>
                <w:szCs w:val="18"/>
                <w:color w:val="auto"/>
              </w:rPr>
              <w:t>2,942</w:t>
            </w:r>
          </w:p>
        </w:tc>
        <w:tc>
          <w:tcPr>
            <w:tcW w:w="16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2,727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Other current assets and deferred income taxes</w:t>
            </w:r>
          </w:p>
        </w:tc>
        <w:tc>
          <w:tcPr>
            <w:tcW w:w="1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572"/>
              <w:spacing w:after="0"/>
              <w:rPr>
                <w:sz w:val="20"/>
                <w:szCs w:val="20"/>
                <w:color w:val="auto"/>
              </w:rPr>
            </w:pPr>
            <w:r>
              <w:rPr>
                <w:rFonts w:ascii="Arial" w:cs="Arial" w:eastAsia="Arial" w:hAnsi="Arial"/>
                <w:sz w:val="18"/>
                <w:szCs w:val="18"/>
                <w:color w:val="auto"/>
              </w:rPr>
              <w:t>2,074</w:t>
            </w: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1,777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040" w:type="dxa"/>
            <w:vAlign w:val="bottom"/>
            <w:vMerge w:val="restart"/>
          </w:tcPr>
          <w:p>
            <w:pPr>
              <w:ind w:left="200"/>
              <w:spacing w:after="0"/>
              <w:rPr>
                <w:sz w:val="20"/>
                <w:szCs w:val="20"/>
                <w:color w:val="auto"/>
              </w:rPr>
            </w:pPr>
            <w:r>
              <w:rPr>
                <w:rFonts w:ascii="Arial" w:cs="Arial" w:eastAsia="Arial" w:hAnsi="Arial"/>
                <w:sz w:val="18"/>
                <w:szCs w:val="18"/>
                <w:color w:val="auto"/>
              </w:rPr>
              <w:t>Total current assets</w:t>
            </w:r>
          </w:p>
        </w:tc>
        <w:tc>
          <w:tcPr>
            <w:tcW w:w="16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20" w:type="dxa"/>
            <w:vAlign w:val="bottom"/>
          </w:tcPr>
          <w:p>
            <w:pPr>
              <w:spacing w:after="0"/>
              <w:rPr>
                <w:sz w:val="19"/>
                <w:szCs w:val="19"/>
                <w:color w:val="auto"/>
              </w:rPr>
            </w:pPr>
          </w:p>
        </w:tc>
        <w:tc>
          <w:tcPr>
            <w:tcW w:w="9040" w:type="dxa"/>
            <w:vAlign w:val="bottom"/>
            <w:vMerge w:val="continue"/>
          </w:tcPr>
          <w:p>
            <w:pPr>
              <w:spacing w:after="0"/>
              <w:rPr>
                <w:sz w:val="19"/>
                <w:szCs w:val="19"/>
                <w:color w:val="auto"/>
              </w:rPr>
            </w:pPr>
          </w:p>
        </w:tc>
        <w:tc>
          <w:tcPr>
            <w:tcW w:w="160" w:type="dxa"/>
            <w:vAlign w:val="bottom"/>
          </w:tcPr>
          <w:p>
            <w:pPr>
              <w:spacing w:after="0"/>
              <w:rPr>
                <w:sz w:val="19"/>
                <w:szCs w:val="19"/>
                <w:color w:val="auto"/>
              </w:rPr>
            </w:pPr>
          </w:p>
        </w:tc>
        <w:tc>
          <w:tcPr>
            <w:tcW w:w="1300" w:type="dxa"/>
            <w:vAlign w:val="bottom"/>
            <w:gridSpan w:val="2"/>
          </w:tcPr>
          <w:p>
            <w:pPr>
              <w:jc w:val="right"/>
              <w:ind w:right="572"/>
              <w:spacing w:after="0"/>
              <w:rPr>
                <w:sz w:val="20"/>
                <w:szCs w:val="20"/>
                <w:color w:val="auto"/>
              </w:rPr>
            </w:pPr>
            <w:r>
              <w:rPr>
                <w:rFonts w:ascii="Arial" w:cs="Arial" w:eastAsia="Arial" w:hAnsi="Arial"/>
                <w:sz w:val="18"/>
                <w:szCs w:val="18"/>
                <w:color w:val="auto"/>
              </w:rPr>
              <w:t>61,584</w:t>
            </w:r>
          </w:p>
        </w:tc>
        <w:tc>
          <w:tcPr>
            <w:tcW w:w="160" w:type="dxa"/>
            <w:vAlign w:val="bottom"/>
          </w:tcPr>
          <w:p>
            <w:pPr>
              <w:spacing w:after="0"/>
              <w:rPr>
                <w:sz w:val="19"/>
                <w:szCs w:val="19"/>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59,247</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90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Non-Current Assets</w:t>
            </w: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40" w:type="dxa"/>
            <w:vAlign w:val="bottom"/>
          </w:tcPr>
          <w:p>
            <w:pPr>
              <w:ind w:left="200"/>
              <w:spacing w:after="0"/>
              <w:rPr>
                <w:sz w:val="20"/>
                <w:szCs w:val="20"/>
                <w:color w:val="auto"/>
              </w:rPr>
            </w:pPr>
            <w:r>
              <w:rPr>
                <w:rFonts w:ascii="Arial" w:cs="Arial" w:eastAsia="Arial" w:hAnsi="Arial"/>
                <w:sz w:val="18"/>
                <w:szCs w:val="18"/>
                <w:color w:val="auto"/>
              </w:rPr>
              <w:t>Equity in net assets of nonconsolidated affiliates</w:t>
            </w:r>
          </w:p>
        </w:tc>
        <w:tc>
          <w:tcPr>
            <w:tcW w:w="160" w:type="dxa"/>
            <w:vAlign w:val="bottom"/>
          </w:tcPr>
          <w:p>
            <w:pPr>
              <w:spacing w:after="0"/>
              <w:rPr>
                <w:sz w:val="18"/>
                <w:szCs w:val="18"/>
                <w:color w:val="auto"/>
              </w:rPr>
            </w:pPr>
          </w:p>
        </w:tc>
        <w:tc>
          <w:tcPr>
            <w:tcW w:w="1300" w:type="dxa"/>
            <w:vAlign w:val="bottom"/>
            <w:gridSpan w:val="2"/>
          </w:tcPr>
          <w:p>
            <w:pPr>
              <w:jc w:val="right"/>
              <w:ind w:right="572"/>
              <w:spacing w:after="0"/>
              <w:rPr>
                <w:sz w:val="20"/>
                <w:szCs w:val="20"/>
                <w:color w:val="auto"/>
              </w:rPr>
            </w:pPr>
            <w:r>
              <w:rPr>
                <w:rFonts w:ascii="Arial" w:cs="Arial" w:eastAsia="Arial" w:hAnsi="Arial"/>
                <w:sz w:val="18"/>
                <w:szCs w:val="18"/>
                <w:color w:val="auto"/>
              </w:rPr>
              <w:t>8,691</w:t>
            </w:r>
          </w:p>
        </w:tc>
        <w:tc>
          <w:tcPr>
            <w:tcW w:w="16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7,936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Assets held for sale</w:t>
            </w:r>
          </w:p>
        </w:tc>
        <w:tc>
          <w:tcPr>
            <w:tcW w:w="1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572"/>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530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40" w:type="dxa"/>
            <w:vAlign w:val="bottom"/>
          </w:tcPr>
          <w:p>
            <w:pPr>
              <w:ind w:left="200"/>
              <w:spacing w:after="0"/>
              <w:rPr>
                <w:sz w:val="20"/>
                <w:szCs w:val="20"/>
                <w:color w:val="auto"/>
              </w:rPr>
            </w:pPr>
            <w:r>
              <w:rPr>
                <w:rFonts w:ascii="Arial" w:cs="Arial" w:eastAsia="Arial" w:hAnsi="Arial"/>
                <w:sz w:val="18"/>
                <w:szCs w:val="18"/>
                <w:color w:val="auto"/>
              </w:rPr>
              <w:t>Property, net</w:t>
            </w:r>
          </w:p>
        </w:tc>
        <w:tc>
          <w:tcPr>
            <w:tcW w:w="160" w:type="dxa"/>
            <w:vAlign w:val="bottom"/>
          </w:tcPr>
          <w:p>
            <w:pPr>
              <w:spacing w:after="0"/>
              <w:rPr>
                <w:sz w:val="18"/>
                <w:szCs w:val="18"/>
                <w:color w:val="auto"/>
              </w:rPr>
            </w:pPr>
          </w:p>
        </w:tc>
        <w:tc>
          <w:tcPr>
            <w:tcW w:w="1300" w:type="dxa"/>
            <w:vAlign w:val="bottom"/>
            <w:gridSpan w:val="2"/>
          </w:tcPr>
          <w:p>
            <w:pPr>
              <w:jc w:val="right"/>
              <w:ind w:right="572"/>
              <w:spacing w:after="0"/>
              <w:rPr>
                <w:sz w:val="20"/>
                <w:szCs w:val="20"/>
                <w:color w:val="auto"/>
              </w:rPr>
            </w:pPr>
            <w:r>
              <w:rPr>
                <w:rFonts w:ascii="Arial" w:cs="Arial" w:eastAsia="Arial" w:hAnsi="Arial"/>
                <w:sz w:val="18"/>
                <w:szCs w:val="18"/>
                <w:color w:val="auto"/>
              </w:rPr>
              <w:t>19,116</w:t>
            </w:r>
          </w:p>
        </w:tc>
        <w:tc>
          <w:tcPr>
            <w:tcW w:w="16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18,687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Goodwill</w:t>
            </w:r>
          </w:p>
        </w:tc>
        <w:tc>
          <w:tcPr>
            <w:tcW w:w="1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572"/>
              <w:spacing w:after="0"/>
              <w:rPr>
                <w:sz w:val="20"/>
                <w:szCs w:val="20"/>
                <w:color w:val="auto"/>
              </w:rPr>
            </w:pPr>
            <w:r>
              <w:rPr>
                <w:rFonts w:ascii="Arial" w:cs="Arial" w:eastAsia="Arial" w:hAnsi="Arial"/>
                <w:sz w:val="18"/>
                <w:szCs w:val="18"/>
                <w:color w:val="auto"/>
              </w:rPr>
              <w:t>30,556</w:t>
            </w: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30,672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40" w:type="dxa"/>
            <w:vAlign w:val="bottom"/>
          </w:tcPr>
          <w:p>
            <w:pPr>
              <w:ind w:left="200"/>
              <w:spacing w:after="0"/>
              <w:rPr>
                <w:sz w:val="20"/>
                <w:szCs w:val="20"/>
                <w:color w:val="auto"/>
              </w:rPr>
            </w:pPr>
            <w:r>
              <w:rPr>
                <w:rFonts w:ascii="Arial" w:cs="Arial" w:eastAsia="Arial" w:hAnsi="Arial"/>
                <w:sz w:val="18"/>
                <w:szCs w:val="18"/>
                <w:color w:val="auto"/>
              </w:rPr>
              <w:t>Intangible assets, net</w:t>
            </w:r>
          </w:p>
        </w:tc>
        <w:tc>
          <w:tcPr>
            <w:tcW w:w="160" w:type="dxa"/>
            <w:vAlign w:val="bottom"/>
          </w:tcPr>
          <w:p>
            <w:pPr>
              <w:spacing w:after="0"/>
              <w:rPr>
                <w:sz w:val="18"/>
                <w:szCs w:val="18"/>
                <w:color w:val="auto"/>
              </w:rPr>
            </w:pPr>
          </w:p>
        </w:tc>
        <w:tc>
          <w:tcPr>
            <w:tcW w:w="1300" w:type="dxa"/>
            <w:vAlign w:val="bottom"/>
            <w:gridSpan w:val="2"/>
          </w:tcPr>
          <w:p>
            <w:pPr>
              <w:jc w:val="right"/>
              <w:ind w:right="572"/>
              <w:spacing w:after="0"/>
              <w:rPr>
                <w:sz w:val="20"/>
                <w:szCs w:val="20"/>
                <w:color w:val="auto"/>
              </w:rPr>
            </w:pPr>
            <w:r>
              <w:rPr>
                <w:rFonts w:ascii="Arial" w:cs="Arial" w:eastAsia="Arial" w:hAnsi="Arial"/>
                <w:sz w:val="18"/>
                <w:szCs w:val="18"/>
                <w:color w:val="auto"/>
              </w:rPr>
              <w:t>12,454</w:t>
            </w:r>
          </w:p>
        </w:tc>
        <w:tc>
          <w:tcPr>
            <w:tcW w:w="16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14,547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Other assets</w:t>
            </w:r>
          </w:p>
        </w:tc>
        <w:tc>
          <w:tcPr>
            <w:tcW w:w="1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572"/>
              <w:spacing w:after="0"/>
              <w:rPr>
                <w:sz w:val="20"/>
                <w:szCs w:val="20"/>
                <w:color w:val="auto"/>
              </w:rPr>
            </w:pPr>
            <w:r>
              <w:rPr>
                <w:rFonts w:ascii="Arial" w:cs="Arial" w:eastAsia="Arial" w:hAnsi="Arial"/>
                <w:sz w:val="18"/>
                <w:szCs w:val="18"/>
                <w:color w:val="auto"/>
              </w:rPr>
              <w:t>4,837</w:t>
            </w: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4,676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040" w:type="dxa"/>
            <w:vAlign w:val="bottom"/>
            <w:vMerge w:val="restart"/>
          </w:tcPr>
          <w:p>
            <w:pPr>
              <w:ind w:left="200"/>
              <w:spacing w:after="0"/>
              <w:rPr>
                <w:sz w:val="20"/>
                <w:szCs w:val="20"/>
                <w:color w:val="auto"/>
              </w:rPr>
            </w:pPr>
            <w:r>
              <w:rPr>
                <w:rFonts w:ascii="Arial" w:cs="Arial" w:eastAsia="Arial" w:hAnsi="Arial"/>
                <w:sz w:val="18"/>
                <w:szCs w:val="18"/>
                <w:color w:val="auto"/>
              </w:rPr>
              <w:t>Total non-current assets</w:t>
            </w:r>
          </w:p>
        </w:tc>
        <w:tc>
          <w:tcPr>
            <w:tcW w:w="16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20" w:type="dxa"/>
            <w:vAlign w:val="bottom"/>
          </w:tcPr>
          <w:p>
            <w:pPr>
              <w:spacing w:after="0"/>
              <w:rPr>
                <w:sz w:val="19"/>
                <w:szCs w:val="19"/>
                <w:color w:val="auto"/>
              </w:rPr>
            </w:pPr>
          </w:p>
        </w:tc>
        <w:tc>
          <w:tcPr>
            <w:tcW w:w="9040" w:type="dxa"/>
            <w:vAlign w:val="bottom"/>
            <w:vMerge w:val="continue"/>
          </w:tcPr>
          <w:p>
            <w:pPr>
              <w:spacing w:after="0"/>
              <w:rPr>
                <w:sz w:val="19"/>
                <w:szCs w:val="19"/>
                <w:color w:val="auto"/>
              </w:rPr>
            </w:pPr>
          </w:p>
        </w:tc>
        <w:tc>
          <w:tcPr>
            <w:tcW w:w="160" w:type="dxa"/>
            <w:vAlign w:val="bottom"/>
          </w:tcPr>
          <w:p>
            <w:pPr>
              <w:spacing w:after="0"/>
              <w:rPr>
                <w:sz w:val="19"/>
                <w:szCs w:val="19"/>
                <w:color w:val="auto"/>
              </w:rPr>
            </w:pPr>
          </w:p>
        </w:tc>
        <w:tc>
          <w:tcPr>
            <w:tcW w:w="1300" w:type="dxa"/>
            <w:vAlign w:val="bottom"/>
            <w:gridSpan w:val="2"/>
          </w:tcPr>
          <w:p>
            <w:pPr>
              <w:jc w:val="right"/>
              <w:ind w:right="572"/>
              <w:spacing w:after="0"/>
              <w:rPr>
                <w:sz w:val="20"/>
                <w:szCs w:val="20"/>
                <w:color w:val="auto"/>
              </w:rPr>
            </w:pPr>
            <w:r>
              <w:rPr>
                <w:rFonts w:ascii="Arial" w:cs="Arial" w:eastAsia="Arial" w:hAnsi="Arial"/>
                <w:sz w:val="18"/>
                <w:szCs w:val="18"/>
                <w:color w:val="auto"/>
              </w:rPr>
              <w:t>75,654</w:t>
            </w:r>
          </w:p>
        </w:tc>
        <w:tc>
          <w:tcPr>
            <w:tcW w:w="160" w:type="dxa"/>
            <w:vAlign w:val="bottom"/>
          </w:tcPr>
          <w:p>
            <w:pPr>
              <w:spacing w:after="0"/>
              <w:rPr>
                <w:sz w:val="19"/>
                <w:szCs w:val="19"/>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77,048</w:t>
            </w:r>
          </w:p>
        </w:tc>
        <w:tc>
          <w:tcPr>
            <w:tcW w:w="0" w:type="dxa"/>
            <w:vAlign w:val="bottom"/>
          </w:tcPr>
          <w:p>
            <w:pPr>
              <w:spacing w:after="0"/>
              <w:rPr>
                <w:sz w:val="1"/>
                <w:szCs w:val="1"/>
                <w:color w:val="auto"/>
              </w:rPr>
            </w:pPr>
          </w:p>
        </w:tc>
      </w:tr>
      <w:tr>
        <w:trPr>
          <w:trHeight w:val="28"/>
        </w:trPr>
        <w:tc>
          <w:tcPr>
            <w:tcW w:w="20" w:type="dxa"/>
            <w:vAlign w:val="bottom"/>
            <w:vMerge w:val="restart"/>
          </w:tcPr>
          <w:p>
            <w:pPr>
              <w:spacing w:after="0"/>
              <w:rPr>
                <w:sz w:val="2"/>
                <w:szCs w:val="2"/>
                <w:color w:val="auto"/>
              </w:rPr>
            </w:pPr>
          </w:p>
        </w:tc>
        <w:tc>
          <w:tcPr>
            <w:tcW w:w="904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64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90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Assets</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300" w:type="dxa"/>
            <w:vAlign w:val="bottom"/>
            <w:gridSpan w:val="2"/>
            <w:shd w:val="clear" w:color="auto" w:fill="CCEEFF"/>
          </w:tcPr>
          <w:p>
            <w:pPr>
              <w:jc w:val="right"/>
              <w:ind w:right="572"/>
              <w:spacing w:after="0"/>
              <w:rPr>
                <w:sz w:val="20"/>
                <w:szCs w:val="20"/>
                <w:color w:val="auto"/>
              </w:rPr>
            </w:pPr>
            <w:r>
              <w:rPr>
                <w:rFonts w:ascii="Arial" w:cs="Arial" w:eastAsia="Arial" w:hAnsi="Arial"/>
                <w:sz w:val="18"/>
                <w:szCs w:val="18"/>
                <w:color w:val="auto"/>
                <w:w w:val="98"/>
              </w:rPr>
              <w:t>137,238</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5"/>
              </w:rPr>
              <w:t>136,295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040" w:type="dxa"/>
            <w:vAlign w:val="bottom"/>
            <w:vMerge w:val="restart"/>
          </w:tcPr>
          <w:p>
            <w:pPr>
              <w:ind w:left="3120"/>
              <w:spacing w:after="0"/>
              <w:rPr>
                <w:sz w:val="20"/>
                <w:szCs w:val="20"/>
                <w:color w:val="auto"/>
              </w:rPr>
            </w:pPr>
            <w:r>
              <w:rPr>
                <w:rFonts w:ascii="Arial" w:cs="Arial" w:eastAsia="Arial" w:hAnsi="Arial"/>
                <w:sz w:val="18"/>
                <w:szCs w:val="18"/>
                <w:b w:val="1"/>
                <w:bCs w:val="1"/>
                <w:color w:val="auto"/>
              </w:rPr>
              <w:t>LIABILITIES AND EQUITY</w:t>
            </w:r>
          </w:p>
        </w:tc>
        <w:tc>
          <w:tcPr>
            <w:tcW w:w="1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20" w:type="dxa"/>
            <w:vAlign w:val="bottom"/>
          </w:tcPr>
          <w:p>
            <w:pPr>
              <w:spacing w:after="0"/>
              <w:rPr>
                <w:sz w:val="18"/>
                <w:szCs w:val="18"/>
                <w:color w:val="auto"/>
              </w:rPr>
            </w:pPr>
          </w:p>
        </w:tc>
        <w:tc>
          <w:tcPr>
            <w:tcW w:w="9040" w:type="dxa"/>
            <w:vAlign w:val="bottom"/>
            <w:vMerge w:val="continue"/>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90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Current Liabilities</w:t>
            </w: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40" w:type="dxa"/>
            <w:vAlign w:val="bottom"/>
          </w:tcPr>
          <w:p>
            <w:pPr>
              <w:ind w:left="200"/>
              <w:spacing w:after="0"/>
              <w:rPr>
                <w:sz w:val="20"/>
                <w:szCs w:val="20"/>
                <w:color w:val="auto"/>
              </w:rPr>
            </w:pPr>
            <w:r>
              <w:rPr>
                <w:rFonts w:ascii="Arial" w:cs="Arial" w:eastAsia="Arial" w:hAnsi="Arial"/>
                <w:sz w:val="18"/>
                <w:szCs w:val="18"/>
                <w:color w:val="auto"/>
              </w:rPr>
              <w:t>Accounts payable (principally trade)</w:t>
            </w: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1300" w:type="dxa"/>
            <w:vAlign w:val="bottom"/>
            <w:gridSpan w:val="2"/>
          </w:tcPr>
          <w:p>
            <w:pPr>
              <w:jc w:val="right"/>
              <w:ind w:right="572"/>
              <w:spacing w:after="0"/>
              <w:rPr>
                <w:sz w:val="20"/>
                <w:szCs w:val="20"/>
                <w:color w:val="auto"/>
              </w:rPr>
            </w:pPr>
            <w:r>
              <w:rPr>
                <w:rFonts w:ascii="Arial" w:cs="Arial" w:eastAsia="Arial" w:hAnsi="Arial"/>
                <w:sz w:val="18"/>
                <w:szCs w:val="18"/>
                <w:color w:val="auto"/>
              </w:rPr>
              <w:t>22,137</w:t>
            </w: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18,725</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9040" w:type="dxa"/>
            <w:vAlign w:val="bottom"/>
            <w:shd w:val="clear" w:color="auto" w:fill="CCEEFF"/>
          </w:tcPr>
          <w:p>
            <w:pPr>
              <w:ind w:left="200"/>
              <w:spacing w:after="0"/>
              <w:rPr>
                <w:sz w:val="20"/>
                <w:szCs w:val="20"/>
                <w:color w:val="auto"/>
              </w:rPr>
            </w:pPr>
            <w:r>
              <w:rPr>
                <w:rFonts w:ascii="Arial" w:cs="Arial" w:eastAsia="Arial" w:hAnsi="Arial"/>
                <w:sz w:val="18"/>
                <w:szCs w:val="18"/>
                <w:color w:val="auto"/>
                <w:w w:val="98"/>
              </w:rPr>
              <w:t>Short-term debt and current portion of long-term debt (including debt at GM Daewoo of $1,072 at September 30,</w:t>
            </w: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90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2010; Note 10)</w:t>
            </w:r>
          </w:p>
        </w:tc>
        <w:tc>
          <w:tcPr>
            <w:tcW w:w="16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572"/>
              <w:spacing w:after="0"/>
              <w:rPr>
                <w:sz w:val="20"/>
                <w:szCs w:val="20"/>
                <w:color w:val="auto"/>
              </w:rPr>
            </w:pPr>
            <w:r>
              <w:rPr>
                <w:rFonts w:ascii="Arial" w:cs="Arial" w:eastAsia="Arial" w:hAnsi="Arial"/>
                <w:sz w:val="18"/>
                <w:szCs w:val="18"/>
                <w:color w:val="auto"/>
              </w:rPr>
              <w:t>5,621</w:t>
            </w:r>
          </w:p>
        </w:tc>
        <w:tc>
          <w:tcPr>
            <w:tcW w:w="160" w:type="dxa"/>
            <w:vAlign w:val="bottom"/>
            <w:shd w:val="clear" w:color="auto" w:fill="CCEEFF"/>
          </w:tcPr>
          <w:p>
            <w:pPr>
              <w:spacing w:after="0"/>
              <w:rPr>
                <w:sz w:val="19"/>
                <w:szCs w:val="19"/>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10,221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40" w:type="dxa"/>
            <w:vAlign w:val="bottom"/>
          </w:tcPr>
          <w:p>
            <w:pPr>
              <w:ind w:left="200"/>
              <w:spacing w:after="0"/>
              <w:rPr>
                <w:sz w:val="20"/>
                <w:szCs w:val="20"/>
                <w:color w:val="auto"/>
              </w:rPr>
            </w:pPr>
            <w:r>
              <w:rPr>
                <w:rFonts w:ascii="Arial" w:cs="Arial" w:eastAsia="Arial" w:hAnsi="Arial"/>
                <w:sz w:val="18"/>
                <w:szCs w:val="18"/>
                <w:color w:val="auto"/>
              </w:rPr>
              <w:t>Liabilities held for sale</w:t>
            </w:r>
          </w:p>
        </w:tc>
        <w:tc>
          <w:tcPr>
            <w:tcW w:w="160" w:type="dxa"/>
            <w:vAlign w:val="bottom"/>
          </w:tcPr>
          <w:p>
            <w:pPr>
              <w:spacing w:after="0"/>
              <w:rPr>
                <w:sz w:val="18"/>
                <w:szCs w:val="18"/>
                <w:color w:val="auto"/>
              </w:rPr>
            </w:pPr>
          </w:p>
        </w:tc>
        <w:tc>
          <w:tcPr>
            <w:tcW w:w="1300" w:type="dxa"/>
            <w:vAlign w:val="bottom"/>
            <w:gridSpan w:val="2"/>
          </w:tcPr>
          <w:p>
            <w:pPr>
              <w:jc w:val="right"/>
              <w:ind w:right="572"/>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355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Accrued expenses (including derivative liabilities at GM Daewoo of $217 at September 30, 2010; Note 10)</w:t>
            </w:r>
          </w:p>
        </w:tc>
        <w:tc>
          <w:tcPr>
            <w:tcW w:w="1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572"/>
              <w:spacing w:after="0"/>
              <w:rPr>
                <w:sz w:val="20"/>
                <w:szCs w:val="20"/>
                <w:color w:val="auto"/>
              </w:rPr>
            </w:pPr>
            <w:r>
              <w:rPr>
                <w:rFonts w:ascii="Arial" w:cs="Arial" w:eastAsia="Arial" w:hAnsi="Arial"/>
                <w:sz w:val="18"/>
                <w:szCs w:val="18"/>
                <w:color w:val="auto"/>
              </w:rPr>
              <w:t>24,811</w:t>
            </w: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23,134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040" w:type="dxa"/>
            <w:vAlign w:val="bottom"/>
            <w:vMerge w:val="restart"/>
          </w:tcPr>
          <w:p>
            <w:pPr>
              <w:ind w:left="200"/>
              <w:spacing w:after="0"/>
              <w:rPr>
                <w:sz w:val="20"/>
                <w:szCs w:val="20"/>
                <w:color w:val="auto"/>
              </w:rPr>
            </w:pPr>
            <w:r>
              <w:rPr>
                <w:rFonts w:ascii="Arial" w:cs="Arial" w:eastAsia="Arial" w:hAnsi="Arial"/>
                <w:sz w:val="18"/>
                <w:szCs w:val="18"/>
                <w:color w:val="auto"/>
              </w:rPr>
              <w:t>Total current liabilities</w:t>
            </w:r>
          </w:p>
        </w:tc>
        <w:tc>
          <w:tcPr>
            <w:tcW w:w="16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20" w:type="dxa"/>
            <w:vAlign w:val="bottom"/>
          </w:tcPr>
          <w:p>
            <w:pPr>
              <w:spacing w:after="0"/>
              <w:rPr>
                <w:sz w:val="19"/>
                <w:szCs w:val="19"/>
                <w:color w:val="auto"/>
              </w:rPr>
            </w:pPr>
          </w:p>
        </w:tc>
        <w:tc>
          <w:tcPr>
            <w:tcW w:w="9040" w:type="dxa"/>
            <w:vAlign w:val="bottom"/>
            <w:vMerge w:val="continue"/>
          </w:tcPr>
          <w:p>
            <w:pPr>
              <w:spacing w:after="0"/>
              <w:rPr>
                <w:sz w:val="19"/>
                <w:szCs w:val="19"/>
                <w:color w:val="auto"/>
              </w:rPr>
            </w:pPr>
          </w:p>
        </w:tc>
        <w:tc>
          <w:tcPr>
            <w:tcW w:w="160" w:type="dxa"/>
            <w:vAlign w:val="bottom"/>
          </w:tcPr>
          <w:p>
            <w:pPr>
              <w:spacing w:after="0"/>
              <w:rPr>
                <w:sz w:val="19"/>
                <w:szCs w:val="19"/>
                <w:color w:val="auto"/>
              </w:rPr>
            </w:pPr>
          </w:p>
        </w:tc>
        <w:tc>
          <w:tcPr>
            <w:tcW w:w="1300" w:type="dxa"/>
            <w:vAlign w:val="bottom"/>
            <w:gridSpan w:val="2"/>
          </w:tcPr>
          <w:p>
            <w:pPr>
              <w:jc w:val="right"/>
              <w:ind w:right="572"/>
              <w:spacing w:after="0"/>
              <w:rPr>
                <w:sz w:val="20"/>
                <w:szCs w:val="20"/>
                <w:color w:val="auto"/>
              </w:rPr>
            </w:pPr>
            <w:r>
              <w:rPr>
                <w:rFonts w:ascii="Arial" w:cs="Arial" w:eastAsia="Arial" w:hAnsi="Arial"/>
                <w:sz w:val="18"/>
                <w:szCs w:val="18"/>
                <w:color w:val="auto"/>
              </w:rPr>
              <w:t>52,569</w:t>
            </w:r>
          </w:p>
        </w:tc>
        <w:tc>
          <w:tcPr>
            <w:tcW w:w="160" w:type="dxa"/>
            <w:vAlign w:val="bottom"/>
          </w:tcPr>
          <w:p>
            <w:pPr>
              <w:spacing w:after="0"/>
              <w:rPr>
                <w:sz w:val="19"/>
                <w:szCs w:val="19"/>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52,435</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90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Non-Current Liabilities</w:t>
            </w: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40" w:type="dxa"/>
            <w:vAlign w:val="bottom"/>
          </w:tcPr>
          <w:p>
            <w:pPr>
              <w:ind w:left="200"/>
              <w:spacing w:after="0"/>
              <w:rPr>
                <w:sz w:val="20"/>
                <w:szCs w:val="20"/>
                <w:color w:val="auto"/>
              </w:rPr>
            </w:pPr>
            <w:r>
              <w:rPr>
                <w:rFonts w:ascii="Arial" w:cs="Arial" w:eastAsia="Arial" w:hAnsi="Arial"/>
                <w:sz w:val="18"/>
                <w:szCs w:val="18"/>
                <w:color w:val="auto"/>
              </w:rPr>
              <w:t>Long-term debt (including debt at GM Daewoo of $798 at September 30, 2010; Note 10)</w:t>
            </w:r>
          </w:p>
        </w:tc>
        <w:tc>
          <w:tcPr>
            <w:tcW w:w="160" w:type="dxa"/>
            <w:vAlign w:val="bottom"/>
          </w:tcPr>
          <w:p>
            <w:pPr>
              <w:spacing w:after="0"/>
              <w:rPr>
                <w:sz w:val="18"/>
                <w:szCs w:val="18"/>
                <w:color w:val="auto"/>
              </w:rPr>
            </w:pPr>
          </w:p>
        </w:tc>
        <w:tc>
          <w:tcPr>
            <w:tcW w:w="1300" w:type="dxa"/>
            <w:vAlign w:val="bottom"/>
            <w:gridSpan w:val="2"/>
          </w:tcPr>
          <w:p>
            <w:pPr>
              <w:jc w:val="right"/>
              <w:ind w:right="572"/>
              <w:spacing w:after="0"/>
              <w:rPr>
                <w:sz w:val="20"/>
                <w:szCs w:val="20"/>
                <w:color w:val="auto"/>
              </w:rPr>
            </w:pPr>
            <w:r>
              <w:rPr>
                <w:rFonts w:ascii="Arial" w:cs="Arial" w:eastAsia="Arial" w:hAnsi="Arial"/>
                <w:sz w:val="18"/>
                <w:szCs w:val="18"/>
                <w:color w:val="auto"/>
              </w:rPr>
              <w:t>2,945</w:t>
            </w:r>
          </w:p>
        </w:tc>
        <w:tc>
          <w:tcPr>
            <w:tcW w:w="16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5,562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Liabilities held for sale</w:t>
            </w:r>
          </w:p>
        </w:tc>
        <w:tc>
          <w:tcPr>
            <w:tcW w:w="1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572"/>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270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40" w:type="dxa"/>
            <w:vAlign w:val="bottom"/>
          </w:tcPr>
          <w:p>
            <w:pPr>
              <w:ind w:left="200"/>
              <w:spacing w:after="0"/>
              <w:rPr>
                <w:sz w:val="20"/>
                <w:szCs w:val="20"/>
                <w:color w:val="auto"/>
              </w:rPr>
            </w:pPr>
            <w:r>
              <w:rPr>
                <w:rFonts w:ascii="Arial" w:cs="Arial" w:eastAsia="Arial" w:hAnsi="Arial"/>
                <w:sz w:val="18"/>
                <w:szCs w:val="18"/>
                <w:color w:val="auto"/>
              </w:rPr>
              <w:t>Postretirement benefits other than pensions</w:t>
            </w:r>
          </w:p>
        </w:tc>
        <w:tc>
          <w:tcPr>
            <w:tcW w:w="160" w:type="dxa"/>
            <w:vAlign w:val="bottom"/>
          </w:tcPr>
          <w:p>
            <w:pPr>
              <w:spacing w:after="0"/>
              <w:rPr>
                <w:sz w:val="18"/>
                <w:szCs w:val="18"/>
                <w:color w:val="auto"/>
              </w:rPr>
            </w:pPr>
          </w:p>
        </w:tc>
        <w:tc>
          <w:tcPr>
            <w:tcW w:w="1300" w:type="dxa"/>
            <w:vAlign w:val="bottom"/>
            <w:gridSpan w:val="2"/>
          </w:tcPr>
          <w:p>
            <w:pPr>
              <w:jc w:val="right"/>
              <w:ind w:right="572"/>
              <w:spacing w:after="0"/>
              <w:rPr>
                <w:sz w:val="20"/>
                <w:szCs w:val="20"/>
                <w:color w:val="auto"/>
              </w:rPr>
            </w:pPr>
            <w:r>
              <w:rPr>
                <w:rFonts w:ascii="Arial" w:cs="Arial" w:eastAsia="Arial" w:hAnsi="Arial"/>
                <w:sz w:val="18"/>
                <w:szCs w:val="18"/>
                <w:color w:val="auto"/>
              </w:rPr>
              <w:t>8,721</w:t>
            </w:r>
          </w:p>
        </w:tc>
        <w:tc>
          <w:tcPr>
            <w:tcW w:w="16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8,708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Pensions</w:t>
            </w:r>
          </w:p>
        </w:tc>
        <w:tc>
          <w:tcPr>
            <w:tcW w:w="1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572"/>
              <w:spacing w:after="0"/>
              <w:rPr>
                <w:sz w:val="20"/>
                <w:szCs w:val="20"/>
                <w:color w:val="auto"/>
              </w:rPr>
            </w:pPr>
            <w:r>
              <w:rPr>
                <w:rFonts w:ascii="Arial" w:cs="Arial" w:eastAsia="Arial" w:hAnsi="Arial"/>
                <w:sz w:val="18"/>
                <w:szCs w:val="18"/>
                <w:color w:val="auto"/>
              </w:rPr>
              <w:t>28,965</w:t>
            </w: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27,086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40" w:type="dxa"/>
            <w:vAlign w:val="bottom"/>
          </w:tcPr>
          <w:p>
            <w:pPr>
              <w:ind w:left="200"/>
              <w:spacing w:after="0"/>
              <w:rPr>
                <w:sz w:val="20"/>
                <w:szCs w:val="20"/>
                <w:color w:val="auto"/>
              </w:rPr>
            </w:pPr>
            <w:r>
              <w:rPr>
                <w:rFonts w:ascii="Arial" w:cs="Arial" w:eastAsia="Arial" w:hAnsi="Arial"/>
                <w:sz w:val="18"/>
                <w:szCs w:val="18"/>
                <w:color w:val="auto"/>
              </w:rPr>
              <w:t>Other liabilities and deferred income taxes</w:t>
            </w:r>
          </w:p>
        </w:tc>
        <w:tc>
          <w:tcPr>
            <w:tcW w:w="160" w:type="dxa"/>
            <w:vAlign w:val="bottom"/>
          </w:tcPr>
          <w:p>
            <w:pPr>
              <w:spacing w:after="0"/>
              <w:rPr>
                <w:sz w:val="18"/>
                <w:szCs w:val="18"/>
                <w:color w:val="auto"/>
              </w:rPr>
            </w:pPr>
          </w:p>
        </w:tc>
        <w:tc>
          <w:tcPr>
            <w:tcW w:w="1300" w:type="dxa"/>
            <w:vAlign w:val="bottom"/>
            <w:gridSpan w:val="2"/>
          </w:tcPr>
          <w:p>
            <w:pPr>
              <w:jc w:val="right"/>
              <w:ind w:right="572"/>
              <w:spacing w:after="0"/>
              <w:rPr>
                <w:sz w:val="20"/>
                <w:szCs w:val="20"/>
                <w:color w:val="auto"/>
              </w:rPr>
            </w:pPr>
            <w:r>
              <w:rPr>
                <w:rFonts w:ascii="Arial" w:cs="Arial" w:eastAsia="Arial" w:hAnsi="Arial"/>
                <w:sz w:val="18"/>
                <w:szCs w:val="18"/>
                <w:color w:val="auto"/>
              </w:rPr>
              <w:t>13,322</w:t>
            </w:r>
          </w:p>
        </w:tc>
        <w:tc>
          <w:tcPr>
            <w:tcW w:w="16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13,279</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904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64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90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Total non-current liabilities</w:t>
            </w:r>
          </w:p>
        </w:tc>
        <w:tc>
          <w:tcPr>
            <w:tcW w:w="1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572"/>
              <w:spacing w:after="0"/>
              <w:rPr>
                <w:sz w:val="20"/>
                <w:szCs w:val="20"/>
                <w:color w:val="auto"/>
              </w:rPr>
            </w:pPr>
            <w:r>
              <w:rPr>
                <w:rFonts w:ascii="Arial" w:cs="Arial" w:eastAsia="Arial" w:hAnsi="Arial"/>
                <w:sz w:val="18"/>
                <w:szCs w:val="18"/>
                <w:color w:val="auto"/>
              </w:rPr>
              <w:t>53,953</w:t>
            </w: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54,905</w:t>
            </w:r>
          </w:p>
        </w:tc>
        <w:tc>
          <w:tcPr>
            <w:tcW w:w="0" w:type="dxa"/>
            <w:vAlign w:val="bottom"/>
          </w:tcPr>
          <w:p>
            <w:pPr>
              <w:spacing w:after="0"/>
              <w:rPr>
                <w:sz w:val="1"/>
                <w:szCs w:val="1"/>
                <w:color w:val="auto"/>
              </w:rPr>
            </w:pPr>
          </w:p>
        </w:tc>
      </w:tr>
      <w:tr>
        <w:trPr>
          <w:trHeight w:val="20"/>
        </w:trPr>
        <w:tc>
          <w:tcPr>
            <w:tcW w:w="906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Total Liabilities</w:t>
            </w:r>
          </w:p>
        </w:tc>
        <w:tc>
          <w:tcPr>
            <w:tcW w:w="16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9060" w:type="dxa"/>
            <w:vAlign w:val="bottom"/>
            <w:gridSpan w:val="2"/>
            <w:vMerge w:val="continue"/>
          </w:tcPr>
          <w:p>
            <w:pPr>
              <w:spacing w:after="0"/>
              <w:rPr>
                <w:sz w:val="19"/>
                <w:szCs w:val="19"/>
                <w:color w:val="auto"/>
              </w:rPr>
            </w:pPr>
          </w:p>
        </w:tc>
        <w:tc>
          <w:tcPr>
            <w:tcW w:w="160" w:type="dxa"/>
            <w:vAlign w:val="bottom"/>
          </w:tcPr>
          <w:p>
            <w:pPr>
              <w:spacing w:after="0"/>
              <w:rPr>
                <w:sz w:val="19"/>
                <w:szCs w:val="19"/>
                <w:color w:val="auto"/>
              </w:rPr>
            </w:pPr>
          </w:p>
        </w:tc>
        <w:tc>
          <w:tcPr>
            <w:tcW w:w="1300" w:type="dxa"/>
            <w:vAlign w:val="bottom"/>
            <w:gridSpan w:val="2"/>
          </w:tcPr>
          <w:p>
            <w:pPr>
              <w:jc w:val="right"/>
              <w:ind w:right="572"/>
              <w:spacing w:after="0"/>
              <w:rPr>
                <w:sz w:val="20"/>
                <w:szCs w:val="20"/>
                <w:color w:val="auto"/>
              </w:rPr>
            </w:pPr>
            <w:r>
              <w:rPr>
                <w:rFonts w:ascii="Arial" w:cs="Arial" w:eastAsia="Arial" w:hAnsi="Arial"/>
                <w:sz w:val="18"/>
                <w:szCs w:val="18"/>
                <w:color w:val="auto"/>
                <w:w w:val="98"/>
              </w:rPr>
              <w:t>106,522</w:t>
            </w:r>
          </w:p>
        </w:tc>
        <w:tc>
          <w:tcPr>
            <w:tcW w:w="160" w:type="dxa"/>
            <w:vAlign w:val="bottom"/>
          </w:tcPr>
          <w:p>
            <w:pPr>
              <w:spacing w:after="0"/>
              <w:rPr>
                <w:sz w:val="19"/>
                <w:szCs w:val="19"/>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w w:val="95"/>
              </w:rPr>
              <w:t>107,340</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9040" w:type="dxa"/>
            <w:vAlign w:val="bottom"/>
            <w:shd w:val="clear" w:color="auto" w:fill="CCEEFF"/>
          </w:tcPr>
          <w:p>
            <w:pPr>
              <w:spacing w:after="0"/>
              <w:rPr>
                <w:sz w:val="20"/>
                <w:szCs w:val="20"/>
                <w:color w:val="auto"/>
              </w:rPr>
            </w:pPr>
            <w:r>
              <w:rPr>
                <w:rFonts w:ascii="Arial" w:cs="Arial" w:eastAsia="Arial" w:hAnsi="Arial"/>
                <w:sz w:val="18"/>
                <w:szCs w:val="18"/>
                <w:color w:val="auto"/>
              </w:rPr>
              <w:t>Commitments and contingencies (Note 17)</w:t>
            </w: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9040" w:type="dxa"/>
            <w:vAlign w:val="bottom"/>
          </w:tcPr>
          <w:p>
            <w:pPr>
              <w:spacing w:after="0"/>
              <w:rPr>
                <w:sz w:val="20"/>
                <w:szCs w:val="20"/>
                <w:color w:val="auto"/>
              </w:rPr>
            </w:pPr>
            <w:r>
              <w:rPr>
                <w:rFonts w:ascii="Arial" w:cs="Arial" w:eastAsia="Arial" w:hAnsi="Arial"/>
                <w:sz w:val="18"/>
                <w:szCs w:val="18"/>
                <w:color w:val="auto"/>
                <w:w w:val="92"/>
              </w:rPr>
              <w:t>Preferred stock, $0.01 par value (2,000,000,000 shares authorized, 360,000,000 shares issued and outstanding (each with</w:t>
            </w:r>
          </w:p>
        </w:tc>
        <w:tc>
          <w:tcPr>
            <w:tcW w:w="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9040" w:type="dxa"/>
            <w:vAlign w:val="bottom"/>
          </w:tcPr>
          <w:p>
            <w:pPr>
              <w:ind w:left="200"/>
              <w:spacing w:after="0"/>
              <w:rPr>
                <w:sz w:val="20"/>
                <w:szCs w:val="20"/>
                <w:color w:val="auto"/>
              </w:rPr>
            </w:pPr>
            <w:r>
              <w:rPr>
                <w:rFonts w:ascii="Arial" w:cs="Arial" w:eastAsia="Arial" w:hAnsi="Arial"/>
                <w:sz w:val="18"/>
                <w:szCs w:val="18"/>
                <w:color w:val="auto"/>
              </w:rPr>
              <w:t>a $25.00 liquidation preference) at September 30, 2010 and December 31, 2009)</w:t>
            </w:r>
          </w:p>
        </w:tc>
        <w:tc>
          <w:tcPr>
            <w:tcW w:w="160" w:type="dxa"/>
            <w:vAlign w:val="bottom"/>
          </w:tcPr>
          <w:p>
            <w:pPr>
              <w:spacing w:after="0"/>
              <w:rPr>
                <w:sz w:val="19"/>
                <w:szCs w:val="19"/>
                <w:color w:val="auto"/>
              </w:rPr>
            </w:pPr>
          </w:p>
        </w:tc>
        <w:tc>
          <w:tcPr>
            <w:tcW w:w="1300" w:type="dxa"/>
            <w:vAlign w:val="bottom"/>
            <w:gridSpan w:val="2"/>
          </w:tcPr>
          <w:p>
            <w:pPr>
              <w:jc w:val="right"/>
              <w:ind w:right="572"/>
              <w:spacing w:after="0"/>
              <w:rPr>
                <w:sz w:val="20"/>
                <w:szCs w:val="20"/>
                <w:color w:val="auto"/>
              </w:rPr>
            </w:pPr>
            <w:r>
              <w:rPr>
                <w:rFonts w:ascii="Arial" w:cs="Arial" w:eastAsia="Arial" w:hAnsi="Arial"/>
                <w:sz w:val="18"/>
                <w:szCs w:val="18"/>
                <w:color w:val="auto"/>
              </w:rPr>
              <w:t>6,998</w:t>
            </w:r>
          </w:p>
        </w:tc>
        <w:tc>
          <w:tcPr>
            <w:tcW w:w="160" w:type="dxa"/>
            <w:vAlign w:val="bottom"/>
          </w:tcPr>
          <w:p>
            <w:pPr>
              <w:spacing w:after="0"/>
              <w:rPr>
                <w:sz w:val="19"/>
                <w:szCs w:val="19"/>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6,998</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90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Equity</w:t>
            </w: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9040" w:type="dxa"/>
            <w:vAlign w:val="bottom"/>
          </w:tcPr>
          <w:p>
            <w:pPr>
              <w:ind w:left="200"/>
              <w:spacing w:after="0"/>
              <w:rPr>
                <w:sz w:val="20"/>
                <w:szCs w:val="20"/>
                <w:color w:val="auto"/>
              </w:rPr>
            </w:pPr>
            <w:r>
              <w:rPr>
                <w:rFonts w:ascii="Arial" w:cs="Arial" w:eastAsia="Arial" w:hAnsi="Arial"/>
                <w:sz w:val="18"/>
                <w:szCs w:val="18"/>
                <w:color w:val="auto"/>
                <w:w w:val="95"/>
              </w:rPr>
              <w:t>Common stock, $0.01 par value (5,000,000,000 shares authorized, 1,500,000,000 shares issued and outstanding at</w:t>
            </w:r>
          </w:p>
        </w:tc>
        <w:tc>
          <w:tcPr>
            <w:tcW w:w="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040" w:type="dxa"/>
            <w:vAlign w:val="bottom"/>
          </w:tcPr>
          <w:p>
            <w:pPr>
              <w:ind w:left="420"/>
              <w:spacing w:after="0"/>
              <w:rPr>
                <w:sz w:val="20"/>
                <w:szCs w:val="20"/>
                <w:color w:val="auto"/>
              </w:rPr>
            </w:pPr>
            <w:r>
              <w:rPr>
                <w:rFonts w:ascii="Arial" w:cs="Arial" w:eastAsia="Arial" w:hAnsi="Arial"/>
                <w:sz w:val="18"/>
                <w:szCs w:val="18"/>
                <w:color w:val="auto"/>
              </w:rPr>
              <w:t>September 30, 2010 and December 31, 2009)</w:t>
            </w:r>
          </w:p>
        </w:tc>
        <w:tc>
          <w:tcPr>
            <w:tcW w:w="160" w:type="dxa"/>
            <w:vAlign w:val="bottom"/>
          </w:tcPr>
          <w:p>
            <w:pPr>
              <w:spacing w:after="0"/>
              <w:rPr>
                <w:sz w:val="19"/>
                <w:szCs w:val="19"/>
                <w:color w:val="auto"/>
              </w:rPr>
            </w:pPr>
          </w:p>
        </w:tc>
        <w:tc>
          <w:tcPr>
            <w:tcW w:w="1300" w:type="dxa"/>
            <w:vAlign w:val="bottom"/>
            <w:gridSpan w:val="2"/>
          </w:tcPr>
          <w:p>
            <w:pPr>
              <w:jc w:val="right"/>
              <w:ind w:right="572"/>
              <w:spacing w:after="0"/>
              <w:rPr>
                <w:sz w:val="20"/>
                <w:szCs w:val="20"/>
                <w:color w:val="auto"/>
              </w:rPr>
            </w:pPr>
            <w:r>
              <w:rPr>
                <w:rFonts w:ascii="Arial" w:cs="Arial" w:eastAsia="Arial" w:hAnsi="Arial"/>
                <w:sz w:val="18"/>
                <w:szCs w:val="18"/>
                <w:color w:val="auto"/>
              </w:rPr>
              <w:t>15</w:t>
            </w:r>
          </w:p>
        </w:tc>
        <w:tc>
          <w:tcPr>
            <w:tcW w:w="160" w:type="dxa"/>
            <w:vAlign w:val="bottom"/>
          </w:tcPr>
          <w:p>
            <w:pPr>
              <w:spacing w:after="0"/>
              <w:rPr>
                <w:sz w:val="19"/>
                <w:szCs w:val="19"/>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90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Capital surplus (principally additional paid-in capital)</w:t>
            </w:r>
          </w:p>
        </w:tc>
        <w:tc>
          <w:tcPr>
            <w:tcW w:w="1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572"/>
              <w:spacing w:after="0"/>
              <w:rPr>
                <w:sz w:val="20"/>
                <w:szCs w:val="20"/>
                <w:color w:val="auto"/>
              </w:rPr>
            </w:pPr>
            <w:r>
              <w:rPr>
                <w:rFonts w:ascii="Arial" w:cs="Arial" w:eastAsia="Arial" w:hAnsi="Arial"/>
                <w:sz w:val="18"/>
                <w:szCs w:val="18"/>
                <w:color w:val="auto"/>
              </w:rPr>
              <w:t>24,041</w:t>
            </w: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24,040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40" w:type="dxa"/>
            <w:vAlign w:val="bottom"/>
          </w:tcPr>
          <w:p>
            <w:pPr>
              <w:ind w:left="200"/>
              <w:spacing w:after="0"/>
              <w:rPr>
                <w:sz w:val="20"/>
                <w:szCs w:val="20"/>
                <w:color w:val="auto"/>
              </w:rPr>
            </w:pPr>
            <w:r>
              <w:rPr>
                <w:rFonts w:ascii="Arial" w:cs="Arial" w:eastAsia="Arial" w:hAnsi="Arial"/>
                <w:sz w:val="18"/>
                <w:szCs w:val="18"/>
                <w:color w:val="auto"/>
              </w:rPr>
              <w:t>Accumulated deficit</w:t>
            </w:r>
          </w:p>
        </w:tc>
        <w:tc>
          <w:tcPr>
            <w:tcW w:w="160" w:type="dxa"/>
            <w:vAlign w:val="bottom"/>
          </w:tcPr>
          <w:p>
            <w:pPr>
              <w:spacing w:after="0"/>
              <w:rPr>
                <w:sz w:val="18"/>
                <w:szCs w:val="18"/>
                <w:color w:val="auto"/>
              </w:rPr>
            </w:pPr>
          </w:p>
        </w:tc>
        <w:tc>
          <w:tcPr>
            <w:tcW w:w="1300" w:type="dxa"/>
            <w:vAlign w:val="bottom"/>
            <w:gridSpan w:val="2"/>
          </w:tcPr>
          <w:p>
            <w:pPr>
              <w:jc w:val="right"/>
              <w:ind w:right="512"/>
              <w:spacing w:after="0"/>
              <w:rPr>
                <w:sz w:val="20"/>
                <w:szCs w:val="20"/>
                <w:color w:val="auto"/>
              </w:rPr>
            </w:pPr>
            <w:r>
              <w:rPr>
                <w:rFonts w:ascii="Arial" w:cs="Arial" w:eastAsia="Arial" w:hAnsi="Arial"/>
                <w:sz w:val="18"/>
                <w:szCs w:val="18"/>
                <w:color w:val="auto"/>
              </w:rPr>
              <w:t>(236)</w:t>
            </w:r>
          </w:p>
        </w:tc>
        <w:tc>
          <w:tcPr>
            <w:tcW w:w="160" w:type="dxa"/>
            <w:vAlign w:val="bottom"/>
          </w:tcPr>
          <w:p>
            <w:pPr>
              <w:spacing w:after="0"/>
              <w:rPr>
                <w:sz w:val="18"/>
                <w:szCs w:val="18"/>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rPr>
              <w:t>(4,394)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Accumulated other comprehensive income (loss)</w:t>
            </w:r>
          </w:p>
        </w:tc>
        <w:tc>
          <w:tcPr>
            <w:tcW w:w="1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512"/>
              <w:spacing w:after="0"/>
              <w:rPr>
                <w:sz w:val="20"/>
                <w:szCs w:val="20"/>
                <w:color w:val="auto"/>
              </w:rPr>
            </w:pPr>
            <w:r>
              <w:rPr>
                <w:rFonts w:ascii="Arial" w:cs="Arial" w:eastAsia="Arial" w:hAnsi="Arial"/>
                <w:sz w:val="18"/>
                <w:szCs w:val="18"/>
                <w:color w:val="auto"/>
              </w:rPr>
              <w:t>(1,073)</w:t>
            </w: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1,588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040" w:type="dxa"/>
            <w:vAlign w:val="bottom"/>
            <w:vMerge w:val="restart"/>
          </w:tcPr>
          <w:p>
            <w:pPr>
              <w:ind w:left="200"/>
              <w:spacing w:after="0"/>
              <w:rPr>
                <w:sz w:val="20"/>
                <w:szCs w:val="20"/>
                <w:color w:val="auto"/>
              </w:rPr>
            </w:pPr>
            <w:r>
              <w:rPr>
                <w:rFonts w:ascii="Arial" w:cs="Arial" w:eastAsia="Arial" w:hAnsi="Arial"/>
                <w:sz w:val="18"/>
                <w:szCs w:val="18"/>
                <w:color w:val="auto"/>
              </w:rPr>
              <w:t>Total stockholders’ equity</w:t>
            </w:r>
          </w:p>
        </w:tc>
        <w:tc>
          <w:tcPr>
            <w:tcW w:w="16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20" w:type="dxa"/>
            <w:vAlign w:val="bottom"/>
          </w:tcPr>
          <w:p>
            <w:pPr>
              <w:spacing w:after="0"/>
              <w:rPr>
                <w:sz w:val="19"/>
                <w:szCs w:val="19"/>
                <w:color w:val="auto"/>
              </w:rPr>
            </w:pPr>
          </w:p>
        </w:tc>
        <w:tc>
          <w:tcPr>
            <w:tcW w:w="9040" w:type="dxa"/>
            <w:vAlign w:val="bottom"/>
            <w:vMerge w:val="continue"/>
          </w:tcPr>
          <w:p>
            <w:pPr>
              <w:spacing w:after="0"/>
              <w:rPr>
                <w:sz w:val="19"/>
                <w:szCs w:val="19"/>
                <w:color w:val="auto"/>
              </w:rPr>
            </w:pPr>
          </w:p>
        </w:tc>
        <w:tc>
          <w:tcPr>
            <w:tcW w:w="160" w:type="dxa"/>
            <w:vAlign w:val="bottom"/>
          </w:tcPr>
          <w:p>
            <w:pPr>
              <w:spacing w:after="0"/>
              <w:rPr>
                <w:sz w:val="19"/>
                <w:szCs w:val="19"/>
                <w:color w:val="auto"/>
              </w:rPr>
            </w:pPr>
          </w:p>
        </w:tc>
        <w:tc>
          <w:tcPr>
            <w:tcW w:w="1300" w:type="dxa"/>
            <w:vAlign w:val="bottom"/>
            <w:gridSpan w:val="2"/>
          </w:tcPr>
          <w:p>
            <w:pPr>
              <w:jc w:val="right"/>
              <w:ind w:right="572"/>
              <w:spacing w:after="0"/>
              <w:rPr>
                <w:sz w:val="20"/>
                <w:szCs w:val="20"/>
                <w:color w:val="auto"/>
              </w:rPr>
            </w:pPr>
            <w:r>
              <w:rPr>
                <w:rFonts w:ascii="Arial" w:cs="Arial" w:eastAsia="Arial" w:hAnsi="Arial"/>
                <w:sz w:val="18"/>
                <w:szCs w:val="18"/>
                <w:color w:val="auto"/>
              </w:rPr>
              <w:t>22,747</w:t>
            </w:r>
          </w:p>
        </w:tc>
        <w:tc>
          <w:tcPr>
            <w:tcW w:w="160" w:type="dxa"/>
            <w:vAlign w:val="bottom"/>
          </w:tcPr>
          <w:p>
            <w:pPr>
              <w:spacing w:after="0"/>
              <w:rPr>
                <w:sz w:val="19"/>
                <w:szCs w:val="19"/>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21,249</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90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Noncontrolling interests</w:t>
            </w:r>
          </w:p>
        </w:tc>
        <w:tc>
          <w:tcPr>
            <w:tcW w:w="1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572"/>
              <w:spacing w:after="0"/>
              <w:rPr>
                <w:sz w:val="20"/>
                <w:szCs w:val="20"/>
                <w:color w:val="auto"/>
              </w:rPr>
            </w:pPr>
            <w:r>
              <w:rPr>
                <w:rFonts w:ascii="Arial" w:cs="Arial" w:eastAsia="Arial" w:hAnsi="Arial"/>
                <w:sz w:val="18"/>
                <w:szCs w:val="18"/>
                <w:color w:val="auto"/>
              </w:rPr>
              <w:t>971</w:t>
            </w: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708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040" w:type="dxa"/>
            <w:vAlign w:val="bottom"/>
            <w:vMerge w:val="restart"/>
          </w:tcPr>
          <w:p>
            <w:pPr>
              <w:ind w:left="200"/>
              <w:spacing w:after="0"/>
              <w:rPr>
                <w:sz w:val="20"/>
                <w:szCs w:val="20"/>
                <w:color w:val="auto"/>
              </w:rPr>
            </w:pPr>
            <w:r>
              <w:rPr>
                <w:rFonts w:ascii="Arial" w:cs="Arial" w:eastAsia="Arial" w:hAnsi="Arial"/>
                <w:sz w:val="18"/>
                <w:szCs w:val="18"/>
                <w:color w:val="auto"/>
              </w:rPr>
              <w:t>Total equity</w:t>
            </w:r>
          </w:p>
        </w:tc>
        <w:tc>
          <w:tcPr>
            <w:tcW w:w="16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20" w:type="dxa"/>
            <w:vAlign w:val="bottom"/>
          </w:tcPr>
          <w:p>
            <w:pPr>
              <w:spacing w:after="0"/>
              <w:rPr>
                <w:sz w:val="19"/>
                <w:szCs w:val="19"/>
                <w:color w:val="auto"/>
              </w:rPr>
            </w:pPr>
          </w:p>
        </w:tc>
        <w:tc>
          <w:tcPr>
            <w:tcW w:w="9040" w:type="dxa"/>
            <w:vAlign w:val="bottom"/>
            <w:vMerge w:val="continue"/>
          </w:tcPr>
          <w:p>
            <w:pPr>
              <w:spacing w:after="0"/>
              <w:rPr>
                <w:sz w:val="19"/>
                <w:szCs w:val="19"/>
                <w:color w:val="auto"/>
              </w:rPr>
            </w:pPr>
          </w:p>
        </w:tc>
        <w:tc>
          <w:tcPr>
            <w:tcW w:w="160" w:type="dxa"/>
            <w:vAlign w:val="bottom"/>
          </w:tcPr>
          <w:p>
            <w:pPr>
              <w:spacing w:after="0"/>
              <w:rPr>
                <w:sz w:val="19"/>
                <w:szCs w:val="19"/>
                <w:color w:val="auto"/>
              </w:rPr>
            </w:pPr>
          </w:p>
        </w:tc>
        <w:tc>
          <w:tcPr>
            <w:tcW w:w="1300" w:type="dxa"/>
            <w:vAlign w:val="bottom"/>
            <w:gridSpan w:val="2"/>
          </w:tcPr>
          <w:p>
            <w:pPr>
              <w:jc w:val="right"/>
              <w:ind w:right="572"/>
              <w:spacing w:after="0"/>
              <w:rPr>
                <w:sz w:val="20"/>
                <w:szCs w:val="20"/>
                <w:color w:val="auto"/>
              </w:rPr>
            </w:pPr>
            <w:r>
              <w:rPr>
                <w:rFonts w:ascii="Arial" w:cs="Arial" w:eastAsia="Arial" w:hAnsi="Arial"/>
                <w:sz w:val="18"/>
                <w:szCs w:val="18"/>
                <w:color w:val="auto"/>
              </w:rPr>
              <w:t>23,718</w:t>
            </w:r>
          </w:p>
        </w:tc>
        <w:tc>
          <w:tcPr>
            <w:tcW w:w="160" w:type="dxa"/>
            <w:vAlign w:val="bottom"/>
          </w:tcPr>
          <w:p>
            <w:pPr>
              <w:spacing w:after="0"/>
              <w:rPr>
                <w:sz w:val="19"/>
                <w:szCs w:val="19"/>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21,957</w:t>
            </w:r>
          </w:p>
        </w:tc>
        <w:tc>
          <w:tcPr>
            <w:tcW w:w="0" w:type="dxa"/>
            <w:vAlign w:val="bottom"/>
          </w:tcPr>
          <w:p>
            <w:pPr>
              <w:spacing w:after="0"/>
              <w:rPr>
                <w:sz w:val="1"/>
                <w:szCs w:val="1"/>
                <w:color w:val="auto"/>
              </w:rPr>
            </w:pPr>
          </w:p>
        </w:tc>
      </w:tr>
      <w:tr>
        <w:trPr>
          <w:trHeight w:val="28"/>
        </w:trPr>
        <w:tc>
          <w:tcPr>
            <w:tcW w:w="20" w:type="dxa"/>
            <w:vAlign w:val="bottom"/>
            <w:vMerge w:val="restart"/>
          </w:tcPr>
          <w:p>
            <w:pPr>
              <w:spacing w:after="0"/>
              <w:rPr>
                <w:sz w:val="2"/>
                <w:szCs w:val="2"/>
                <w:color w:val="auto"/>
              </w:rPr>
            </w:pPr>
          </w:p>
        </w:tc>
        <w:tc>
          <w:tcPr>
            <w:tcW w:w="904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64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90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Liabilities and Equity</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300" w:type="dxa"/>
            <w:vAlign w:val="bottom"/>
            <w:gridSpan w:val="2"/>
            <w:shd w:val="clear" w:color="auto" w:fill="CCEEFF"/>
          </w:tcPr>
          <w:p>
            <w:pPr>
              <w:jc w:val="right"/>
              <w:ind w:right="572"/>
              <w:spacing w:after="0"/>
              <w:rPr>
                <w:sz w:val="20"/>
                <w:szCs w:val="20"/>
                <w:color w:val="auto"/>
              </w:rPr>
            </w:pPr>
            <w:r>
              <w:rPr>
                <w:rFonts w:ascii="Arial" w:cs="Arial" w:eastAsia="Arial" w:hAnsi="Arial"/>
                <w:sz w:val="18"/>
                <w:szCs w:val="18"/>
                <w:color w:val="auto"/>
                <w:w w:val="98"/>
              </w:rPr>
              <w:t>137,238</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5"/>
              </w:rPr>
              <w:t>136,295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0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Reference should be made to the notes to the condensed consolidated financial statements.</w:t>
      </w:r>
    </w:p>
    <w:p>
      <w:pPr>
        <w:sectPr>
          <w:pgSz w:w="11900" w:h="16838" w:orient="portrait"/>
          <w:cols w:equalWidth="0" w:num="1">
            <w:col w:w="11420"/>
          </w:cols>
          <w:pgMar w:left="240" w:top="459" w:right="239" w:bottom="1440" w:gutter="0" w:footer="0" w:header="0"/>
        </w:sectPr>
      </w:pP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2</w:t>
      </w:r>
    </w:p>
    <w:p>
      <w:pPr>
        <w:sectPr>
          <w:pgSz w:w="11900" w:h="16838" w:orient="portrait"/>
          <w:cols w:equalWidth="0" w:num="1">
            <w:col w:w="11420"/>
          </w:cols>
          <w:pgMar w:left="240" w:top="459" w:right="239" w:bottom="1440" w:gutter="0" w:footer="0" w:header="0"/>
          <w:type w:val="continuous"/>
        </w:sectPr>
      </w:pPr>
    </w:p>
    <w:bookmarkStart w:id="4" w:name="page5"/>
    <w:bookmarkEnd w:id="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EQUITY (DEFICIT)</w:t>
      </w:r>
    </w:p>
    <w:p>
      <w:pPr>
        <w:spacing w:after="0" w:line="21" w:lineRule="exact"/>
        <w:rPr>
          <w:sz w:val="20"/>
          <w:szCs w:val="20"/>
          <w:color w:val="auto"/>
        </w:rPr>
      </w:pPr>
    </w:p>
    <w:p>
      <w:pPr>
        <w:ind w:left="5260"/>
        <w:spacing w:after="0"/>
        <w:rPr>
          <w:sz w:val="20"/>
          <w:szCs w:val="20"/>
          <w:color w:val="auto"/>
        </w:rPr>
      </w:pPr>
      <w:r>
        <w:rPr>
          <w:rFonts w:ascii="Arial" w:cs="Arial" w:eastAsia="Arial" w:hAnsi="Arial"/>
          <w:sz w:val="18"/>
          <w:szCs w:val="18"/>
          <w:b w:val="1"/>
          <w:bCs w:val="1"/>
          <w:color w:val="auto"/>
        </w:rPr>
        <w:t>(In millions)</w:t>
      </w:r>
    </w:p>
    <w:p>
      <w:pPr>
        <w:spacing w:after="0" w:line="9" w:lineRule="exact"/>
        <w:rPr>
          <w:sz w:val="20"/>
          <w:szCs w:val="20"/>
          <w:color w:val="auto"/>
        </w:rPr>
      </w:pPr>
    </w:p>
    <w:p>
      <w:pPr>
        <w:ind w:left="5260"/>
        <w:spacing w:after="0"/>
        <w:rPr>
          <w:sz w:val="20"/>
          <w:szCs w:val="20"/>
          <w:color w:val="auto"/>
        </w:rPr>
      </w:pPr>
      <w:r>
        <w:rPr>
          <w:rFonts w:ascii="Arial" w:cs="Arial" w:eastAsia="Arial" w:hAnsi="Arial"/>
          <w:sz w:val="18"/>
          <w:szCs w:val="18"/>
          <w:b w:val="1"/>
          <w:bCs w:val="1"/>
          <w:color w:val="auto"/>
        </w:rPr>
        <w:t>(Unaudited)</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8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920" w:type="dxa"/>
            <w:vAlign w:val="bottom"/>
            <w:tcBorders>
              <w:bottom w:val="single" w:sz="8" w:color="auto"/>
            </w:tcBorders>
            <w:gridSpan w:val="5"/>
          </w:tcPr>
          <w:p>
            <w:pPr>
              <w:jc w:val="right"/>
              <w:ind w:right="180"/>
              <w:spacing w:after="0"/>
              <w:rPr>
                <w:sz w:val="20"/>
                <w:szCs w:val="20"/>
                <w:color w:val="auto"/>
              </w:rPr>
            </w:pPr>
            <w:r>
              <w:rPr>
                <w:rFonts w:ascii="Arial" w:cs="Arial" w:eastAsia="Arial" w:hAnsi="Arial"/>
                <w:sz w:val="14"/>
                <w:szCs w:val="14"/>
                <w:b w:val="1"/>
                <w:bCs w:val="1"/>
                <w:color w:val="auto"/>
              </w:rPr>
              <w:t>Common Stockholders’</w:t>
            </w:r>
          </w:p>
        </w:tc>
        <w:tc>
          <w:tcPr>
            <w:tcW w:w="14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28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00" w:type="dxa"/>
            <w:vAlign w:val="bottom"/>
            <w:gridSpan w:val="2"/>
          </w:tcPr>
          <w:p>
            <w:pPr>
              <w:jc w:val="center"/>
              <w:spacing w:after="0" w:line="129" w:lineRule="exact"/>
              <w:rPr>
                <w:sz w:val="20"/>
                <w:szCs w:val="20"/>
                <w:color w:val="auto"/>
              </w:rPr>
            </w:pPr>
            <w:r>
              <w:rPr>
                <w:rFonts w:ascii="Arial" w:cs="Arial" w:eastAsia="Arial" w:hAnsi="Arial"/>
                <w:sz w:val="14"/>
                <w:szCs w:val="14"/>
                <w:b w:val="1"/>
                <w:bCs w:val="1"/>
                <w:color w:val="auto"/>
                <w:w w:val="86"/>
              </w:rPr>
              <w:t>Accumulated</w:t>
            </w:r>
          </w:p>
        </w:tc>
        <w:tc>
          <w:tcPr>
            <w:tcW w:w="1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28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0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90"/>
              </w:rPr>
              <w:t>Other</w:t>
            </w: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4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Comprehensive</w:t>
            </w:r>
          </w:p>
        </w:tc>
        <w:tc>
          <w:tcPr>
            <w:tcW w:w="68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83"/>
              </w:rPr>
              <w:t>Total</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28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40" w:type="dxa"/>
            <w:vAlign w:val="bottom"/>
            <w:gridSpan w:val="2"/>
          </w:tcPr>
          <w:p>
            <w:pPr>
              <w:jc w:val="right"/>
              <w:spacing w:after="0" w:line="149" w:lineRule="exact"/>
              <w:rPr>
                <w:sz w:val="20"/>
                <w:szCs w:val="20"/>
                <w:color w:val="auto"/>
              </w:rPr>
            </w:pPr>
            <w:r>
              <w:rPr>
                <w:rFonts w:ascii="Arial" w:cs="Arial" w:eastAsia="Arial" w:hAnsi="Arial"/>
                <w:sz w:val="14"/>
                <w:szCs w:val="14"/>
                <w:b w:val="1"/>
                <w:bCs w:val="1"/>
                <w:color w:val="auto"/>
                <w:w w:val="85"/>
              </w:rPr>
              <w:t>Common</w:t>
            </w:r>
          </w:p>
        </w:tc>
        <w:tc>
          <w:tcPr>
            <w:tcW w:w="320" w:type="dxa"/>
            <w:vAlign w:val="bottom"/>
          </w:tcPr>
          <w:p>
            <w:pPr>
              <w:spacing w:after="0"/>
              <w:rPr>
                <w:sz w:val="12"/>
                <w:szCs w:val="12"/>
                <w:color w:val="auto"/>
              </w:rPr>
            </w:pPr>
          </w:p>
        </w:tc>
        <w:tc>
          <w:tcPr>
            <w:tcW w:w="960" w:type="dxa"/>
            <w:vAlign w:val="bottom"/>
            <w:gridSpan w:val="2"/>
          </w:tcPr>
          <w:p>
            <w:pPr>
              <w:jc w:val="right"/>
              <w:ind w:right="420"/>
              <w:spacing w:after="0" w:line="149" w:lineRule="exact"/>
              <w:rPr>
                <w:sz w:val="20"/>
                <w:szCs w:val="20"/>
                <w:color w:val="auto"/>
              </w:rPr>
            </w:pPr>
            <w:r>
              <w:rPr>
                <w:rFonts w:ascii="Arial" w:cs="Arial" w:eastAsia="Arial" w:hAnsi="Arial"/>
                <w:sz w:val="14"/>
                <w:szCs w:val="14"/>
                <w:b w:val="1"/>
                <w:bCs w:val="1"/>
                <w:color w:val="auto"/>
              </w:rPr>
              <w:t>Capital</w:t>
            </w:r>
          </w:p>
        </w:tc>
        <w:tc>
          <w:tcPr>
            <w:tcW w:w="96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Accumulated</w:t>
            </w:r>
          </w:p>
        </w:tc>
        <w:tc>
          <w:tcPr>
            <w:tcW w:w="140" w:type="dxa"/>
            <w:vAlign w:val="bottom"/>
          </w:tcPr>
          <w:p>
            <w:pPr>
              <w:spacing w:after="0"/>
              <w:rPr>
                <w:sz w:val="12"/>
                <w:szCs w:val="12"/>
                <w:color w:val="auto"/>
              </w:rPr>
            </w:pPr>
          </w:p>
        </w:tc>
        <w:tc>
          <w:tcPr>
            <w:tcW w:w="1080" w:type="dxa"/>
            <w:vAlign w:val="bottom"/>
            <w:gridSpan w:val="3"/>
          </w:tcPr>
          <w:p>
            <w:pPr>
              <w:jc w:val="center"/>
              <w:ind w:right="180"/>
              <w:spacing w:after="0" w:line="149" w:lineRule="exact"/>
              <w:rPr>
                <w:sz w:val="20"/>
                <w:szCs w:val="20"/>
                <w:color w:val="auto"/>
              </w:rPr>
            </w:pPr>
            <w:r>
              <w:rPr>
                <w:rFonts w:ascii="Arial" w:cs="Arial" w:eastAsia="Arial" w:hAnsi="Arial"/>
                <w:sz w:val="14"/>
                <w:szCs w:val="14"/>
                <w:b w:val="1"/>
                <w:bCs w:val="1"/>
                <w:color w:val="auto"/>
                <w:w w:val="85"/>
              </w:rPr>
              <w:t>Comprehensive</w:t>
            </w:r>
          </w:p>
        </w:tc>
        <w:tc>
          <w:tcPr>
            <w:tcW w:w="140" w:type="dxa"/>
            <w:vAlign w:val="bottom"/>
          </w:tcPr>
          <w:p>
            <w:pPr>
              <w:spacing w:after="0"/>
              <w:rPr>
                <w:sz w:val="12"/>
                <w:szCs w:val="12"/>
                <w:color w:val="auto"/>
              </w:rPr>
            </w:pPr>
          </w:p>
        </w:tc>
        <w:tc>
          <w:tcPr>
            <w:tcW w:w="106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Noncontrolling</w:t>
            </w: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80" w:type="dxa"/>
            <w:vAlign w:val="bottom"/>
            <w:gridSpan w:val="2"/>
          </w:tcPr>
          <w:p>
            <w:pPr>
              <w:jc w:val="right"/>
              <w:ind w:right="580"/>
              <w:spacing w:after="0" w:line="149" w:lineRule="exact"/>
              <w:rPr>
                <w:sz w:val="20"/>
                <w:szCs w:val="20"/>
                <w:color w:val="auto"/>
              </w:rPr>
            </w:pPr>
            <w:r>
              <w:rPr>
                <w:rFonts w:ascii="Arial" w:cs="Arial" w:eastAsia="Arial" w:hAnsi="Arial"/>
                <w:sz w:val="14"/>
                <w:szCs w:val="14"/>
                <w:b w:val="1"/>
                <w:bCs w:val="1"/>
                <w:color w:val="auto"/>
                <w:w w:val="97"/>
              </w:rPr>
              <w:t>Income</w:t>
            </w:r>
          </w:p>
        </w:tc>
        <w:tc>
          <w:tcPr>
            <w:tcW w:w="68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3"/>
              </w:rPr>
              <w:t>Equity</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8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40" w:type="dxa"/>
            <w:vAlign w:val="bottom"/>
            <w:gridSpan w:val="2"/>
          </w:tcPr>
          <w:p>
            <w:pPr>
              <w:jc w:val="right"/>
              <w:spacing w:after="0"/>
              <w:rPr>
                <w:sz w:val="20"/>
                <w:szCs w:val="20"/>
                <w:color w:val="auto"/>
              </w:rPr>
            </w:pPr>
            <w:r>
              <w:rPr>
                <w:rFonts w:ascii="Arial" w:cs="Arial" w:eastAsia="Arial" w:hAnsi="Arial"/>
                <w:sz w:val="14"/>
                <w:szCs w:val="14"/>
                <w:b w:val="1"/>
                <w:bCs w:val="1"/>
                <w:color w:val="auto"/>
                <w:w w:val="87"/>
              </w:rPr>
              <w:t>Stock (a)</w:t>
            </w:r>
          </w:p>
        </w:tc>
        <w:tc>
          <w:tcPr>
            <w:tcW w:w="320" w:type="dxa"/>
            <w:vAlign w:val="bottom"/>
          </w:tcPr>
          <w:p>
            <w:pPr>
              <w:spacing w:after="0"/>
              <w:rPr>
                <w:sz w:val="14"/>
                <w:szCs w:val="14"/>
                <w:color w:val="auto"/>
              </w:rPr>
            </w:pPr>
          </w:p>
        </w:tc>
        <w:tc>
          <w:tcPr>
            <w:tcW w:w="96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auto"/>
                <w:w w:val="84"/>
              </w:rPr>
              <w:t>Surplus (a)</w:t>
            </w:r>
          </w:p>
        </w:tc>
        <w:tc>
          <w:tcPr>
            <w:tcW w:w="140" w:type="dxa"/>
            <w:vAlign w:val="bottom"/>
          </w:tcPr>
          <w:p>
            <w:pPr>
              <w:spacing w:after="0"/>
              <w:rPr>
                <w:sz w:val="14"/>
                <w:szCs w:val="14"/>
                <w:color w:val="auto"/>
              </w:rPr>
            </w:pPr>
          </w:p>
        </w:tc>
        <w:tc>
          <w:tcPr>
            <w:tcW w:w="820" w:type="dxa"/>
            <w:vAlign w:val="bottom"/>
            <w:gridSpan w:val="2"/>
          </w:tcPr>
          <w:p>
            <w:pPr>
              <w:jc w:val="right"/>
              <w:ind w:right="380"/>
              <w:spacing w:after="0"/>
              <w:rPr>
                <w:sz w:val="20"/>
                <w:szCs w:val="20"/>
                <w:color w:val="auto"/>
              </w:rPr>
            </w:pPr>
            <w:r>
              <w:rPr>
                <w:rFonts w:ascii="Arial" w:cs="Arial" w:eastAsia="Arial" w:hAnsi="Arial"/>
                <w:sz w:val="14"/>
                <w:szCs w:val="14"/>
                <w:b w:val="1"/>
                <w:bCs w:val="1"/>
                <w:color w:val="auto"/>
                <w:w w:val="98"/>
              </w:rPr>
              <w:t>Deficit</w:t>
            </w:r>
          </w:p>
        </w:tc>
        <w:tc>
          <w:tcPr>
            <w:tcW w:w="140" w:type="dxa"/>
            <w:vAlign w:val="bottom"/>
          </w:tcPr>
          <w:p>
            <w:pPr>
              <w:spacing w:after="0"/>
              <w:rPr>
                <w:sz w:val="14"/>
                <w:szCs w:val="14"/>
                <w:color w:val="auto"/>
              </w:rPr>
            </w:pPr>
          </w:p>
        </w:tc>
        <w:tc>
          <w:tcPr>
            <w:tcW w:w="1080" w:type="dxa"/>
            <w:vAlign w:val="bottom"/>
            <w:gridSpan w:val="3"/>
          </w:tcPr>
          <w:p>
            <w:pPr>
              <w:jc w:val="center"/>
              <w:ind w:right="180"/>
              <w:spacing w:after="0"/>
              <w:rPr>
                <w:sz w:val="20"/>
                <w:szCs w:val="20"/>
                <w:color w:val="auto"/>
              </w:rPr>
            </w:pPr>
            <w:r>
              <w:rPr>
                <w:rFonts w:ascii="Arial" w:cs="Arial" w:eastAsia="Arial" w:hAnsi="Arial"/>
                <w:sz w:val="14"/>
                <w:szCs w:val="14"/>
                <w:b w:val="1"/>
                <w:bCs w:val="1"/>
                <w:color w:val="auto"/>
                <w:w w:val="86"/>
              </w:rPr>
              <w:t>Income (Loss)</w:t>
            </w: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20" w:type="dxa"/>
            <w:vAlign w:val="bottom"/>
            <w:gridSpan w:val="2"/>
          </w:tcPr>
          <w:p>
            <w:pPr>
              <w:jc w:val="right"/>
              <w:ind w:right="380"/>
              <w:spacing w:after="0"/>
              <w:rPr>
                <w:sz w:val="20"/>
                <w:szCs w:val="20"/>
                <w:color w:val="auto"/>
              </w:rPr>
            </w:pPr>
            <w:r>
              <w:rPr>
                <w:rFonts w:ascii="Arial" w:cs="Arial" w:eastAsia="Arial" w:hAnsi="Arial"/>
                <w:sz w:val="14"/>
                <w:szCs w:val="14"/>
                <w:b w:val="1"/>
                <w:bCs w:val="1"/>
                <w:color w:val="auto"/>
                <w:w w:val="89"/>
              </w:rPr>
              <w:t>Interests</w:t>
            </w: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80" w:type="dxa"/>
            <w:vAlign w:val="bottom"/>
            <w:gridSpan w:val="2"/>
          </w:tcPr>
          <w:p>
            <w:pPr>
              <w:jc w:val="right"/>
              <w:ind w:right="600"/>
              <w:spacing w:after="0"/>
              <w:rPr>
                <w:sz w:val="20"/>
                <w:szCs w:val="20"/>
                <w:color w:val="auto"/>
              </w:rPr>
            </w:pPr>
            <w:r>
              <w:rPr>
                <w:rFonts w:ascii="Arial" w:cs="Arial" w:eastAsia="Arial" w:hAnsi="Arial"/>
                <w:sz w:val="14"/>
                <w:szCs w:val="14"/>
                <w:b w:val="1"/>
                <w:bCs w:val="1"/>
                <w:color w:val="auto"/>
              </w:rPr>
              <w:t>(Loss)</w:t>
            </w:r>
          </w:p>
        </w:tc>
        <w:tc>
          <w:tcPr>
            <w:tcW w:w="68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2"/>
              </w:rPr>
              <w:t>(Deficit)</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8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396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Balance December 31, 2009, Successor</w:t>
            </w:r>
          </w:p>
        </w:tc>
        <w:tc>
          <w:tcPr>
            <w:tcW w:w="18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62"/>
              <w:spacing w:after="0"/>
              <w:rPr>
                <w:sz w:val="20"/>
                <w:szCs w:val="20"/>
                <w:color w:val="auto"/>
              </w:rPr>
            </w:pPr>
            <w:r>
              <w:rPr>
                <w:rFonts w:ascii="Arial" w:cs="Arial" w:eastAsia="Arial" w:hAnsi="Arial"/>
                <w:sz w:val="18"/>
                <w:szCs w:val="18"/>
                <w:color w:val="auto"/>
                <w:w w:val="79"/>
              </w:rPr>
              <w:t>$</w:t>
            </w: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128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$ 24,040</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(4,394)</w:t>
            </w:r>
          </w:p>
        </w:tc>
        <w:tc>
          <w:tcPr>
            <w:tcW w:w="320" w:type="dxa"/>
            <w:vAlign w:val="bottom"/>
            <w:gridSpan w:val="2"/>
            <w:shd w:val="clear" w:color="auto" w:fill="CCEEFF"/>
          </w:tcPr>
          <w:p>
            <w:pPr>
              <w:jc w:val="right"/>
              <w:ind w:right="32"/>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1,588</w:t>
            </w:r>
          </w:p>
        </w:tc>
        <w:tc>
          <w:tcPr>
            <w:tcW w:w="28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708</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6"/>
              </w:rPr>
              <w:t>$21,957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60" w:type="dxa"/>
            <w:vAlign w:val="bottom"/>
            <w:gridSpan w:val="2"/>
          </w:tcPr>
          <w:p>
            <w:pPr>
              <w:spacing w:after="0"/>
              <w:rPr>
                <w:sz w:val="20"/>
                <w:szCs w:val="20"/>
                <w:color w:val="auto"/>
              </w:rPr>
            </w:pPr>
            <w:r>
              <w:rPr>
                <w:rFonts w:ascii="Arial" w:cs="Arial" w:eastAsia="Arial" w:hAnsi="Arial"/>
                <w:sz w:val="18"/>
                <w:szCs w:val="18"/>
                <w:color w:val="auto"/>
              </w:rPr>
              <w:t>Net income (loss)</w:t>
            </w: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00" w:type="dxa"/>
            <w:vAlign w:val="bottom"/>
          </w:tcPr>
          <w:p>
            <w:pPr>
              <w:jc w:val="right"/>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96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820" w:type="dxa"/>
            <w:vAlign w:val="bottom"/>
            <w:gridSpan w:val="2"/>
          </w:tcPr>
          <w:p>
            <w:pPr>
              <w:jc w:val="right"/>
              <w:ind w:right="200"/>
              <w:spacing w:after="0"/>
              <w:rPr>
                <w:sz w:val="20"/>
                <w:szCs w:val="20"/>
                <w:color w:val="auto"/>
              </w:rPr>
            </w:pPr>
            <w:r>
              <w:rPr>
                <w:rFonts w:ascii="Arial" w:cs="Arial" w:eastAsia="Arial" w:hAnsi="Arial"/>
                <w:sz w:val="18"/>
                <w:szCs w:val="18"/>
                <w:color w:val="auto"/>
              </w:rPr>
              <w:t>4,766</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265</w:t>
            </w:r>
          </w:p>
        </w:tc>
        <w:tc>
          <w:tcPr>
            <w:tcW w:w="180" w:type="dxa"/>
            <w:vAlign w:val="bottom"/>
          </w:tcPr>
          <w:p>
            <w:pPr>
              <w:spacing w:after="0"/>
              <w:rPr>
                <w:sz w:val="18"/>
                <w:szCs w:val="18"/>
                <w:color w:val="auto"/>
              </w:rPr>
            </w:pPr>
          </w:p>
        </w:tc>
        <w:tc>
          <w:tcPr>
            <w:tcW w:w="300" w:type="dxa"/>
            <w:vAlign w:val="bottom"/>
            <w:gridSpan w:val="2"/>
          </w:tcPr>
          <w:p>
            <w:pPr>
              <w:ind w:left="140"/>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5,031</w:t>
            </w:r>
          </w:p>
        </w:tc>
        <w:tc>
          <w:tcPr>
            <w:tcW w:w="34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5,031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60" w:type="dxa"/>
            <w:vAlign w:val="bottom"/>
            <w:gridSpan w:val="2"/>
            <w:shd w:val="clear" w:color="auto" w:fill="CCEEFF"/>
          </w:tcPr>
          <w:p>
            <w:pPr>
              <w:ind w:left="200"/>
              <w:spacing w:after="0"/>
              <w:rPr>
                <w:sz w:val="20"/>
                <w:szCs w:val="20"/>
                <w:color w:val="auto"/>
              </w:rPr>
            </w:pPr>
            <w:r>
              <w:rPr>
                <w:rFonts w:ascii="Arial" w:cs="Arial" w:eastAsia="Arial" w:hAnsi="Arial"/>
                <w:sz w:val="18"/>
                <w:szCs w:val="18"/>
                <w:b w:val="1"/>
                <w:bCs w:val="1"/>
                <w:color w:val="auto"/>
              </w:rPr>
              <w:t>Other comprehensive income (loss)</w:t>
            </w:r>
          </w:p>
        </w:tc>
        <w:tc>
          <w:tcPr>
            <w:tcW w:w="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60" w:type="dxa"/>
            <w:vAlign w:val="bottom"/>
            <w:gridSpan w:val="2"/>
          </w:tcPr>
          <w:p>
            <w:pPr>
              <w:ind w:left="420"/>
              <w:spacing w:after="0"/>
              <w:rPr>
                <w:sz w:val="20"/>
                <w:szCs w:val="20"/>
                <w:color w:val="auto"/>
              </w:rPr>
            </w:pPr>
            <w:r>
              <w:rPr>
                <w:rFonts w:ascii="Arial" w:cs="Arial" w:eastAsia="Arial" w:hAnsi="Arial"/>
                <w:sz w:val="18"/>
                <w:szCs w:val="18"/>
                <w:color w:val="auto"/>
              </w:rPr>
              <w:t>Foreign currency translation adjustments</w:t>
            </w: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00" w:type="dxa"/>
            <w:vAlign w:val="bottom"/>
          </w:tcPr>
          <w:p>
            <w:pPr>
              <w:jc w:val="right"/>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96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8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gridSpan w:val="2"/>
          </w:tcPr>
          <w:p>
            <w:pPr>
              <w:jc w:val="right"/>
              <w:ind w:right="180"/>
              <w:spacing w:after="0"/>
              <w:rPr>
                <w:sz w:val="20"/>
                <w:szCs w:val="20"/>
                <w:color w:val="auto"/>
              </w:rPr>
            </w:pPr>
            <w:r>
              <w:rPr>
                <w:rFonts w:ascii="Arial" w:cs="Arial" w:eastAsia="Arial" w:hAnsi="Arial"/>
                <w:sz w:val="18"/>
                <w:szCs w:val="18"/>
                <w:color w:val="auto"/>
              </w:rPr>
              <w:t>134</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136</w:t>
            </w:r>
          </w:p>
        </w:tc>
        <w:tc>
          <w:tcPr>
            <w:tcW w:w="3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6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Cash flow hedging loss, net</w:t>
            </w:r>
          </w:p>
        </w:tc>
        <w:tc>
          <w:tcPr>
            <w:tcW w:w="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(20)</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(20)</w:t>
            </w: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60" w:type="dxa"/>
            <w:vAlign w:val="bottom"/>
            <w:gridSpan w:val="2"/>
          </w:tcPr>
          <w:p>
            <w:pPr>
              <w:ind w:left="420"/>
              <w:spacing w:after="0"/>
              <w:rPr>
                <w:sz w:val="20"/>
                <w:szCs w:val="20"/>
                <w:color w:val="auto"/>
              </w:rPr>
            </w:pPr>
            <w:r>
              <w:rPr>
                <w:rFonts w:ascii="Arial" w:cs="Arial" w:eastAsia="Arial" w:hAnsi="Arial"/>
                <w:sz w:val="18"/>
                <w:szCs w:val="18"/>
                <w:color w:val="auto"/>
              </w:rPr>
              <w:t>Unrealized gain on securities</w:t>
            </w: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00" w:type="dxa"/>
            <w:vAlign w:val="bottom"/>
          </w:tcPr>
          <w:p>
            <w:pPr>
              <w:jc w:val="right"/>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96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8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gridSpan w:val="2"/>
          </w:tcPr>
          <w:p>
            <w:pPr>
              <w:jc w:val="right"/>
              <w:ind w:right="180"/>
              <w:spacing w:after="0"/>
              <w:rPr>
                <w:sz w:val="20"/>
                <w:szCs w:val="20"/>
                <w:color w:val="auto"/>
              </w:rPr>
            </w:pPr>
            <w:r>
              <w:rPr>
                <w:rFonts w:ascii="Arial" w:cs="Arial" w:eastAsia="Arial" w:hAnsi="Arial"/>
                <w:sz w:val="18"/>
                <w:szCs w:val="18"/>
                <w:color w:val="auto"/>
              </w:rPr>
              <w:t>29</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29</w:t>
            </w:r>
          </w:p>
        </w:tc>
        <w:tc>
          <w:tcPr>
            <w:tcW w:w="3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6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Defined benefit plans</w:t>
            </w:r>
          </w:p>
        </w:tc>
        <w:tc>
          <w:tcPr>
            <w:tcW w:w="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60" w:type="dxa"/>
            <w:vAlign w:val="bottom"/>
            <w:gridSpan w:val="2"/>
          </w:tcPr>
          <w:p>
            <w:pPr>
              <w:ind w:left="640"/>
              <w:spacing w:after="0"/>
              <w:rPr>
                <w:sz w:val="20"/>
                <w:szCs w:val="20"/>
                <w:color w:val="auto"/>
              </w:rPr>
            </w:pPr>
            <w:r>
              <w:rPr>
                <w:rFonts w:ascii="Arial" w:cs="Arial" w:eastAsia="Arial" w:hAnsi="Arial"/>
                <w:sz w:val="18"/>
                <w:szCs w:val="18"/>
                <w:color w:val="auto"/>
              </w:rPr>
              <w:t>Net prior service cost</w:t>
            </w: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00" w:type="dxa"/>
            <w:vAlign w:val="bottom"/>
          </w:tcPr>
          <w:p>
            <w:pPr>
              <w:jc w:val="right"/>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96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8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gridSpan w:val="2"/>
          </w:tcPr>
          <w:p>
            <w:pPr>
              <w:jc w:val="right"/>
              <w:ind w:right="120"/>
              <w:spacing w:after="0"/>
              <w:rPr>
                <w:sz w:val="20"/>
                <w:szCs w:val="20"/>
                <w:color w:val="auto"/>
              </w:rPr>
            </w:pPr>
            <w:r>
              <w:rPr>
                <w:rFonts w:ascii="Arial" w:cs="Arial" w:eastAsia="Arial" w:hAnsi="Arial"/>
                <w:sz w:val="18"/>
                <w:szCs w:val="18"/>
                <w:color w:val="auto"/>
              </w:rPr>
              <w:t>(8)</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2"/>
          </w:tcPr>
          <w:p>
            <w:pPr>
              <w:jc w:val="right"/>
              <w:ind w:right="280"/>
              <w:spacing w:after="0"/>
              <w:rPr>
                <w:sz w:val="20"/>
                <w:szCs w:val="20"/>
                <w:color w:val="auto"/>
              </w:rPr>
            </w:pPr>
            <w:r>
              <w:rPr>
                <w:rFonts w:ascii="Arial" w:cs="Arial" w:eastAsia="Arial" w:hAnsi="Arial"/>
                <w:sz w:val="18"/>
                <w:szCs w:val="18"/>
                <w:color w:val="auto"/>
              </w:rPr>
              <w:t>(8)</w:t>
            </w: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60" w:type="dxa"/>
            <w:vAlign w:val="bottom"/>
            <w:gridSpan w:val="2"/>
            <w:shd w:val="clear" w:color="auto" w:fill="CCEEFF"/>
          </w:tcPr>
          <w:p>
            <w:pPr>
              <w:ind w:left="640"/>
              <w:spacing w:after="0"/>
              <w:rPr>
                <w:sz w:val="20"/>
                <w:szCs w:val="20"/>
                <w:color w:val="auto"/>
              </w:rPr>
            </w:pPr>
            <w:r>
              <w:rPr>
                <w:rFonts w:ascii="Arial" w:cs="Arial" w:eastAsia="Arial" w:hAnsi="Arial"/>
                <w:sz w:val="18"/>
                <w:szCs w:val="18"/>
                <w:color w:val="auto"/>
              </w:rPr>
              <w:t>Net actuarial loss</w:t>
            </w:r>
          </w:p>
        </w:tc>
        <w:tc>
          <w:tcPr>
            <w:tcW w:w="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(2,796)</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(2,796)</w:t>
            </w: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960" w:type="dxa"/>
            <w:vAlign w:val="bottom"/>
            <w:gridSpan w:val="2"/>
            <w:vMerge w:val="restart"/>
          </w:tcPr>
          <w:p>
            <w:pPr>
              <w:ind w:left="420"/>
              <w:spacing w:after="0"/>
              <w:rPr>
                <w:sz w:val="20"/>
                <w:szCs w:val="20"/>
                <w:color w:val="auto"/>
              </w:rPr>
            </w:pPr>
            <w:r>
              <w:rPr>
                <w:rFonts w:ascii="Arial" w:cs="Arial" w:eastAsia="Arial" w:hAnsi="Arial"/>
                <w:sz w:val="18"/>
                <w:szCs w:val="18"/>
                <w:color w:val="auto"/>
              </w:rPr>
              <w:t>Other comprehensive income (loss)</w:t>
            </w:r>
          </w:p>
        </w:tc>
        <w:tc>
          <w:tcPr>
            <w:tcW w:w="1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320" w:type="dxa"/>
            <w:vAlign w:val="bottom"/>
          </w:tcPr>
          <w:p>
            <w:pPr>
              <w:spacing w:after="0" w:line="20" w:lineRule="exact"/>
              <w:rPr>
                <w:sz w:val="1"/>
                <w:szCs w:val="1"/>
                <w:color w:val="auto"/>
              </w:rPr>
            </w:pPr>
          </w:p>
        </w:tc>
        <w:tc>
          <w:tcPr>
            <w:tcW w:w="960" w:type="dxa"/>
            <w:vAlign w:val="bottom"/>
            <w:gridSpan w:val="2"/>
            <w:vMerge w:val="restart"/>
          </w:tcPr>
          <w:p>
            <w:pPr>
              <w:jc w:val="right"/>
              <w:ind w:right="3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line="20" w:lineRule="exact"/>
              <w:rPr>
                <w:sz w:val="1"/>
                <w:szCs w:val="1"/>
                <w:color w:val="auto"/>
              </w:rPr>
            </w:pPr>
          </w:p>
        </w:tc>
        <w:tc>
          <w:tcPr>
            <w:tcW w:w="820" w:type="dxa"/>
            <w:vAlign w:val="bottom"/>
            <w:gridSpan w:val="2"/>
            <w:vMerge w:val="restart"/>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80" w:type="dxa"/>
            <w:vAlign w:val="bottom"/>
            <w:gridSpan w:val="2"/>
            <w:vMerge w:val="restart"/>
          </w:tcPr>
          <w:p>
            <w:pPr>
              <w:jc w:val="right"/>
              <w:ind w:right="40"/>
              <w:spacing w:after="0"/>
              <w:rPr>
                <w:sz w:val="20"/>
                <w:szCs w:val="20"/>
                <w:color w:val="auto"/>
              </w:rPr>
            </w:pPr>
            <w:r>
              <w:rPr>
                <w:rFonts w:ascii="Arial" w:cs="Arial" w:eastAsia="Arial" w:hAnsi="Arial"/>
                <w:sz w:val="18"/>
                <w:szCs w:val="18"/>
                <w:color w:val="auto"/>
              </w:rPr>
              <w:t>(2,659)</w:t>
            </w:r>
          </w:p>
        </w:tc>
        <w:tc>
          <w:tcPr>
            <w:tcW w:w="0" w:type="dxa"/>
            <w:vAlign w:val="bottom"/>
          </w:tcPr>
          <w:p>
            <w:pPr>
              <w:spacing w:after="0" w:line="20" w:lineRule="exact"/>
              <w:rPr>
                <w:sz w:val="1"/>
                <w:szCs w:val="1"/>
                <w:color w:val="auto"/>
              </w:rPr>
            </w:pPr>
          </w:p>
        </w:tc>
      </w:tr>
      <w:tr>
        <w:trPr>
          <w:trHeight w:val="230"/>
        </w:trPr>
        <w:tc>
          <w:tcPr>
            <w:tcW w:w="20" w:type="dxa"/>
            <w:vAlign w:val="bottom"/>
          </w:tcPr>
          <w:p>
            <w:pPr>
              <w:spacing w:after="0"/>
              <w:rPr>
                <w:sz w:val="20"/>
                <w:szCs w:val="20"/>
                <w:color w:val="auto"/>
              </w:rPr>
            </w:pPr>
          </w:p>
        </w:tc>
        <w:tc>
          <w:tcPr>
            <w:tcW w:w="3960" w:type="dxa"/>
            <w:vAlign w:val="bottom"/>
            <w:gridSpan w:val="2"/>
            <w:vMerge w:val="continue"/>
          </w:tcPr>
          <w:p>
            <w:pPr>
              <w:spacing w:after="0"/>
              <w:rPr>
                <w:sz w:val="20"/>
                <w:szCs w:val="20"/>
                <w:color w:val="auto"/>
              </w:rPr>
            </w:pPr>
          </w:p>
        </w:tc>
        <w:tc>
          <w:tcPr>
            <w:tcW w:w="1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00" w:type="dxa"/>
            <w:vAlign w:val="bottom"/>
            <w:vMerge w:val="continue"/>
          </w:tcPr>
          <w:p>
            <w:pPr>
              <w:spacing w:after="0"/>
              <w:rPr>
                <w:sz w:val="20"/>
                <w:szCs w:val="20"/>
                <w:color w:val="auto"/>
              </w:rPr>
            </w:pPr>
          </w:p>
        </w:tc>
        <w:tc>
          <w:tcPr>
            <w:tcW w:w="320" w:type="dxa"/>
            <w:vAlign w:val="bottom"/>
          </w:tcPr>
          <w:p>
            <w:pPr>
              <w:spacing w:after="0"/>
              <w:rPr>
                <w:sz w:val="20"/>
                <w:szCs w:val="20"/>
                <w:color w:val="auto"/>
              </w:rPr>
            </w:pPr>
          </w:p>
        </w:tc>
        <w:tc>
          <w:tcPr>
            <w:tcW w:w="960" w:type="dxa"/>
            <w:vAlign w:val="bottom"/>
            <w:gridSpan w:val="2"/>
            <w:vMerge w:val="continue"/>
          </w:tcPr>
          <w:p>
            <w:pPr>
              <w:spacing w:after="0"/>
              <w:rPr>
                <w:sz w:val="20"/>
                <w:szCs w:val="20"/>
                <w:color w:val="auto"/>
              </w:rPr>
            </w:pPr>
          </w:p>
        </w:tc>
        <w:tc>
          <w:tcPr>
            <w:tcW w:w="140" w:type="dxa"/>
            <w:vAlign w:val="bottom"/>
          </w:tcPr>
          <w:p>
            <w:pPr>
              <w:spacing w:after="0"/>
              <w:rPr>
                <w:sz w:val="20"/>
                <w:szCs w:val="20"/>
                <w:color w:val="auto"/>
              </w:rPr>
            </w:pPr>
          </w:p>
        </w:tc>
        <w:tc>
          <w:tcPr>
            <w:tcW w:w="820" w:type="dxa"/>
            <w:vAlign w:val="bottom"/>
            <w:gridSpan w:val="2"/>
            <w:vMerge w:val="continue"/>
          </w:tcPr>
          <w:p>
            <w:pPr>
              <w:spacing w:after="0"/>
              <w:rPr>
                <w:sz w:val="20"/>
                <w:szCs w:val="20"/>
                <w:color w:val="auto"/>
              </w:rPr>
            </w:pPr>
          </w:p>
        </w:tc>
        <w:tc>
          <w:tcPr>
            <w:tcW w:w="1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00" w:type="dxa"/>
            <w:vAlign w:val="bottom"/>
            <w:gridSpan w:val="2"/>
          </w:tcPr>
          <w:p>
            <w:pPr>
              <w:jc w:val="right"/>
              <w:ind w:right="120"/>
              <w:spacing w:after="0"/>
              <w:rPr>
                <w:sz w:val="20"/>
                <w:szCs w:val="20"/>
                <w:color w:val="auto"/>
              </w:rPr>
            </w:pPr>
            <w:r>
              <w:rPr>
                <w:rFonts w:ascii="Arial" w:cs="Arial" w:eastAsia="Arial" w:hAnsi="Arial"/>
                <w:sz w:val="18"/>
                <w:szCs w:val="18"/>
                <w:color w:val="auto"/>
              </w:rPr>
              <w:t>(2,661)</w:t>
            </w: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w:t>
            </w: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80" w:type="dxa"/>
            <w:vAlign w:val="bottom"/>
            <w:gridSpan w:val="2"/>
          </w:tcPr>
          <w:p>
            <w:pPr>
              <w:jc w:val="right"/>
              <w:ind w:right="280"/>
              <w:spacing w:after="0"/>
              <w:rPr>
                <w:sz w:val="20"/>
                <w:szCs w:val="20"/>
                <w:color w:val="auto"/>
              </w:rPr>
            </w:pPr>
            <w:r>
              <w:rPr>
                <w:rFonts w:ascii="Arial" w:cs="Arial" w:eastAsia="Arial" w:hAnsi="Arial"/>
                <w:sz w:val="18"/>
                <w:szCs w:val="18"/>
                <w:color w:val="auto"/>
              </w:rPr>
              <w:t>(2,659)</w:t>
            </w:r>
          </w:p>
        </w:tc>
        <w:tc>
          <w:tcPr>
            <w:tcW w:w="680" w:type="dxa"/>
            <w:vAlign w:val="bottom"/>
            <w:gridSpan w:val="2"/>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60" w:type="dxa"/>
            <w:vAlign w:val="bottom"/>
            <w:gridSpan w:val="2"/>
            <w:shd w:val="clear" w:color="auto" w:fill="CCEEFF"/>
          </w:tcPr>
          <w:p>
            <w:pPr>
              <w:ind w:left="640"/>
              <w:spacing w:after="0"/>
              <w:rPr>
                <w:sz w:val="20"/>
                <w:szCs w:val="20"/>
                <w:color w:val="auto"/>
              </w:rPr>
            </w:pPr>
            <w:r>
              <w:rPr>
                <w:rFonts w:ascii="Arial" w:cs="Arial" w:eastAsia="Arial" w:hAnsi="Arial"/>
                <w:sz w:val="18"/>
                <w:szCs w:val="18"/>
                <w:color w:val="auto"/>
              </w:rPr>
              <w:t>Comprehensive income (loss)</w:t>
            </w:r>
          </w:p>
        </w:tc>
        <w:tc>
          <w:tcPr>
            <w:tcW w:w="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2,372</w:t>
            </w:r>
          </w:p>
        </w:tc>
        <w:tc>
          <w:tcPr>
            <w:tcW w:w="3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980" w:type="dxa"/>
            <w:vAlign w:val="bottom"/>
            <w:gridSpan w:val="3"/>
            <w:vMerge w:val="restart"/>
          </w:tcPr>
          <w:p>
            <w:pPr>
              <w:spacing w:after="0"/>
              <w:rPr>
                <w:sz w:val="20"/>
                <w:szCs w:val="20"/>
                <w:color w:val="auto"/>
              </w:rPr>
            </w:pPr>
            <w:r>
              <w:rPr>
                <w:rFonts w:ascii="Arial" w:cs="Arial" w:eastAsia="Arial" w:hAnsi="Arial"/>
                <w:sz w:val="18"/>
                <w:szCs w:val="18"/>
                <w:color w:val="auto"/>
                <w:w w:val="98"/>
              </w:rPr>
              <w:t>Effects of adoption of amendments to ASC 810-10</w:t>
            </w:r>
          </w:p>
        </w:tc>
        <w:tc>
          <w:tcPr>
            <w:tcW w:w="1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2"/>
        </w:trPr>
        <w:tc>
          <w:tcPr>
            <w:tcW w:w="3980" w:type="dxa"/>
            <w:vAlign w:val="bottom"/>
            <w:gridSpan w:val="3"/>
            <w:vMerge w:val="continue"/>
          </w:tcPr>
          <w:p>
            <w:pPr>
              <w:spacing w:after="0"/>
              <w:rPr>
                <w:sz w:val="17"/>
                <w:szCs w:val="17"/>
                <w:color w:val="auto"/>
              </w:rPr>
            </w:pPr>
          </w:p>
        </w:tc>
        <w:tc>
          <w:tcPr>
            <w:tcW w:w="1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960" w:type="dxa"/>
            <w:vAlign w:val="bottom"/>
            <w:gridSpan w:val="2"/>
          </w:tcPr>
          <w:p>
            <w:pPr>
              <w:ind w:left="200"/>
              <w:spacing w:after="0"/>
              <w:rPr>
                <w:sz w:val="20"/>
                <w:szCs w:val="20"/>
                <w:color w:val="auto"/>
              </w:rPr>
            </w:pPr>
            <w:r>
              <w:rPr>
                <w:rFonts w:ascii="Arial" w:cs="Arial" w:eastAsia="Arial" w:hAnsi="Arial"/>
                <w:sz w:val="18"/>
                <w:szCs w:val="18"/>
                <w:color w:val="auto"/>
              </w:rPr>
              <w:t>regarding variable interest entities (Note 3)</w:t>
            </w:r>
          </w:p>
        </w:tc>
        <w:tc>
          <w:tcPr>
            <w:tcW w:w="1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00" w:type="dxa"/>
            <w:vAlign w:val="bottom"/>
          </w:tcPr>
          <w:p>
            <w:pPr>
              <w:jc w:val="right"/>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96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8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76</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76</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396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8"/>
              </w:rPr>
              <w:t>Cash dividends paid to GM preferred stockholders</w:t>
            </w:r>
          </w:p>
        </w:tc>
        <w:tc>
          <w:tcPr>
            <w:tcW w:w="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(608)</w:t>
            </w: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(608)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60" w:type="dxa"/>
            <w:vAlign w:val="bottom"/>
            <w:gridSpan w:val="2"/>
          </w:tcPr>
          <w:p>
            <w:pPr>
              <w:spacing w:after="0"/>
              <w:rPr>
                <w:sz w:val="20"/>
                <w:szCs w:val="20"/>
                <w:color w:val="auto"/>
              </w:rPr>
            </w:pPr>
            <w:r>
              <w:rPr>
                <w:rFonts w:ascii="Arial" w:cs="Arial" w:eastAsia="Arial" w:hAnsi="Arial"/>
                <w:sz w:val="18"/>
                <w:szCs w:val="18"/>
                <w:color w:val="auto"/>
                <w:w w:val="93"/>
              </w:rPr>
              <w:t>Dividends declared or paid to noncontrolling interests</w:t>
            </w: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00" w:type="dxa"/>
            <w:vAlign w:val="bottom"/>
          </w:tcPr>
          <w:p>
            <w:pPr>
              <w:jc w:val="right"/>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96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8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8"/>
                <w:szCs w:val="18"/>
                <w:color w:val="auto"/>
              </w:rPr>
              <w:t>(61)</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rPr>
              <w:t>(61)</w:t>
            </w: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1140" w:type="dxa"/>
            <w:vAlign w:val="bottom"/>
            <w:shd w:val="clear" w:color="auto" w:fill="CCEEFF"/>
          </w:tcPr>
          <w:p>
            <w:pPr>
              <w:spacing w:after="0"/>
              <w:rPr>
                <w:sz w:val="12"/>
                <w:szCs w:val="12"/>
                <w:color w:val="auto"/>
              </w:rPr>
            </w:pPr>
          </w:p>
        </w:tc>
        <w:tc>
          <w:tcPr>
            <w:tcW w:w="28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960" w:type="dxa"/>
            <w:vAlign w:val="bottom"/>
            <w:gridSpan w:val="2"/>
          </w:tcPr>
          <w:p>
            <w:pPr>
              <w:spacing w:after="0"/>
              <w:rPr>
                <w:sz w:val="20"/>
                <w:szCs w:val="20"/>
                <w:color w:val="auto"/>
              </w:rPr>
            </w:pPr>
            <w:r>
              <w:rPr>
                <w:rFonts w:ascii="Arial" w:cs="Arial" w:eastAsia="Arial" w:hAnsi="Arial"/>
                <w:sz w:val="18"/>
                <w:szCs w:val="18"/>
                <w:color w:val="auto"/>
              </w:rPr>
              <w:t>Repurchase of noncontrolling interest shares</w:t>
            </w: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00" w:type="dxa"/>
            <w:vAlign w:val="bottom"/>
          </w:tcPr>
          <w:p>
            <w:pPr>
              <w:jc w:val="right"/>
              <w:spacing w:after="0"/>
              <w:rPr>
                <w:sz w:val="20"/>
                <w:szCs w:val="20"/>
                <w:color w:val="auto"/>
              </w:rPr>
            </w:pPr>
            <w:r>
              <w:rPr>
                <w:rFonts w:ascii="Arial" w:cs="Arial" w:eastAsia="Arial" w:hAnsi="Arial"/>
                <w:sz w:val="18"/>
                <w:szCs w:val="18"/>
                <w:color w:val="auto"/>
              </w:rPr>
              <w:t>—</w:t>
            </w:r>
          </w:p>
        </w:tc>
        <w:tc>
          <w:tcPr>
            <w:tcW w:w="1280" w:type="dxa"/>
            <w:vAlign w:val="bottom"/>
            <w:gridSpan w:val="3"/>
          </w:tcPr>
          <w:p>
            <w:pPr>
              <w:jc w:val="right"/>
              <w:ind w:right="320"/>
              <w:spacing w:after="0"/>
              <w:rPr>
                <w:sz w:val="20"/>
                <w:szCs w:val="20"/>
                <w:color w:val="auto"/>
              </w:rPr>
            </w:pPr>
            <w:r>
              <w:rPr>
                <w:rFonts w:ascii="Arial" w:cs="Arial" w:eastAsia="Arial" w:hAnsi="Arial"/>
                <w:sz w:val="18"/>
                <w:szCs w:val="18"/>
                <w:color w:val="auto"/>
              </w:rPr>
              <w:t>1</w:t>
            </w:r>
          </w:p>
        </w:tc>
        <w:tc>
          <w:tcPr>
            <w:tcW w:w="140" w:type="dxa"/>
            <w:vAlign w:val="bottom"/>
          </w:tcPr>
          <w:p>
            <w:pPr>
              <w:spacing w:after="0"/>
              <w:rPr>
                <w:sz w:val="18"/>
                <w:szCs w:val="18"/>
                <w:color w:val="auto"/>
              </w:rPr>
            </w:pPr>
          </w:p>
        </w:tc>
        <w:tc>
          <w:tcPr>
            <w:tcW w:w="8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8"/>
                <w:szCs w:val="18"/>
                <w:color w:val="auto"/>
              </w:rPr>
              <w:t>(7)</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1140" w:type="dxa"/>
            <w:vAlign w:val="bottom"/>
            <w:shd w:val="clear" w:color="auto" w:fill="CCEEFF"/>
          </w:tcPr>
          <w:p>
            <w:pPr>
              <w:spacing w:after="0"/>
              <w:rPr>
                <w:sz w:val="12"/>
                <w:szCs w:val="12"/>
                <w:color w:val="auto"/>
              </w:rPr>
            </w:pPr>
          </w:p>
        </w:tc>
        <w:tc>
          <w:tcPr>
            <w:tcW w:w="28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960" w:type="dxa"/>
            <w:vAlign w:val="bottom"/>
            <w:gridSpan w:val="2"/>
          </w:tcPr>
          <w:p>
            <w:pPr>
              <w:spacing w:after="0"/>
              <w:rPr>
                <w:sz w:val="20"/>
                <w:szCs w:val="20"/>
                <w:color w:val="auto"/>
              </w:rPr>
            </w:pPr>
            <w:r>
              <w:rPr>
                <w:rFonts w:ascii="Arial" w:cs="Arial" w:eastAsia="Arial" w:hAnsi="Arial"/>
                <w:sz w:val="18"/>
                <w:szCs w:val="18"/>
                <w:color w:val="auto"/>
              </w:rPr>
              <w:t>Other</w:t>
            </w: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00" w:type="dxa"/>
            <w:vAlign w:val="bottom"/>
          </w:tcPr>
          <w:p>
            <w:pPr>
              <w:jc w:val="right"/>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96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8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8"/>
                <w:szCs w:val="18"/>
                <w:color w:val="auto"/>
              </w:rPr>
              <w:t>(12)</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1140" w:type="dxa"/>
            <w:vAlign w:val="bottom"/>
          </w:tcPr>
          <w:p>
            <w:pPr>
              <w:spacing w:after="0"/>
              <w:rPr>
                <w:sz w:val="2"/>
                <w:szCs w:val="2"/>
                <w:color w:val="auto"/>
              </w:rPr>
            </w:pPr>
          </w:p>
        </w:tc>
        <w:tc>
          <w:tcPr>
            <w:tcW w:w="2820" w:type="dxa"/>
            <w:vAlign w:val="bottom"/>
          </w:tcPr>
          <w:p>
            <w:pPr>
              <w:spacing w:after="0"/>
              <w:rPr>
                <w:sz w:val="2"/>
                <w:szCs w:val="2"/>
                <w:color w:val="auto"/>
              </w:rPr>
            </w:pPr>
          </w:p>
        </w:tc>
        <w:tc>
          <w:tcPr>
            <w:tcW w:w="18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Pr>
          <w:p>
            <w:pPr>
              <w:spacing w:after="0"/>
              <w:rPr>
                <w:sz w:val="2"/>
                <w:szCs w:val="2"/>
                <w:color w:val="auto"/>
              </w:rPr>
            </w:pPr>
          </w:p>
        </w:tc>
        <w:tc>
          <w:tcPr>
            <w:tcW w:w="34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396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Balance September 30, 2010, Successor</w:t>
            </w:r>
          </w:p>
        </w:tc>
        <w:tc>
          <w:tcPr>
            <w:tcW w:w="18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62"/>
              <w:spacing w:after="0"/>
              <w:rPr>
                <w:sz w:val="20"/>
                <w:szCs w:val="20"/>
                <w:color w:val="auto"/>
              </w:rPr>
            </w:pPr>
            <w:r>
              <w:rPr>
                <w:rFonts w:ascii="Arial" w:cs="Arial" w:eastAsia="Arial" w:hAnsi="Arial"/>
                <w:sz w:val="18"/>
                <w:szCs w:val="18"/>
                <w:color w:val="auto"/>
                <w:w w:val="79"/>
              </w:rPr>
              <w:t>$</w:t>
            </w: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128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$ 24,041</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(236)</w:t>
            </w:r>
          </w:p>
        </w:tc>
        <w:tc>
          <w:tcPr>
            <w:tcW w:w="320" w:type="dxa"/>
            <w:vAlign w:val="bottom"/>
            <w:gridSpan w:val="2"/>
            <w:shd w:val="clear" w:color="auto" w:fill="CCEEFF"/>
          </w:tcPr>
          <w:p>
            <w:pPr>
              <w:jc w:val="right"/>
              <w:ind w:right="32"/>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(1,073)</w:t>
            </w:r>
          </w:p>
        </w:tc>
        <w:tc>
          <w:tcPr>
            <w:tcW w:w="28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971</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u w:val="single" w:color="auto"/>
                <w:color w:val="auto"/>
                <w:w w:val="86"/>
              </w:rPr>
              <w:t>$</w:t>
            </w:r>
            <w:r>
              <w:rPr>
                <w:rFonts w:ascii="Arial" w:cs="Arial" w:eastAsia="Arial" w:hAnsi="Arial"/>
                <w:sz w:val="18"/>
                <w:szCs w:val="18"/>
                <w:color w:val="auto"/>
                <w:w w:val="86"/>
              </w:rPr>
              <w:t>23,718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8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2"/>
        </w:trPr>
        <w:tc>
          <w:tcPr>
            <w:tcW w:w="20" w:type="dxa"/>
            <w:vAlign w:val="bottom"/>
          </w:tcPr>
          <w:p>
            <w:pPr>
              <w:spacing w:after="0"/>
              <w:rPr>
                <w:sz w:val="8"/>
                <w:szCs w:val="8"/>
                <w:color w:val="auto"/>
              </w:rPr>
            </w:pPr>
          </w:p>
        </w:tc>
        <w:tc>
          <w:tcPr>
            <w:tcW w:w="1140" w:type="dxa"/>
            <w:vAlign w:val="bottom"/>
            <w:tcBorders>
              <w:bottom w:val="single" w:sz="8" w:color="auto"/>
            </w:tcBorders>
          </w:tcPr>
          <w:p>
            <w:pPr>
              <w:spacing w:after="0"/>
              <w:rPr>
                <w:sz w:val="8"/>
                <w:szCs w:val="8"/>
                <w:color w:val="auto"/>
              </w:rPr>
            </w:pPr>
          </w:p>
        </w:tc>
        <w:tc>
          <w:tcPr>
            <w:tcW w:w="2820" w:type="dxa"/>
            <w:vAlign w:val="bottom"/>
          </w:tcPr>
          <w:p>
            <w:pPr>
              <w:spacing w:after="0"/>
              <w:rPr>
                <w:sz w:val="8"/>
                <w:szCs w:val="8"/>
                <w:color w:val="auto"/>
              </w:rPr>
            </w:pPr>
          </w:p>
        </w:tc>
        <w:tc>
          <w:tcPr>
            <w:tcW w:w="180" w:type="dxa"/>
            <w:vAlign w:val="bottom"/>
          </w:tcPr>
          <w:p>
            <w:pPr>
              <w:spacing w:after="0"/>
              <w:rPr>
                <w:sz w:val="8"/>
                <w:szCs w:val="8"/>
                <w:color w:val="auto"/>
              </w:rPr>
            </w:pPr>
          </w:p>
        </w:tc>
        <w:tc>
          <w:tcPr>
            <w:tcW w:w="240" w:type="dxa"/>
            <w:vAlign w:val="bottom"/>
          </w:tcPr>
          <w:p>
            <w:pPr>
              <w:spacing w:after="0"/>
              <w:rPr>
                <w:sz w:val="8"/>
                <w:szCs w:val="8"/>
                <w:color w:val="auto"/>
              </w:rPr>
            </w:pPr>
          </w:p>
        </w:tc>
        <w:tc>
          <w:tcPr>
            <w:tcW w:w="300" w:type="dxa"/>
            <w:vAlign w:val="bottom"/>
          </w:tcPr>
          <w:p>
            <w:pPr>
              <w:spacing w:after="0"/>
              <w:rPr>
                <w:sz w:val="8"/>
                <w:szCs w:val="8"/>
                <w:color w:val="auto"/>
              </w:rPr>
            </w:pPr>
          </w:p>
        </w:tc>
        <w:tc>
          <w:tcPr>
            <w:tcW w:w="320" w:type="dxa"/>
            <w:vAlign w:val="bottom"/>
          </w:tcPr>
          <w:p>
            <w:pPr>
              <w:spacing w:after="0"/>
              <w:rPr>
                <w:sz w:val="8"/>
                <w:szCs w:val="8"/>
                <w:color w:val="auto"/>
              </w:rPr>
            </w:pPr>
          </w:p>
        </w:tc>
        <w:tc>
          <w:tcPr>
            <w:tcW w:w="640" w:type="dxa"/>
            <w:vAlign w:val="bottom"/>
          </w:tcPr>
          <w:p>
            <w:pPr>
              <w:spacing w:after="0"/>
              <w:rPr>
                <w:sz w:val="8"/>
                <w:szCs w:val="8"/>
                <w:color w:val="auto"/>
              </w:rPr>
            </w:pPr>
          </w:p>
        </w:tc>
        <w:tc>
          <w:tcPr>
            <w:tcW w:w="320" w:type="dxa"/>
            <w:vAlign w:val="bottom"/>
          </w:tcPr>
          <w:p>
            <w:pPr>
              <w:spacing w:after="0"/>
              <w:rPr>
                <w:sz w:val="8"/>
                <w:szCs w:val="8"/>
                <w:color w:val="auto"/>
              </w:rPr>
            </w:pPr>
          </w:p>
        </w:tc>
        <w:tc>
          <w:tcPr>
            <w:tcW w:w="140" w:type="dxa"/>
            <w:vAlign w:val="bottom"/>
          </w:tcPr>
          <w:p>
            <w:pPr>
              <w:spacing w:after="0"/>
              <w:rPr>
                <w:sz w:val="8"/>
                <w:szCs w:val="8"/>
                <w:color w:val="auto"/>
              </w:rPr>
            </w:pPr>
          </w:p>
        </w:tc>
        <w:tc>
          <w:tcPr>
            <w:tcW w:w="620" w:type="dxa"/>
            <w:vAlign w:val="bottom"/>
          </w:tcPr>
          <w:p>
            <w:pPr>
              <w:spacing w:after="0"/>
              <w:rPr>
                <w:sz w:val="8"/>
                <w:szCs w:val="8"/>
                <w:color w:val="auto"/>
              </w:rPr>
            </w:pPr>
          </w:p>
        </w:tc>
        <w:tc>
          <w:tcPr>
            <w:tcW w:w="200" w:type="dxa"/>
            <w:vAlign w:val="bottom"/>
          </w:tcPr>
          <w:p>
            <w:pPr>
              <w:spacing w:after="0"/>
              <w:rPr>
                <w:sz w:val="8"/>
                <w:szCs w:val="8"/>
                <w:color w:val="auto"/>
              </w:rPr>
            </w:pPr>
          </w:p>
        </w:tc>
        <w:tc>
          <w:tcPr>
            <w:tcW w:w="140" w:type="dxa"/>
            <w:vAlign w:val="bottom"/>
          </w:tcPr>
          <w:p>
            <w:pPr>
              <w:spacing w:after="0"/>
              <w:rPr>
                <w:sz w:val="8"/>
                <w:szCs w:val="8"/>
                <w:color w:val="auto"/>
              </w:rPr>
            </w:pPr>
          </w:p>
        </w:tc>
        <w:tc>
          <w:tcPr>
            <w:tcW w:w="180" w:type="dxa"/>
            <w:vAlign w:val="bottom"/>
          </w:tcPr>
          <w:p>
            <w:pPr>
              <w:spacing w:after="0"/>
              <w:rPr>
                <w:sz w:val="8"/>
                <w:szCs w:val="8"/>
                <w:color w:val="auto"/>
              </w:rPr>
            </w:pPr>
          </w:p>
        </w:tc>
        <w:tc>
          <w:tcPr>
            <w:tcW w:w="720" w:type="dxa"/>
            <w:vAlign w:val="bottom"/>
          </w:tcPr>
          <w:p>
            <w:pPr>
              <w:spacing w:after="0"/>
              <w:rPr>
                <w:sz w:val="8"/>
                <w:szCs w:val="8"/>
                <w:color w:val="auto"/>
              </w:rPr>
            </w:pPr>
          </w:p>
        </w:tc>
        <w:tc>
          <w:tcPr>
            <w:tcW w:w="180" w:type="dxa"/>
            <w:vAlign w:val="bottom"/>
          </w:tcPr>
          <w:p>
            <w:pPr>
              <w:spacing w:after="0"/>
              <w:rPr>
                <w:sz w:val="8"/>
                <w:szCs w:val="8"/>
                <w:color w:val="auto"/>
              </w:rPr>
            </w:pPr>
          </w:p>
        </w:tc>
        <w:tc>
          <w:tcPr>
            <w:tcW w:w="140" w:type="dxa"/>
            <w:vAlign w:val="bottom"/>
          </w:tcPr>
          <w:p>
            <w:pPr>
              <w:spacing w:after="0"/>
              <w:rPr>
                <w:sz w:val="8"/>
                <w:szCs w:val="8"/>
                <w:color w:val="auto"/>
              </w:rPr>
            </w:pPr>
          </w:p>
        </w:tc>
        <w:tc>
          <w:tcPr>
            <w:tcW w:w="140" w:type="dxa"/>
            <w:vAlign w:val="bottom"/>
          </w:tcPr>
          <w:p>
            <w:pPr>
              <w:spacing w:after="0"/>
              <w:rPr>
                <w:sz w:val="8"/>
                <w:szCs w:val="8"/>
                <w:color w:val="auto"/>
              </w:rPr>
            </w:pPr>
          </w:p>
        </w:tc>
        <w:tc>
          <w:tcPr>
            <w:tcW w:w="740" w:type="dxa"/>
            <w:vAlign w:val="bottom"/>
          </w:tcPr>
          <w:p>
            <w:pPr>
              <w:spacing w:after="0"/>
              <w:rPr>
                <w:sz w:val="8"/>
                <w:szCs w:val="8"/>
                <w:color w:val="auto"/>
              </w:rPr>
            </w:pPr>
          </w:p>
        </w:tc>
        <w:tc>
          <w:tcPr>
            <w:tcW w:w="180" w:type="dxa"/>
            <w:vAlign w:val="bottom"/>
          </w:tcPr>
          <w:p>
            <w:pPr>
              <w:spacing w:after="0"/>
              <w:rPr>
                <w:sz w:val="8"/>
                <w:szCs w:val="8"/>
                <w:color w:val="auto"/>
              </w:rPr>
            </w:pPr>
          </w:p>
        </w:tc>
        <w:tc>
          <w:tcPr>
            <w:tcW w:w="140" w:type="dxa"/>
            <w:vAlign w:val="bottom"/>
          </w:tcPr>
          <w:p>
            <w:pPr>
              <w:spacing w:after="0"/>
              <w:rPr>
                <w:sz w:val="8"/>
                <w:szCs w:val="8"/>
                <w:color w:val="auto"/>
              </w:rPr>
            </w:pPr>
          </w:p>
        </w:tc>
        <w:tc>
          <w:tcPr>
            <w:tcW w:w="160" w:type="dxa"/>
            <w:vAlign w:val="bottom"/>
          </w:tcPr>
          <w:p>
            <w:pPr>
              <w:spacing w:after="0"/>
              <w:rPr>
                <w:sz w:val="8"/>
                <w:szCs w:val="8"/>
                <w:color w:val="auto"/>
              </w:rPr>
            </w:pPr>
          </w:p>
        </w:tc>
        <w:tc>
          <w:tcPr>
            <w:tcW w:w="740" w:type="dxa"/>
            <w:vAlign w:val="bottom"/>
          </w:tcPr>
          <w:p>
            <w:pPr>
              <w:spacing w:after="0"/>
              <w:rPr>
                <w:sz w:val="8"/>
                <w:szCs w:val="8"/>
                <w:color w:val="auto"/>
              </w:rPr>
            </w:pPr>
          </w:p>
        </w:tc>
        <w:tc>
          <w:tcPr>
            <w:tcW w:w="340" w:type="dxa"/>
            <w:vAlign w:val="bottom"/>
          </w:tcPr>
          <w:p>
            <w:pPr>
              <w:spacing w:after="0"/>
              <w:rPr>
                <w:sz w:val="8"/>
                <w:szCs w:val="8"/>
                <w:color w:val="auto"/>
              </w:rPr>
            </w:pPr>
          </w:p>
        </w:tc>
        <w:tc>
          <w:tcPr>
            <w:tcW w:w="58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19" w:lineRule="exact"/>
        <w:rPr>
          <w:sz w:val="20"/>
          <w:szCs w:val="20"/>
          <w:color w:val="auto"/>
        </w:rPr>
      </w:pPr>
    </w:p>
    <w:p>
      <w:pPr>
        <w:ind w:left="460" w:right="960" w:hanging="452"/>
        <w:spacing w:after="0" w:line="268" w:lineRule="auto"/>
        <w:tabs>
          <w:tab w:leader="none" w:pos="460" w:val="left"/>
        </w:tabs>
        <w:numPr>
          <w:ilvl w:val="0"/>
          <w:numId w:val="3"/>
        </w:numPr>
        <w:rPr>
          <w:rFonts w:ascii="Arial" w:cs="Arial" w:eastAsia="Arial" w:hAnsi="Arial"/>
          <w:sz w:val="18"/>
          <w:szCs w:val="18"/>
          <w:color w:val="auto"/>
        </w:rPr>
      </w:pPr>
      <w:r>
        <w:rPr>
          <w:rFonts w:ascii="Arial" w:cs="Arial" w:eastAsia="Arial" w:hAnsi="Arial"/>
          <w:sz w:val="18"/>
          <w:szCs w:val="18"/>
          <w:color w:val="auto"/>
        </w:rPr>
        <w:t>Common stock and Capital surplus at December 31, 2009 and September 30, 2010 are restated to reflect a three-for-one stock split effected on November 1, 2010.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Reference should be made to the notes to the condensed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459" w:right="23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EQUITY (DEFICIT)</w:t>
      </w:r>
    </w:p>
    <w:p>
      <w:pPr>
        <w:spacing w:after="0" w:line="21" w:lineRule="exact"/>
        <w:rPr>
          <w:sz w:val="20"/>
          <w:szCs w:val="20"/>
          <w:color w:val="auto"/>
        </w:rPr>
      </w:pPr>
    </w:p>
    <w:p>
      <w:pPr>
        <w:ind w:left="5260"/>
        <w:spacing w:after="0"/>
        <w:rPr>
          <w:sz w:val="20"/>
          <w:szCs w:val="20"/>
          <w:color w:val="auto"/>
        </w:rPr>
      </w:pPr>
      <w:r>
        <w:rPr>
          <w:rFonts w:ascii="Arial" w:cs="Arial" w:eastAsia="Arial" w:hAnsi="Arial"/>
          <w:sz w:val="18"/>
          <w:szCs w:val="18"/>
          <w:b w:val="1"/>
          <w:bCs w:val="1"/>
          <w:color w:val="auto"/>
        </w:rPr>
        <w:t>(In millions)</w:t>
      </w:r>
    </w:p>
    <w:p>
      <w:pPr>
        <w:spacing w:after="0" w:line="9" w:lineRule="exact"/>
        <w:rPr>
          <w:sz w:val="20"/>
          <w:szCs w:val="20"/>
          <w:color w:val="auto"/>
        </w:rPr>
      </w:pPr>
    </w:p>
    <w:p>
      <w:pPr>
        <w:ind w:left="5260"/>
        <w:spacing w:after="0"/>
        <w:rPr>
          <w:sz w:val="20"/>
          <w:szCs w:val="20"/>
          <w:color w:val="auto"/>
        </w:rPr>
      </w:pPr>
      <w:r>
        <w:rPr>
          <w:rFonts w:ascii="Arial" w:cs="Arial" w:eastAsia="Arial" w:hAnsi="Arial"/>
          <w:sz w:val="18"/>
          <w:szCs w:val="18"/>
          <w:b w:val="1"/>
          <w:bCs w:val="1"/>
          <w:color w:val="auto"/>
        </w:rPr>
        <w:t>(Unaudited)</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31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800" w:type="dxa"/>
            <w:vAlign w:val="bottom"/>
            <w:tcBorders>
              <w:bottom w:val="single" w:sz="8" w:color="auto"/>
            </w:tcBorders>
            <w:gridSpan w:val="6"/>
          </w:tcPr>
          <w:p>
            <w:pPr>
              <w:jc w:val="right"/>
              <w:ind w:right="180"/>
              <w:spacing w:after="0"/>
              <w:rPr>
                <w:sz w:val="20"/>
                <w:szCs w:val="20"/>
                <w:color w:val="auto"/>
              </w:rPr>
            </w:pPr>
            <w:r>
              <w:rPr>
                <w:rFonts w:ascii="Arial" w:cs="Arial" w:eastAsia="Arial" w:hAnsi="Arial"/>
                <w:sz w:val="14"/>
                <w:szCs w:val="14"/>
                <w:b w:val="1"/>
                <w:bCs w:val="1"/>
                <w:color w:val="auto"/>
              </w:rPr>
              <w:t>Common Stockholders’</w:t>
            </w:r>
          </w:p>
        </w:tc>
        <w:tc>
          <w:tcPr>
            <w:tcW w:w="10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2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3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00" w:type="dxa"/>
            <w:vAlign w:val="bottom"/>
            <w:gridSpan w:val="2"/>
          </w:tcPr>
          <w:p>
            <w:pPr>
              <w:jc w:val="center"/>
              <w:spacing w:after="0" w:line="129" w:lineRule="exact"/>
              <w:rPr>
                <w:sz w:val="20"/>
                <w:szCs w:val="20"/>
                <w:color w:val="auto"/>
              </w:rPr>
            </w:pPr>
            <w:r>
              <w:rPr>
                <w:rFonts w:ascii="Arial" w:cs="Arial" w:eastAsia="Arial" w:hAnsi="Arial"/>
                <w:sz w:val="14"/>
                <w:szCs w:val="14"/>
                <w:b w:val="1"/>
                <w:bCs w:val="1"/>
                <w:color w:val="auto"/>
                <w:w w:val="88"/>
              </w:rPr>
              <w:t>Accumulated</w:t>
            </w:r>
          </w:p>
        </w:tc>
        <w:tc>
          <w:tcPr>
            <w:tcW w:w="2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3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gridSpan w:val="3"/>
          </w:tcPr>
          <w:p>
            <w:pPr>
              <w:jc w:val="right"/>
              <w:ind w:right="180"/>
              <w:spacing w:after="0" w:line="149" w:lineRule="exact"/>
              <w:rPr>
                <w:sz w:val="20"/>
                <w:szCs w:val="20"/>
                <w:color w:val="auto"/>
              </w:rPr>
            </w:pPr>
            <w:r>
              <w:rPr>
                <w:rFonts w:ascii="Arial" w:cs="Arial" w:eastAsia="Arial" w:hAnsi="Arial"/>
                <w:sz w:val="14"/>
                <w:szCs w:val="14"/>
                <w:b w:val="1"/>
                <w:bCs w:val="1"/>
                <w:color w:val="auto"/>
                <w:w w:val="84"/>
              </w:rPr>
              <w:t>Accumulated</w:t>
            </w: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0" w:type="dxa"/>
            <w:vAlign w:val="bottom"/>
            <w:gridSpan w:val="2"/>
          </w:tcPr>
          <w:p>
            <w:pPr>
              <w:jc w:val="center"/>
              <w:ind w:right="460"/>
              <w:spacing w:after="0" w:line="149" w:lineRule="exact"/>
              <w:rPr>
                <w:sz w:val="20"/>
                <w:szCs w:val="20"/>
                <w:color w:val="auto"/>
              </w:rPr>
            </w:pPr>
            <w:r>
              <w:rPr>
                <w:rFonts w:ascii="Arial" w:cs="Arial" w:eastAsia="Arial" w:hAnsi="Arial"/>
                <w:sz w:val="14"/>
                <w:szCs w:val="14"/>
                <w:b w:val="1"/>
                <w:bCs w:val="1"/>
                <w:color w:val="auto"/>
                <w:w w:val="90"/>
              </w:rPr>
              <w:t>Other</w:t>
            </w:r>
          </w:p>
        </w:tc>
        <w:tc>
          <w:tcPr>
            <w:tcW w:w="1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80" w:type="dxa"/>
            <w:vAlign w:val="bottom"/>
            <w:gridSpan w:val="4"/>
          </w:tcPr>
          <w:p>
            <w:pPr>
              <w:spacing w:after="0" w:line="149" w:lineRule="exact"/>
              <w:rPr>
                <w:sz w:val="20"/>
                <w:szCs w:val="20"/>
                <w:color w:val="auto"/>
              </w:rPr>
            </w:pPr>
            <w:r>
              <w:rPr>
                <w:rFonts w:ascii="Arial" w:cs="Arial" w:eastAsia="Arial" w:hAnsi="Arial"/>
                <w:sz w:val="14"/>
                <w:szCs w:val="14"/>
                <w:b w:val="1"/>
                <w:bCs w:val="1"/>
                <w:color w:val="auto"/>
              </w:rPr>
              <w:t>Comprehensive</w:t>
            </w:r>
          </w:p>
        </w:tc>
        <w:tc>
          <w:tcPr>
            <w:tcW w:w="68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89"/>
              </w:rPr>
              <w:t>Total</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3160" w:type="dxa"/>
            <w:vAlign w:val="bottom"/>
          </w:tcPr>
          <w:p>
            <w:pPr>
              <w:spacing w:after="0"/>
              <w:rPr>
                <w:sz w:val="12"/>
                <w:szCs w:val="12"/>
                <w:color w:val="auto"/>
              </w:rPr>
            </w:pPr>
          </w:p>
        </w:tc>
        <w:tc>
          <w:tcPr>
            <w:tcW w:w="720" w:type="dxa"/>
            <w:vAlign w:val="bottom"/>
            <w:gridSpan w:val="4"/>
          </w:tcPr>
          <w:p>
            <w:pPr>
              <w:spacing w:after="0" w:line="149" w:lineRule="exact"/>
              <w:rPr>
                <w:sz w:val="20"/>
                <w:szCs w:val="20"/>
                <w:color w:val="auto"/>
              </w:rPr>
            </w:pPr>
            <w:r>
              <w:rPr>
                <w:rFonts w:ascii="Arial" w:cs="Arial" w:eastAsia="Arial" w:hAnsi="Arial"/>
                <w:sz w:val="14"/>
                <w:szCs w:val="14"/>
                <w:b w:val="1"/>
                <w:bCs w:val="1"/>
                <w:color w:val="auto"/>
              </w:rPr>
              <w:t>Common</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gridSpan w:val="2"/>
          </w:tcPr>
          <w:p>
            <w:pPr>
              <w:jc w:val="right"/>
              <w:ind w:right="300"/>
              <w:spacing w:after="0" w:line="149" w:lineRule="exact"/>
              <w:rPr>
                <w:sz w:val="20"/>
                <w:szCs w:val="20"/>
                <w:color w:val="auto"/>
              </w:rPr>
            </w:pPr>
            <w:r>
              <w:rPr>
                <w:rFonts w:ascii="Arial" w:cs="Arial" w:eastAsia="Arial" w:hAnsi="Arial"/>
                <w:sz w:val="14"/>
                <w:szCs w:val="14"/>
                <w:b w:val="1"/>
                <w:bCs w:val="1"/>
                <w:color w:val="auto"/>
                <w:w w:val="94"/>
              </w:rPr>
              <w:t>Capital</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gridSpan w:val="2"/>
          </w:tcPr>
          <w:p>
            <w:pPr>
              <w:jc w:val="right"/>
              <w:ind w:right="360"/>
              <w:spacing w:after="0" w:line="149" w:lineRule="exact"/>
              <w:rPr>
                <w:sz w:val="20"/>
                <w:szCs w:val="20"/>
                <w:color w:val="auto"/>
              </w:rPr>
            </w:pPr>
            <w:r>
              <w:rPr>
                <w:rFonts w:ascii="Arial" w:cs="Arial" w:eastAsia="Arial" w:hAnsi="Arial"/>
                <w:sz w:val="14"/>
                <w:szCs w:val="14"/>
                <w:b w:val="1"/>
                <w:bCs w:val="1"/>
                <w:color w:val="auto"/>
              </w:rPr>
              <w:t>Equity</w:t>
            </w:r>
          </w:p>
        </w:tc>
        <w:tc>
          <w:tcPr>
            <w:tcW w:w="100" w:type="dxa"/>
            <w:vAlign w:val="bottom"/>
          </w:tcPr>
          <w:p>
            <w:pPr>
              <w:spacing w:after="0"/>
              <w:rPr>
                <w:sz w:val="12"/>
                <w:szCs w:val="12"/>
                <w:color w:val="auto"/>
              </w:rPr>
            </w:pPr>
          </w:p>
        </w:tc>
        <w:tc>
          <w:tcPr>
            <w:tcW w:w="1180" w:type="dxa"/>
            <w:vAlign w:val="bottom"/>
            <w:gridSpan w:val="3"/>
          </w:tcPr>
          <w:p>
            <w:pPr>
              <w:jc w:val="center"/>
              <w:ind w:right="280"/>
              <w:spacing w:after="0" w:line="149" w:lineRule="exact"/>
              <w:rPr>
                <w:sz w:val="20"/>
                <w:szCs w:val="20"/>
                <w:color w:val="auto"/>
              </w:rPr>
            </w:pPr>
            <w:r>
              <w:rPr>
                <w:rFonts w:ascii="Arial" w:cs="Arial" w:eastAsia="Arial" w:hAnsi="Arial"/>
                <w:sz w:val="14"/>
                <w:szCs w:val="14"/>
                <w:b w:val="1"/>
                <w:bCs w:val="1"/>
                <w:color w:val="auto"/>
                <w:w w:val="85"/>
              </w:rPr>
              <w:t>Comprehensive</w:t>
            </w:r>
          </w:p>
        </w:tc>
        <w:tc>
          <w:tcPr>
            <w:tcW w:w="104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Noncontrolling</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20" w:type="dxa"/>
            <w:vAlign w:val="bottom"/>
            <w:gridSpan w:val="3"/>
          </w:tcPr>
          <w:p>
            <w:pPr>
              <w:jc w:val="right"/>
              <w:ind w:right="620"/>
              <w:spacing w:after="0" w:line="149" w:lineRule="exact"/>
              <w:rPr>
                <w:sz w:val="20"/>
                <w:szCs w:val="20"/>
                <w:color w:val="auto"/>
              </w:rPr>
            </w:pPr>
            <w:r>
              <w:rPr>
                <w:rFonts w:ascii="Arial" w:cs="Arial" w:eastAsia="Arial" w:hAnsi="Arial"/>
                <w:sz w:val="14"/>
                <w:szCs w:val="14"/>
                <w:b w:val="1"/>
                <w:bCs w:val="1"/>
                <w:color w:val="auto"/>
                <w:w w:val="97"/>
              </w:rPr>
              <w:t>Income</w:t>
            </w:r>
          </w:p>
        </w:tc>
        <w:tc>
          <w:tcPr>
            <w:tcW w:w="68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88"/>
              </w:rPr>
              <w:t>Equity</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3160" w:type="dxa"/>
            <w:vAlign w:val="bottom"/>
          </w:tcPr>
          <w:p>
            <w:pPr>
              <w:spacing w:after="0"/>
              <w:rPr>
                <w:sz w:val="14"/>
                <w:szCs w:val="14"/>
                <w:color w:val="auto"/>
              </w:rPr>
            </w:pPr>
          </w:p>
        </w:tc>
        <w:tc>
          <w:tcPr>
            <w:tcW w:w="540" w:type="dxa"/>
            <w:vAlign w:val="bottom"/>
            <w:gridSpan w:val="2"/>
          </w:tcPr>
          <w:p>
            <w:pPr>
              <w:ind w:left="20"/>
              <w:spacing w:after="0"/>
              <w:rPr>
                <w:sz w:val="20"/>
                <w:szCs w:val="20"/>
                <w:color w:val="auto"/>
              </w:rPr>
            </w:pPr>
            <w:r>
              <w:rPr>
                <w:rFonts w:ascii="Arial" w:cs="Arial" w:eastAsia="Arial" w:hAnsi="Arial"/>
                <w:sz w:val="14"/>
                <w:szCs w:val="14"/>
                <w:b w:val="1"/>
                <w:bCs w:val="1"/>
                <w:color w:val="auto"/>
                <w:w w:val="84"/>
              </w:rPr>
              <w:t>Stock (a)</w:t>
            </w:r>
          </w:p>
        </w:tc>
        <w:tc>
          <w:tcPr>
            <w:tcW w:w="180" w:type="dxa"/>
            <w:vAlign w:val="bottom"/>
            <w:gridSpan w:val="2"/>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gridSpan w:val="3"/>
          </w:tcPr>
          <w:p>
            <w:pPr>
              <w:spacing w:after="0"/>
              <w:rPr>
                <w:sz w:val="20"/>
                <w:szCs w:val="20"/>
                <w:color w:val="auto"/>
              </w:rPr>
            </w:pPr>
            <w:r>
              <w:rPr>
                <w:rFonts w:ascii="Arial" w:cs="Arial" w:eastAsia="Arial" w:hAnsi="Arial"/>
                <w:sz w:val="14"/>
                <w:szCs w:val="14"/>
                <w:b w:val="1"/>
                <w:bCs w:val="1"/>
                <w:color w:val="auto"/>
              </w:rPr>
              <w:t>Surplus (a)</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auto"/>
                <w:w w:val="92"/>
              </w:rPr>
              <w:t>(Deficit)</w:t>
            </w:r>
          </w:p>
        </w:tc>
        <w:tc>
          <w:tcPr>
            <w:tcW w:w="100" w:type="dxa"/>
            <w:vAlign w:val="bottom"/>
          </w:tcPr>
          <w:p>
            <w:pPr>
              <w:spacing w:after="0"/>
              <w:rPr>
                <w:sz w:val="14"/>
                <w:szCs w:val="14"/>
                <w:color w:val="auto"/>
              </w:rPr>
            </w:pPr>
          </w:p>
        </w:tc>
        <w:tc>
          <w:tcPr>
            <w:tcW w:w="1180" w:type="dxa"/>
            <w:vAlign w:val="bottom"/>
            <w:gridSpan w:val="3"/>
          </w:tcPr>
          <w:p>
            <w:pPr>
              <w:jc w:val="center"/>
              <w:ind w:right="280"/>
              <w:spacing w:after="0"/>
              <w:rPr>
                <w:sz w:val="20"/>
                <w:szCs w:val="20"/>
                <w:color w:val="auto"/>
              </w:rPr>
            </w:pPr>
            <w:r>
              <w:rPr>
                <w:rFonts w:ascii="Arial" w:cs="Arial" w:eastAsia="Arial" w:hAnsi="Arial"/>
                <w:sz w:val="14"/>
                <w:szCs w:val="14"/>
                <w:b w:val="1"/>
                <w:bCs w:val="1"/>
                <w:color w:val="auto"/>
                <w:w w:val="86"/>
              </w:rPr>
              <w:t>Income (Loss)</w:t>
            </w:r>
          </w:p>
        </w:tc>
        <w:tc>
          <w:tcPr>
            <w:tcW w:w="140" w:type="dxa"/>
            <w:vAlign w:val="bottom"/>
          </w:tcPr>
          <w:p>
            <w:pPr>
              <w:spacing w:after="0"/>
              <w:rPr>
                <w:sz w:val="14"/>
                <w:szCs w:val="14"/>
                <w:color w:val="auto"/>
              </w:rPr>
            </w:pPr>
          </w:p>
        </w:tc>
        <w:tc>
          <w:tcPr>
            <w:tcW w:w="900" w:type="dxa"/>
            <w:vAlign w:val="bottom"/>
            <w:gridSpan w:val="2"/>
          </w:tcPr>
          <w:p>
            <w:pPr>
              <w:jc w:val="right"/>
              <w:ind w:right="360"/>
              <w:spacing w:after="0"/>
              <w:rPr>
                <w:sz w:val="20"/>
                <w:szCs w:val="20"/>
                <w:color w:val="auto"/>
              </w:rPr>
            </w:pPr>
            <w:r>
              <w:rPr>
                <w:rFonts w:ascii="Arial" w:cs="Arial" w:eastAsia="Arial" w:hAnsi="Arial"/>
                <w:sz w:val="14"/>
                <w:szCs w:val="14"/>
                <w:b w:val="1"/>
                <w:bCs w:val="1"/>
                <w:color w:val="auto"/>
                <w:w w:val="89"/>
              </w:rPr>
              <w:t>Interests</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20" w:type="dxa"/>
            <w:vAlign w:val="bottom"/>
            <w:gridSpan w:val="3"/>
          </w:tcPr>
          <w:p>
            <w:pPr>
              <w:jc w:val="right"/>
              <w:ind w:right="640"/>
              <w:spacing w:after="0"/>
              <w:rPr>
                <w:sz w:val="20"/>
                <w:szCs w:val="20"/>
                <w:color w:val="auto"/>
              </w:rPr>
            </w:pPr>
            <w:r>
              <w:rPr>
                <w:rFonts w:ascii="Arial" w:cs="Arial" w:eastAsia="Arial" w:hAnsi="Arial"/>
                <w:sz w:val="14"/>
                <w:szCs w:val="14"/>
                <w:b w:val="1"/>
                <w:bCs w:val="1"/>
                <w:color w:val="auto"/>
              </w:rPr>
              <w:t>(Loss)</w:t>
            </w:r>
          </w:p>
        </w:tc>
        <w:tc>
          <w:tcPr>
            <w:tcW w:w="68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2"/>
              </w:rPr>
              <w:t>(Deficit)</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31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430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Balance December 31, 2008, Predecessor</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7"/>
              </w:rPr>
              <w:t>1,017</w:t>
            </w:r>
          </w:p>
        </w:tc>
        <w:tc>
          <w:tcPr>
            <w:tcW w:w="160" w:type="dxa"/>
            <w:vAlign w:val="bottom"/>
            <w:shd w:val="clear" w:color="auto" w:fill="CCEEFF"/>
          </w:tcPr>
          <w:p>
            <w:pPr>
              <w:spacing w:after="0"/>
              <w:rPr>
                <w:sz w:val="18"/>
                <w:szCs w:val="18"/>
                <w:color w:val="auto"/>
              </w:rPr>
            </w:pPr>
          </w:p>
        </w:tc>
        <w:tc>
          <w:tcPr>
            <w:tcW w:w="20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w w:val="79"/>
              </w:rPr>
              <w:t>$</w:t>
            </w: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16,489</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(70,727)</w:t>
            </w:r>
          </w:p>
        </w:tc>
        <w:tc>
          <w:tcPr>
            <w:tcW w:w="280" w:type="dxa"/>
            <w:vAlign w:val="bottom"/>
            <w:gridSpan w:val="2"/>
            <w:shd w:val="clear" w:color="auto" w:fill="CCEEFF"/>
          </w:tcPr>
          <w:p>
            <w:pPr>
              <w:jc w:val="right"/>
              <w:ind w:right="32"/>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(32,339)</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484</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2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2"/>
              </w:rPr>
              <w:t>(85,076)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00" w:type="dxa"/>
            <w:vAlign w:val="bottom"/>
            <w:gridSpan w:val="2"/>
          </w:tcPr>
          <w:p>
            <w:pPr>
              <w:spacing w:after="0"/>
              <w:rPr>
                <w:sz w:val="20"/>
                <w:szCs w:val="20"/>
                <w:color w:val="auto"/>
              </w:rPr>
            </w:pPr>
            <w:r>
              <w:rPr>
                <w:rFonts w:ascii="Arial" w:cs="Arial" w:eastAsia="Arial" w:hAnsi="Arial"/>
                <w:sz w:val="18"/>
                <w:szCs w:val="18"/>
                <w:b w:val="1"/>
                <w:bCs w:val="1"/>
                <w:color w:val="auto"/>
              </w:rPr>
              <w:t>Net income (loss)</w:t>
            </w:r>
          </w:p>
        </w:tc>
        <w:tc>
          <w:tcPr>
            <w:tcW w:w="100" w:type="dxa"/>
            <w:vAlign w:val="bottom"/>
          </w:tcPr>
          <w:p>
            <w:pPr>
              <w:spacing w:after="0"/>
              <w:rPr>
                <w:sz w:val="18"/>
                <w:szCs w:val="18"/>
                <w:color w:val="auto"/>
              </w:rPr>
            </w:pPr>
          </w:p>
        </w:tc>
        <w:tc>
          <w:tcPr>
            <w:tcW w:w="620" w:type="dxa"/>
            <w:vAlign w:val="bottom"/>
            <w:gridSpan w:val="3"/>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gridSpan w:val="2"/>
          </w:tcPr>
          <w:p>
            <w:pPr>
              <w:jc w:val="right"/>
              <w:ind w:right="180"/>
              <w:spacing w:after="0"/>
              <w:rPr>
                <w:sz w:val="20"/>
                <w:szCs w:val="20"/>
                <w:color w:val="auto"/>
              </w:rPr>
            </w:pPr>
            <w:r>
              <w:rPr>
                <w:rFonts w:ascii="Arial" w:cs="Arial" w:eastAsia="Arial" w:hAnsi="Arial"/>
                <w:sz w:val="18"/>
                <w:szCs w:val="18"/>
                <w:color w:val="auto"/>
                <w:w w:val="95"/>
              </w:rPr>
              <w:t>109,118</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(115)</w:t>
            </w:r>
          </w:p>
        </w:tc>
        <w:tc>
          <w:tcPr>
            <w:tcW w:w="260" w:type="dxa"/>
            <w:vAlign w:val="bottom"/>
            <w:gridSpan w:val="2"/>
          </w:tcPr>
          <w:p>
            <w:pPr>
              <w:ind w:left="10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280"/>
              <w:spacing w:after="0"/>
              <w:rPr>
                <w:sz w:val="20"/>
                <w:szCs w:val="20"/>
                <w:color w:val="auto"/>
              </w:rPr>
            </w:pPr>
            <w:r>
              <w:rPr>
                <w:rFonts w:ascii="Arial" w:cs="Arial" w:eastAsia="Arial" w:hAnsi="Arial"/>
                <w:sz w:val="18"/>
                <w:szCs w:val="18"/>
                <w:color w:val="auto"/>
              </w:rPr>
              <w:t>109,003</w:t>
            </w:r>
          </w:p>
        </w:tc>
        <w:tc>
          <w:tcPr>
            <w:tcW w:w="10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w w:val="86"/>
              </w:rPr>
              <w:t>109,003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00" w:type="dxa"/>
            <w:vAlign w:val="bottom"/>
            <w:gridSpan w:val="2"/>
            <w:shd w:val="clear" w:color="auto" w:fill="CCEEFF"/>
          </w:tcPr>
          <w:p>
            <w:pPr>
              <w:ind w:left="200"/>
              <w:spacing w:after="0"/>
              <w:rPr>
                <w:sz w:val="20"/>
                <w:szCs w:val="20"/>
                <w:color w:val="auto"/>
              </w:rPr>
            </w:pPr>
            <w:r>
              <w:rPr>
                <w:rFonts w:ascii="Arial" w:cs="Arial" w:eastAsia="Arial" w:hAnsi="Arial"/>
                <w:sz w:val="18"/>
                <w:szCs w:val="18"/>
                <w:b w:val="1"/>
                <w:bCs w:val="1"/>
                <w:color w:val="auto"/>
              </w:rPr>
              <w:t>Other comprehensive income (loss)</w:t>
            </w: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00" w:type="dxa"/>
            <w:vAlign w:val="bottom"/>
            <w:gridSpan w:val="2"/>
          </w:tcPr>
          <w:p>
            <w:pPr>
              <w:ind w:left="420"/>
              <w:spacing w:after="0"/>
              <w:rPr>
                <w:sz w:val="20"/>
                <w:szCs w:val="20"/>
                <w:color w:val="auto"/>
              </w:rPr>
            </w:pPr>
            <w:r>
              <w:rPr>
                <w:rFonts w:ascii="Arial" w:cs="Arial" w:eastAsia="Arial" w:hAnsi="Arial"/>
                <w:sz w:val="18"/>
                <w:szCs w:val="18"/>
                <w:color w:val="auto"/>
              </w:rPr>
              <w:t>Foreign currency translation adjustments</w:t>
            </w:r>
          </w:p>
        </w:tc>
        <w:tc>
          <w:tcPr>
            <w:tcW w:w="100" w:type="dxa"/>
            <w:vAlign w:val="bottom"/>
          </w:tcPr>
          <w:p>
            <w:pPr>
              <w:spacing w:after="0"/>
              <w:rPr>
                <w:sz w:val="18"/>
                <w:szCs w:val="18"/>
                <w:color w:val="auto"/>
              </w:rPr>
            </w:pPr>
          </w:p>
        </w:tc>
        <w:tc>
          <w:tcPr>
            <w:tcW w:w="620" w:type="dxa"/>
            <w:vAlign w:val="bottom"/>
            <w:gridSpan w:val="3"/>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232</w:t>
            </w: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(85)</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gridSpan w:val="2"/>
          </w:tcPr>
          <w:p>
            <w:pPr>
              <w:jc w:val="right"/>
              <w:ind w:right="280"/>
              <w:spacing w:after="0"/>
              <w:rPr>
                <w:sz w:val="20"/>
                <w:szCs w:val="20"/>
                <w:color w:val="auto"/>
              </w:rPr>
            </w:pPr>
            <w:r>
              <w:rPr>
                <w:rFonts w:ascii="Arial" w:cs="Arial" w:eastAsia="Arial" w:hAnsi="Arial"/>
                <w:sz w:val="18"/>
                <w:szCs w:val="18"/>
                <w:color w:val="auto"/>
              </w:rPr>
              <w:t>147</w:t>
            </w: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0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Cash flow hedging gains, net</w:t>
            </w:r>
          </w:p>
        </w:tc>
        <w:tc>
          <w:tcPr>
            <w:tcW w:w="100" w:type="dxa"/>
            <w:vAlign w:val="bottom"/>
            <w:shd w:val="clear" w:color="auto" w:fill="CCEEFF"/>
          </w:tcPr>
          <w:p>
            <w:pPr>
              <w:spacing w:after="0"/>
              <w:rPr>
                <w:sz w:val="18"/>
                <w:szCs w:val="18"/>
                <w:color w:val="auto"/>
              </w:rPr>
            </w:pPr>
          </w:p>
        </w:tc>
        <w:tc>
          <w:tcPr>
            <w:tcW w:w="62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w:t>
            </w: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177</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276</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00" w:type="dxa"/>
            <w:vAlign w:val="bottom"/>
            <w:gridSpan w:val="2"/>
          </w:tcPr>
          <w:p>
            <w:pPr>
              <w:ind w:left="420"/>
              <w:spacing w:after="0"/>
              <w:rPr>
                <w:sz w:val="20"/>
                <w:szCs w:val="20"/>
                <w:color w:val="auto"/>
              </w:rPr>
            </w:pPr>
            <w:r>
              <w:rPr>
                <w:rFonts w:ascii="Arial" w:cs="Arial" w:eastAsia="Arial" w:hAnsi="Arial"/>
                <w:sz w:val="18"/>
                <w:szCs w:val="18"/>
                <w:color w:val="auto"/>
              </w:rPr>
              <w:t>Unrealized gain on securities</w:t>
            </w:r>
          </w:p>
        </w:tc>
        <w:tc>
          <w:tcPr>
            <w:tcW w:w="100" w:type="dxa"/>
            <w:vAlign w:val="bottom"/>
          </w:tcPr>
          <w:p>
            <w:pPr>
              <w:spacing w:after="0"/>
              <w:rPr>
                <w:sz w:val="18"/>
                <w:szCs w:val="18"/>
                <w:color w:val="auto"/>
              </w:rPr>
            </w:pPr>
          </w:p>
        </w:tc>
        <w:tc>
          <w:tcPr>
            <w:tcW w:w="620" w:type="dxa"/>
            <w:vAlign w:val="bottom"/>
            <w:gridSpan w:val="3"/>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46</w:t>
            </w: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gridSpan w:val="2"/>
          </w:tcPr>
          <w:p>
            <w:pPr>
              <w:jc w:val="right"/>
              <w:ind w:right="280"/>
              <w:spacing w:after="0"/>
              <w:rPr>
                <w:sz w:val="20"/>
                <w:szCs w:val="20"/>
                <w:color w:val="auto"/>
              </w:rPr>
            </w:pPr>
            <w:r>
              <w:rPr>
                <w:rFonts w:ascii="Arial" w:cs="Arial" w:eastAsia="Arial" w:hAnsi="Arial"/>
                <w:sz w:val="18"/>
                <w:szCs w:val="18"/>
                <w:color w:val="auto"/>
              </w:rPr>
              <w:t>46</w:t>
            </w: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0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Defined benefit plans</w:t>
            </w: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00" w:type="dxa"/>
            <w:vAlign w:val="bottom"/>
            <w:gridSpan w:val="2"/>
          </w:tcPr>
          <w:p>
            <w:pPr>
              <w:ind w:left="640"/>
              <w:spacing w:after="0"/>
              <w:rPr>
                <w:sz w:val="20"/>
                <w:szCs w:val="20"/>
                <w:color w:val="auto"/>
              </w:rPr>
            </w:pPr>
            <w:r>
              <w:rPr>
                <w:rFonts w:ascii="Arial" w:cs="Arial" w:eastAsia="Arial" w:hAnsi="Arial"/>
                <w:sz w:val="18"/>
                <w:szCs w:val="18"/>
                <w:color w:val="auto"/>
              </w:rPr>
              <w:t>Net prior service costs</w:t>
            </w:r>
          </w:p>
        </w:tc>
        <w:tc>
          <w:tcPr>
            <w:tcW w:w="100" w:type="dxa"/>
            <w:vAlign w:val="bottom"/>
          </w:tcPr>
          <w:p>
            <w:pPr>
              <w:spacing w:after="0"/>
              <w:rPr>
                <w:sz w:val="18"/>
                <w:szCs w:val="18"/>
                <w:color w:val="auto"/>
              </w:rPr>
            </w:pPr>
          </w:p>
        </w:tc>
        <w:tc>
          <w:tcPr>
            <w:tcW w:w="620" w:type="dxa"/>
            <w:vAlign w:val="bottom"/>
            <w:gridSpan w:val="3"/>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2,828</w:t>
            </w: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gridSpan w:val="2"/>
          </w:tcPr>
          <w:p>
            <w:pPr>
              <w:jc w:val="right"/>
              <w:ind w:right="280"/>
              <w:spacing w:after="0"/>
              <w:rPr>
                <w:sz w:val="20"/>
                <w:szCs w:val="20"/>
                <w:color w:val="auto"/>
              </w:rPr>
            </w:pPr>
            <w:r>
              <w:rPr>
                <w:rFonts w:ascii="Arial" w:cs="Arial" w:eastAsia="Arial" w:hAnsi="Arial"/>
                <w:sz w:val="18"/>
                <w:szCs w:val="18"/>
                <w:color w:val="auto"/>
              </w:rPr>
              <w:t>2,828</w:t>
            </w: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00" w:type="dxa"/>
            <w:vAlign w:val="bottom"/>
            <w:gridSpan w:val="2"/>
            <w:shd w:val="clear" w:color="auto" w:fill="CCEEFF"/>
          </w:tcPr>
          <w:p>
            <w:pPr>
              <w:ind w:left="640"/>
              <w:spacing w:after="0"/>
              <w:rPr>
                <w:sz w:val="20"/>
                <w:szCs w:val="20"/>
                <w:color w:val="auto"/>
              </w:rPr>
            </w:pPr>
            <w:r>
              <w:rPr>
                <w:rFonts w:ascii="Arial" w:cs="Arial" w:eastAsia="Arial" w:hAnsi="Arial"/>
                <w:sz w:val="18"/>
                <w:szCs w:val="18"/>
                <w:color w:val="auto"/>
              </w:rPr>
              <w:t>Net actuarial loss</w:t>
            </w:r>
          </w:p>
        </w:tc>
        <w:tc>
          <w:tcPr>
            <w:tcW w:w="100" w:type="dxa"/>
            <w:vAlign w:val="bottom"/>
            <w:shd w:val="clear" w:color="auto" w:fill="CCEEFF"/>
          </w:tcPr>
          <w:p>
            <w:pPr>
              <w:spacing w:after="0"/>
              <w:rPr>
                <w:sz w:val="18"/>
                <w:szCs w:val="18"/>
                <w:color w:val="auto"/>
              </w:rPr>
            </w:pPr>
          </w:p>
        </w:tc>
        <w:tc>
          <w:tcPr>
            <w:tcW w:w="62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(6,237)</w:t>
            </w: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(6,237)</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00" w:type="dxa"/>
            <w:vAlign w:val="bottom"/>
            <w:gridSpan w:val="2"/>
          </w:tcPr>
          <w:p>
            <w:pPr>
              <w:ind w:left="640"/>
              <w:spacing w:after="0"/>
              <w:rPr>
                <w:sz w:val="20"/>
                <w:szCs w:val="20"/>
                <w:color w:val="auto"/>
              </w:rPr>
            </w:pPr>
            <w:r>
              <w:rPr>
                <w:rFonts w:ascii="Arial" w:cs="Arial" w:eastAsia="Arial" w:hAnsi="Arial"/>
                <w:sz w:val="18"/>
                <w:szCs w:val="18"/>
                <w:color w:val="auto"/>
              </w:rPr>
              <w:t>Net transition asset/obligation</w:t>
            </w:r>
          </w:p>
        </w:tc>
        <w:tc>
          <w:tcPr>
            <w:tcW w:w="100" w:type="dxa"/>
            <w:vAlign w:val="bottom"/>
          </w:tcPr>
          <w:p>
            <w:pPr>
              <w:spacing w:after="0"/>
              <w:rPr>
                <w:sz w:val="18"/>
                <w:szCs w:val="18"/>
                <w:color w:val="auto"/>
              </w:rPr>
            </w:pPr>
          </w:p>
        </w:tc>
        <w:tc>
          <w:tcPr>
            <w:tcW w:w="620" w:type="dxa"/>
            <w:vAlign w:val="bottom"/>
            <w:gridSpan w:val="3"/>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w:t>
            </w: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gridSpan w:val="2"/>
          </w:tcPr>
          <w:p>
            <w:pPr>
              <w:jc w:val="right"/>
              <w:ind w:right="280"/>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3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430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Other comprehensive income (loss)</w:t>
            </w:r>
          </w:p>
        </w:tc>
        <w:tc>
          <w:tcPr>
            <w:tcW w:w="100" w:type="dxa"/>
            <w:vAlign w:val="bottom"/>
            <w:shd w:val="clear" w:color="auto" w:fill="CCEEFF"/>
          </w:tcPr>
          <w:p>
            <w:pPr>
              <w:spacing w:after="0"/>
              <w:rPr>
                <w:sz w:val="18"/>
                <w:szCs w:val="18"/>
                <w:color w:val="auto"/>
              </w:rPr>
            </w:pPr>
          </w:p>
        </w:tc>
        <w:tc>
          <w:tcPr>
            <w:tcW w:w="62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(3,031)</w:t>
            </w: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92</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(2,939)</w:t>
            </w: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(2,939)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300" w:type="dxa"/>
            <w:vAlign w:val="bottom"/>
            <w:gridSpan w:val="2"/>
            <w:vMerge w:val="restart"/>
          </w:tcPr>
          <w:p>
            <w:pPr>
              <w:ind w:left="640"/>
              <w:spacing w:after="0"/>
              <w:rPr>
                <w:sz w:val="20"/>
                <w:szCs w:val="20"/>
                <w:color w:val="auto"/>
              </w:rPr>
            </w:pPr>
            <w:r>
              <w:rPr>
                <w:rFonts w:ascii="Arial" w:cs="Arial" w:eastAsia="Arial" w:hAnsi="Arial"/>
                <w:sz w:val="18"/>
                <w:szCs w:val="18"/>
                <w:color w:val="auto"/>
              </w:rPr>
              <w:t>Comprehensive income (loss)</w:t>
            </w:r>
          </w:p>
        </w:tc>
        <w:tc>
          <w:tcPr>
            <w:tcW w:w="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20" w:type="dxa"/>
            <w:vAlign w:val="bottom"/>
          </w:tcPr>
          <w:p>
            <w:pPr>
              <w:spacing w:after="0"/>
              <w:rPr>
                <w:sz w:val="19"/>
                <w:szCs w:val="19"/>
                <w:color w:val="auto"/>
              </w:rPr>
            </w:pPr>
          </w:p>
        </w:tc>
        <w:tc>
          <w:tcPr>
            <w:tcW w:w="4300" w:type="dxa"/>
            <w:vAlign w:val="bottom"/>
            <w:gridSpan w:val="2"/>
            <w:vMerge w:val="continue"/>
          </w:tcPr>
          <w:p>
            <w:pPr>
              <w:spacing w:after="0"/>
              <w:rPr>
                <w:sz w:val="19"/>
                <w:szCs w:val="19"/>
                <w:color w:val="auto"/>
              </w:rPr>
            </w:pP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280"/>
              <w:spacing w:after="0"/>
              <w:rPr>
                <w:sz w:val="20"/>
                <w:szCs w:val="20"/>
                <w:color w:val="auto"/>
              </w:rPr>
            </w:pPr>
            <w:r>
              <w:rPr>
                <w:rFonts w:ascii="Arial" w:cs="Arial" w:eastAsia="Arial" w:hAnsi="Arial"/>
                <w:sz w:val="18"/>
                <w:szCs w:val="18"/>
                <w:color w:val="auto"/>
              </w:rPr>
              <w:t>106,064</w:t>
            </w: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3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4300" w:type="dxa"/>
            <w:vAlign w:val="bottom"/>
            <w:gridSpan w:val="2"/>
            <w:shd w:val="clear" w:color="auto" w:fill="CCEEFF"/>
          </w:tcPr>
          <w:p>
            <w:pPr>
              <w:spacing w:after="0" w:line="203" w:lineRule="exact"/>
              <w:rPr>
                <w:sz w:val="20"/>
                <w:szCs w:val="20"/>
                <w:color w:val="auto"/>
              </w:rPr>
            </w:pPr>
            <w:r>
              <w:rPr>
                <w:rFonts w:ascii="Arial" w:cs="Arial" w:eastAsia="Arial" w:hAnsi="Arial"/>
                <w:sz w:val="18"/>
                <w:szCs w:val="18"/>
                <w:color w:val="auto"/>
              </w:rPr>
              <w:t>Effects of Ally Financial adoption of ASC 820-10 and</w:t>
            </w:r>
          </w:p>
        </w:tc>
        <w:tc>
          <w:tcPr>
            <w:tcW w:w="10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430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ASC 825-10</w:t>
            </w:r>
          </w:p>
        </w:tc>
        <w:tc>
          <w:tcPr>
            <w:tcW w:w="100" w:type="dxa"/>
            <w:vAlign w:val="bottom"/>
            <w:shd w:val="clear" w:color="auto" w:fill="CCEEFF"/>
          </w:tcPr>
          <w:p>
            <w:pPr>
              <w:spacing w:after="0"/>
              <w:rPr>
                <w:sz w:val="19"/>
                <w:szCs w:val="19"/>
                <w:color w:val="auto"/>
              </w:rPr>
            </w:pPr>
          </w:p>
        </w:tc>
        <w:tc>
          <w:tcPr>
            <w:tcW w:w="62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00" w:type="dxa"/>
            <w:vAlign w:val="bottom"/>
            <w:gridSpan w:val="2"/>
          </w:tcPr>
          <w:p>
            <w:pPr>
              <w:spacing w:after="0"/>
              <w:rPr>
                <w:sz w:val="20"/>
                <w:szCs w:val="20"/>
                <w:color w:val="auto"/>
              </w:rPr>
            </w:pPr>
            <w:r>
              <w:rPr>
                <w:rFonts w:ascii="Arial" w:cs="Arial" w:eastAsia="Arial" w:hAnsi="Arial"/>
                <w:sz w:val="18"/>
                <w:szCs w:val="18"/>
                <w:color w:val="auto"/>
              </w:rPr>
              <w:t>Dividends declared or paid to noncontrolling interests</w:t>
            </w:r>
          </w:p>
        </w:tc>
        <w:tc>
          <w:tcPr>
            <w:tcW w:w="100" w:type="dxa"/>
            <w:vAlign w:val="bottom"/>
          </w:tcPr>
          <w:p>
            <w:pPr>
              <w:spacing w:after="0"/>
              <w:rPr>
                <w:sz w:val="18"/>
                <w:szCs w:val="18"/>
                <w:color w:val="auto"/>
              </w:rPr>
            </w:pPr>
          </w:p>
        </w:tc>
        <w:tc>
          <w:tcPr>
            <w:tcW w:w="620" w:type="dxa"/>
            <w:vAlign w:val="bottom"/>
            <w:gridSpan w:val="3"/>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(26)</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w:t>
            </w:r>
          </w:p>
        </w:tc>
        <w:tc>
          <w:tcPr>
            <w:tcW w:w="10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5</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(27)</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0"/>
        </w:trPr>
        <w:tc>
          <w:tcPr>
            <w:tcW w:w="4320" w:type="dxa"/>
            <w:vAlign w:val="bottom"/>
            <w:gridSpan w:val="3"/>
            <w:vMerge w:val="restart"/>
          </w:tcPr>
          <w:p>
            <w:pPr>
              <w:spacing w:after="0"/>
              <w:rPr>
                <w:sz w:val="20"/>
                <w:szCs w:val="20"/>
                <w:color w:val="auto"/>
              </w:rPr>
            </w:pPr>
            <w:r>
              <w:rPr>
                <w:rFonts w:ascii="Arial" w:cs="Arial" w:eastAsia="Arial" w:hAnsi="Arial"/>
                <w:sz w:val="18"/>
                <w:szCs w:val="18"/>
                <w:b w:val="1"/>
                <w:bCs w:val="1"/>
                <w:color w:val="auto"/>
              </w:rPr>
              <w:t>Balance July 9, 2009, Predecessor</w:t>
            </w:r>
          </w:p>
        </w:tc>
        <w:tc>
          <w:tcPr>
            <w:tcW w:w="10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4320" w:type="dxa"/>
            <w:vAlign w:val="bottom"/>
            <w:gridSpan w:val="3"/>
            <w:vMerge w:val="continue"/>
          </w:tcPr>
          <w:p>
            <w:pPr>
              <w:spacing w:after="0"/>
              <w:rPr>
                <w:sz w:val="19"/>
                <w:szCs w:val="19"/>
                <w:color w:val="auto"/>
              </w:rPr>
            </w:pPr>
          </w:p>
        </w:tc>
        <w:tc>
          <w:tcPr>
            <w:tcW w:w="100" w:type="dxa"/>
            <w:vAlign w:val="bottom"/>
          </w:tcPr>
          <w:p>
            <w:pPr>
              <w:spacing w:after="0"/>
              <w:rPr>
                <w:sz w:val="19"/>
                <w:szCs w:val="19"/>
                <w:color w:val="auto"/>
              </w:rPr>
            </w:pPr>
          </w:p>
        </w:tc>
        <w:tc>
          <w:tcPr>
            <w:tcW w:w="460" w:type="dxa"/>
            <w:vAlign w:val="bottom"/>
            <w:gridSpan w:val="2"/>
          </w:tcPr>
          <w:p>
            <w:pPr>
              <w:jc w:val="right"/>
              <w:spacing w:after="0"/>
              <w:rPr>
                <w:sz w:val="20"/>
                <w:szCs w:val="20"/>
                <w:color w:val="auto"/>
              </w:rPr>
            </w:pPr>
            <w:r>
              <w:rPr>
                <w:rFonts w:ascii="Arial" w:cs="Arial" w:eastAsia="Arial" w:hAnsi="Arial"/>
                <w:sz w:val="18"/>
                <w:szCs w:val="18"/>
                <w:color w:val="auto"/>
                <w:w w:val="97"/>
              </w:rPr>
              <w:t>1,018</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60" w:type="dxa"/>
            <w:vAlign w:val="bottom"/>
            <w:gridSpan w:val="2"/>
          </w:tcPr>
          <w:p>
            <w:pPr>
              <w:jc w:val="right"/>
              <w:ind w:right="180"/>
              <w:spacing w:after="0"/>
              <w:rPr>
                <w:sz w:val="20"/>
                <w:szCs w:val="20"/>
                <w:color w:val="auto"/>
              </w:rPr>
            </w:pPr>
            <w:r>
              <w:rPr>
                <w:rFonts w:ascii="Arial" w:cs="Arial" w:eastAsia="Arial" w:hAnsi="Arial"/>
                <w:sz w:val="18"/>
                <w:szCs w:val="18"/>
                <w:color w:val="auto"/>
              </w:rPr>
              <w:t>16,494</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38,390</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(35,370)</w:t>
            </w:r>
          </w:p>
        </w:tc>
        <w:tc>
          <w:tcPr>
            <w:tcW w:w="140" w:type="dxa"/>
            <w:vAlign w:val="bottom"/>
          </w:tcPr>
          <w:p>
            <w:pPr>
              <w:spacing w:after="0"/>
              <w:rPr>
                <w:sz w:val="19"/>
                <w:szCs w:val="19"/>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8"/>
                <w:szCs w:val="18"/>
                <w:color w:val="auto"/>
              </w:rPr>
              <w:t>408</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20,940</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43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Fresh-start reporting adjustments:</w:t>
            </w: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4300" w:type="dxa"/>
            <w:vAlign w:val="bottom"/>
            <w:gridSpan w:val="2"/>
          </w:tcPr>
          <w:p>
            <w:pPr>
              <w:spacing w:after="0"/>
              <w:rPr>
                <w:sz w:val="20"/>
                <w:szCs w:val="20"/>
                <w:color w:val="auto"/>
              </w:rPr>
            </w:pPr>
            <w:r>
              <w:rPr>
                <w:rFonts w:ascii="Arial" w:cs="Arial" w:eastAsia="Arial" w:hAnsi="Arial"/>
                <w:sz w:val="18"/>
                <w:szCs w:val="18"/>
                <w:color w:val="auto"/>
                <w:w w:val="93"/>
              </w:rPr>
              <w:t>Elimination of predecessor common stock, capital surplus</w:t>
            </w: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300" w:type="dxa"/>
            <w:vAlign w:val="bottom"/>
            <w:gridSpan w:val="2"/>
          </w:tcPr>
          <w:p>
            <w:pPr>
              <w:ind w:left="200"/>
              <w:spacing w:after="0"/>
              <w:rPr>
                <w:sz w:val="20"/>
                <w:szCs w:val="20"/>
                <w:color w:val="auto"/>
              </w:rPr>
            </w:pPr>
            <w:r>
              <w:rPr>
                <w:rFonts w:ascii="Arial" w:cs="Arial" w:eastAsia="Arial" w:hAnsi="Arial"/>
                <w:sz w:val="18"/>
                <w:szCs w:val="18"/>
                <w:color w:val="auto"/>
              </w:rPr>
              <w:t>and accumulated earnings</w:t>
            </w:r>
          </w:p>
        </w:tc>
        <w:tc>
          <w:tcPr>
            <w:tcW w:w="100" w:type="dxa"/>
            <w:vAlign w:val="bottom"/>
          </w:tcPr>
          <w:p>
            <w:pPr>
              <w:spacing w:after="0"/>
              <w:rPr>
                <w:sz w:val="19"/>
                <w:szCs w:val="19"/>
                <w:color w:val="auto"/>
              </w:rPr>
            </w:pPr>
          </w:p>
        </w:tc>
        <w:tc>
          <w:tcPr>
            <w:tcW w:w="620" w:type="dxa"/>
            <w:vAlign w:val="bottom"/>
            <w:gridSpan w:val="3"/>
          </w:tcPr>
          <w:p>
            <w:pPr>
              <w:jc w:val="right"/>
              <w:ind w:right="120"/>
              <w:spacing w:after="0"/>
              <w:rPr>
                <w:sz w:val="20"/>
                <w:szCs w:val="20"/>
                <w:color w:val="auto"/>
              </w:rPr>
            </w:pPr>
            <w:r>
              <w:rPr>
                <w:rFonts w:ascii="Arial" w:cs="Arial" w:eastAsia="Arial" w:hAnsi="Arial"/>
                <w:sz w:val="18"/>
                <w:szCs w:val="18"/>
                <w:color w:val="auto"/>
                <w:w w:val="84"/>
              </w:rPr>
              <w:t>(1,018)</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60" w:type="dxa"/>
            <w:vAlign w:val="bottom"/>
            <w:gridSpan w:val="2"/>
          </w:tcPr>
          <w:p>
            <w:pPr>
              <w:jc w:val="right"/>
              <w:ind w:right="120"/>
              <w:spacing w:after="0"/>
              <w:rPr>
                <w:sz w:val="20"/>
                <w:szCs w:val="20"/>
                <w:color w:val="auto"/>
              </w:rPr>
            </w:pPr>
            <w:r>
              <w:rPr>
                <w:rFonts w:ascii="Arial" w:cs="Arial" w:eastAsia="Arial" w:hAnsi="Arial"/>
                <w:sz w:val="18"/>
                <w:szCs w:val="18"/>
                <w:color w:val="auto"/>
                <w:w w:val="92"/>
              </w:rPr>
              <w:t>(16,494)</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8"/>
                <w:szCs w:val="18"/>
                <w:color w:val="auto"/>
              </w:rPr>
              <w:t>(38,390)</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w w:val="92"/>
              </w:rPr>
              <w:t>(55,902)</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3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Elimination of predecessor accumulated other</w:t>
            </w: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430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comprehensive loss</w:t>
            </w:r>
          </w:p>
        </w:tc>
        <w:tc>
          <w:tcPr>
            <w:tcW w:w="100" w:type="dxa"/>
            <w:vAlign w:val="bottom"/>
            <w:shd w:val="clear" w:color="auto" w:fill="CCEEFF"/>
          </w:tcPr>
          <w:p>
            <w:pPr>
              <w:spacing w:after="0"/>
              <w:rPr>
                <w:sz w:val="19"/>
                <w:szCs w:val="19"/>
                <w:color w:val="auto"/>
              </w:rPr>
            </w:pPr>
          </w:p>
        </w:tc>
        <w:tc>
          <w:tcPr>
            <w:tcW w:w="62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35,370</w:t>
            </w:r>
          </w:p>
        </w:tc>
        <w:tc>
          <w:tcPr>
            <w:tcW w:w="2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35,370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00" w:type="dxa"/>
            <w:vAlign w:val="bottom"/>
            <w:gridSpan w:val="2"/>
          </w:tcPr>
          <w:p>
            <w:pPr>
              <w:spacing w:after="0"/>
              <w:rPr>
                <w:sz w:val="20"/>
                <w:szCs w:val="20"/>
                <w:color w:val="auto"/>
              </w:rPr>
            </w:pPr>
            <w:r>
              <w:rPr>
                <w:rFonts w:ascii="Arial" w:cs="Arial" w:eastAsia="Arial" w:hAnsi="Arial"/>
                <w:sz w:val="18"/>
                <w:szCs w:val="18"/>
                <w:color w:val="auto"/>
              </w:rPr>
              <w:t>Issuance of common stock</w:t>
            </w:r>
          </w:p>
        </w:tc>
        <w:tc>
          <w:tcPr>
            <w:tcW w:w="100" w:type="dxa"/>
            <w:vAlign w:val="bottom"/>
          </w:tcPr>
          <w:p>
            <w:pPr>
              <w:spacing w:after="0"/>
              <w:rPr>
                <w:sz w:val="18"/>
                <w:szCs w:val="18"/>
                <w:color w:val="auto"/>
              </w:rPr>
            </w:pPr>
          </w:p>
        </w:tc>
        <w:tc>
          <w:tcPr>
            <w:tcW w:w="460" w:type="dxa"/>
            <w:vAlign w:val="bottom"/>
            <w:gridSpan w:val="2"/>
          </w:tcPr>
          <w:p>
            <w:pPr>
              <w:jc w:val="right"/>
              <w:spacing w:after="0"/>
              <w:rPr>
                <w:sz w:val="20"/>
                <w:szCs w:val="20"/>
                <w:color w:val="auto"/>
              </w:rPr>
            </w:pPr>
            <w:r>
              <w:rPr>
                <w:rFonts w:ascii="Arial" w:cs="Arial" w:eastAsia="Arial" w:hAnsi="Arial"/>
                <w:sz w:val="18"/>
                <w:szCs w:val="18"/>
                <w:color w:val="auto"/>
              </w:rPr>
              <w:t>12</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180"/>
              <w:spacing w:after="0"/>
              <w:rPr>
                <w:sz w:val="20"/>
                <w:szCs w:val="20"/>
                <w:color w:val="auto"/>
              </w:rPr>
            </w:pPr>
            <w:r>
              <w:rPr>
                <w:rFonts w:ascii="Arial" w:cs="Arial" w:eastAsia="Arial" w:hAnsi="Arial"/>
                <w:sz w:val="18"/>
                <w:szCs w:val="18"/>
                <w:color w:val="auto"/>
              </w:rPr>
              <w:t>18,779</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18,791</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1140" w:type="dxa"/>
            <w:vAlign w:val="bottom"/>
          </w:tcPr>
          <w:p>
            <w:pPr>
              <w:spacing w:after="0"/>
              <w:rPr>
                <w:sz w:val="2"/>
                <w:szCs w:val="2"/>
                <w:color w:val="auto"/>
              </w:rPr>
            </w:pPr>
          </w:p>
        </w:tc>
        <w:tc>
          <w:tcPr>
            <w:tcW w:w="31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30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Balance July 10, 2009, Successor</w:t>
            </w:r>
          </w:p>
        </w:tc>
        <w:tc>
          <w:tcPr>
            <w:tcW w:w="10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18,779</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408</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19,199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00" w:type="dxa"/>
            <w:vAlign w:val="bottom"/>
            <w:gridSpan w:val="2"/>
          </w:tcPr>
          <w:p>
            <w:pPr>
              <w:spacing w:after="0"/>
              <w:rPr>
                <w:sz w:val="20"/>
                <w:szCs w:val="20"/>
                <w:color w:val="auto"/>
              </w:rPr>
            </w:pPr>
            <w:r>
              <w:rPr>
                <w:rFonts w:ascii="Arial" w:cs="Arial" w:eastAsia="Arial" w:hAnsi="Arial"/>
                <w:sz w:val="18"/>
                <w:szCs w:val="18"/>
                <w:color w:val="auto"/>
              </w:rPr>
              <w:t>Net loss</w:t>
            </w:r>
          </w:p>
        </w:tc>
        <w:tc>
          <w:tcPr>
            <w:tcW w:w="100" w:type="dxa"/>
            <w:vAlign w:val="bottom"/>
          </w:tcPr>
          <w:p>
            <w:pPr>
              <w:spacing w:after="0"/>
              <w:rPr>
                <w:sz w:val="18"/>
                <w:szCs w:val="18"/>
                <w:color w:val="auto"/>
              </w:rPr>
            </w:pPr>
          </w:p>
        </w:tc>
        <w:tc>
          <w:tcPr>
            <w:tcW w:w="620" w:type="dxa"/>
            <w:vAlign w:val="bottom"/>
            <w:gridSpan w:val="3"/>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8"/>
                <w:szCs w:val="18"/>
                <w:color w:val="auto"/>
              </w:rPr>
              <w:t>(858)</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8"/>
                <w:szCs w:val="18"/>
                <w:color w:val="auto"/>
              </w:rPr>
              <w:t>287</w:t>
            </w:r>
          </w:p>
        </w:tc>
        <w:tc>
          <w:tcPr>
            <w:tcW w:w="260" w:type="dxa"/>
            <w:vAlign w:val="bottom"/>
            <w:gridSpan w:val="2"/>
          </w:tcPr>
          <w:p>
            <w:pPr>
              <w:ind w:left="10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(571)</w:t>
            </w:r>
          </w:p>
        </w:tc>
        <w:tc>
          <w:tcPr>
            <w:tcW w:w="100" w:type="dxa"/>
            <w:vAlign w:val="bottom"/>
          </w:tcPr>
          <w:p>
            <w:pPr>
              <w:spacing w:after="0"/>
              <w:rPr>
                <w:sz w:val="18"/>
                <w:szCs w:val="18"/>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rPr>
              <w:t>(571)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00" w:type="dxa"/>
            <w:vAlign w:val="bottom"/>
            <w:gridSpan w:val="2"/>
            <w:shd w:val="clear" w:color="auto" w:fill="CCEEFF"/>
          </w:tcPr>
          <w:p>
            <w:pPr>
              <w:ind w:left="200"/>
              <w:spacing w:after="0"/>
              <w:rPr>
                <w:sz w:val="20"/>
                <w:szCs w:val="20"/>
                <w:color w:val="auto"/>
              </w:rPr>
            </w:pPr>
            <w:r>
              <w:rPr>
                <w:rFonts w:ascii="Arial" w:cs="Arial" w:eastAsia="Arial" w:hAnsi="Arial"/>
                <w:sz w:val="18"/>
                <w:szCs w:val="18"/>
                <w:b w:val="1"/>
                <w:bCs w:val="1"/>
                <w:color w:val="auto"/>
              </w:rPr>
              <w:t>Other comprehensive income (loss)</w:t>
            </w: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00" w:type="dxa"/>
            <w:vAlign w:val="bottom"/>
            <w:gridSpan w:val="2"/>
          </w:tcPr>
          <w:p>
            <w:pPr>
              <w:ind w:left="420"/>
              <w:spacing w:after="0"/>
              <w:rPr>
                <w:sz w:val="20"/>
                <w:szCs w:val="20"/>
                <w:color w:val="auto"/>
              </w:rPr>
            </w:pPr>
            <w:r>
              <w:rPr>
                <w:rFonts w:ascii="Arial" w:cs="Arial" w:eastAsia="Arial" w:hAnsi="Arial"/>
                <w:sz w:val="18"/>
                <w:szCs w:val="18"/>
                <w:color w:val="auto"/>
              </w:rPr>
              <w:t>Foreign currency translation adjustments</w:t>
            </w:r>
          </w:p>
        </w:tc>
        <w:tc>
          <w:tcPr>
            <w:tcW w:w="100" w:type="dxa"/>
            <w:vAlign w:val="bottom"/>
          </w:tcPr>
          <w:p>
            <w:pPr>
              <w:spacing w:after="0"/>
              <w:rPr>
                <w:sz w:val="18"/>
                <w:szCs w:val="18"/>
                <w:color w:val="auto"/>
              </w:rPr>
            </w:pPr>
          </w:p>
        </w:tc>
        <w:tc>
          <w:tcPr>
            <w:tcW w:w="620" w:type="dxa"/>
            <w:vAlign w:val="bottom"/>
            <w:gridSpan w:val="3"/>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184</w:t>
            </w: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(33)</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gridSpan w:val="2"/>
          </w:tcPr>
          <w:p>
            <w:pPr>
              <w:jc w:val="right"/>
              <w:ind w:right="280"/>
              <w:spacing w:after="0"/>
              <w:rPr>
                <w:sz w:val="20"/>
                <w:szCs w:val="20"/>
                <w:color w:val="auto"/>
              </w:rPr>
            </w:pPr>
            <w:r>
              <w:rPr>
                <w:rFonts w:ascii="Arial" w:cs="Arial" w:eastAsia="Arial" w:hAnsi="Arial"/>
                <w:sz w:val="18"/>
                <w:szCs w:val="18"/>
                <w:color w:val="auto"/>
              </w:rPr>
              <w:t>151</w:t>
            </w: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0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Unrealized gain on securities</w:t>
            </w:r>
          </w:p>
        </w:tc>
        <w:tc>
          <w:tcPr>
            <w:tcW w:w="100" w:type="dxa"/>
            <w:vAlign w:val="bottom"/>
            <w:shd w:val="clear" w:color="auto" w:fill="CCEEFF"/>
          </w:tcPr>
          <w:p>
            <w:pPr>
              <w:spacing w:after="0"/>
              <w:rPr>
                <w:sz w:val="18"/>
                <w:szCs w:val="18"/>
                <w:color w:val="auto"/>
              </w:rPr>
            </w:pPr>
          </w:p>
        </w:tc>
        <w:tc>
          <w:tcPr>
            <w:tcW w:w="62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10</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00" w:type="dxa"/>
            <w:vAlign w:val="bottom"/>
            <w:gridSpan w:val="2"/>
          </w:tcPr>
          <w:p>
            <w:pPr>
              <w:ind w:left="420"/>
              <w:spacing w:after="0"/>
              <w:rPr>
                <w:sz w:val="20"/>
                <w:szCs w:val="20"/>
                <w:color w:val="auto"/>
              </w:rPr>
            </w:pPr>
            <w:r>
              <w:rPr>
                <w:rFonts w:ascii="Arial" w:cs="Arial" w:eastAsia="Arial" w:hAnsi="Arial"/>
                <w:sz w:val="18"/>
                <w:szCs w:val="18"/>
                <w:color w:val="auto"/>
              </w:rPr>
              <w:t>Defined benefit plans</w:t>
            </w: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00" w:type="dxa"/>
            <w:vAlign w:val="bottom"/>
            <w:gridSpan w:val="2"/>
            <w:shd w:val="clear" w:color="auto" w:fill="CCEEFF"/>
          </w:tcPr>
          <w:p>
            <w:pPr>
              <w:ind w:left="640"/>
              <w:spacing w:after="0"/>
              <w:rPr>
                <w:sz w:val="20"/>
                <w:szCs w:val="20"/>
                <w:color w:val="auto"/>
              </w:rPr>
            </w:pPr>
            <w:r>
              <w:rPr>
                <w:rFonts w:ascii="Arial" w:cs="Arial" w:eastAsia="Arial" w:hAnsi="Arial"/>
                <w:sz w:val="18"/>
                <w:szCs w:val="18"/>
                <w:color w:val="auto"/>
              </w:rPr>
              <w:t>Net actuarial gain</w:t>
            </w:r>
          </w:p>
        </w:tc>
        <w:tc>
          <w:tcPr>
            <w:tcW w:w="100" w:type="dxa"/>
            <w:vAlign w:val="bottom"/>
            <w:shd w:val="clear" w:color="auto" w:fill="CCEEFF"/>
          </w:tcPr>
          <w:p>
            <w:pPr>
              <w:spacing w:after="0"/>
              <w:rPr>
                <w:sz w:val="18"/>
                <w:szCs w:val="18"/>
                <w:color w:val="auto"/>
              </w:rPr>
            </w:pPr>
          </w:p>
        </w:tc>
        <w:tc>
          <w:tcPr>
            <w:tcW w:w="62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483</w:t>
            </w: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483</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300" w:type="dxa"/>
            <w:vAlign w:val="bottom"/>
            <w:gridSpan w:val="2"/>
            <w:vMerge w:val="restart"/>
          </w:tcPr>
          <w:p>
            <w:pPr>
              <w:ind w:left="420"/>
              <w:spacing w:after="0"/>
              <w:rPr>
                <w:sz w:val="20"/>
                <w:szCs w:val="20"/>
                <w:color w:val="auto"/>
              </w:rPr>
            </w:pPr>
            <w:r>
              <w:rPr>
                <w:rFonts w:ascii="Arial" w:cs="Arial" w:eastAsia="Arial" w:hAnsi="Arial"/>
                <w:sz w:val="18"/>
                <w:szCs w:val="18"/>
                <w:color w:val="auto"/>
              </w:rPr>
              <w:t>Other comprehensive income (loss)</w:t>
            </w:r>
          </w:p>
        </w:tc>
        <w:tc>
          <w:tcPr>
            <w:tcW w:w="100" w:type="dxa"/>
            <w:vAlign w:val="bottom"/>
          </w:tcPr>
          <w:p>
            <w:pPr>
              <w:spacing w:after="0" w:line="20" w:lineRule="exact"/>
              <w:rPr>
                <w:sz w:val="1"/>
                <w:szCs w:val="1"/>
                <w:color w:val="auto"/>
              </w:rPr>
            </w:pPr>
          </w:p>
        </w:tc>
        <w:tc>
          <w:tcPr>
            <w:tcW w:w="620" w:type="dxa"/>
            <w:vAlign w:val="bottom"/>
            <w:gridSpan w:val="3"/>
            <w:vMerge w:val="restart"/>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60" w:type="dxa"/>
            <w:vAlign w:val="bottom"/>
            <w:gridSpan w:val="2"/>
            <w:vMerge w:val="restart"/>
          </w:tcPr>
          <w:p>
            <w:pPr>
              <w:jc w:val="right"/>
              <w:ind w:right="1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20" w:type="dxa"/>
            <w:vAlign w:val="bottom"/>
            <w:gridSpan w:val="2"/>
            <w:vMerge w:val="restart"/>
          </w:tcPr>
          <w:p>
            <w:pPr>
              <w:jc w:val="right"/>
              <w:ind w:right="1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gridSpan w:val="2"/>
            <w:vMerge w:val="restart"/>
          </w:tcPr>
          <w:p>
            <w:pPr>
              <w:jc w:val="right"/>
              <w:ind w:right="100"/>
              <w:spacing w:after="0"/>
              <w:rPr>
                <w:sz w:val="20"/>
                <w:szCs w:val="20"/>
                <w:color w:val="auto"/>
              </w:rPr>
            </w:pPr>
            <w:r>
              <w:rPr>
                <w:rFonts w:ascii="Arial" w:cs="Arial" w:eastAsia="Arial" w:hAnsi="Arial"/>
                <w:sz w:val="18"/>
                <w:szCs w:val="18"/>
                <w:color w:val="auto"/>
              </w:rPr>
              <w:t>644</w:t>
            </w:r>
          </w:p>
        </w:tc>
        <w:tc>
          <w:tcPr>
            <w:tcW w:w="0" w:type="dxa"/>
            <w:vAlign w:val="bottom"/>
          </w:tcPr>
          <w:p>
            <w:pPr>
              <w:spacing w:after="0" w:line="20" w:lineRule="exact"/>
              <w:rPr>
                <w:sz w:val="1"/>
                <w:szCs w:val="1"/>
                <w:color w:val="auto"/>
              </w:rPr>
            </w:pPr>
          </w:p>
        </w:tc>
      </w:tr>
      <w:tr>
        <w:trPr>
          <w:trHeight w:val="222"/>
        </w:trPr>
        <w:tc>
          <w:tcPr>
            <w:tcW w:w="20" w:type="dxa"/>
            <w:vAlign w:val="bottom"/>
          </w:tcPr>
          <w:p>
            <w:pPr>
              <w:spacing w:after="0"/>
              <w:rPr>
                <w:sz w:val="19"/>
                <w:szCs w:val="19"/>
                <w:color w:val="auto"/>
              </w:rPr>
            </w:pPr>
          </w:p>
        </w:tc>
        <w:tc>
          <w:tcPr>
            <w:tcW w:w="4300" w:type="dxa"/>
            <w:vAlign w:val="bottom"/>
            <w:gridSpan w:val="2"/>
            <w:vMerge w:val="continue"/>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gridSpan w:val="3"/>
            <w:vMerge w:val="continue"/>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60" w:type="dxa"/>
            <w:vAlign w:val="bottom"/>
            <w:gridSpan w:val="2"/>
            <w:vMerge w:val="continue"/>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20" w:type="dxa"/>
            <w:vAlign w:val="bottom"/>
            <w:gridSpan w:val="2"/>
            <w:vMerge w:val="continue"/>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677</w:t>
            </w:r>
          </w:p>
        </w:tc>
        <w:tc>
          <w:tcPr>
            <w:tcW w:w="2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(33)</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20" w:type="dxa"/>
            <w:vAlign w:val="bottom"/>
            <w:gridSpan w:val="2"/>
          </w:tcPr>
          <w:p>
            <w:pPr>
              <w:jc w:val="right"/>
              <w:ind w:right="280"/>
              <w:spacing w:after="0"/>
              <w:rPr>
                <w:sz w:val="20"/>
                <w:szCs w:val="20"/>
                <w:color w:val="auto"/>
              </w:rPr>
            </w:pPr>
            <w:r>
              <w:rPr>
                <w:rFonts w:ascii="Arial" w:cs="Arial" w:eastAsia="Arial" w:hAnsi="Arial"/>
                <w:sz w:val="18"/>
                <w:szCs w:val="18"/>
                <w:color w:val="auto"/>
              </w:rPr>
              <w:t>644</w:t>
            </w:r>
          </w:p>
        </w:tc>
        <w:tc>
          <w:tcPr>
            <w:tcW w:w="100" w:type="dxa"/>
            <w:vAlign w:val="bottom"/>
          </w:tcPr>
          <w:p>
            <w:pPr>
              <w:spacing w:after="0"/>
              <w:rPr>
                <w:sz w:val="19"/>
                <w:szCs w:val="19"/>
                <w:color w:val="auto"/>
              </w:rPr>
            </w:pPr>
          </w:p>
        </w:tc>
        <w:tc>
          <w:tcPr>
            <w:tcW w:w="680" w:type="dxa"/>
            <w:vAlign w:val="bottom"/>
            <w:gridSpan w:val="2"/>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8"/>
        </w:trPr>
        <w:tc>
          <w:tcPr>
            <w:tcW w:w="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3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0" w:type="dxa"/>
            <w:vAlign w:val="bottom"/>
          </w:tcPr>
          <w:p>
            <w:pPr>
              <w:spacing w:after="0"/>
              <w:rPr>
                <w:sz w:val="2"/>
                <w:szCs w:val="2"/>
                <w:color w:val="auto"/>
              </w:rPr>
            </w:pPr>
          </w:p>
        </w:tc>
        <w:tc>
          <w:tcPr>
            <w:tcW w:w="7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4300" w:type="dxa"/>
            <w:vAlign w:val="bottom"/>
            <w:gridSpan w:val="2"/>
            <w:shd w:val="clear" w:color="auto" w:fill="CCEEFF"/>
          </w:tcPr>
          <w:p>
            <w:pPr>
              <w:ind w:left="640"/>
              <w:spacing w:after="0"/>
              <w:rPr>
                <w:sz w:val="20"/>
                <w:szCs w:val="20"/>
                <w:color w:val="auto"/>
              </w:rPr>
            </w:pPr>
            <w:r>
              <w:rPr>
                <w:rFonts w:ascii="Arial" w:cs="Arial" w:eastAsia="Arial" w:hAnsi="Arial"/>
                <w:sz w:val="18"/>
                <w:szCs w:val="18"/>
                <w:color w:val="auto"/>
              </w:rPr>
              <w:t>Comprehensive income (loss)</w:t>
            </w: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73</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320" w:type="dxa"/>
            <w:vAlign w:val="bottom"/>
            <w:gridSpan w:val="3"/>
            <w:vMerge w:val="restart"/>
          </w:tcPr>
          <w:p>
            <w:pPr>
              <w:spacing w:after="0"/>
              <w:rPr>
                <w:sz w:val="20"/>
                <w:szCs w:val="20"/>
                <w:color w:val="auto"/>
              </w:rPr>
            </w:pPr>
            <w:r>
              <w:rPr>
                <w:rFonts w:ascii="Arial" w:cs="Arial" w:eastAsia="Arial" w:hAnsi="Arial"/>
                <w:sz w:val="18"/>
                <w:szCs w:val="18"/>
                <w:color w:val="auto"/>
              </w:rPr>
              <w:t>Cash dividends paid to GM preferred stockholders</w:t>
            </w:r>
          </w:p>
        </w:tc>
        <w:tc>
          <w:tcPr>
            <w:tcW w:w="100" w:type="dxa"/>
            <w:vAlign w:val="bottom"/>
          </w:tcPr>
          <w:p>
            <w:pPr>
              <w:spacing w:after="0" w:line="20" w:lineRule="exact"/>
              <w:rPr>
                <w:sz w:val="1"/>
                <w:szCs w:val="1"/>
                <w:color w:val="auto"/>
              </w:rPr>
            </w:pPr>
          </w:p>
        </w:tc>
        <w:tc>
          <w:tcPr>
            <w:tcW w:w="620" w:type="dxa"/>
            <w:vAlign w:val="bottom"/>
            <w:gridSpan w:val="3"/>
            <w:vMerge w:val="restart"/>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60" w:type="dxa"/>
            <w:vAlign w:val="bottom"/>
            <w:gridSpan w:val="2"/>
            <w:vMerge w:val="restart"/>
          </w:tcPr>
          <w:p>
            <w:pPr>
              <w:jc w:val="right"/>
              <w:ind w:right="1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20" w:type="dxa"/>
            <w:vAlign w:val="bottom"/>
            <w:gridSpan w:val="2"/>
            <w:vMerge w:val="restart"/>
          </w:tcPr>
          <w:p>
            <w:pPr>
              <w:jc w:val="right"/>
              <w:ind w:right="120"/>
              <w:spacing w:after="0"/>
              <w:rPr>
                <w:sz w:val="20"/>
                <w:szCs w:val="20"/>
                <w:color w:val="auto"/>
              </w:rPr>
            </w:pPr>
            <w:r>
              <w:rPr>
                <w:rFonts w:ascii="Arial" w:cs="Arial" w:eastAsia="Arial" w:hAnsi="Arial"/>
                <w:sz w:val="18"/>
                <w:szCs w:val="18"/>
                <w:color w:val="auto"/>
              </w:rPr>
              <w:t>(41)</w:t>
            </w: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0" w:type="dxa"/>
            <w:vAlign w:val="bottom"/>
            <w:gridSpan w:val="2"/>
            <w:vMerge w:val="restart"/>
          </w:tcPr>
          <w:p>
            <w:pPr>
              <w:jc w:val="right"/>
              <w:ind w:right="2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line="20" w:lineRule="exact"/>
              <w:rPr>
                <w:sz w:val="1"/>
                <w:szCs w:val="1"/>
                <w:color w:val="auto"/>
              </w:rPr>
            </w:pPr>
          </w:p>
        </w:tc>
        <w:tc>
          <w:tcPr>
            <w:tcW w:w="900" w:type="dxa"/>
            <w:vAlign w:val="bottom"/>
            <w:gridSpan w:val="2"/>
            <w:vMerge w:val="restart"/>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gridSpan w:val="2"/>
            <w:vMerge w:val="restart"/>
          </w:tcPr>
          <w:p>
            <w:pPr>
              <w:jc w:val="right"/>
              <w:ind w:right="40"/>
              <w:spacing w:after="0"/>
              <w:rPr>
                <w:sz w:val="20"/>
                <w:szCs w:val="20"/>
                <w:color w:val="auto"/>
              </w:rPr>
            </w:pPr>
            <w:r>
              <w:rPr>
                <w:rFonts w:ascii="Arial" w:cs="Arial" w:eastAsia="Arial" w:hAnsi="Arial"/>
                <w:sz w:val="18"/>
                <w:szCs w:val="18"/>
                <w:color w:val="auto"/>
              </w:rPr>
              <w:t>(41)</w:t>
            </w:r>
          </w:p>
        </w:tc>
        <w:tc>
          <w:tcPr>
            <w:tcW w:w="0" w:type="dxa"/>
            <w:vAlign w:val="bottom"/>
          </w:tcPr>
          <w:p>
            <w:pPr>
              <w:spacing w:after="0" w:line="20" w:lineRule="exact"/>
              <w:rPr>
                <w:sz w:val="1"/>
                <w:szCs w:val="1"/>
                <w:color w:val="auto"/>
              </w:rPr>
            </w:pPr>
          </w:p>
        </w:tc>
      </w:tr>
      <w:tr>
        <w:trPr>
          <w:trHeight w:val="208"/>
        </w:trPr>
        <w:tc>
          <w:tcPr>
            <w:tcW w:w="4320" w:type="dxa"/>
            <w:vAlign w:val="bottom"/>
            <w:gridSpan w:val="3"/>
            <w:vMerge w:val="continue"/>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gridSpan w:val="3"/>
            <w:vMerge w:val="continue"/>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vMerge w:val="continue"/>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gridSpan w:val="2"/>
            <w:vMerge w:val="continue"/>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gridSpan w:val="2"/>
            <w:vMerge w:val="continue"/>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43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w:t>
            </w:r>
          </w:p>
        </w:tc>
        <w:tc>
          <w:tcPr>
            <w:tcW w:w="100" w:type="dxa"/>
            <w:vAlign w:val="bottom"/>
            <w:shd w:val="clear" w:color="auto" w:fill="CCEEFF"/>
          </w:tcPr>
          <w:p>
            <w:pPr>
              <w:spacing w:after="0"/>
              <w:rPr>
                <w:sz w:val="18"/>
                <w:szCs w:val="18"/>
                <w:color w:val="auto"/>
              </w:rPr>
            </w:pPr>
          </w:p>
        </w:tc>
        <w:tc>
          <w:tcPr>
            <w:tcW w:w="62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14</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0"/>
        </w:trPr>
        <w:tc>
          <w:tcPr>
            <w:tcW w:w="4320" w:type="dxa"/>
            <w:vAlign w:val="bottom"/>
            <w:gridSpan w:val="3"/>
            <w:vMerge w:val="restart"/>
          </w:tcPr>
          <w:p>
            <w:pPr>
              <w:spacing w:after="0"/>
              <w:rPr>
                <w:sz w:val="20"/>
                <w:szCs w:val="20"/>
                <w:color w:val="auto"/>
              </w:rPr>
            </w:pPr>
            <w:r>
              <w:rPr>
                <w:rFonts w:ascii="Arial" w:cs="Arial" w:eastAsia="Arial" w:hAnsi="Arial"/>
                <w:sz w:val="18"/>
                <w:szCs w:val="18"/>
                <w:b w:val="1"/>
                <w:bCs w:val="1"/>
                <w:color w:val="auto"/>
              </w:rPr>
              <w:t>Balance September 30, 2009, Successor</w:t>
            </w:r>
          </w:p>
        </w:tc>
        <w:tc>
          <w:tcPr>
            <w:tcW w:w="10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20" w:type="dxa"/>
            <w:vAlign w:val="bottom"/>
            <w:gridSpan w:val="2"/>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4320" w:type="dxa"/>
            <w:vAlign w:val="bottom"/>
            <w:gridSpan w:val="3"/>
            <w:vMerge w:val="continue"/>
          </w:tcPr>
          <w:p>
            <w:pPr>
              <w:spacing w:after="0"/>
              <w:rPr>
                <w:sz w:val="19"/>
                <w:szCs w:val="19"/>
                <w:color w:val="auto"/>
              </w:rPr>
            </w:pP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460" w:type="dxa"/>
            <w:vAlign w:val="bottom"/>
            <w:gridSpan w:val="2"/>
          </w:tcPr>
          <w:p>
            <w:pPr>
              <w:jc w:val="right"/>
              <w:spacing w:after="0"/>
              <w:rPr>
                <w:sz w:val="20"/>
                <w:szCs w:val="20"/>
                <w:color w:val="auto"/>
              </w:rPr>
            </w:pPr>
            <w:r>
              <w:rPr>
                <w:rFonts w:ascii="Arial" w:cs="Arial" w:eastAsia="Arial" w:hAnsi="Arial"/>
                <w:sz w:val="18"/>
                <w:szCs w:val="18"/>
                <w:color w:val="auto"/>
              </w:rPr>
              <w:t>12</w:t>
            </w:r>
          </w:p>
        </w:tc>
        <w:tc>
          <w:tcPr>
            <w:tcW w:w="160" w:type="dxa"/>
            <w:vAlign w:val="bottom"/>
          </w:tcPr>
          <w:p>
            <w:pPr>
              <w:spacing w:after="0"/>
              <w:rPr>
                <w:sz w:val="19"/>
                <w:szCs w:val="19"/>
                <w:color w:val="auto"/>
              </w:rPr>
            </w:pPr>
          </w:p>
        </w:tc>
        <w:tc>
          <w:tcPr>
            <w:tcW w:w="200" w:type="dxa"/>
            <w:vAlign w:val="bottom"/>
            <w:gridSpan w:val="2"/>
          </w:tcPr>
          <w:p>
            <w:pPr>
              <w:ind w:left="100"/>
              <w:spacing w:after="0"/>
              <w:rPr>
                <w:sz w:val="20"/>
                <w:szCs w:val="20"/>
                <w:color w:val="auto"/>
              </w:rPr>
            </w:pPr>
            <w:r>
              <w:rPr>
                <w:rFonts w:ascii="Arial" w:cs="Arial" w:eastAsia="Arial" w:hAnsi="Arial"/>
                <w:sz w:val="18"/>
                <w:szCs w:val="18"/>
                <w:color w:val="auto"/>
                <w:w w:val="79"/>
              </w:rPr>
              <w:t>$</w:t>
            </w:r>
          </w:p>
        </w:tc>
        <w:tc>
          <w:tcPr>
            <w:tcW w:w="760" w:type="dxa"/>
            <w:vAlign w:val="bottom"/>
            <w:gridSpan w:val="2"/>
          </w:tcPr>
          <w:p>
            <w:pPr>
              <w:jc w:val="right"/>
              <w:ind w:right="180"/>
              <w:spacing w:after="0"/>
              <w:rPr>
                <w:sz w:val="20"/>
                <w:szCs w:val="20"/>
                <w:color w:val="auto"/>
              </w:rPr>
            </w:pPr>
            <w:r>
              <w:rPr>
                <w:rFonts w:ascii="Arial" w:cs="Arial" w:eastAsia="Arial" w:hAnsi="Arial"/>
                <w:sz w:val="18"/>
                <w:szCs w:val="18"/>
                <w:color w:val="auto"/>
              </w:rPr>
              <w:t>18,779</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120"/>
              <w:spacing w:after="0"/>
              <w:rPr>
                <w:sz w:val="20"/>
                <w:szCs w:val="20"/>
                <w:color w:val="auto"/>
              </w:rPr>
            </w:pPr>
            <w:r>
              <w:rPr>
                <w:rFonts w:ascii="Arial" w:cs="Arial" w:eastAsia="Arial" w:hAnsi="Arial"/>
                <w:sz w:val="18"/>
                <w:szCs w:val="18"/>
                <w:color w:val="auto"/>
              </w:rPr>
              <w:t>(899)</w:t>
            </w:r>
          </w:p>
        </w:tc>
        <w:tc>
          <w:tcPr>
            <w:tcW w:w="280" w:type="dxa"/>
            <w:vAlign w:val="bottom"/>
            <w:gridSpan w:val="2"/>
          </w:tcPr>
          <w:p>
            <w:pPr>
              <w:jc w:val="right"/>
              <w:ind w:right="32"/>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677</w:t>
            </w:r>
          </w:p>
        </w:tc>
        <w:tc>
          <w:tcPr>
            <w:tcW w:w="280" w:type="dxa"/>
            <w:vAlign w:val="bottom"/>
          </w:tcPr>
          <w:p>
            <w:pPr>
              <w:spacing w:after="0"/>
              <w:rPr>
                <w:sz w:val="19"/>
                <w:szCs w:val="19"/>
                <w:color w:val="auto"/>
              </w:rPr>
            </w:pP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160"/>
              <w:spacing w:after="0"/>
              <w:rPr>
                <w:sz w:val="20"/>
                <w:szCs w:val="20"/>
                <w:color w:val="auto"/>
              </w:rPr>
            </w:pPr>
            <w:r>
              <w:rPr>
                <w:rFonts w:ascii="Arial" w:cs="Arial" w:eastAsia="Arial" w:hAnsi="Arial"/>
                <w:sz w:val="18"/>
                <w:szCs w:val="18"/>
                <w:color w:val="auto"/>
              </w:rPr>
              <w:t>676</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20" w:type="dxa"/>
            <w:vAlign w:val="bottom"/>
            <w:gridSpan w:val="3"/>
          </w:tcPr>
          <w:p>
            <w:pPr>
              <w:jc w:val="right"/>
              <w:ind w:right="20"/>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19,245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3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3"/>
        </w:trPr>
        <w:tc>
          <w:tcPr>
            <w:tcW w:w="20" w:type="dxa"/>
            <w:vAlign w:val="bottom"/>
          </w:tcPr>
          <w:p>
            <w:pPr>
              <w:spacing w:after="0"/>
              <w:rPr>
                <w:sz w:val="8"/>
                <w:szCs w:val="8"/>
                <w:color w:val="auto"/>
              </w:rPr>
            </w:pPr>
          </w:p>
        </w:tc>
        <w:tc>
          <w:tcPr>
            <w:tcW w:w="1140" w:type="dxa"/>
            <w:vAlign w:val="bottom"/>
            <w:tcBorders>
              <w:bottom w:val="single" w:sz="8" w:color="auto"/>
            </w:tcBorders>
          </w:tcPr>
          <w:p>
            <w:pPr>
              <w:spacing w:after="0"/>
              <w:rPr>
                <w:sz w:val="8"/>
                <w:szCs w:val="8"/>
                <w:color w:val="auto"/>
              </w:rPr>
            </w:pPr>
          </w:p>
        </w:tc>
        <w:tc>
          <w:tcPr>
            <w:tcW w:w="3160" w:type="dxa"/>
            <w:vAlign w:val="bottom"/>
          </w:tcPr>
          <w:p>
            <w:pPr>
              <w:spacing w:after="0"/>
              <w:rPr>
                <w:sz w:val="8"/>
                <w:szCs w:val="8"/>
                <w:color w:val="auto"/>
              </w:rPr>
            </w:pPr>
          </w:p>
        </w:tc>
        <w:tc>
          <w:tcPr>
            <w:tcW w:w="100" w:type="dxa"/>
            <w:vAlign w:val="bottom"/>
          </w:tcPr>
          <w:p>
            <w:pPr>
              <w:spacing w:after="0"/>
              <w:rPr>
                <w:sz w:val="8"/>
                <w:szCs w:val="8"/>
                <w:color w:val="auto"/>
              </w:rPr>
            </w:pPr>
          </w:p>
        </w:tc>
        <w:tc>
          <w:tcPr>
            <w:tcW w:w="440" w:type="dxa"/>
            <w:vAlign w:val="bottom"/>
          </w:tcPr>
          <w:p>
            <w:pPr>
              <w:spacing w:after="0"/>
              <w:rPr>
                <w:sz w:val="8"/>
                <w:szCs w:val="8"/>
                <w:color w:val="auto"/>
              </w:rPr>
            </w:pPr>
          </w:p>
        </w:tc>
        <w:tc>
          <w:tcPr>
            <w:tcW w:w="2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180" w:type="dxa"/>
            <w:vAlign w:val="bottom"/>
          </w:tcPr>
          <w:p>
            <w:pPr>
              <w:spacing w:after="0"/>
              <w:rPr>
                <w:sz w:val="8"/>
                <w:szCs w:val="8"/>
                <w:color w:val="auto"/>
              </w:rPr>
            </w:pPr>
          </w:p>
        </w:tc>
        <w:tc>
          <w:tcPr>
            <w:tcW w:w="100" w:type="dxa"/>
            <w:vAlign w:val="bottom"/>
          </w:tcPr>
          <w:p>
            <w:pPr>
              <w:spacing w:after="0"/>
              <w:rPr>
                <w:sz w:val="8"/>
                <w:szCs w:val="8"/>
                <w:color w:val="auto"/>
              </w:rPr>
            </w:pPr>
          </w:p>
        </w:tc>
        <w:tc>
          <w:tcPr>
            <w:tcW w:w="120" w:type="dxa"/>
            <w:vAlign w:val="bottom"/>
          </w:tcPr>
          <w:p>
            <w:pPr>
              <w:spacing w:after="0"/>
              <w:rPr>
                <w:sz w:val="8"/>
                <w:szCs w:val="8"/>
                <w:color w:val="auto"/>
              </w:rPr>
            </w:pPr>
          </w:p>
        </w:tc>
        <w:tc>
          <w:tcPr>
            <w:tcW w:w="640" w:type="dxa"/>
            <w:vAlign w:val="bottom"/>
          </w:tcPr>
          <w:p>
            <w:pPr>
              <w:spacing w:after="0"/>
              <w:rPr>
                <w:sz w:val="8"/>
                <w:szCs w:val="8"/>
                <w:color w:val="auto"/>
              </w:rPr>
            </w:pPr>
          </w:p>
        </w:tc>
        <w:tc>
          <w:tcPr>
            <w:tcW w:w="180" w:type="dxa"/>
            <w:vAlign w:val="bottom"/>
          </w:tcPr>
          <w:p>
            <w:pPr>
              <w:spacing w:after="0"/>
              <w:rPr>
                <w:sz w:val="8"/>
                <w:szCs w:val="8"/>
                <w:color w:val="auto"/>
              </w:rPr>
            </w:pPr>
          </w:p>
        </w:tc>
        <w:tc>
          <w:tcPr>
            <w:tcW w:w="100" w:type="dxa"/>
            <w:vAlign w:val="bottom"/>
          </w:tcPr>
          <w:p>
            <w:pPr>
              <w:spacing w:after="0"/>
              <w:rPr>
                <w:sz w:val="8"/>
                <w:szCs w:val="8"/>
                <w:color w:val="auto"/>
              </w:rPr>
            </w:pPr>
          </w:p>
        </w:tc>
        <w:tc>
          <w:tcPr>
            <w:tcW w:w="180" w:type="dxa"/>
            <w:vAlign w:val="bottom"/>
          </w:tcPr>
          <w:p>
            <w:pPr>
              <w:spacing w:after="0"/>
              <w:rPr>
                <w:sz w:val="8"/>
                <w:szCs w:val="8"/>
                <w:color w:val="auto"/>
              </w:rPr>
            </w:pPr>
          </w:p>
        </w:tc>
        <w:tc>
          <w:tcPr>
            <w:tcW w:w="720" w:type="dxa"/>
            <w:vAlign w:val="bottom"/>
          </w:tcPr>
          <w:p>
            <w:pPr>
              <w:spacing w:after="0"/>
              <w:rPr>
                <w:sz w:val="8"/>
                <w:szCs w:val="8"/>
                <w:color w:val="auto"/>
              </w:rPr>
            </w:pPr>
          </w:p>
        </w:tc>
        <w:tc>
          <w:tcPr>
            <w:tcW w:w="280" w:type="dxa"/>
            <w:vAlign w:val="bottom"/>
          </w:tcPr>
          <w:p>
            <w:pPr>
              <w:spacing w:after="0"/>
              <w:rPr>
                <w:sz w:val="8"/>
                <w:szCs w:val="8"/>
                <w:color w:val="auto"/>
              </w:rPr>
            </w:pPr>
          </w:p>
        </w:tc>
        <w:tc>
          <w:tcPr>
            <w:tcW w:w="140" w:type="dxa"/>
            <w:vAlign w:val="bottom"/>
          </w:tcPr>
          <w:p>
            <w:pPr>
              <w:spacing w:after="0"/>
              <w:rPr>
                <w:sz w:val="8"/>
                <w:szCs w:val="8"/>
                <w:color w:val="auto"/>
              </w:rPr>
            </w:pPr>
          </w:p>
        </w:tc>
        <w:tc>
          <w:tcPr>
            <w:tcW w:w="74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0" w:type="dxa"/>
            <w:vAlign w:val="bottom"/>
          </w:tcPr>
          <w:p>
            <w:pPr>
              <w:spacing w:after="0"/>
              <w:rPr>
                <w:sz w:val="8"/>
                <w:szCs w:val="8"/>
                <w:color w:val="auto"/>
              </w:rPr>
            </w:pPr>
          </w:p>
        </w:tc>
        <w:tc>
          <w:tcPr>
            <w:tcW w:w="160" w:type="dxa"/>
            <w:vAlign w:val="bottom"/>
          </w:tcPr>
          <w:p>
            <w:pPr>
              <w:spacing w:after="0"/>
              <w:rPr>
                <w:sz w:val="8"/>
                <w:szCs w:val="8"/>
                <w:color w:val="auto"/>
              </w:rPr>
            </w:pPr>
          </w:p>
        </w:tc>
        <w:tc>
          <w:tcPr>
            <w:tcW w:w="74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19" w:lineRule="exact"/>
        <w:rPr>
          <w:sz w:val="20"/>
          <w:szCs w:val="20"/>
          <w:color w:val="auto"/>
        </w:rPr>
      </w:pPr>
    </w:p>
    <w:p>
      <w:pPr>
        <w:ind w:left="460" w:right="420" w:hanging="452"/>
        <w:spacing w:after="0" w:line="268" w:lineRule="auto"/>
        <w:tabs>
          <w:tab w:leader="none" w:pos="460" w:val="left"/>
        </w:tabs>
        <w:numPr>
          <w:ilvl w:val="0"/>
          <w:numId w:val="4"/>
        </w:numPr>
        <w:rPr>
          <w:rFonts w:ascii="Arial" w:cs="Arial" w:eastAsia="Arial" w:hAnsi="Arial"/>
          <w:sz w:val="18"/>
          <w:szCs w:val="18"/>
          <w:color w:val="auto"/>
        </w:rPr>
      </w:pPr>
      <w:r>
        <w:rPr>
          <w:rFonts w:ascii="Arial" w:cs="Arial" w:eastAsia="Arial" w:hAnsi="Arial"/>
          <w:sz w:val="18"/>
          <w:szCs w:val="18"/>
          <w:color w:val="auto"/>
        </w:rPr>
        <w:t>Common stock and Capital surplus at July 10, 2009 and September 30, 2009 are restated to reflect a three-for-one stock split effected on November 1, 2010.</w:t>
      </w:r>
    </w:p>
    <w:p>
      <w:pPr>
        <w:spacing w:after="0" w:line="2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Reference should be made to the notes to the condensed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459" w:right="23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21" w:lineRule="exact"/>
        <w:rPr>
          <w:sz w:val="20"/>
          <w:szCs w:val="20"/>
          <w:color w:val="auto"/>
        </w:rPr>
      </w:pPr>
    </w:p>
    <w:p>
      <w:pPr>
        <w:ind w:left="5260"/>
        <w:spacing w:after="0"/>
        <w:rPr>
          <w:sz w:val="20"/>
          <w:szCs w:val="20"/>
          <w:color w:val="auto"/>
        </w:rPr>
      </w:pPr>
      <w:r>
        <w:rPr>
          <w:rFonts w:ascii="Arial" w:cs="Arial" w:eastAsia="Arial" w:hAnsi="Arial"/>
          <w:sz w:val="18"/>
          <w:szCs w:val="18"/>
          <w:b w:val="1"/>
          <w:bCs w:val="1"/>
          <w:color w:val="auto"/>
        </w:rPr>
        <w:t>(In millions)</w:t>
      </w:r>
    </w:p>
    <w:p>
      <w:pPr>
        <w:spacing w:after="0" w:line="9" w:lineRule="exact"/>
        <w:rPr>
          <w:sz w:val="20"/>
          <w:szCs w:val="20"/>
          <w:color w:val="auto"/>
        </w:rPr>
      </w:pPr>
    </w:p>
    <w:p>
      <w:pPr>
        <w:ind w:left="5260"/>
        <w:spacing w:after="0"/>
        <w:rPr>
          <w:sz w:val="20"/>
          <w:szCs w:val="20"/>
          <w:color w:val="auto"/>
        </w:rPr>
      </w:pPr>
      <w:r>
        <w:rPr>
          <w:rFonts w:ascii="Arial" w:cs="Arial" w:eastAsia="Arial" w:hAnsi="Arial"/>
          <w:sz w:val="18"/>
          <w:szCs w:val="18"/>
          <w:b w:val="1"/>
          <w:bCs w:val="1"/>
          <w:color w:val="auto"/>
        </w:rPr>
        <w:t>(Unaudited)</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0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Arial" w:cs="Arial" w:eastAsia="Arial" w:hAnsi="Arial"/>
                <w:sz w:val="14"/>
                <w:szCs w:val="14"/>
                <w:b w:val="1"/>
                <w:bCs w:val="1"/>
                <w:color w:val="auto"/>
                <w:w w:val="79"/>
              </w:rPr>
              <w:t>Successor</w:t>
            </w:r>
          </w:p>
        </w:tc>
        <w:tc>
          <w:tcPr>
            <w:tcW w:w="1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680" w:type="dxa"/>
            <w:vAlign w:val="bottom"/>
            <w:tcBorders>
              <w:right w:val="single" w:sz="8" w:color="auto"/>
            </w:tcBorders>
          </w:tcPr>
          <w:p>
            <w:pPr>
              <w:spacing w:after="0"/>
              <w:rPr>
                <w:sz w:val="14"/>
                <w:szCs w:val="14"/>
                <w:color w:val="auto"/>
              </w:rPr>
            </w:pPr>
          </w:p>
        </w:tc>
        <w:tc>
          <w:tcPr>
            <w:tcW w:w="460" w:type="dxa"/>
            <w:vAlign w:val="bottom"/>
          </w:tcPr>
          <w:p>
            <w:pPr>
              <w:spacing w:after="0"/>
              <w:rPr>
                <w:sz w:val="14"/>
                <w:szCs w:val="14"/>
                <w:color w:val="auto"/>
              </w:rPr>
            </w:pPr>
          </w:p>
        </w:tc>
        <w:tc>
          <w:tcPr>
            <w:tcW w:w="800" w:type="dxa"/>
            <w:vAlign w:val="bottom"/>
            <w:gridSpan w:val="3"/>
          </w:tcPr>
          <w:p>
            <w:pPr>
              <w:spacing w:after="0"/>
              <w:rPr>
                <w:sz w:val="20"/>
                <w:szCs w:val="20"/>
                <w:color w:val="auto"/>
              </w:rPr>
            </w:pPr>
            <w:r>
              <w:rPr>
                <w:rFonts w:ascii="Arial" w:cs="Arial" w:eastAsia="Arial" w:hAnsi="Arial"/>
                <w:sz w:val="14"/>
                <w:szCs w:val="14"/>
                <w:b w:val="1"/>
                <w:bCs w:val="1"/>
                <w:color w:val="auto"/>
                <w:w w:val="92"/>
              </w:rPr>
              <w:t>Predecessor</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0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1000" w:type="dxa"/>
            <w:vAlign w:val="bottom"/>
            <w:tcBorders>
              <w:top w:val="single" w:sz="8" w:color="auto"/>
            </w:tcBorders>
          </w:tcPr>
          <w:p>
            <w:pPr>
              <w:spacing w:after="0"/>
              <w:rPr>
                <w:sz w:val="11"/>
                <w:szCs w:val="11"/>
                <w:color w:val="auto"/>
              </w:rPr>
            </w:pPr>
          </w:p>
        </w:tc>
        <w:tc>
          <w:tcPr>
            <w:tcW w:w="580" w:type="dxa"/>
            <w:vAlign w:val="bottom"/>
            <w:tcBorders>
              <w:top w:val="single" w:sz="8" w:color="auto"/>
            </w:tcBorders>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1000" w:type="dxa"/>
            <w:vAlign w:val="bottom"/>
            <w:tcBorders>
              <w:top w:val="single" w:sz="8" w:color="auto"/>
            </w:tcBorders>
          </w:tcPr>
          <w:p>
            <w:pPr>
              <w:spacing w:after="0"/>
              <w:rPr>
                <w:sz w:val="11"/>
                <w:szCs w:val="11"/>
                <w:color w:val="auto"/>
              </w:rPr>
            </w:pPr>
          </w:p>
        </w:tc>
        <w:tc>
          <w:tcPr>
            <w:tcW w:w="680" w:type="dxa"/>
            <w:vAlign w:val="bottom"/>
            <w:tcBorders>
              <w:right w:val="single" w:sz="8" w:color="auto"/>
            </w:tcBorders>
          </w:tcPr>
          <w:p>
            <w:pPr>
              <w:spacing w:after="0"/>
              <w:rPr>
                <w:sz w:val="11"/>
                <w:szCs w:val="11"/>
                <w:color w:val="auto"/>
              </w:rPr>
            </w:pPr>
          </w:p>
        </w:tc>
        <w:tc>
          <w:tcPr>
            <w:tcW w:w="460" w:type="dxa"/>
            <w:vAlign w:val="bottom"/>
          </w:tcPr>
          <w:p>
            <w:pPr>
              <w:spacing w:after="0"/>
              <w:rPr>
                <w:sz w:val="11"/>
                <w:szCs w:val="11"/>
                <w:color w:val="auto"/>
              </w:rPr>
            </w:pPr>
          </w:p>
        </w:tc>
        <w:tc>
          <w:tcPr>
            <w:tcW w:w="700" w:type="dxa"/>
            <w:vAlign w:val="bottom"/>
            <w:tcBorders>
              <w:top w:val="single" w:sz="8" w:color="auto"/>
            </w:tcBorders>
            <w:gridSpan w:val="2"/>
          </w:tcPr>
          <w:p>
            <w:pPr>
              <w:ind w:left="20"/>
              <w:spacing w:after="0" w:line="129" w:lineRule="exact"/>
              <w:rPr>
                <w:sz w:val="20"/>
                <w:szCs w:val="20"/>
                <w:color w:val="auto"/>
              </w:rPr>
            </w:pPr>
            <w:r>
              <w:rPr>
                <w:rFonts w:ascii="Arial" w:cs="Arial" w:eastAsia="Arial" w:hAnsi="Arial"/>
                <w:sz w:val="14"/>
                <w:szCs w:val="14"/>
                <w:b w:val="1"/>
                <w:bCs w:val="1"/>
                <w:color w:val="auto"/>
                <w:w w:val="95"/>
              </w:rPr>
              <w:t>January 1,</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0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580" w:type="dxa"/>
            <w:vAlign w:val="bottom"/>
            <w:gridSpan w:val="2"/>
          </w:tcPr>
          <w:p>
            <w:pPr>
              <w:jc w:val="right"/>
              <w:ind w:right="712"/>
              <w:spacing w:after="0" w:line="149" w:lineRule="exact"/>
              <w:rPr>
                <w:sz w:val="20"/>
                <w:szCs w:val="20"/>
                <w:color w:val="auto"/>
              </w:rPr>
            </w:pPr>
            <w:r>
              <w:rPr>
                <w:rFonts w:ascii="Arial" w:cs="Arial" w:eastAsia="Arial" w:hAnsi="Arial"/>
                <w:sz w:val="14"/>
                <w:szCs w:val="14"/>
                <w:b w:val="1"/>
                <w:bCs w:val="1"/>
                <w:color w:val="auto"/>
                <w:w w:val="92"/>
              </w:rPr>
              <w:t>Nine Months</w:t>
            </w:r>
          </w:p>
        </w:tc>
        <w:tc>
          <w:tcPr>
            <w:tcW w:w="140" w:type="dxa"/>
            <w:vAlign w:val="bottom"/>
          </w:tcPr>
          <w:p>
            <w:pPr>
              <w:spacing w:after="0"/>
              <w:rPr>
                <w:sz w:val="12"/>
                <w:szCs w:val="12"/>
                <w:color w:val="auto"/>
              </w:rPr>
            </w:pPr>
          </w:p>
        </w:tc>
        <w:tc>
          <w:tcPr>
            <w:tcW w:w="1680" w:type="dxa"/>
            <w:vAlign w:val="bottom"/>
            <w:tcBorders>
              <w:right w:val="single" w:sz="8" w:color="auto"/>
            </w:tcBorders>
            <w:gridSpan w:val="2"/>
          </w:tcPr>
          <w:p>
            <w:pPr>
              <w:jc w:val="right"/>
              <w:ind w:right="880"/>
              <w:spacing w:after="0" w:line="149" w:lineRule="exact"/>
              <w:rPr>
                <w:sz w:val="20"/>
                <w:szCs w:val="20"/>
                <w:color w:val="auto"/>
              </w:rPr>
            </w:pPr>
            <w:r>
              <w:rPr>
                <w:rFonts w:ascii="Arial" w:cs="Arial" w:eastAsia="Arial" w:hAnsi="Arial"/>
                <w:sz w:val="14"/>
                <w:szCs w:val="14"/>
                <w:b w:val="1"/>
                <w:bCs w:val="1"/>
                <w:color w:val="auto"/>
                <w:w w:val="90"/>
              </w:rPr>
              <w:t>July 10, 2009</w:t>
            </w:r>
          </w:p>
        </w:tc>
        <w:tc>
          <w:tcPr>
            <w:tcW w:w="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jc w:val="right"/>
              <w:ind w:right="134"/>
              <w:spacing w:after="0" w:line="149" w:lineRule="exact"/>
              <w:rPr>
                <w:sz w:val="20"/>
                <w:szCs w:val="20"/>
                <w:color w:val="auto"/>
              </w:rPr>
            </w:pPr>
            <w:r>
              <w:rPr>
                <w:rFonts w:ascii="Arial" w:cs="Arial" w:eastAsia="Arial" w:hAnsi="Arial"/>
                <w:sz w:val="14"/>
                <w:szCs w:val="14"/>
                <w:b w:val="1"/>
                <w:bCs w:val="1"/>
                <w:color w:val="auto"/>
              </w:rPr>
              <w:t>2009</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0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580" w:type="dxa"/>
            <w:vAlign w:val="bottom"/>
            <w:gridSpan w:val="2"/>
          </w:tcPr>
          <w:p>
            <w:pPr>
              <w:jc w:val="right"/>
              <w:ind w:right="892"/>
              <w:spacing w:after="0" w:line="149" w:lineRule="exact"/>
              <w:rPr>
                <w:sz w:val="20"/>
                <w:szCs w:val="20"/>
                <w:color w:val="auto"/>
              </w:rPr>
            </w:pPr>
            <w:r>
              <w:rPr>
                <w:rFonts w:ascii="Arial" w:cs="Arial" w:eastAsia="Arial" w:hAnsi="Arial"/>
                <w:sz w:val="14"/>
                <w:szCs w:val="14"/>
                <w:b w:val="1"/>
                <w:bCs w:val="1"/>
                <w:color w:val="auto"/>
              </w:rPr>
              <w:t>Ended</w:t>
            </w:r>
          </w:p>
        </w:tc>
        <w:tc>
          <w:tcPr>
            <w:tcW w:w="140" w:type="dxa"/>
            <w:vAlign w:val="bottom"/>
          </w:tcPr>
          <w:p>
            <w:pPr>
              <w:spacing w:after="0"/>
              <w:rPr>
                <w:sz w:val="12"/>
                <w:szCs w:val="12"/>
                <w:color w:val="auto"/>
              </w:rPr>
            </w:pPr>
          </w:p>
        </w:tc>
        <w:tc>
          <w:tcPr>
            <w:tcW w:w="1680" w:type="dxa"/>
            <w:vAlign w:val="bottom"/>
            <w:tcBorders>
              <w:right w:val="single" w:sz="8" w:color="auto"/>
            </w:tcBorders>
            <w:gridSpan w:val="2"/>
          </w:tcPr>
          <w:p>
            <w:pPr>
              <w:jc w:val="right"/>
              <w:ind w:right="1000"/>
              <w:spacing w:after="0" w:line="149" w:lineRule="exact"/>
              <w:rPr>
                <w:sz w:val="20"/>
                <w:szCs w:val="20"/>
                <w:color w:val="auto"/>
              </w:rPr>
            </w:pPr>
            <w:r>
              <w:rPr>
                <w:rFonts w:ascii="Arial" w:cs="Arial" w:eastAsia="Arial" w:hAnsi="Arial"/>
                <w:sz w:val="14"/>
                <w:szCs w:val="14"/>
                <w:b w:val="1"/>
                <w:bCs w:val="1"/>
                <w:color w:val="auto"/>
              </w:rPr>
              <w:t>Through</w:t>
            </w:r>
          </w:p>
        </w:tc>
        <w:tc>
          <w:tcPr>
            <w:tcW w:w="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gridSpan w:val="2"/>
          </w:tcPr>
          <w:p>
            <w:pPr>
              <w:jc w:val="right"/>
              <w:ind w:right="200"/>
              <w:spacing w:after="0" w:line="149" w:lineRule="exact"/>
              <w:rPr>
                <w:sz w:val="20"/>
                <w:szCs w:val="20"/>
                <w:color w:val="auto"/>
              </w:rPr>
            </w:pPr>
            <w:r>
              <w:rPr>
                <w:rFonts w:ascii="Arial" w:cs="Arial" w:eastAsia="Arial" w:hAnsi="Arial"/>
                <w:sz w:val="14"/>
                <w:szCs w:val="14"/>
                <w:b w:val="1"/>
                <w:bCs w:val="1"/>
                <w:color w:val="auto"/>
                <w:w w:val="84"/>
              </w:rPr>
              <w:t>Through</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60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140" w:type="dxa"/>
            <w:vAlign w:val="bottom"/>
            <w:tcBorders>
              <w:bottom w:val="single" w:sz="8" w:color="auto"/>
            </w:tcBorders>
            <w:gridSpan w:val="2"/>
          </w:tcPr>
          <w:p>
            <w:pPr>
              <w:spacing w:after="0"/>
              <w:rPr>
                <w:sz w:val="20"/>
                <w:szCs w:val="20"/>
                <w:color w:val="auto"/>
              </w:rPr>
            </w:pPr>
            <w:r>
              <w:rPr>
                <w:rFonts w:ascii="Arial" w:cs="Arial" w:eastAsia="Arial" w:hAnsi="Arial"/>
                <w:sz w:val="14"/>
                <w:szCs w:val="14"/>
                <w:b w:val="1"/>
                <w:bCs w:val="1"/>
                <w:color w:val="auto"/>
                <w:w w:val="85"/>
              </w:rPr>
              <w:t>September 30, 2010</w:t>
            </w:r>
          </w:p>
        </w:tc>
        <w:tc>
          <w:tcPr>
            <w:tcW w:w="580" w:type="dxa"/>
            <w:vAlign w:val="bottom"/>
          </w:tcPr>
          <w:p>
            <w:pPr>
              <w:spacing w:after="0"/>
              <w:rPr>
                <w:sz w:val="14"/>
                <w:szCs w:val="14"/>
                <w:color w:val="auto"/>
              </w:rPr>
            </w:pPr>
          </w:p>
        </w:tc>
        <w:tc>
          <w:tcPr>
            <w:tcW w:w="1140" w:type="dxa"/>
            <w:vAlign w:val="bottom"/>
            <w:tcBorders>
              <w:bottom w:val="single" w:sz="8" w:color="auto"/>
            </w:tcBorders>
            <w:gridSpan w:val="2"/>
          </w:tcPr>
          <w:p>
            <w:pPr>
              <w:spacing w:after="0"/>
              <w:rPr>
                <w:sz w:val="20"/>
                <w:szCs w:val="20"/>
                <w:color w:val="auto"/>
              </w:rPr>
            </w:pPr>
            <w:r>
              <w:rPr>
                <w:rFonts w:ascii="Arial" w:cs="Arial" w:eastAsia="Arial" w:hAnsi="Arial"/>
                <w:sz w:val="14"/>
                <w:szCs w:val="14"/>
                <w:b w:val="1"/>
                <w:bCs w:val="1"/>
                <w:color w:val="auto"/>
                <w:w w:val="85"/>
              </w:rPr>
              <w:t>September 30, 2009</w:t>
            </w:r>
          </w:p>
        </w:tc>
        <w:tc>
          <w:tcPr>
            <w:tcW w:w="680" w:type="dxa"/>
            <w:vAlign w:val="bottom"/>
            <w:tcBorders>
              <w:right w:val="single" w:sz="8" w:color="auto"/>
            </w:tcBorders>
          </w:tcPr>
          <w:p>
            <w:pPr>
              <w:spacing w:after="0"/>
              <w:rPr>
                <w:sz w:val="14"/>
                <w:szCs w:val="14"/>
                <w:color w:val="auto"/>
              </w:rPr>
            </w:pPr>
          </w:p>
        </w:tc>
        <w:tc>
          <w:tcPr>
            <w:tcW w:w="460" w:type="dxa"/>
            <w:vAlign w:val="bottom"/>
          </w:tcPr>
          <w:p>
            <w:pPr>
              <w:spacing w:after="0"/>
              <w:rPr>
                <w:sz w:val="14"/>
                <w:szCs w:val="14"/>
                <w:color w:val="auto"/>
              </w:rPr>
            </w:pPr>
          </w:p>
        </w:tc>
        <w:tc>
          <w:tcPr>
            <w:tcW w:w="700" w:type="dxa"/>
            <w:vAlign w:val="bottom"/>
            <w:tcBorders>
              <w:bottom w:val="single" w:sz="8" w:color="auto"/>
            </w:tcBorders>
            <w:gridSpan w:val="2"/>
          </w:tcPr>
          <w:p>
            <w:pPr>
              <w:spacing w:after="0"/>
              <w:rPr>
                <w:sz w:val="20"/>
                <w:szCs w:val="20"/>
                <w:color w:val="auto"/>
              </w:rPr>
            </w:pPr>
            <w:r>
              <w:rPr>
                <w:rFonts w:ascii="Arial" w:cs="Arial" w:eastAsia="Arial" w:hAnsi="Arial"/>
                <w:sz w:val="14"/>
                <w:szCs w:val="14"/>
                <w:b w:val="1"/>
                <w:bCs w:val="1"/>
                <w:color w:val="auto"/>
                <w:w w:val="86"/>
              </w:rPr>
              <w:t>July 9, 2009</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0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cash provided by (used in) operating activities</w:t>
            </w:r>
          </w:p>
        </w:tc>
        <w:tc>
          <w:tcPr>
            <w:tcW w:w="740" w:type="dxa"/>
            <w:vAlign w:val="bottom"/>
            <w:gridSpan w:val="2"/>
            <w:shd w:val="clear" w:color="auto" w:fill="CCEEFF"/>
          </w:tcPr>
          <w:p>
            <w:pPr>
              <w:ind w:left="60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8,319</w:t>
            </w:r>
          </w:p>
        </w:tc>
        <w:tc>
          <w:tcPr>
            <w:tcW w:w="5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2,959</w:t>
            </w:r>
          </w:p>
        </w:tc>
        <w:tc>
          <w:tcPr>
            <w:tcW w:w="680" w:type="dxa"/>
            <w:vAlign w:val="bottom"/>
            <w:tcBorders>
              <w:right w:val="single" w:sz="8" w:color="auto"/>
            </w:tcBorders>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7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5"/>
              </w:rPr>
              <w:t>(18,303)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00" w:type="dxa"/>
            <w:vAlign w:val="bottom"/>
          </w:tcPr>
          <w:p>
            <w:pPr>
              <w:spacing w:after="0"/>
              <w:rPr>
                <w:sz w:val="20"/>
                <w:szCs w:val="20"/>
                <w:color w:val="auto"/>
              </w:rPr>
            </w:pPr>
            <w:r>
              <w:rPr>
                <w:rFonts w:ascii="Arial" w:cs="Arial" w:eastAsia="Arial" w:hAnsi="Arial"/>
                <w:sz w:val="18"/>
                <w:szCs w:val="18"/>
                <w:b w:val="1"/>
                <w:bCs w:val="1"/>
                <w:color w:val="auto"/>
              </w:rPr>
              <w:t>Cash flows from investing activities</w:t>
            </w:r>
          </w:p>
        </w:tc>
        <w:tc>
          <w:tcPr>
            <w:tcW w:w="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680" w:type="dxa"/>
            <w:vAlign w:val="bottom"/>
            <w:tcBorders>
              <w:right w:val="single" w:sz="8" w:color="auto"/>
            </w:tcBorders>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00" w:type="dxa"/>
            <w:vAlign w:val="bottom"/>
            <w:shd w:val="clear" w:color="auto" w:fill="CCEEFF"/>
          </w:tcPr>
          <w:p>
            <w:pPr>
              <w:spacing w:after="0"/>
              <w:rPr>
                <w:sz w:val="20"/>
                <w:szCs w:val="20"/>
                <w:color w:val="auto"/>
              </w:rPr>
            </w:pPr>
            <w:r>
              <w:rPr>
                <w:rFonts w:ascii="Arial" w:cs="Arial" w:eastAsia="Arial" w:hAnsi="Arial"/>
                <w:sz w:val="18"/>
                <w:szCs w:val="18"/>
                <w:color w:val="auto"/>
              </w:rPr>
              <w:t>Expenditures for property</w:t>
            </w:r>
          </w:p>
        </w:tc>
        <w:tc>
          <w:tcPr>
            <w:tcW w:w="6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452"/>
              <w:spacing w:after="0"/>
              <w:rPr>
                <w:sz w:val="20"/>
                <w:szCs w:val="20"/>
                <w:color w:val="auto"/>
              </w:rPr>
            </w:pPr>
            <w:r>
              <w:rPr>
                <w:rFonts w:ascii="Arial" w:cs="Arial" w:eastAsia="Arial" w:hAnsi="Arial"/>
                <w:sz w:val="18"/>
                <w:szCs w:val="18"/>
                <w:color w:val="auto"/>
              </w:rPr>
              <w:t>(3,112)</w:t>
            </w:r>
          </w:p>
        </w:tc>
        <w:tc>
          <w:tcPr>
            <w:tcW w:w="140" w:type="dxa"/>
            <w:vAlign w:val="bottom"/>
            <w:shd w:val="clear" w:color="auto" w:fill="CCEEFF"/>
          </w:tcPr>
          <w:p>
            <w:pPr>
              <w:spacing w:after="0"/>
              <w:rPr>
                <w:sz w:val="18"/>
                <w:szCs w:val="18"/>
                <w:color w:val="auto"/>
              </w:rPr>
            </w:pPr>
          </w:p>
        </w:tc>
        <w:tc>
          <w:tcPr>
            <w:tcW w:w="1680" w:type="dxa"/>
            <w:vAlign w:val="bottom"/>
            <w:tcBorders>
              <w:right w:val="single" w:sz="8" w:color="auto"/>
            </w:tcBorders>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(881)</w:t>
            </w: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(3,517)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00" w:type="dxa"/>
            <w:vAlign w:val="bottom"/>
          </w:tcPr>
          <w:p>
            <w:pPr>
              <w:spacing w:after="0"/>
              <w:rPr>
                <w:sz w:val="20"/>
                <w:szCs w:val="20"/>
                <w:color w:val="auto"/>
              </w:rPr>
            </w:pPr>
            <w:r>
              <w:rPr>
                <w:rFonts w:ascii="Arial" w:cs="Arial" w:eastAsia="Arial" w:hAnsi="Arial"/>
                <w:sz w:val="18"/>
                <w:szCs w:val="18"/>
                <w:color w:val="auto"/>
              </w:rPr>
              <w:t>Investments in available-for-sale marketable securities, acquisitions</w:t>
            </w:r>
          </w:p>
        </w:tc>
        <w:tc>
          <w:tcPr>
            <w:tcW w:w="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80" w:type="dxa"/>
            <w:vAlign w:val="bottom"/>
            <w:gridSpan w:val="2"/>
          </w:tcPr>
          <w:p>
            <w:pPr>
              <w:jc w:val="right"/>
              <w:ind w:right="452"/>
              <w:spacing w:after="0"/>
              <w:rPr>
                <w:sz w:val="20"/>
                <w:szCs w:val="20"/>
                <w:color w:val="auto"/>
              </w:rPr>
            </w:pPr>
            <w:r>
              <w:rPr>
                <w:rFonts w:ascii="Arial" w:cs="Arial" w:eastAsia="Arial" w:hAnsi="Arial"/>
                <w:sz w:val="18"/>
                <w:szCs w:val="18"/>
                <w:color w:val="auto"/>
              </w:rPr>
              <w:t>(8,682)</w:t>
            </w:r>
          </w:p>
        </w:tc>
        <w:tc>
          <w:tcPr>
            <w:tcW w:w="140" w:type="dxa"/>
            <w:vAlign w:val="bottom"/>
          </w:tcPr>
          <w:p>
            <w:pPr>
              <w:spacing w:after="0"/>
              <w:rPr>
                <w:sz w:val="18"/>
                <w:szCs w:val="18"/>
                <w:color w:val="auto"/>
              </w:rPr>
            </w:pPr>
          </w:p>
        </w:tc>
        <w:tc>
          <w:tcPr>
            <w:tcW w:w="1680" w:type="dxa"/>
            <w:vAlign w:val="bottom"/>
            <w:tcBorders>
              <w:right w:val="single" w:sz="8" w:color="auto"/>
            </w:tcBorders>
            <w:gridSpan w:val="2"/>
          </w:tcPr>
          <w:p>
            <w:pPr>
              <w:jc w:val="right"/>
              <w:ind w:right="680"/>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ind w:right="40"/>
              <w:spacing w:after="0"/>
              <w:rPr>
                <w:sz w:val="20"/>
                <w:szCs w:val="20"/>
                <w:color w:val="auto"/>
              </w:rPr>
            </w:pPr>
            <w:r>
              <w:rPr>
                <w:rFonts w:ascii="Arial" w:cs="Arial" w:eastAsia="Arial" w:hAnsi="Arial"/>
                <w:sz w:val="18"/>
                <w:szCs w:val="18"/>
                <w:color w:val="auto"/>
              </w:rPr>
              <w:t>(202)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00" w:type="dxa"/>
            <w:vAlign w:val="bottom"/>
            <w:shd w:val="clear" w:color="auto" w:fill="CCEEFF"/>
          </w:tcPr>
          <w:p>
            <w:pPr>
              <w:spacing w:after="0"/>
              <w:rPr>
                <w:sz w:val="20"/>
                <w:szCs w:val="20"/>
                <w:color w:val="auto"/>
              </w:rPr>
            </w:pPr>
            <w:r>
              <w:rPr>
                <w:rFonts w:ascii="Arial" w:cs="Arial" w:eastAsia="Arial" w:hAnsi="Arial"/>
                <w:sz w:val="18"/>
                <w:szCs w:val="18"/>
                <w:color w:val="auto"/>
              </w:rPr>
              <w:t>Investment in trading marketable securities, acquisitions</w:t>
            </w:r>
          </w:p>
        </w:tc>
        <w:tc>
          <w:tcPr>
            <w:tcW w:w="6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452"/>
              <w:spacing w:after="0"/>
              <w:rPr>
                <w:sz w:val="20"/>
                <w:szCs w:val="20"/>
                <w:color w:val="auto"/>
              </w:rPr>
            </w:pPr>
            <w:r>
              <w:rPr>
                <w:rFonts w:ascii="Arial" w:cs="Arial" w:eastAsia="Arial" w:hAnsi="Arial"/>
                <w:sz w:val="18"/>
                <w:szCs w:val="18"/>
                <w:color w:val="auto"/>
              </w:rPr>
              <w:t>(271)</w:t>
            </w:r>
          </w:p>
        </w:tc>
        <w:tc>
          <w:tcPr>
            <w:tcW w:w="140" w:type="dxa"/>
            <w:vAlign w:val="bottom"/>
            <w:shd w:val="clear" w:color="auto" w:fill="CCEEFF"/>
          </w:tcPr>
          <w:p>
            <w:pPr>
              <w:spacing w:after="0"/>
              <w:rPr>
                <w:sz w:val="18"/>
                <w:szCs w:val="18"/>
                <w:color w:val="auto"/>
              </w:rPr>
            </w:pPr>
          </w:p>
        </w:tc>
        <w:tc>
          <w:tcPr>
            <w:tcW w:w="1680" w:type="dxa"/>
            <w:vAlign w:val="bottom"/>
            <w:tcBorders>
              <w:right w:val="single" w:sz="8" w:color="auto"/>
            </w:tcBorders>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(81)</w:t>
            </w: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00" w:type="dxa"/>
            <w:vAlign w:val="bottom"/>
          </w:tcPr>
          <w:p>
            <w:pPr>
              <w:spacing w:after="0"/>
              <w:rPr>
                <w:sz w:val="20"/>
                <w:szCs w:val="20"/>
                <w:color w:val="auto"/>
              </w:rPr>
            </w:pPr>
            <w:r>
              <w:rPr>
                <w:rFonts w:ascii="Arial" w:cs="Arial" w:eastAsia="Arial" w:hAnsi="Arial"/>
                <w:sz w:val="18"/>
                <w:szCs w:val="18"/>
                <w:color w:val="auto"/>
              </w:rPr>
              <w:t>Investments in available-for-sale marketable securities, liquidations</w:t>
            </w:r>
          </w:p>
        </w:tc>
        <w:tc>
          <w:tcPr>
            <w:tcW w:w="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2,822</w:t>
            </w:r>
          </w:p>
        </w:tc>
        <w:tc>
          <w:tcPr>
            <w:tcW w:w="5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80" w:type="dxa"/>
            <w:vAlign w:val="bottom"/>
            <w:tcBorders>
              <w:right w:val="single" w:sz="8" w:color="auto"/>
            </w:tcBorders>
            <w:gridSpan w:val="2"/>
          </w:tcPr>
          <w:p>
            <w:pPr>
              <w:jc w:val="right"/>
              <w:ind w:right="680"/>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185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00" w:type="dxa"/>
            <w:vAlign w:val="bottom"/>
            <w:shd w:val="clear" w:color="auto" w:fill="CCEEFF"/>
          </w:tcPr>
          <w:p>
            <w:pPr>
              <w:spacing w:after="0"/>
              <w:rPr>
                <w:sz w:val="20"/>
                <w:szCs w:val="20"/>
                <w:color w:val="auto"/>
              </w:rPr>
            </w:pPr>
            <w:r>
              <w:rPr>
                <w:rFonts w:ascii="Arial" w:cs="Arial" w:eastAsia="Arial" w:hAnsi="Arial"/>
                <w:sz w:val="18"/>
                <w:szCs w:val="18"/>
                <w:color w:val="auto"/>
              </w:rPr>
              <w:t>Investment in trading marketable securities, liquidations</w:t>
            </w:r>
          </w:p>
        </w:tc>
        <w:tc>
          <w:tcPr>
            <w:tcW w:w="6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259</w:t>
            </w:r>
          </w:p>
        </w:tc>
        <w:tc>
          <w:tcPr>
            <w:tcW w:w="5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w:t>
            </w:r>
          </w:p>
        </w:tc>
        <w:tc>
          <w:tcPr>
            <w:tcW w:w="680" w:type="dxa"/>
            <w:vAlign w:val="bottom"/>
            <w:tcBorders>
              <w:right w:val="single" w:sz="8" w:color="auto"/>
            </w:tcBorders>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00" w:type="dxa"/>
            <w:vAlign w:val="bottom"/>
          </w:tcPr>
          <w:p>
            <w:pPr>
              <w:spacing w:after="0"/>
              <w:rPr>
                <w:sz w:val="20"/>
                <w:szCs w:val="20"/>
                <w:color w:val="auto"/>
              </w:rPr>
            </w:pPr>
            <w:r>
              <w:rPr>
                <w:rFonts w:ascii="Arial" w:cs="Arial" w:eastAsia="Arial" w:hAnsi="Arial"/>
                <w:sz w:val="18"/>
                <w:szCs w:val="18"/>
                <w:color w:val="auto"/>
              </w:rPr>
              <w:t>Investment in Ally Financial</w:t>
            </w:r>
          </w:p>
        </w:tc>
        <w:tc>
          <w:tcPr>
            <w:tcW w:w="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80" w:type="dxa"/>
            <w:vAlign w:val="bottom"/>
            <w:gridSpan w:val="2"/>
          </w:tcPr>
          <w:p>
            <w:pPr>
              <w:jc w:val="right"/>
              <w:ind w:right="512"/>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680" w:type="dxa"/>
            <w:vAlign w:val="bottom"/>
            <w:tcBorders>
              <w:right w:val="single" w:sz="8" w:color="auto"/>
            </w:tcBorders>
            <w:gridSpan w:val="2"/>
          </w:tcPr>
          <w:p>
            <w:pPr>
              <w:jc w:val="right"/>
              <w:ind w:right="680"/>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ind w:right="40"/>
              <w:spacing w:after="0"/>
              <w:rPr>
                <w:sz w:val="20"/>
                <w:szCs w:val="20"/>
                <w:color w:val="auto"/>
              </w:rPr>
            </w:pPr>
            <w:r>
              <w:rPr>
                <w:rFonts w:ascii="Arial" w:cs="Arial" w:eastAsia="Arial" w:hAnsi="Arial"/>
                <w:sz w:val="18"/>
                <w:szCs w:val="18"/>
                <w:color w:val="auto"/>
              </w:rPr>
              <w:t>(884)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00" w:type="dxa"/>
            <w:vAlign w:val="bottom"/>
            <w:shd w:val="clear" w:color="auto" w:fill="CCEEFF"/>
          </w:tcPr>
          <w:p>
            <w:pPr>
              <w:spacing w:after="0"/>
              <w:rPr>
                <w:sz w:val="20"/>
                <w:szCs w:val="20"/>
                <w:color w:val="auto"/>
              </w:rPr>
            </w:pPr>
            <w:r>
              <w:rPr>
                <w:rFonts w:ascii="Arial" w:cs="Arial" w:eastAsia="Arial" w:hAnsi="Arial"/>
                <w:sz w:val="18"/>
                <w:szCs w:val="18"/>
                <w:color w:val="auto"/>
              </w:rPr>
              <w:t>Investment in companies, net of cash acquired</w:t>
            </w:r>
          </w:p>
        </w:tc>
        <w:tc>
          <w:tcPr>
            <w:tcW w:w="6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452"/>
              <w:spacing w:after="0"/>
              <w:rPr>
                <w:sz w:val="20"/>
                <w:szCs w:val="20"/>
                <w:color w:val="auto"/>
              </w:rPr>
            </w:pPr>
            <w:r>
              <w:rPr>
                <w:rFonts w:ascii="Arial" w:cs="Arial" w:eastAsia="Arial" w:hAnsi="Arial"/>
                <w:sz w:val="18"/>
                <w:szCs w:val="18"/>
                <w:color w:val="auto"/>
              </w:rPr>
              <w:t>(59)</w:t>
            </w:r>
          </w:p>
        </w:tc>
        <w:tc>
          <w:tcPr>
            <w:tcW w:w="140" w:type="dxa"/>
            <w:vAlign w:val="bottom"/>
            <w:shd w:val="clear" w:color="auto" w:fill="CCEEFF"/>
          </w:tcPr>
          <w:p>
            <w:pPr>
              <w:spacing w:after="0"/>
              <w:rPr>
                <w:sz w:val="18"/>
                <w:szCs w:val="18"/>
                <w:color w:val="auto"/>
              </w:rPr>
            </w:pPr>
          </w:p>
        </w:tc>
        <w:tc>
          <w:tcPr>
            <w:tcW w:w="1680" w:type="dxa"/>
            <w:vAlign w:val="bottom"/>
            <w:tcBorders>
              <w:right w:val="single" w:sz="8" w:color="auto"/>
            </w:tcBorders>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(78)</w:t>
            </w: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00" w:type="dxa"/>
            <w:vAlign w:val="bottom"/>
          </w:tcPr>
          <w:p>
            <w:pPr>
              <w:spacing w:after="0"/>
              <w:rPr>
                <w:sz w:val="20"/>
                <w:szCs w:val="20"/>
                <w:color w:val="auto"/>
              </w:rPr>
            </w:pPr>
            <w:r>
              <w:rPr>
                <w:rFonts w:ascii="Arial" w:cs="Arial" w:eastAsia="Arial" w:hAnsi="Arial"/>
                <w:sz w:val="18"/>
                <w:szCs w:val="18"/>
                <w:color w:val="auto"/>
              </w:rPr>
              <w:t>Operating leases, liquidations</w:t>
            </w:r>
          </w:p>
        </w:tc>
        <w:tc>
          <w:tcPr>
            <w:tcW w:w="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337</w:t>
            </w:r>
          </w:p>
        </w:tc>
        <w:tc>
          <w:tcPr>
            <w:tcW w:w="5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346</w:t>
            </w:r>
          </w:p>
        </w:tc>
        <w:tc>
          <w:tcPr>
            <w:tcW w:w="680" w:type="dxa"/>
            <w:vAlign w:val="bottom"/>
            <w:tcBorders>
              <w:right w:val="single" w:sz="8" w:color="auto"/>
            </w:tcBorders>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1,307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00" w:type="dxa"/>
            <w:vAlign w:val="bottom"/>
            <w:shd w:val="clear" w:color="auto" w:fill="CCEEFF"/>
          </w:tcPr>
          <w:p>
            <w:pPr>
              <w:spacing w:after="0"/>
              <w:rPr>
                <w:sz w:val="20"/>
                <w:szCs w:val="20"/>
                <w:color w:val="auto"/>
              </w:rPr>
            </w:pPr>
            <w:r>
              <w:rPr>
                <w:rFonts w:ascii="Arial" w:cs="Arial" w:eastAsia="Arial" w:hAnsi="Arial"/>
                <w:sz w:val="18"/>
                <w:szCs w:val="18"/>
                <w:color w:val="auto"/>
              </w:rPr>
              <w:t>Change in restricted cash and marketable securities</w:t>
            </w:r>
          </w:p>
        </w:tc>
        <w:tc>
          <w:tcPr>
            <w:tcW w:w="6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12,688</w:t>
            </w:r>
          </w:p>
        </w:tc>
        <w:tc>
          <w:tcPr>
            <w:tcW w:w="5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80" w:type="dxa"/>
            <w:vAlign w:val="bottom"/>
            <w:tcBorders>
              <w:right w:val="single" w:sz="8" w:color="auto"/>
            </w:tcBorders>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(9)</w:t>
            </w: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5"/>
              </w:rPr>
              <w:t>(18,043)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00" w:type="dxa"/>
            <w:vAlign w:val="bottom"/>
          </w:tcPr>
          <w:p>
            <w:pPr>
              <w:spacing w:after="0"/>
              <w:rPr>
                <w:sz w:val="20"/>
                <w:szCs w:val="20"/>
                <w:color w:val="auto"/>
              </w:rPr>
            </w:pPr>
            <w:r>
              <w:rPr>
                <w:rFonts w:ascii="Arial" w:cs="Arial" w:eastAsia="Arial" w:hAnsi="Arial"/>
                <w:sz w:val="18"/>
                <w:szCs w:val="18"/>
                <w:color w:val="auto"/>
              </w:rPr>
              <w:t>Increase in cash due to consolidation of Saab in August 2009</w:t>
            </w:r>
          </w:p>
        </w:tc>
        <w:tc>
          <w:tcPr>
            <w:tcW w:w="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80" w:type="dxa"/>
            <w:vAlign w:val="bottom"/>
            <w:gridSpan w:val="2"/>
          </w:tcPr>
          <w:p>
            <w:pPr>
              <w:jc w:val="right"/>
              <w:ind w:right="512"/>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222</w:t>
            </w:r>
          </w:p>
        </w:tc>
        <w:tc>
          <w:tcPr>
            <w:tcW w:w="680" w:type="dxa"/>
            <w:vAlign w:val="bottom"/>
            <w:tcBorders>
              <w:right w:val="single" w:sz="8" w:color="auto"/>
            </w:tcBorders>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00" w:type="dxa"/>
            <w:vAlign w:val="bottom"/>
            <w:shd w:val="clear" w:color="auto" w:fill="CCEEFF"/>
          </w:tcPr>
          <w:p>
            <w:pPr>
              <w:spacing w:after="0"/>
              <w:rPr>
                <w:sz w:val="20"/>
                <w:szCs w:val="20"/>
                <w:color w:val="auto"/>
              </w:rPr>
            </w:pPr>
            <w:r>
              <w:rPr>
                <w:rFonts w:ascii="Arial" w:cs="Arial" w:eastAsia="Arial" w:hAnsi="Arial"/>
                <w:sz w:val="18"/>
                <w:szCs w:val="18"/>
                <w:color w:val="auto"/>
              </w:rPr>
              <w:t>Distributions from Ally Financial received on Ally Financial common shares</w:t>
            </w:r>
          </w:p>
        </w:tc>
        <w:tc>
          <w:tcPr>
            <w:tcW w:w="6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512"/>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w:t>
            </w:r>
          </w:p>
        </w:tc>
        <w:tc>
          <w:tcPr>
            <w:tcW w:w="680" w:type="dxa"/>
            <w:vAlign w:val="bottom"/>
            <w:tcBorders>
              <w:right w:val="single" w:sz="8" w:color="auto"/>
            </w:tcBorders>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00" w:type="dxa"/>
            <w:vAlign w:val="bottom"/>
          </w:tcPr>
          <w:p>
            <w:pPr>
              <w:spacing w:after="0"/>
              <w:rPr>
                <w:sz w:val="20"/>
                <w:szCs w:val="20"/>
                <w:color w:val="auto"/>
              </w:rPr>
            </w:pPr>
            <w:r>
              <w:rPr>
                <w:rFonts w:ascii="Arial" w:cs="Arial" w:eastAsia="Arial" w:hAnsi="Arial"/>
                <w:sz w:val="18"/>
                <w:szCs w:val="18"/>
                <w:color w:val="auto"/>
              </w:rPr>
              <w:t>Other</w:t>
            </w:r>
          </w:p>
        </w:tc>
        <w:tc>
          <w:tcPr>
            <w:tcW w:w="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164</w:t>
            </w:r>
          </w:p>
        </w:tc>
        <w:tc>
          <w:tcPr>
            <w:tcW w:w="5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80" w:type="dxa"/>
            <w:vAlign w:val="bottom"/>
            <w:tcBorders>
              <w:right w:val="single" w:sz="8" w:color="auto"/>
            </w:tcBorders>
            <w:gridSpan w:val="2"/>
          </w:tcPr>
          <w:p>
            <w:pPr>
              <w:jc w:val="right"/>
              <w:ind w:right="620"/>
              <w:spacing w:after="0"/>
              <w:rPr>
                <w:sz w:val="20"/>
                <w:szCs w:val="20"/>
                <w:color w:val="auto"/>
              </w:rPr>
            </w:pPr>
            <w:r>
              <w:rPr>
                <w:rFonts w:ascii="Arial" w:cs="Arial" w:eastAsia="Arial" w:hAnsi="Arial"/>
                <w:sz w:val="18"/>
                <w:szCs w:val="18"/>
                <w:color w:val="auto"/>
              </w:rPr>
              <w:t>(31)</w:t>
            </w: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0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5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680" w:type="dxa"/>
            <w:vAlign w:val="bottom"/>
            <w:tcBorders>
              <w:right w:val="single" w:sz="8" w:color="auto"/>
            </w:tcBorders>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0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cash provided by (used in) investing activities</w:t>
            </w:r>
          </w:p>
        </w:tc>
        <w:tc>
          <w:tcPr>
            <w:tcW w:w="6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4,146</w:t>
            </w:r>
          </w:p>
        </w:tc>
        <w:tc>
          <w:tcPr>
            <w:tcW w:w="5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80" w:type="dxa"/>
            <w:vAlign w:val="bottom"/>
            <w:tcBorders>
              <w:right w:val="single" w:sz="8" w:color="auto"/>
            </w:tcBorders>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(346)</w:t>
            </w: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5"/>
              </w:rPr>
              <w:t>(21,134)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00" w:type="dxa"/>
            <w:vAlign w:val="bottom"/>
          </w:tcPr>
          <w:p>
            <w:pPr>
              <w:spacing w:after="0"/>
              <w:rPr>
                <w:sz w:val="20"/>
                <w:szCs w:val="20"/>
                <w:color w:val="auto"/>
              </w:rPr>
            </w:pPr>
            <w:r>
              <w:rPr>
                <w:rFonts w:ascii="Arial" w:cs="Arial" w:eastAsia="Arial" w:hAnsi="Arial"/>
                <w:sz w:val="18"/>
                <w:szCs w:val="18"/>
                <w:b w:val="1"/>
                <w:bCs w:val="1"/>
                <w:color w:val="auto"/>
              </w:rPr>
              <w:t>Cash flows from financing activities</w:t>
            </w:r>
          </w:p>
        </w:tc>
        <w:tc>
          <w:tcPr>
            <w:tcW w:w="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680" w:type="dxa"/>
            <w:vAlign w:val="bottom"/>
            <w:tcBorders>
              <w:right w:val="single" w:sz="8" w:color="auto"/>
            </w:tcBorders>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00" w:type="dxa"/>
            <w:vAlign w:val="bottom"/>
            <w:shd w:val="clear" w:color="auto" w:fill="CCEEFF"/>
          </w:tcPr>
          <w:p>
            <w:pPr>
              <w:spacing w:after="0"/>
              <w:rPr>
                <w:sz w:val="20"/>
                <w:szCs w:val="20"/>
                <w:color w:val="auto"/>
              </w:rPr>
            </w:pPr>
            <w:r>
              <w:rPr>
                <w:rFonts w:ascii="Arial" w:cs="Arial" w:eastAsia="Arial" w:hAnsi="Arial"/>
                <w:sz w:val="18"/>
                <w:szCs w:val="18"/>
                <w:color w:val="auto"/>
              </w:rPr>
              <w:t>Net decrease in short-term debt</w:t>
            </w:r>
          </w:p>
        </w:tc>
        <w:tc>
          <w:tcPr>
            <w:tcW w:w="6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452"/>
              <w:spacing w:after="0"/>
              <w:rPr>
                <w:sz w:val="20"/>
                <w:szCs w:val="20"/>
                <w:color w:val="auto"/>
              </w:rPr>
            </w:pPr>
            <w:r>
              <w:rPr>
                <w:rFonts w:ascii="Arial" w:cs="Arial" w:eastAsia="Arial" w:hAnsi="Arial"/>
                <w:sz w:val="18"/>
                <w:szCs w:val="18"/>
                <w:color w:val="auto"/>
              </w:rPr>
              <w:t>(83)</w:t>
            </w:r>
          </w:p>
        </w:tc>
        <w:tc>
          <w:tcPr>
            <w:tcW w:w="140" w:type="dxa"/>
            <w:vAlign w:val="bottom"/>
            <w:shd w:val="clear" w:color="auto" w:fill="CCEEFF"/>
          </w:tcPr>
          <w:p>
            <w:pPr>
              <w:spacing w:after="0"/>
              <w:rPr>
                <w:sz w:val="18"/>
                <w:szCs w:val="18"/>
                <w:color w:val="auto"/>
              </w:rPr>
            </w:pPr>
          </w:p>
        </w:tc>
        <w:tc>
          <w:tcPr>
            <w:tcW w:w="1680" w:type="dxa"/>
            <w:vAlign w:val="bottom"/>
            <w:tcBorders>
              <w:right w:val="single" w:sz="8" w:color="auto"/>
            </w:tcBorders>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(290)</w:t>
            </w: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(2,364)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00" w:type="dxa"/>
            <w:vAlign w:val="bottom"/>
          </w:tcPr>
          <w:p>
            <w:pPr>
              <w:spacing w:after="0"/>
              <w:rPr>
                <w:sz w:val="20"/>
                <w:szCs w:val="20"/>
                <w:color w:val="auto"/>
              </w:rPr>
            </w:pPr>
            <w:r>
              <w:rPr>
                <w:rFonts w:ascii="Arial" w:cs="Arial" w:eastAsia="Arial" w:hAnsi="Arial"/>
                <w:sz w:val="18"/>
                <w:szCs w:val="18"/>
                <w:color w:val="auto"/>
              </w:rPr>
              <w:t>Proceeds from debt owed to the UST, EDC and German government</w:t>
            </w:r>
          </w:p>
        </w:tc>
        <w:tc>
          <w:tcPr>
            <w:tcW w:w="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80" w:type="dxa"/>
            <w:vAlign w:val="bottom"/>
            <w:gridSpan w:val="2"/>
          </w:tcPr>
          <w:p>
            <w:pPr>
              <w:jc w:val="right"/>
              <w:ind w:right="512"/>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4,788</w:t>
            </w:r>
          </w:p>
        </w:tc>
        <w:tc>
          <w:tcPr>
            <w:tcW w:w="680" w:type="dxa"/>
            <w:vAlign w:val="bottom"/>
            <w:tcBorders>
              <w:right w:val="single" w:sz="8" w:color="auto"/>
            </w:tcBorders>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53,604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00" w:type="dxa"/>
            <w:vAlign w:val="bottom"/>
            <w:shd w:val="clear" w:color="auto" w:fill="CCEEFF"/>
          </w:tcPr>
          <w:p>
            <w:pPr>
              <w:spacing w:after="0"/>
              <w:rPr>
                <w:sz w:val="20"/>
                <w:szCs w:val="20"/>
                <w:color w:val="auto"/>
              </w:rPr>
            </w:pPr>
            <w:r>
              <w:rPr>
                <w:rFonts w:ascii="Arial" w:cs="Arial" w:eastAsia="Arial" w:hAnsi="Arial"/>
                <w:sz w:val="18"/>
                <w:szCs w:val="18"/>
                <w:color w:val="auto"/>
              </w:rPr>
              <w:t>Proceeds from other debt</w:t>
            </w:r>
          </w:p>
        </w:tc>
        <w:tc>
          <w:tcPr>
            <w:tcW w:w="6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652</w:t>
            </w:r>
          </w:p>
        </w:tc>
        <w:tc>
          <w:tcPr>
            <w:tcW w:w="5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294</w:t>
            </w:r>
          </w:p>
        </w:tc>
        <w:tc>
          <w:tcPr>
            <w:tcW w:w="680" w:type="dxa"/>
            <w:vAlign w:val="bottom"/>
            <w:tcBorders>
              <w:right w:val="single" w:sz="8" w:color="auto"/>
            </w:tcBorders>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345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00" w:type="dxa"/>
            <w:vAlign w:val="bottom"/>
          </w:tcPr>
          <w:p>
            <w:pPr>
              <w:spacing w:after="0"/>
              <w:rPr>
                <w:sz w:val="20"/>
                <w:szCs w:val="20"/>
                <w:color w:val="auto"/>
              </w:rPr>
            </w:pPr>
            <w:r>
              <w:rPr>
                <w:rFonts w:ascii="Arial" w:cs="Arial" w:eastAsia="Arial" w:hAnsi="Arial"/>
                <w:sz w:val="18"/>
                <w:szCs w:val="18"/>
                <w:color w:val="auto"/>
              </w:rPr>
              <w:t>Payments on debt owed to UST, EDC and German government</w:t>
            </w:r>
          </w:p>
        </w:tc>
        <w:tc>
          <w:tcPr>
            <w:tcW w:w="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80" w:type="dxa"/>
            <w:vAlign w:val="bottom"/>
            <w:gridSpan w:val="2"/>
          </w:tcPr>
          <w:p>
            <w:pPr>
              <w:jc w:val="right"/>
              <w:ind w:right="452"/>
              <w:spacing w:after="0"/>
              <w:rPr>
                <w:sz w:val="20"/>
                <w:szCs w:val="20"/>
                <w:color w:val="auto"/>
              </w:rPr>
            </w:pPr>
            <w:r>
              <w:rPr>
                <w:rFonts w:ascii="Arial" w:cs="Arial" w:eastAsia="Arial" w:hAnsi="Arial"/>
                <w:sz w:val="18"/>
                <w:szCs w:val="18"/>
                <w:color w:val="auto"/>
              </w:rPr>
              <w:t>(7,153)</w:t>
            </w:r>
          </w:p>
        </w:tc>
        <w:tc>
          <w:tcPr>
            <w:tcW w:w="140" w:type="dxa"/>
            <w:vAlign w:val="bottom"/>
          </w:tcPr>
          <w:p>
            <w:pPr>
              <w:spacing w:after="0"/>
              <w:rPr>
                <w:sz w:val="18"/>
                <w:szCs w:val="18"/>
                <w:color w:val="auto"/>
              </w:rPr>
            </w:pPr>
          </w:p>
        </w:tc>
        <w:tc>
          <w:tcPr>
            <w:tcW w:w="1680" w:type="dxa"/>
            <w:vAlign w:val="bottom"/>
            <w:tcBorders>
              <w:right w:val="single" w:sz="8" w:color="auto"/>
            </w:tcBorders>
            <w:gridSpan w:val="2"/>
          </w:tcPr>
          <w:p>
            <w:pPr>
              <w:jc w:val="right"/>
              <w:ind w:right="620"/>
              <w:spacing w:after="0"/>
              <w:rPr>
                <w:sz w:val="20"/>
                <w:szCs w:val="20"/>
                <w:color w:val="auto"/>
              </w:rPr>
            </w:pPr>
            <w:r>
              <w:rPr>
                <w:rFonts w:ascii="Arial" w:cs="Arial" w:eastAsia="Arial" w:hAnsi="Arial"/>
                <w:sz w:val="18"/>
                <w:szCs w:val="18"/>
                <w:color w:val="auto"/>
              </w:rPr>
              <w:t>(799)</w:t>
            </w: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00" w:type="dxa"/>
            <w:vAlign w:val="bottom"/>
            <w:shd w:val="clear" w:color="auto" w:fill="CCEEFF"/>
          </w:tcPr>
          <w:p>
            <w:pPr>
              <w:spacing w:after="0"/>
              <w:rPr>
                <w:sz w:val="20"/>
                <w:szCs w:val="20"/>
                <w:color w:val="auto"/>
              </w:rPr>
            </w:pPr>
            <w:r>
              <w:rPr>
                <w:rFonts w:ascii="Arial" w:cs="Arial" w:eastAsia="Arial" w:hAnsi="Arial"/>
                <w:sz w:val="18"/>
                <w:szCs w:val="18"/>
                <w:color w:val="auto"/>
              </w:rPr>
              <w:t>Payments on other debt</w:t>
            </w:r>
          </w:p>
        </w:tc>
        <w:tc>
          <w:tcPr>
            <w:tcW w:w="6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452"/>
              <w:spacing w:after="0"/>
              <w:rPr>
                <w:sz w:val="20"/>
                <w:szCs w:val="20"/>
                <w:color w:val="auto"/>
              </w:rPr>
            </w:pPr>
            <w:r>
              <w:rPr>
                <w:rFonts w:ascii="Arial" w:cs="Arial" w:eastAsia="Arial" w:hAnsi="Arial"/>
                <w:sz w:val="18"/>
                <w:szCs w:val="18"/>
                <w:color w:val="auto"/>
              </w:rPr>
              <w:t>(751)</w:t>
            </w:r>
          </w:p>
        </w:tc>
        <w:tc>
          <w:tcPr>
            <w:tcW w:w="140" w:type="dxa"/>
            <w:vAlign w:val="bottom"/>
            <w:shd w:val="clear" w:color="auto" w:fill="CCEEFF"/>
          </w:tcPr>
          <w:p>
            <w:pPr>
              <w:spacing w:after="0"/>
              <w:rPr>
                <w:sz w:val="18"/>
                <w:szCs w:val="18"/>
                <w:color w:val="auto"/>
              </w:rPr>
            </w:pPr>
          </w:p>
        </w:tc>
        <w:tc>
          <w:tcPr>
            <w:tcW w:w="1680" w:type="dxa"/>
            <w:vAlign w:val="bottom"/>
            <w:tcBorders>
              <w:right w:val="single" w:sz="8" w:color="auto"/>
            </w:tcBorders>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(583)</w:t>
            </w: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(6,072)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00" w:type="dxa"/>
            <w:vAlign w:val="bottom"/>
          </w:tcPr>
          <w:p>
            <w:pPr>
              <w:spacing w:after="0"/>
              <w:rPr>
                <w:sz w:val="20"/>
                <w:szCs w:val="20"/>
                <w:color w:val="auto"/>
              </w:rPr>
            </w:pPr>
            <w:r>
              <w:rPr>
                <w:rFonts w:ascii="Arial" w:cs="Arial" w:eastAsia="Arial" w:hAnsi="Arial"/>
                <w:sz w:val="18"/>
                <w:szCs w:val="18"/>
                <w:color w:val="auto"/>
              </w:rPr>
              <w:t>Payments to acquire noncontrolling interest</w:t>
            </w:r>
          </w:p>
        </w:tc>
        <w:tc>
          <w:tcPr>
            <w:tcW w:w="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80" w:type="dxa"/>
            <w:vAlign w:val="bottom"/>
            <w:gridSpan w:val="2"/>
          </w:tcPr>
          <w:p>
            <w:pPr>
              <w:jc w:val="right"/>
              <w:ind w:right="452"/>
              <w:spacing w:after="0"/>
              <w:rPr>
                <w:sz w:val="20"/>
                <w:szCs w:val="20"/>
                <w:color w:val="auto"/>
              </w:rPr>
            </w:pPr>
            <w:r>
              <w:rPr>
                <w:rFonts w:ascii="Arial" w:cs="Arial" w:eastAsia="Arial" w:hAnsi="Arial"/>
                <w:sz w:val="18"/>
                <w:szCs w:val="18"/>
                <w:color w:val="auto"/>
              </w:rPr>
              <w:t>(6)</w:t>
            </w:r>
          </w:p>
        </w:tc>
        <w:tc>
          <w:tcPr>
            <w:tcW w:w="140" w:type="dxa"/>
            <w:vAlign w:val="bottom"/>
          </w:tcPr>
          <w:p>
            <w:pPr>
              <w:spacing w:after="0"/>
              <w:rPr>
                <w:sz w:val="18"/>
                <w:szCs w:val="18"/>
                <w:color w:val="auto"/>
              </w:rPr>
            </w:pPr>
          </w:p>
        </w:tc>
        <w:tc>
          <w:tcPr>
            <w:tcW w:w="1680" w:type="dxa"/>
            <w:vAlign w:val="bottom"/>
            <w:tcBorders>
              <w:right w:val="single" w:sz="8" w:color="auto"/>
            </w:tcBorders>
            <w:gridSpan w:val="2"/>
          </w:tcPr>
          <w:p>
            <w:pPr>
              <w:jc w:val="right"/>
              <w:ind w:right="680"/>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ind w:right="4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00" w:type="dxa"/>
            <w:vAlign w:val="bottom"/>
            <w:shd w:val="clear" w:color="auto" w:fill="CCEEFF"/>
          </w:tcPr>
          <w:p>
            <w:pPr>
              <w:spacing w:after="0"/>
              <w:rPr>
                <w:sz w:val="20"/>
                <w:szCs w:val="20"/>
                <w:color w:val="auto"/>
              </w:rPr>
            </w:pPr>
            <w:r>
              <w:rPr>
                <w:rFonts w:ascii="Arial" w:cs="Arial" w:eastAsia="Arial" w:hAnsi="Arial"/>
                <w:sz w:val="18"/>
                <w:szCs w:val="18"/>
                <w:color w:val="auto"/>
              </w:rPr>
              <w:t>Fees paid for debt modification</w:t>
            </w:r>
          </w:p>
        </w:tc>
        <w:tc>
          <w:tcPr>
            <w:tcW w:w="6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512"/>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680" w:type="dxa"/>
            <w:vAlign w:val="bottom"/>
            <w:tcBorders>
              <w:right w:val="single" w:sz="8" w:color="auto"/>
            </w:tcBorders>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00" w:type="dxa"/>
            <w:vAlign w:val="bottom"/>
          </w:tcPr>
          <w:p>
            <w:pPr>
              <w:spacing w:after="0"/>
              <w:rPr>
                <w:sz w:val="20"/>
                <w:szCs w:val="20"/>
                <w:color w:val="auto"/>
              </w:rPr>
            </w:pPr>
            <w:r>
              <w:rPr>
                <w:rFonts w:ascii="Arial" w:cs="Arial" w:eastAsia="Arial" w:hAnsi="Arial"/>
                <w:sz w:val="18"/>
                <w:szCs w:val="18"/>
                <w:color w:val="auto"/>
              </w:rPr>
              <w:t>Dividends paid to GM preferred stockholders</w:t>
            </w:r>
          </w:p>
        </w:tc>
        <w:tc>
          <w:tcPr>
            <w:tcW w:w="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80" w:type="dxa"/>
            <w:vAlign w:val="bottom"/>
            <w:gridSpan w:val="2"/>
          </w:tcPr>
          <w:p>
            <w:pPr>
              <w:jc w:val="right"/>
              <w:ind w:right="452"/>
              <w:spacing w:after="0"/>
              <w:rPr>
                <w:sz w:val="20"/>
                <w:szCs w:val="20"/>
                <w:color w:val="auto"/>
              </w:rPr>
            </w:pPr>
            <w:r>
              <w:rPr>
                <w:rFonts w:ascii="Arial" w:cs="Arial" w:eastAsia="Arial" w:hAnsi="Arial"/>
                <w:sz w:val="18"/>
                <w:szCs w:val="18"/>
                <w:color w:val="auto"/>
              </w:rPr>
              <w:t>(608)</w:t>
            </w:r>
          </w:p>
        </w:tc>
        <w:tc>
          <w:tcPr>
            <w:tcW w:w="140" w:type="dxa"/>
            <w:vAlign w:val="bottom"/>
          </w:tcPr>
          <w:p>
            <w:pPr>
              <w:spacing w:after="0"/>
              <w:rPr>
                <w:sz w:val="18"/>
                <w:szCs w:val="18"/>
                <w:color w:val="auto"/>
              </w:rPr>
            </w:pPr>
          </w:p>
        </w:tc>
        <w:tc>
          <w:tcPr>
            <w:tcW w:w="1680" w:type="dxa"/>
            <w:vAlign w:val="bottom"/>
            <w:tcBorders>
              <w:right w:val="single" w:sz="8" w:color="auto"/>
            </w:tcBorders>
            <w:gridSpan w:val="2"/>
          </w:tcPr>
          <w:p>
            <w:pPr>
              <w:jc w:val="right"/>
              <w:ind w:right="620"/>
              <w:spacing w:after="0"/>
              <w:rPr>
                <w:sz w:val="20"/>
                <w:szCs w:val="20"/>
                <w:color w:val="auto"/>
              </w:rPr>
            </w:pPr>
            <w:r>
              <w:rPr>
                <w:rFonts w:ascii="Arial" w:cs="Arial" w:eastAsia="Arial" w:hAnsi="Arial"/>
                <w:sz w:val="18"/>
                <w:szCs w:val="18"/>
                <w:color w:val="auto"/>
              </w:rPr>
              <w:t>(41)</w:t>
            </w: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00" w:type="dxa"/>
            <w:vAlign w:val="bottom"/>
            <w:shd w:val="clear" w:color="auto" w:fill="CCEEFF"/>
          </w:tcPr>
          <w:p>
            <w:pPr>
              <w:spacing w:after="0"/>
              <w:rPr>
                <w:sz w:val="20"/>
                <w:szCs w:val="20"/>
                <w:color w:val="auto"/>
              </w:rPr>
            </w:pPr>
            <w:r>
              <w:rPr>
                <w:rFonts w:ascii="Arial" w:cs="Arial" w:eastAsia="Arial" w:hAnsi="Arial"/>
                <w:sz w:val="18"/>
                <w:szCs w:val="18"/>
                <w:color w:val="auto"/>
              </w:rPr>
              <w:t>Cash, cash equivalents and restricted cash retained by MLC</w:t>
            </w:r>
          </w:p>
        </w:tc>
        <w:tc>
          <w:tcPr>
            <w:tcW w:w="6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tcBorders>
              <w:right w:val="single" w:sz="8" w:color="auto"/>
            </w:tcBorders>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(1,216)</w:t>
            </w:r>
          </w:p>
        </w:tc>
        <w:tc>
          <w:tcPr>
            <w:tcW w:w="0" w:type="dxa"/>
            <w:vAlign w:val="bottom"/>
          </w:tcPr>
          <w:p>
            <w:pPr>
              <w:spacing w:after="0"/>
              <w:rPr>
                <w:sz w:val="1"/>
                <w:szCs w:val="1"/>
                <w:color w:val="auto"/>
              </w:rPr>
            </w:pPr>
          </w:p>
        </w:tc>
      </w:tr>
      <w:tr>
        <w:trPr>
          <w:trHeight w:val="20"/>
        </w:trPr>
        <w:tc>
          <w:tcPr>
            <w:tcW w:w="602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Net cash provided by (used in) financing activities</w:t>
            </w:r>
          </w:p>
        </w:tc>
        <w:tc>
          <w:tcPr>
            <w:tcW w:w="6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680" w:type="dxa"/>
            <w:vAlign w:val="bottom"/>
            <w:tcBorders>
              <w:right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6020" w:type="dxa"/>
            <w:vAlign w:val="bottom"/>
            <w:gridSpan w:val="2"/>
            <w:vMerge w:val="continue"/>
          </w:tcPr>
          <w:p>
            <w:pPr>
              <w:spacing w:after="0"/>
              <w:rPr>
                <w:sz w:val="19"/>
                <w:szCs w:val="19"/>
                <w:color w:val="auto"/>
              </w:rPr>
            </w:pPr>
          </w:p>
        </w:tc>
        <w:tc>
          <w:tcPr>
            <w:tcW w:w="6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580" w:type="dxa"/>
            <w:vAlign w:val="bottom"/>
            <w:gridSpan w:val="2"/>
          </w:tcPr>
          <w:p>
            <w:pPr>
              <w:jc w:val="right"/>
              <w:ind w:right="452"/>
              <w:spacing w:after="0"/>
              <w:rPr>
                <w:sz w:val="20"/>
                <w:szCs w:val="20"/>
                <w:color w:val="auto"/>
              </w:rPr>
            </w:pPr>
            <w:r>
              <w:rPr>
                <w:rFonts w:ascii="Arial" w:cs="Arial" w:eastAsia="Arial" w:hAnsi="Arial"/>
                <w:sz w:val="18"/>
                <w:szCs w:val="18"/>
                <w:color w:val="auto"/>
              </w:rPr>
              <w:t>(7,949)</w:t>
            </w:r>
          </w:p>
        </w:tc>
        <w:tc>
          <w:tcPr>
            <w:tcW w:w="1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3,369</w:t>
            </w:r>
          </w:p>
        </w:tc>
        <w:tc>
          <w:tcPr>
            <w:tcW w:w="680" w:type="dxa"/>
            <w:vAlign w:val="bottom"/>
            <w:tcBorders>
              <w:right w:val="single" w:sz="8" w:color="auto"/>
            </w:tcBorders>
          </w:tcPr>
          <w:p>
            <w:pPr>
              <w:spacing w:after="0"/>
              <w:rPr>
                <w:sz w:val="19"/>
                <w:szCs w:val="19"/>
                <w:color w:val="auto"/>
              </w:rPr>
            </w:pPr>
          </w:p>
        </w:tc>
        <w:tc>
          <w:tcPr>
            <w:tcW w:w="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44,229</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6000" w:type="dxa"/>
            <w:vAlign w:val="bottom"/>
            <w:shd w:val="clear" w:color="auto" w:fill="CCEEFF"/>
          </w:tcPr>
          <w:p>
            <w:pPr>
              <w:spacing w:after="0"/>
              <w:rPr>
                <w:sz w:val="20"/>
                <w:szCs w:val="20"/>
                <w:color w:val="auto"/>
              </w:rPr>
            </w:pPr>
            <w:r>
              <w:rPr>
                <w:rFonts w:ascii="Arial" w:cs="Arial" w:eastAsia="Arial" w:hAnsi="Arial"/>
                <w:sz w:val="18"/>
                <w:szCs w:val="18"/>
                <w:color w:val="auto"/>
              </w:rPr>
              <w:t>Effect of exchange rate changes on cash and cash equivalents</w:t>
            </w:r>
          </w:p>
        </w:tc>
        <w:tc>
          <w:tcPr>
            <w:tcW w:w="6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452"/>
              <w:spacing w:after="0"/>
              <w:rPr>
                <w:sz w:val="20"/>
                <w:szCs w:val="20"/>
                <w:color w:val="auto"/>
              </w:rPr>
            </w:pPr>
            <w:r>
              <w:rPr>
                <w:rFonts w:ascii="Arial" w:cs="Arial" w:eastAsia="Arial" w:hAnsi="Arial"/>
                <w:sz w:val="18"/>
                <w:szCs w:val="18"/>
                <w:color w:val="auto"/>
              </w:rPr>
              <w:t>(120)</w:t>
            </w: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374</w:t>
            </w:r>
          </w:p>
        </w:tc>
        <w:tc>
          <w:tcPr>
            <w:tcW w:w="680" w:type="dxa"/>
            <w:vAlign w:val="bottom"/>
            <w:tcBorders>
              <w:right w:val="single" w:sz="8" w:color="auto"/>
            </w:tcBorders>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168</w:t>
            </w:r>
          </w:p>
        </w:tc>
        <w:tc>
          <w:tcPr>
            <w:tcW w:w="0" w:type="dxa"/>
            <w:vAlign w:val="bottom"/>
          </w:tcPr>
          <w:p>
            <w:pPr>
              <w:spacing w:after="0"/>
              <w:rPr>
                <w:sz w:val="1"/>
                <w:szCs w:val="1"/>
                <w:color w:val="auto"/>
              </w:rPr>
            </w:pPr>
          </w:p>
        </w:tc>
      </w:tr>
      <w:tr>
        <w:trPr>
          <w:trHeight w:val="221"/>
        </w:trPr>
        <w:tc>
          <w:tcPr>
            <w:tcW w:w="6020" w:type="dxa"/>
            <w:vAlign w:val="bottom"/>
            <w:gridSpan w:val="2"/>
          </w:tcPr>
          <w:p>
            <w:pPr>
              <w:spacing w:after="0"/>
              <w:rPr>
                <w:sz w:val="20"/>
                <w:szCs w:val="20"/>
                <w:color w:val="auto"/>
              </w:rPr>
            </w:pPr>
            <w:r>
              <w:rPr>
                <w:rFonts w:ascii="Arial" w:cs="Arial" w:eastAsia="Arial" w:hAnsi="Arial"/>
                <w:sz w:val="18"/>
                <w:szCs w:val="18"/>
                <w:color w:val="auto"/>
              </w:rPr>
              <w:t>Net increase in cash and cash equivalents</w:t>
            </w:r>
          </w:p>
        </w:tc>
        <w:tc>
          <w:tcPr>
            <w:tcW w:w="60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4,396</w:t>
            </w:r>
          </w:p>
        </w:tc>
        <w:tc>
          <w:tcPr>
            <w:tcW w:w="58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6,356</w:t>
            </w:r>
          </w:p>
        </w:tc>
        <w:tc>
          <w:tcPr>
            <w:tcW w:w="680" w:type="dxa"/>
            <w:vAlign w:val="bottom"/>
            <w:tcBorders>
              <w:right w:val="single" w:sz="8" w:color="auto"/>
            </w:tcBorders>
          </w:tcPr>
          <w:p>
            <w:pPr>
              <w:spacing w:after="0"/>
              <w:rPr>
                <w:sz w:val="19"/>
                <w:szCs w:val="19"/>
                <w:color w:val="auto"/>
              </w:rPr>
            </w:pPr>
          </w:p>
        </w:tc>
        <w:tc>
          <w:tcPr>
            <w:tcW w:w="46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4,960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600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 reclassified (to) from assets held for sale</w:t>
            </w:r>
          </w:p>
        </w:tc>
        <w:tc>
          <w:tcPr>
            <w:tcW w:w="6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391</w:t>
            </w:r>
          </w:p>
        </w:tc>
        <w:tc>
          <w:tcPr>
            <w:tcW w:w="5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80" w:type="dxa"/>
            <w:vAlign w:val="bottom"/>
            <w:tcBorders>
              <w:right w:val="single" w:sz="8" w:color="auto"/>
            </w:tcBorders>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(277)</w:t>
            </w: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000" w:type="dxa"/>
            <w:vAlign w:val="bottom"/>
          </w:tcPr>
          <w:p>
            <w:pPr>
              <w:spacing w:after="0"/>
              <w:rPr>
                <w:sz w:val="20"/>
                <w:szCs w:val="20"/>
                <w:color w:val="auto"/>
              </w:rPr>
            </w:pPr>
            <w:r>
              <w:rPr>
                <w:rFonts w:ascii="Arial" w:cs="Arial" w:eastAsia="Arial" w:hAnsi="Arial"/>
                <w:sz w:val="18"/>
                <w:szCs w:val="18"/>
                <w:color w:val="auto"/>
              </w:rPr>
              <w:t>Cash and cash equivalents at beginning of the period</w:t>
            </w:r>
          </w:p>
        </w:tc>
        <w:tc>
          <w:tcPr>
            <w:tcW w:w="60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22,679</w:t>
            </w:r>
          </w:p>
        </w:tc>
        <w:tc>
          <w:tcPr>
            <w:tcW w:w="58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19,013</w:t>
            </w:r>
          </w:p>
        </w:tc>
        <w:tc>
          <w:tcPr>
            <w:tcW w:w="680" w:type="dxa"/>
            <w:vAlign w:val="bottom"/>
            <w:tcBorders>
              <w:right w:val="single" w:sz="8" w:color="auto"/>
            </w:tcBorders>
          </w:tcPr>
          <w:p>
            <w:pPr>
              <w:spacing w:after="0"/>
              <w:rPr>
                <w:sz w:val="19"/>
                <w:szCs w:val="19"/>
                <w:color w:val="auto"/>
              </w:rPr>
            </w:pPr>
          </w:p>
        </w:tc>
        <w:tc>
          <w:tcPr>
            <w:tcW w:w="4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14,053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and cash equivalents at end of the period</w:t>
            </w:r>
          </w:p>
        </w:tc>
        <w:tc>
          <w:tcPr>
            <w:tcW w:w="740" w:type="dxa"/>
            <w:vAlign w:val="bottom"/>
            <w:gridSpan w:val="2"/>
            <w:shd w:val="clear" w:color="auto" w:fill="CCEEFF"/>
          </w:tcPr>
          <w:p>
            <w:pPr>
              <w:ind w:left="60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27,466</w:t>
            </w:r>
          </w:p>
        </w:tc>
        <w:tc>
          <w:tcPr>
            <w:tcW w:w="5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25,092</w:t>
            </w:r>
          </w:p>
        </w:tc>
        <w:tc>
          <w:tcPr>
            <w:tcW w:w="680" w:type="dxa"/>
            <w:vAlign w:val="bottom"/>
            <w:tcBorders>
              <w:right w:val="single" w:sz="8" w:color="auto"/>
            </w:tcBorders>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19,013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0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right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Reference should be made to the notes to the condensed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459" w:right="23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Nature of Operations</w:t>
      </w:r>
    </w:p>
    <w:p>
      <w:pPr>
        <w:spacing w:after="0" w:line="177" w:lineRule="exact"/>
        <w:rPr>
          <w:sz w:val="20"/>
          <w:szCs w:val="20"/>
          <w:color w:val="auto"/>
        </w:rPr>
      </w:pPr>
    </w:p>
    <w:p>
      <w:pPr>
        <w:ind w:right="60" w:firstLine="228"/>
        <w:spacing w:after="0" w:line="286" w:lineRule="auto"/>
        <w:rPr>
          <w:sz w:val="20"/>
          <w:szCs w:val="20"/>
          <w:color w:val="auto"/>
        </w:rPr>
      </w:pPr>
      <w:r>
        <w:rPr>
          <w:rFonts w:ascii="Arial" w:cs="Arial" w:eastAsia="Arial" w:hAnsi="Arial"/>
          <w:sz w:val="16"/>
          <w:szCs w:val="16"/>
          <w:color w:val="auto"/>
        </w:rPr>
        <w:t>General Motors Company was formed by the United States Department of the Treasury (UST) in 2009 originally as a Delaware limited liability company, Vehicle Acquisition Holdings LLC, and subsequently converted to a Delaware corporation, NGMCO, Inc. This company, which on July 10, 2009 acquired substantially all of the assets and assumed certain liabilities of General Motors Corporation (363 Sale) and changed its name to General Motors Company, is sometimes referred to in this Quarterly Report on Form 10-Q for the periods on or subsequent to July 10, 2009 as “we,” “our,” “us,” “ourselves,” the “Company,” “General Motors,” or “GM,” and is the successor entity solely for accounting and financial reporting purposes (Successor). General Motors Corporation is sometimes referred to in this Quarterly Report on Form 10-Q, for the periods on or before July 9, 2009, as “Old GM.” In connection with the 363 Sale, General Motors Corporation changed its name to Motors Liquidation Company, which is sometimes referred to in this Quarterly Report on Form 10-Q, for the periods on or after July 10, 2009, as “MLC.” MLC continues to exist as a distinct legal entity for the sole purpose of liquidating its remaining assets and liabilities. Prior to July 10, 2009 Old GM operated the business of the Company, and pursuant to the agreement with the Securities and Exchange Commission (SEC) Staff, as described in a no-action letter issued to Old GM by the SEC Staff on July 9, 2009, regarding our filing requirements and those of MLC, the accompanying condensed consolidated financial statements include the financial statements and related information of Old GM as it is our predecessor entity solely for accounting and financial reporting purposes (Predecessor).</w:t>
      </w:r>
    </w:p>
    <w:p>
      <w:pPr>
        <w:spacing w:after="0" w:line="124" w:lineRule="exact"/>
        <w:rPr>
          <w:sz w:val="20"/>
          <w:szCs w:val="20"/>
          <w:color w:val="auto"/>
        </w:rPr>
      </w:pPr>
    </w:p>
    <w:p>
      <w:pPr>
        <w:ind w:firstLine="228"/>
        <w:spacing w:after="0" w:line="294" w:lineRule="auto"/>
        <w:rPr>
          <w:sz w:val="20"/>
          <w:szCs w:val="20"/>
          <w:color w:val="auto"/>
        </w:rPr>
      </w:pPr>
      <w:r>
        <w:rPr>
          <w:rFonts w:ascii="Arial" w:cs="Arial" w:eastAsia="Arial" w:hAnsi="Arial"/>
          <w:sz w:val="16"/>
          <w:szCs w:val="16"/>
          <w:color w:val="auto"/>
        </w:rPr>
        <w:t>We develop, produce and market cars, trucks and parts worldwide. We analyze the results of our business through our three segments: General Motors North America (GMNA), General Motors International Operations (GMIO) and General Motors Europe (GME). Nonsegment operations are classified as Corporate. Corporate includes investments in Ally Financial Inc., formerly GMAC Inc. (Ally Financial), certain centrally recorded income and costs, such as interest, income taxes and corporate expenditures, certain nonsegment specific revenues and expenses, including costs related to the Delphi Benefit Guarantee Agreements (as subsequently defined in Note 17) and a portfolio of automotive retail leases.</w:t>
      </w:r>
    </w:p>
    <w:p>
      <w:pPr>
        <w:spacing w:after="0" w:line="116" w:lineRule="exact"/>
        <w:rPr>
          <w:sz w:val="20"/>
          <w:szCs w:val="20"/>
          <w:color w:val="auto"/>
        </w:rPr>
      </w:pPr>
    </w:p>
    <w:p>
      <w:pPr>
        <w:ind w:right="20" w:firstLine="228"/>
        <w:spacing w:after="0" w:line="294" w:lineRule="auto"/>
        <w:rPr>
          <w:sz w:val="20"/>
          <w:szCs w:val="20"/>
          <w:color w:val="auto"/>
        </w:rPr>
      </w:pPr>
      <w:r>
        <w:rPr>
          <w:rFonts w:ascii="Arial" w:cs="Arial" w:eastAsia="Arial" w:hAnsi="Arial"/>
          <w:sz w:val="16"/>
          <w:szCs w:val="16"/>
          <w:color w:val="auto"/>
        </w:rPr>
        <w:t>In the three months ended June 30, 2010 we changed our managerial reporting structure so that certain entities geographically located within Russia and Uzbekistan were transferred from our GME segment to our GMIO segment. We have retrospectively adjusted our condensed consolidated financial statements for the period ended September 30, 2010 herein and our consolidated financial statements for the year ended December 31, 2009 to reflect the change in reportable segments in our Registration Statement on Form S-1, as filed with the SEC on August 18, 2010, and amendments thereto (Form S-1). Our Form S-1 relates to an offering of shares of our common stock and an offering of our Series B Mandatory Convertible Junior Preferred Stock (Series B Preferred Stock).</w:t>
      </w:r>
    </w:p>
    <w:p>
      <w:pPr>
        <w:spacing w:after="0" w:line="1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Chapter 11 Proceedings and the 363 Sale</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Background</w:t>
      </w:r>
    </w:p>
    <w:p>
      <w:pPr>
        <w:spacing w:after="0" w:line="177" w:lineRule="exact"/>
        <w:rPr>
          <w:sz w:val="20"/>
          <w:szCs w:val="20"/>
          <w:color w:val="auto"/>
        </w:rPr>
      </w:pPr>
    </w:p>
    <w:p>
      <w:pPr>
        <w:jc w:val="both"/>
        <w:ind w:right="100" w:firstLine="228"/>
        <w:spacing w:after="0" w:line="306" w:lineRule="auto"/>
        <w:rPr>
          <w:sz w:val="20"/>
          <w:szCs w:val="20"/>
          <w:color w:val="auto"/>
        </w:rPr>
      </w:pPr>
      <w:r>
        <w:rPr>
          <w:rFonts w:ascii="Arial" w:cs="Arial" w:eastAsia="Arial" w:hAnsi="Arial"/>
          <w:sz w:val="16"/>
          <w:szCs w:val="16"/>
          <w:color w:val="auto"/>
        </w:rPr>
        <w:t>As a result of historical unfavorable economic conditions and a rapid decline in sales in the three months ended December 31, 2008 Old GM determined that, despite the previous actions it had then taken to restructure its U.S. business, it would be unable to pay its obligations in the normal course of business in 2009 or service its debt in a timely fashion, which required the development of a new plan that depended on financial assistance from the U.S. government.</w:t>
      </w:r>
    </w:p>
    <w:p>
      <w:pPr>
        <w:spacing w:after="0" w:line="107" w:lineRule="exact"/>
        <w:rPr>
          <w:sz w:val="20"/>
          <w:szCs w:val="20"/>
          <w:color w:val="auto"/>
        </w:rPr>
      </w:pPr>
    </w:p>
    <w:p>
      <w:pPr>
        <w:ind w:right="140" w:firstLine="228"/>
        <w:spacing w:after="0" w:line="294" w:lineRule="auto"/>
        <w:rPr>
          <w:sz w:val="20"/>
          <w:szCs w:val="20"/>
          <w:color w:val="auto"/>
        </w:rPr>
      </w:pPr>
      <w:r>
        <w:rPr>
          <w:rFonts w:ascii="Arial" w:cs="Arial" w:eastAsia="Arial" w:hAnsi="Arial"/>
          <w:sz w:val="16"/>
          <w:szCs w:val="16"/>
          <w:color w:val="auto"/>
        </w:rPr>
        <w:t>In December 2008 Old GM requested and received financial assistance from the U.S. government and entered into a loan and security agreement with the UST, which was subsequently amended (UST Loan Agreement). In early 2009 Old GM’s business results and liquidity continued to deteriorate, and, as a result, Old GM obtained additional funding from the UST under the UST Loan Agreement. Old GM, through its wholly-owned subsidiary General Motors of Canada Limited (GMCL), also received funding from Export Development Canada (EDC), a corporation wholly owned by the Government of Canada, under a loan and security agreement entered into in April 2009 (EDC Loan Facility).</w:t>
      </w:r>
    </w:p>
    <w:p>
      <w:pPr>
        <w:spacing w:after="0" w:line="116" w:lineRule="exact"/>
        <w:rPr>
          <w:sz w:val="20"/>
          <w:szCs w:val="20"/>
          <w:color w:val="auto"/>
        </w:rPr>
      </w:pPr>
    </w:p>
    <w:p>
      <w:pPr>
        <w:ind w:right="100" w:firstLine="228"/>
        <w:spacing w:after="0" w:line="332" w:lineRule="auto"/>
        <w:rPr>
          <w:sz w:val="20"/>
          <w:szCs w:val="20"/>
          <w:color w:val="auto"/>
        </w:rPr>
      </w:pPr>
      <w:r>
        <w:rPr>
          <w:rFonts w:ascii="Arial" w:cs="Arial" w:eastAsia="Arial" w:hAnsi="Arial"/>
          <w:sz w:val="16"/>
          <w:szCs w:val="16"/>
          <w:color w:val="auto"/>
        </w:rPr>
        <w:t>As a condition to obtaining the loans under the UST Loan Agreement, Old GM was required to submit a plan in February 2009 that included specific actions intended to demonstrate that it was a viable entity and to use its best efforts to achieve certain debt reduction, labor modification and VEBA modification targets.</w:t>
      </w:r>
    </w:p>
    <w:p>
      <w:pPr>
        <w:spacing w:after="0" w:line="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459" w:right="23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339" w:lineRule="exact"/>
        <w:rPr>
          <w:sz w:val="20"/>
          <w:szCs w:val="20"/>
          <w:color w:val="auto"/>
        </w:rPr>
      </w:pPr>
    </w:p>
    <w:p>
      <w:pPr>
        <w:ind w:right="60" w:firstLine="228"/>
        <w:spacing w:after="0" w:line="256" w:lineRule="auto"/>
        <w:rPr>
          <w:sz w:val="20"/>
          <w:szCs w:val="20"/>
          <w:color w:val="auto"/>
        </w:rPr>
      </w:pPr>
      <w:r>
        <w:rPr>
          <w:rFonts w:ascii="Arial" w:cs="Arial" w:eastAsia="Arial" w:hAnsi="Arial"/>
          <w:sz w:val="18"/>
          <w:szCs w:val="18"/>
          <w:color w:val="auto"/>
        </w:rPr>
        <w:t>On March 30, 2009 the Presidential Task Force on the Auto Industry (Auto Task Force) determined that the plan was not viable and required substantial revisions. In conjunction with the March 30, 2009 announcement, the administration announced that it would offer Old GM adequate working capital financing for a period of 60 days while it worked with Old GM to develop and implement a more accelerated and aggressive restructuring that would provide a sound long-term foundation.</w:t>
      </w:r>
    </w:p>
    <w:p>
      <w:pPr>
        <w:spacing w:after="0" w:line="143" w:lineRule="exact"/>
        <w:rPr>
          <w:sz w:val="20"/>
          <w:szCs w:val="20"/>
          <w:color w:val="auto"/>
        </w:rPr>
      </w:pPr>
    </w:p>
    <w:p>
      <w:pPr>
        <w:ind w:right="240" w:firstLine="228"/>
        <w:spacing w:after="0" w:line="259" w:lineRule="auto"/>
        <w:rPr>
          <w:sz w:val="20"/>
          <w:szCs w:val="20"/>
          <w:color w:val="auto"/>
        </w:rPr>
      </w:pPr>
      <w:r>
        <w:rPr>
          <w:rFonts w:ascii="Arial" w:cs="Arial" w:eastAsia="Arial" w:hAnsi="Arial"/>
          <w:sz w:val="18"/>
          <w:szCs w:val="18"/>
          <w:color w:val="auto"/>
        </w:rPr>
        <w:t>Old GM made further modifications to its plan in an attempt to satisfy the Auto Task Force requirement that Old GM undertake a substantially more accelerated and aggressive restructuring plan. The additional significant cost reduction and restructuring actions included reducing Old GM’s indebtedness and VEBA obligations in addition to other cost reduction and restructuring actions.</w:t>
      </w:r>
    </w:p>
    <w:p>
      <w:pPr>
        <w:spacing w:after="0" w:line="140" w:lineRule="exact"/>
        <w:rPr>
          <w:sz w:val="20"/>
          <w:szCs w:val="20"/>
          <w:color w:val="auto"/>
        </w:rPr>
      </w:pPr>
    </w:p>
    <w:p>
      <w:pPr>
        <w:ind w:right="720" w:firstLine="228"/>
        <w:spacing w:after="0" w:line="332" w:lineRule="auto"/>
        <w:rPr>
          <w:sz w:val="20"/>
          <w:szCs w:val="20"/>
          <w:color w:val="auto"/>
        </w:rPr>
      </w:pPr>
      <w:r>
        <w:rPr>
          <w:rFonts w:ascii="Arial" w:cs="Arial" w:eastAsia="Arial" w:hAnsi="Arial"/>
          <w:sz w:val="16"/>
          <w:szCs w:val="16"/>
          <w:color w:val="auto"/>
        </w:rPr>
        <w:t>Our Registration Statement on Form S-1 provides additional detail on Old GM’s liquidity constraints, the terms and conditions of its various funding arrangements with U.S. and Canadian governmental entities, and its various cost reduction and restructuring activities.</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Chapter 11 Proceedings</w:t>
      </w:r>
    </w:p>
    <w:p>
      <w:pPr>
        <w:spacing w:after="0" w:line="177" w:lineRule="exact"/>
        <w:rPr>
          <w:sz w:val="20"/>
          <w:szCs w:val="20"/>
          <w:color w:val="auto"/>
        </w:rPr>
      </w:pPr>
    </w:p>
    <w:p>
      <w:pPr>
        <w:jc w:val="both"/>
        <w:ind w:right="480" w:firstLine="228"/>
        <w:spacing w:after="0" w:line="256" w:lineRule="auto"/>
        <w:rPr>
          <w:sz w:val="20"/>
          <w:szCs w:val="20"/>
          <w:color w:val="auto"/>
        </w:rPr>
      </w:pPr>
      <w:r>
        <w:rPr>
          <w:rFonts w:ascii="Arial" w:cs="Arial" w:eastAsia="Arial" w:hAnsi="Arial"/>
          <w:sz w:val="18"/>
          <w:szCs w:val="18"/>
          <w:color w:val="auto"/>
        </w:rPr>
        <w:t>Old GM was not able to complete the cost reduction and restructuring actions, including the debt reductions and VEBA modifications, which resulted in extreme liquidity constraints. As a result, on June 1, 2009 Old GM and certain of its direct and indirect subsidiaries filed voluntary petitions for relief under Chapter 11 (Chapter 11 Proceedings) of the U.S. Bankruptcy Code (Bankruptcy Code) in the U.S. Bankruptcy Court for the Southern District of New York (Bankruptcy Court).</w:t>
      </w:r>
    </w:p>
    <w:p>
      <w:pPr>
        <w:spacing w:after="0" w:line="143" w:lineRule="exact"/>
        <w:rPr>
          <w:sz w:val="20"/>
          <w:szCs w:val="20"/>
          <w:color w:val="auto"/>
        </w:rPr>
      </w:pPr>
    </w:p>
    <w:p>
      <w:pPr>
        <w:ind w:right="300" w:firstLine="228"/>
        <w:spacing w:after="0" w:line="268" w:lineRule="auto"/>
        <w:rPr>
          <w:sz w:val="20"/>
          <w:szCs w:val="20"/>
          <w:color w:val="auto"/>
        </w:rPr>
      </w:pPr>
      <w:r>
        <w:rPr>
          <w:rFonts w:ascii="Arial" w:cs="Arial" w:eastAsia="Arial" w:hAnsi="Arial"/>
          <w:sz w:val="18"/>
          <w:szCs w:val="18"/>
          <w:color w:val="auto"/>
        </w:rPr>
        <w:t>In connection with the Chapter 11 Proceedings, Old GM entered into a secured superpriority debtor-in-possession credit agreement with the UST and EDC (DIP Facility) and received additional funding commitments from EDC to support Old GM’s Canadian operations.</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363 Sale</w:t>
      </w:r>
    </w:p>
    <w:p>
      <w:pPr>
        <w:spacing w:after="0" w:line="177" w:lineRule="exact"/>
        <w:rPr>
          <w:sz w:val="20"/>
          <w:szCs w:val="20"/>
          <w:color w:val="auto"/>
        </w:rPr>
      </w:pPr>
    </w:p>
    <w:p>
      <w:pPr>
        <w:ind w:right="100" w:firstLine="228"/>
        <w:spacing w:after="0" w:line="306" w:lineRule="auto"/>
        <w:rPr>
          <w:sz w:val="20"/>
          <w:szCs w:val="20"/>
          <w:color w:val="auto"/>
        </w:rPr>
      </w:pPr>
      <w:r>
        <w:rPr>
          <w:rFonts w:ascii="Arial" w:cs="Arial" w:eastAsia="Arial" w:hAnsi="Arial"/>
          <w:sz w:val="16"/>
          <w:szCs w:val="16"/>
          <w:color w:val="auto"/>
        </w:rPr>
        <w:t>On July 10, 2009 we completed the acquisition of substantially all of the assets and assumed certain liabilities of Old GM and certain of its direct and indirect subsidiaries (collectively, the Sellers). The 363 Sale was consummated in accordance with the Amended and Restated Master Sale and Purchase Agreement, dated June 26, 2009, as amended, (Purchase Agreement) between us and the Sellers, and pursuant to the Bankruptcy Court’s sale order dated July 5, 2009.</w:t>
      </w:r>
    </w:p>
    <w:p>
      <w:pPr>
        <w:spacing w:after="0" w:line="1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Accounting for the Effects of the Chapter 11 Proceedings and the 363 Sale</w:t>
      </w:r>
    </w:p>
    <w:p>
      <w:pPr>
        <w:spacing w:after="0" w:line="177"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Chapter 11 Proceedings</w:t>
      </w:r>
    </w:p>
    <w:p>
      <w:pPr>
        <w:spacing w:after="0" w:line="171" w:lineRule="exact"/>
        <w:rPr>
          <w:sz w:val="20"/>
          <w:szCs w:val="20"/>
          <w:color w:val="auto"/>
        </w:rPr>
      </w:pPr>
    </w:p>
    <w:p>
      <w:pPr>
        <w:ind w:right="280" w:firstLine="228"/>
        <w:spacing w:after="0" w:line="256" w:lineRule="auto"/>
        <w:rPr>
          <w:sz w:val="20"/>
          <w:szCs w:val="20"/>
          <w:color w:val="auto"/>
        </w:rPr>
      </w:pPr>
      <w:r>
        <w:rPr>
          <w:rFonts w:ascii="Arial" w:cs="Arial" w:eastAsia="Arial" w:hAnsi="Arial"/>
          <w:sz w:val="18"/>
          <w:szCs w:val="18"/>
          <w:color w:val="auto"/>
        </w:rPr>
        <w:t>Accounting Standards Codification (ASC) 852, “Reorganizations,” (ASC 852) is applicable to entities operating under Chapter 11 of the Bankruptcy Code. ASC 852 generally does not affect the application of U.S. GAAP that we and Old GM followed to prepare the consolidated financial statements, but it does require specific disclosures for transactions and events that were directly related to the Chapter 11 Proceedings and transactions and events that resulted from ongoing operations.</w:t>
      </w:r>
    </w:p>
    <w:p>
      <w:pPr>
        <w:spacing w:after="0" w:line="143" w:lineRule="exact"/>
        <w:rPr>
          <w:sz w:val="20"/>
          <w:szCs w:val="20"/>
          <w:color w:val="auto"/>
        </w:rPr>
      </w:pPr>
    </w:p>
    <w:p>
      <w:pPr>
        <w:ind w:firstLine="228"/>
        <w:spacing w:after="0" w:line="291" w:lineRule="auto"/>
        <w:rPr>
          <w:sz w:val="20"/>
          <w:szCs w:val="20"/>
          <w:color w:val="auto"/>
        </w:rPr>
      </w:pPr>
      <w:r>
        <w:rPr>
          <w:rFonts w:ascii="Arial" w:cs="Arial" w:eastAsia="Arial" w:hAnsi="Arial"/>
          <w:sz w:val="16"/>
          <w:szCs w:val="16"/>
          <w:color w:val="auto"/>
        </w:rPr>
        <w:t>Old GM prepared its consolidated financial statements in accordance with the guidance in ASC 852 in the period June 1, 2009 through July 9, 2009. Revenues, expenses, realized gains and losses, and provisions for losses directly related to the Chapter 11 Proceedings were recorded in Reorganization gains, net. Reorganization gains, net do not constitute an element of operating loss due to their nature and due to the requirement of ASC 852 that they be reported separately. Old GM’s balance sheet prior to the 363 Sale distinguished prepetition liabilities subject to compromise from prepetition liabilities not subject to compromise and from postpetition liabilities. Cash amounts provided by or used in the Chapter 11 Proceedings were separately disclosed in the consolidated statement of cash flows in our Form S-1 for the periods January 1, 2009 through July 9, 2009.</w:t>
      </w:r>
    </w:p>
    <w:p>
      <w:pPr>
        <w:spacing w:after="0" w:line="120"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Application of Fresh-Start Reporting</w:t>
      </w:r>
    </w:p>
    <w:p>
      <w:pPr>
        <w:spacing w:after="0" w:line="171" w:lineRule="exact"/>
        <w:rPr>
          <w:sz w:val="20"/>
          <w:szCs w:val="20"/>
          <w:color w:val="auto"/>
        </w:rPr>
      </w:pPr>
    </w:p>
    <w:p>
      <w:pPr>
        <w:ind w:right="360" w:firstLine="228"/>
        <w:spacing w:after="0" w:line="268" w:lineRule="auto"/>
        <w:rPr>
          <w:sz w:val="20"/>
          <w:szCs w:val="20"/>
          <w:color w:val="auto"/>
        </w:rPr>
      </w:pPr>
      <w:r>
        <w:rPr>
          <w:rFonts w:ascii="Arial" w:cs="Arial" w:eastAsia="Arial" w:hAnsi="Arial"/>
          <w:sz w:val="18"/>
          <w:szCs w:val="18"/>
          <w:color w:val="auto"/>
        </w:rPr>
        <w:t>The Bankruptcy Court did not determine a reorganization value in connection with the 363 Sale. Reorganization value is defined as the value of our assets without liabilities. In order to apply fresh-start reporting, ASC 852 requires that total postpetition liabilities and</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459" w:right="23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164" w:lineRule="exact"/>
        <w:rPr>
          <w:sz w:val="20"/>
          <w:szCs w:val="20"/>
          <w:color w:val="auto"/>
        </w:rPr>
      </w:pPr>
    </w:p>
    <w:p>
      <w:pPr>
        <w:ind w:right="60"/>
        <w:spacing w:after="0" w:line="290" w:lineRule="auto"/>
        <w:rPr>
          <w:sz w:val="20"/>
          <w:szCs w:val="20"/>
          <w:color w:val="auto"/>
        </w:rPr>
      </w:pPr>
      <w:r>
        <w:rPr>
          <w:rFonts w:ascii="Arial" w:cs="Arial" w:eastAsia="Arial" w:hAnsi="Arial"/>
          <w:sz w:val="16"/>
          <w:szCs w:val="16"/>
          <w:color w:val="auto"/>
        </w:rPr>
        <w:t>allowed claims be in excess of reorganization value and prepetition stockholders receive less than 50.0% of our common stock. Based on our estimated reorganization value, we determined that on July 10, 2009 both the criteria of ASC 852 were met and, as a result, we applied fresh-start reporting. In applying fresh-start reporting at July 10, 2009, which generally follows the provisions of ASC 805, “Business Combinations,” (ASC 805) we recorded the assets acquired and the liabilities assumed from Old GM at fair value except for deferred income taxes and certain liabilities associated with employee benefits. Our consolidated balance sheet at July 10, 2009, which includes the adjustments to Old GM’s consolidated balance sheet as a result of the 363 Sale and the application of fresh-start reporting, and related disclosures are discussed in Note 2 to our consolidated financial statements included in our Form S-1. These adjustments were final and no determinations of fair value were considered provisional.</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Reorganization gains, net</w:t>
      </w:r>
    </w:p>
    <w:p>
      <w:pPr>
        <w:spacing w:after="0" w:line="177" w:lineRule="exact"/>
        <w:rPr>
          <w:sz w:val="20"/>
          <w:szCs w:val="20"/>
          <w:color w:val="auto"/>
        </w:rPr>
      </w:pPr>
    </w:p>
    <w:p>
      <w:pPr>
        <w:ind w:right="480" w:firstLine="228"/>
        <w:spacing w:after="0" w:line="268" w:lineRule="auto"/>
        <w:rPr>
          <w:sz w:val="20"/>
          <w:szCs w:val="20"/>
          <w:color w:val="auto"/>
        </w:rPr>
      </w:pPr>
      <w:r>
        <w:rPr>
          <w:rFonts w:ascii="Arial" w:cs="Arial" w:eastAsia="Arial" w:hAnsi="Arial"/>
          <w:sz w:val="18"/>
          <w:szCs w:val="18"/>
          <w:color w:val="auto"/>
        </w:rPr>
        <w:t>The following table summarizes Old GM’s Reorganization gains, net, arising from the 363 Sale and fresh-start reporting that primarily resulted from the adjustments discussed in Note 2 to our consolidated financial statements included in our Form S-1 (dollars in millions):</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3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24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Predecessor</w:t>
            </w:r>
          </w:p>
        </w:tc>
        <w:tc>
          <w:tcPr>
            <w:tcW w:w="5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36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80" w:type="dxa"/>
            <w:vAlign w:val="bottom"/>
            <w:gridSpan w:val="2"/>
          </w:tcPr>
          <w:p>
            <w:pPr>
              <w:jc w:val="center"/>
              <w:ind w:right="420"/>
              <w:spacing w:after="0" w:line="129" w:lineRule="exact"/>
              <w:rPr>
                <w:sz w:val="20"/>
                <w:szCs w:val="20"/>
                <w:color w:val="auto"/>
              </w:rPr>
            </w:pPr>
            <w:r>
              <w:rPr>
                <w:rFonts w:ascii="Arial" w:cs="Arial" w:eastAsia="Arial" w:hAnsi="Arial"/>
                <w:sz w:val="14"/>
                <w:szCs w:val="14"/>
                <w:b w:val="1"/>
                <w:bCs w:val="1"/>
                <w:color w:val="auto"/>
                <w:w w:val="87"/>
              </w:rPr>
              <w:t>July 1,</w:t>
            </w:r>
          </w:p>
        </w:tc>
        <w:tc>
          <w:tcPr>
            <w:tcW w:w="260" w:type="dxa"/>
            <w:vAlign w:val="bottom"/>
          </w:tcPr>
          <w:p>
            <w:pPr>
              <w:spacing w:after="0"/>
              <w:rPr>
                <w:sz w:val="11"/>
                <w:szCs w:val="11"/>
                <w:color w:val="auto"/>
              </w:rPr>
            </w:pPr>
          </w:p>
        </w:tc>
        <w:tc>
          <w:tcPr>
            <w:tcW w:w="680" w:type="dxa"/>
            <w:vAlign w:val="bottom"/>
            <w:gridSpan w:val="2"/>
          </w:tcPr>
          <w:p>
            <w:pPr>
              <w:jc w:val="center"/>
              <w:spacing w:after="0" w:line="129" w:lineRule="exact"/>
              <w:rPr>
                <w:sz w:val="20"/>
                <w:szCs w:val="20"/>
                <w:color w:val="auto"/>
              </w:rPr>
            </w:pPr>
            <w:r>
              <w:rPr>
                <w:rFonts w:ascii="Arial" w:cs="Arial" w:eastAsia="Arial" w:hAnsi="Arial"/>
                <w:sz w:val="14"/>
                <w:szCs w:val="14"/>
                <w:b w:val="1"/>
                <w:bCs w:val="1"/>
                <w:color w:val="auto"/>
                <w:w w:val="89"/>
              </w:rPr>
              <w:t>January 1,</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36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3"/>
              </w:rPr>
              <w:t>2009</w:t>
            </w:r>
          </w:p>
        </w:tc>
        <w:tc>
          <w:tcPr>
            <w:tcW w:w="3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jc w:val="center"/>
              <w:ind w:right="36"/>
              <w:spacing w:after="0" w:line="149" w:lineRule="exact"/>
              <w:rPr>
                <w:sz w:val="20"/>
                <w:szCs w:val="20"/>
                <w:color w:val="auto"/>
              </w:rPr>
            </w:pPr>
            <w:r>
              <w:rPr>
                <w:rFonts w:ascii="Arial" w:cs="Arial" w:eastAsia="Arial" w:hAnsi="Arial"/>
                <w:sz w:val="14"/>
                <w:szCs w:val="14"/>
                <w:b w:val="1"/>
                <w:bCs w:val="1"/>
                <w:color w:val="auto"/>
                <w:w w:val="83"/>
              </w:rPr>
              <w:t>2009</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36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980" w:type="dxa"/>
            <w:vAlign w:val="bottom"/>
            <w:gridSpan w:val="3"/>
          </w:tcPr>
          <w:p>
            <w:pPr>
              <w:jc w:val="center"/>
              <w:ind w:right="280"/>
              <w:spacing w:after="0" w:line="149" w:lineRule="exact"/>
              <w:rPr>
                <w:sz w:val="20"/>
                <w:szCs w:val="20"/>
                <w:color w:val="auto"/>
              </w:rPr>
            </w:pPr>
            <w:r>
              <w:rPr>
                <w:rFonts w:ascii="Arial" w:cs="Arial" w:eastAsia="Arial" w:hAnsi="Arial"/>
                <w:sz w:val="14"/>
                <w:szCs w:val="14"/>
                <w:b w:val="1"/>
                <w:bCs w:val="1"/>
                <w:color w:val="auto"/>
                <w:w w:val="87"/>
              </w:rPr>
              <w:t>Through</w:t>
            </w:r>
          </w:p>
        </w:tc>
        <w:tc>
          <w:tcPr>
            <w:tcW w:w="260" w:type="dxa"/>
            <w:vAlign w:val="bottom"/>
          </w:tcPr>
          <w:p>
            <w:pPr>
              <w:spacing w:after="0"/>
              <w:rPr>
                <w:sz w:val="12"/>
                <w:szCs w:val="12"/>
                <w:color w:val="auto"/>
              </w:rPr>
            </w:pPr>
          </w:p>
        </w:tc>
        <w:tc>
          <w:tcPr>
            <w:tcW w:w="780" w:type="dxa"/>
            <w:vAlign w:val="bottom"/>
            <w:gridSpan w:val="3"/>
          </w:tcPr>
          <w:p>
            <w:pPr>
              <w:jc w:val="center"/>
              <w:ind w:right="120"/>
              <w:spacing w:after="0" w:line="149" w:lineRule="exact"/>
              <w:rPr>
                <w:sz w:val="20"/>
                <w:szCs w:val="20"/>
                <w:color w:val="auto"/>
              </w:rPr>
            </w:pPr>
            <w:r>
              <w:rPr>
                <w:rFonts w:ascii="Arial" w:cs="Arial" w:eastAsia="Arial" w:hAnsi="Arial"/>
                <w:sz w:val="14"/>
                <w:szCs w:val="14"/>
                <w:b w:val="1"/>
                <w:bCs w:val="1"/>
                <w:color w:val="auto"/>
                <w:w w:val="87"/>
              </w:rPr>
              <w:t>Through</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36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gridSpan w:val="2"/>
          </w:tcPr>
          <w:p>
            <w:pPr>
              <w:jc w:val="center"/>
              <w:ind w:right="380"/>
              <w:spacing w:after="0" w:line="149" w:lineRule="exact"/>
              <w:rPr>
                <w:sz w:val="20"/>
                <w:szCs w:val="20"/>
                <w:color w:val="auto"/>
              </w:rPr>
            </w:pPr>
            <w:r>
              <w:rPr>
                <w:rFonts w:ascii="Arial" w:cs="Arial" w:eastAsia="Arial" w:hAnsi="Arial"/>
                <w:sz w:val="14"/>
                <w:szCs w:val="14"/>
                <w:b w:val="1"/>
                <w:bCs w:val="1"/>
                <w:color w:val="auto"/>
                <w:w w:val="87"/>
              </w:rPr>
              <w:t>July 9,</w:t>
            </w: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87"/>
              </w:rPr>
              <w:t>July 9,</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83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3"/>
              </w:rPr>
              <w:t>2009</w:t>
            </w:r>
          </w:p>
        </w:tc>
        <w:tc>
          <w:tcPr>
            <w:tcW w:w="3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center"/>
              <w:ind w:right="36"/>
              <w:spacing w:after="0"/>
              <w:rPr>
                <w:sz w:val="20"/>
                <w:szCs w:val="20"/>
                <w:color w:val="auto"/>
              </w:rPr>
            </w:pPr>
            <w:r>
              <w:rPr>
                <w:rFonts w:ascii="Arial" w:cs="Arial" w:eastAsia="Arial" w:hAnsi="Arial"/>
                <w:sz w:val="14"/>
                <w:szCs w:val="14"/>
                <w:b w:val="1"/>
                <w:bCs w:val="1"/>
                <w:color w:val="auto"/>
                <w:w w:val="83"/>
              </w:rPr>
              <w:t>2009</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360" w:type="dxa"/>
            <w:vAlign w:val="bottom"/>
            <w:shd w:val="clear" w:color="auto" w:fill="CCEEFF"/>
          </w:tcPr>
          <w:p>
            <w:pPr>
              <w:spacing w:after="0"/>
              <w:rPr>
                <w:sz w:val="20"/>
                <w:szCs w:val="20"/>
                <w:color w:val="auto"/>
              </w:rPr>
            </w:pPr>
            <w:r>
              <w:rPr>
                <w:rFonts w:ascii="Arial" w:cs="Arial" w:eastAsia="Arial" w:hAnsi="Arial"/>
                <w:sz w:val="18"/>
                <w:szCs w:val="18"/>
                <w:color w:val="auto"/>
              </w:rPr>
              <w:t>Change in net assets resulting from the application of fresh-start reporting</w:t>
            </w: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33,829</w:t>
            </w: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33,829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60" w:type="dxa"/>
            <w:vAlign w:val="bottom"/>
          </w:tcPr>
          <w:p>
            <w:pPr>
              <w:spacing w:after="0"/>
              <w:rPr>
                <w:sz w:val="20"/>
                <w:szCs w:val="20"/>
                <w:color w:val="auto"/>
              </w:rPr>
            </w:pPr>
            <w:r>
              <w:rPr>
                <w:rFonts w:ascii="Arial" w:cs="Arial" w:eastAsia="Arial" w:hAnsi="Arial"/>
                <w:sz w:val="18"/>
                <w:szCs w:val="18"/>
                <w:color w:val="auto"/>
              </w:rPr>
              <w:t>Fair value of our Series A Preferred Stock, common shares and warrants issued in 363 Sale</w:t>
            </w: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300"/>
              <w:spacing w:after="0"/>
              <w:rPr>
                <w:sz w:val="20"/>
                <w:szCs w:val="20"/>
                <w:color w:val="auto"/>
              </w:rPr>
            </w:pPr>
            <w:r>
              <w:rPr>
                <w:rFonts w:ascii="Arial" w:cs="Arial" w:eastAsia="Arial" w:hAnsi="Arial"/>
                <w:sz w:val="18"/>
                <w:szCs w:val="18"/>
                <w:color w:val="auto"/>
              </w:rPr>
              <w:t>20,532</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20,532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60" w:type="dxa"/>
            <w:vAlign w:val="bottom"/>
            <w:shd w:val="clear" w:color="auto" w:fill="CCEEFF"/>
          </w:tcPr>
          <w:p>
            <w:pPr>
              <w:spacing w:after="0"/>
              <w:rPr>
                <w:sz w:val="20"/>
                <w:szCs w:val="20"/>
                <w:color w:val="auto"/>
              </w:rPr>
            </w:pPr>
            <w:r>
              <w:rPr>
                <w:rFonts w:ascii="Arial" w:cs="Arial" w:eastAsia="Arial" w:hAnsi="Arial"/>
                <w:sz w:val="18"/>
                <w:szCs w:val="18"/>
                <w:color w:val="auto"/>
              </w:rPr>
              <w:t>Gain from the conversion of debt owed to UST to equity</w:t>
            </w: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31,561</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31,561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60" w:type="dxa"/>
            <w:vAlign w:val="bottom"/>
          </w:tcPr>
          <w:p>
            <w:pPr>
              <w:spacing w:after="0"/>
              <w:rPr>
                <w:sz w:val="20"/>
                <w:szCs w:val="20"/>
                <w:color w:val="auto"/>
              </w:rPr>
            </w:pPr>
            <w:r>
              <w:rPr>
                <w:rFonts w:ascii="Arial" w:cs="Arial" w:eastAsia="Arial" w:hAnsi="Arial"/>
                <w:sz w:val="18"/>
                <w:szCs w:val="18"/>
                <w:color w:val="auto"/>
              </w:rPr>
              <w:t>Gain from the conversion of debt owed to EDC to equity</w:t>
            </w: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300"/>
              <w:spacing w:after="0"/>
              <w:rPr>
                <w:sz w:val="20"/>
                <w:szCs w:val="20"/>
                <w:color w:val="auto"/>
              </w:rPr>
            </w:pPr>
            <w:r>
              <w:rPr>
                <w:rFonts w:ascii="Arial" w:cs="Arial" w:eastAsia="Arial" w:hAnsi="Arial"/>
                <w:sz w:val="18"/>
                <w:szCs w:val="18"/>
                <w:color w:val="auto"/>
              </w:rPr>
              <w:t>5,964</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5,964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60" w:type="dxa"/>
            <w:vAlign w:val="bottom"/>
            <w:shd w:val="clear" w:color="auto" w:fill="CCEEFF"/>
          </w:tcPr>
          <w:p>
            <w:pPr>
              <w:spacing w:after="0"/>
              <w:rPr>
                <w:sz w:val="20"/>
                <w:szCs w:val="20"/>
                <w:color w:val="auto"/>
              </w:rPr>
            </w:pPr>
            <w:r>
              <w:rPr>
                <w:rFonts w:ascii="Arial" w:cs="Arial" w:eastAsia="Arial" w:hAnsi="Arial"/>
                <w:sz w:val="18"/>
                <w:szCs w:val="18"/>
                <w:color w:val="auto"/>
              </w:rPr>
              <w:t>Gain from the modification and measurement of our VEBA obligation</w:t>
            </w: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7,731</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7,731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60" w:type="dxa"/>
            <w:vAlign w:val="bottom"/>
          </w:tcPr>
          <w:p>
            <w:pPr>
              <w:spacing w:after="0"/>
              <w:rPr>
                <w:sz w:val="20"/>
                <w:szCs w:val="20"/>
                <w:color w:val="auto"/>
              </w:rPr>
            </w:pPr>
            <w:r>
              <w:rPr>
                <w:rFonts w:ascii="Arial" w:cs="Arial" w:eastAsia="Arial" w:hAnsi="Arial"/>
                <w:sz w:val="18"/>
                <w:szCs w:val="18"/>
                <w:color w:val="auto"/>
              </w:rPr>
              <w:t>Gain from the modification and measurement of other employee benefit plans</w:t>
            </w: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300"/>
              <w:spacing w:after="0"/>
              <w:rPr>
                <w:sz w:val="20"/>
                <w:szCs w:val="20"/>
                <w:color w:val="auto"/>
              </w:rPr>
            </w:pPr>
            <w:r>
              <w:rPr>
                <w:rFonts w:ascii="Arial" w:cs="Arial" w:eastAsia="Arial" w:hAnsi="Arial"/>
                <w:sz w:val="18"/>
                <w:szCs w:val="18"/>
                <w:color w:val="auto"/>
              </w:rPr>
              <w:t>4,585</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4,585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60" w:type="dxa"/>
            <w:vAlign w:val="bottom"/>
            <w:shd w:val="clear" w:color="auto" w:fill="CCEEFF"/>
          </w:tcPr>
          <w:p>
            <w:pPr>
              <w:spacing w:after="0"/>
              <w:rPr>
                <w:sz w:val="20"/>
                <w:szCs w:val="20"/>
                <w:color w:val="auto"/>
              </w:rPr>
            </w:pPr>
            <w:r>
              <w:rPr>
                <w:rFonts w:ascii="Arial" w:cs="Arial" w:eastAsia="Arial" w:hAnsi="Arial"/>
                <w:sz w:val="18"/>
                <w:szCs w:val="18"/>
                <w:color w:val="auto"/>
              </w:rPr>
              <w:t>Gain from the settlement of net liabilities retained by MLC via the 363 Sale</w:t>
            </w: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25,177</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25,177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60" w:type="dxa"/>
            <w:vAlign w:val="bottom"/>
          </w:tcPr>
          <w:p>
            <w:pPr>
              <w:spacing w:after="0"/>
              <w:rPr>
                <w:sz w:val="20"/>
                <w:szCs w:val="20"/>
                <w:color w:val="auto"/>
              </w:rPr>
            </w:pPr>
            <w:r>
              <w:rPr>
                <w:rFonts w:ascii="Arial" w:cs="Arial" w:eastAsia="Arial" w:hAnsi="Arial"/>
                <w:sz w:val="18"/>
                <w:szCs w:val="18"/>
                <w:color w:val="auto"/>
              </w:rPr>
              <w:t>Income tax benefit for release of valuation allowances and other tax adjustments</w:t>
            </w: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300"/>
              <w:spacing w:after="0"/>
              <w:rPr>
                <w:sz w:val="20"/>
                <w:szCs w:val="20"/>
                <w:color w:val="auto"/>
              </w:rPr>
            </w:pPr>
            <w:r>
              <w:rPr>
                <w:rFonts w:ascii="Arial" w:cs="Arial" w:eastAsia="Arial" w:hAnsi="Arial"/>
                <w:sz w:val="18"/>
                <w:szCs w:val="18"/>
                <w:color w:val="auto"/>
              </w:rPr>
              <w:t>710</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710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60" w:type="dxa"/>
            <w:vAlign w:val="bottom"/>
            <w:shd w:val="clear" w:color="auto" w:fill="CCEEFF"/>
          </w:tcPr>
          <w:p>
            <w:pPr>
              <w:spacing w:after="0"/>
              <w:rPr>
                <w:sz w:val="20"/>
                <w:szCs w:val="20"/>
                <w:color w:val="auto"/>
              </w:rPr>
            </w:pPr>
            <w:r>
              <w:rPr>
                <w:rFonts w:ascii="Arial" w:cs="Arial" w:eastAsia="Arial" w:hAnsi="Arial"/>
                <w:sz w:val="18"/>
                <w:szCs w:val="18"/>
                <w:color w:val="auto"/>
              </w:rPr>
              <w:t>Other 363 Sale adjustments</w:t>
            </w: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(21)</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0"/>
        </w:trPr>
        <w:tc>
          <w:tcPr>
            <w:tcW w:w="8380" w:type="dxa"/>
            <w:vAlign w:val="bottom"/>
            <w:gridSpan w:val="2"/>
            <w:vMerge w:val="restart"/>
          </w:tcPr>
          <w:p>
            <w:pPr>
              <w:spacing w:after="0"/>
              <w:rPr>
                <w:sz w:val="20"/>
                <w:szCs w:val="20"/>
                <w:color w:val="auto"/>
              </w:rPr>
            </w:pPr>
            <w:r>
              <w:rPr>
                <w:rFonts w:ascii="Arial" w:cs="Arial" w:eastAsia="Arial" w:hAnsi="Arial"/>
                <w:sz w:val="18"/>
                <w:szCs w:val="18"/>
                <w:color w:val="auto"/>
              </w:rPr>
              <w:t>Total adjustment from 363 Sale Transaction and fresh-start reporting</w:t>
            </w:r>
          </w:p>
        </w:tc>
        <w:tc>
          <w:tcPr>
            <w:tcW w:w="10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8380" w:type="dxa"/>
            <w:vAlign w:val="bottom"/>
            <w:gridSpan w:val="2"/>
            <w:vMerge w:val="continue"/>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80" w:type="dxa"/>
            <w:vAlign w:val="bottom"/>
            <w:gridSpan w:val="2"/>
          </w:tcPr>
          <w:p>
            <w:pPr>
              <w:jc w:val="right"/>
              <w:ind w:right="300"/>
              <w:spacing w:after="0"/>
              <w:rPr>
                <w:sz w:val="20"/>
                <w:szCs w:val="20"/>
                <w:color w:val="auto"/>
              </w:rPr>
            </w:pPr>
            <w:r>
              <w:rPr>
                <w:rFonts w:ascii="Arial" w:cs="Arial" w:eastAsia="Arial" w:hAnsi="Arial"/>
                <w:sz w:val="18"/>
                <w:szCs w:val="18"/>
                <w:color w:val="auto"/>
                <w:w w:val="86"/>
              </w:rPr>
              <w:t>130,068</w:t>
            </w: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w w:val="86"/>
              </w:rPr>
              <w:t>130,068</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8360" w:type="dxa"/>
            <w:vAlign w:val="bottom"/>
            <w:shd w:val="clear" w:color="auto" w:fill="CCEEFF"/>
          </w:tcPr>
          <w:p>
            <w:pPr>
              <w:spacing w:after="0"/>
              <w:rPr>
                <w:sz w:val="20"/>
                <w:szCs w:val="20"/>
                <w:color w:val="auto"/>
              </w:rPr>
            </w:pPr>
            <w:r>
              <w:rPr>
                <w:rFonts w:ascii="Arial" w:cs="Arial" w:eastAsia="Arial" w:hAnsi="Arial"/>
                <w:sz w:val="18"/>
                <w:szCs w:val="18"/>
                <w:color w:val="auto"/>
              </w:rPr>
              <w:t>Adjustment recorded to Income tax benefit for release of valuation allowances and other tax adjustments</w:t>
            </w: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(710)</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60" w:type="dxa"/>
            <w:vAlign w:val="bottom"/>
          </w:tcPr>
          <w:p>
            <w:pPr>
              <w:spacing w:after="0"/>
              <w:rPr>
                <w:sz w:val="20"/>
                <w:szCs w:val="20"/>
                <w:color w:val="auto"/>
              </w:rPr>
            </w:pPr>
            <w:r>
              <w:rPr>
                <w:rFonts w:ascii="Arial" w:cs="Arial" w:eastAsia="Arial" w:hAnsi="Arial"/>
                <w:sz w:val="18"/>
                <w:szCs w:val="18"/>
                <w:color w:val="auto"/>
              </w:rPr>
              <w:t>Other losses, net</w:t>
            </w: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240"/>
              <w:spacing w:after="0"/>
              <w:rPr>
                <w:sz w:val="20"/>
                <w:szCs w:val="20"/>
                <w:color w:val="auto"/>
              </w:rPr>
            </w:pPr>
            <w:r>
              <w:rPr>
                <w:rFonts w:ascii="Arial" w:cs="Arial" w:eastAsia="Arial" w:hAnsi="Arial"/>
                <w:sz w:val="18"/>
                <w:szCs w:val="18"/>
                <w:color w:val="auto"/>
              </w:rPr>
              <w:t>(46)</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rPr>
              <w:t>(1,203)</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83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8360" w:type="dxa"/>
            <w:vAlign w:val="bottom"/>
            <w:shd w:val="clear" w:color="auto" w:fill="CCEEFF"/>
          </w:tcPr>
          <w:p>
            <w:pPr>
              <w:spacing w:after="0"/>
              <w:rPr>
                <w:sz w:val="20"/>
                <w:szCs w:val="20"/>
                <w:color w:val="auto"/>
              </w:rPr>
            </w:pPr>
            <w:r>
              <w:rPr>
                <w:rFonts w:ascii="Arial" w:cs="Arial" w:eastAsia="Arial" w:hAnsi="Arial"/>
                <w:sz w:val="18"/>
                <w:szCs w:val="18"/>
                <w:color w:val="auto"/>
              </w:rPr>
              <w:t>Total Reorganization gains, net</w:t>
            </w: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79"/>
              </w:rPr>
              <w:t>$</w:t>
            </w:r>
          </w:p>
        </w:tc>
        <w:tc>
          <w:tcPr>
            <w:tcW w:w="8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86"/>
              </w:rPr>
              <w:t>129,312</w:t>
            </w: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6"/>
              </w:rPr>
              <w:t>128,155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3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jc w:val="both"/>
        <w:ind w:right="40" w:firstLine="228"/>
        <w:spacing w:after="0" w:line="268" w:lineRule="auto"/>
        <w:rPr>
          <w:sz w:val="20"/>
          <w:szCs w:val="20"/>
          <w:color w:val="auto"/>
        </w:rPr>
      </w:pPr>
      <w:r>
        <w:rPr>
          <w:rFonts w:ascii="Arial" w:cs="Arial" w:eastAsia="Arial" w:hAnsi="Arial"/>
          <w:sz w:val="18"/>
          <w:szCs w:val="18"/>
          <w:color w:val="auto"/>
        </w:rPr>
        <w:t>Other losses, net of $1.2 billion in the period January 1, 2009 through July 9, 2009 primarily relate to costs incurred during Old GM’s Chapter 11 Proceedings, including:</w:t>
      </w:r>
    </w:p>
    <w:p>
      <w:pPr>
        <w:spacing w:after="0" w:line="172" w:lineRule="exact"/>
        <w:rPr>
          <w:sz w:val="20"/>
          <w:szCs w:val="20"/>
          <w:color w:val="auto"/>
        </w:rPr>
      </w:pPr>
    </w:p>
    <w:p>
      <w:pPr>
        <w:ind w:left="660" w:right="60" w:hanging="436"/>
        <w:spacing w:after="0" w:line="268" w:lineRule="auto"/>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Losses of $958 million on extinguishments of debt resulting from Old GM’s repayment of its secured revolving credit facility, its U.S. term loan, and its secured credit facility;</w:t>
      </w:r>
    </w:p>
    <w:p>
      <w:pPr>
        <w:spacing w:after="0" w:line="50" w:lineRule="exact"/>
        <w:rPr>
          <w:rFonts w:ascii="Arial" w:cs="Arial" w:eastAsia="Arial" w:hAnsi="Arial"/>
          <w:sz w:val="18"/>
          <w:szCs w:val="18"/>
          <w:color w:val="auto"/>
        </w:rPr>
      </w:pPr>
    </w:p>
    <w:p>
      <w:pPr>
        <w:ind w:left="660" w:hanging="436"/>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Losses of $398 million on contract rejections, settlements of claims and other lease terminations;</w:t>
      </w:r>
    </w:p>
    <w:p>
      <w:pPr>
        <w:spacing w:after="0" w:line="90" w:lineRule="exact"/>
        <w:rPr>
          <w:rFonts w:ascii="Arial" w:cs="Arial" w:eastAsia="Arial" w:hAnsi="Arial"/>
          <w:sz w:val="18"/>
          <w:szCs w:val="18"/>
          <w:color w:val="auto"/>
        </w:rPr>
      </w:pPr>
    </w:p>
    <w:p>
      <w:pPr>
        <w:ind w:left="660" w:hanging="436"/>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Professional fees of $38 million; and</w:t>
      </w:r>
    </w:p>
    <w:p>
      <w:pPr>
        <w:spacing w:after="0" w:line="90" w:lineRule="exact"/>
        <w:rPr>
          <w:rFonts w:ascii="Arial" w:cs="Arial" w:eastAsia="Arial" w:hAnsi="Arial"/>
          <w:sz w:val="18"/>
          <w:szCs w:val="18"/>
          <w:color w:val="auto"/>
        </w:rPr>
      </w:pPr>
    </w:p>
    <w:p>
      <w:pPr>
        <w:ind w:left="660" w:hanging="436"/>
        <w:spacing w:after="0" w:line="268" w:lineRule="auto"/>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Gain of $247 million related to the release of Accumulated other comprehensive income (loss) associated with previously designated derivative financial instruments.</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 Basis of Presentation and Recent Accounting Standards</w:t>
      </w:r>
    </w:p>
    <w:p>
      <w:pPr>
        <w:spacing w:after="0" w:line="177" w:lineRule="exact"/>
        <w:rPr>
          <w:sz w:val="20"/>
          <w:szCs w:val="20"/>
          <w:color w:val="auto"/>
        </w:rPr>
      </w:pPr>
    </w:p>
    <w:p>
      <w:pPr>
        <w:ind w:right="120" w:firstLine="228"/>
        <w:spacing w:after="0" w:line="256" w:lineRule="auto"/>
        <w:rPr>
          <w:sz w:val="20"/>
          <w:szCs w:val="20"/>
          <w:color w:val="auto"/>
        </w:rPr>
      </w:pPr>
      <w:r>
        <w:rPr>
          <w:rFonts w:ascii="Arial" w:cs="Arial" w:eastAsia="Arial" w:hAnsi="Arial"/>
          <w:sz w:val="18"/>
          <w:szCs w:val="18"/>
          <w:color w:val="auto"/>
        </w:rPr>
        <w:t>We filed a Registration Statement on Form 10 on April 7, 2010, as amended on May 17, 2010, pursuant to an agreement with the SEC Staff, as described in a no-action letter issued to Old GM by the SEC Staff on July 9, 2009 regarding our filing requirements and those of MLC. On June 7, 2010 our Registration Statement on Form 10 became effective and we became subject to the filing requirements of Section 13 and 15(d) of the Securities Exchange Act of 1934. In accordance with the agreement with the SEC Staff,</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459" w:right="23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17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164"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the accompanying unaudited condensed consolidated financial statements include the financial statements and related information of Old GM, for the period prior to July 10, 2009, our predecessor entity solely for accounting and financial purposes and the entity from whom we purchased substantially all of its assets and assumed certain of its liabilities.</w:t>
      </w:r>
    </w:p>
    <w:p>
      <w:pPr>
        <w:spacing w:after="0" w:line="140" w:lineRule="exact"/>
        <w:rPr>
          <w:sz w:val="20"/>
          <w:szCs w:val="20"/>
          <w:color w:val="auto"/>
        </w:rPr>
      </w:pPr>
    </w:p>
    <w:p>
      <w:pPr>
        <w:ind w:right="60" w:firstLine="228"/>
        <w:spacing w:after="0" w:line="268" w:lineRule="auto"/>
        <w:rPr>
          <w:sz w:val="20"/>
          <w:szCs w:val="20"/>
          <w:color w:val="auto"/>
        </w:rPr>
      </w:pPr>
      <w:r>
        <w:rPr>
          <w:rFonts w:ascii="Arial" w:cs="Arial" w:eastAsia="Arial" w:hAnsi="Arial"/>
          <w:sz w:val="18"/>
          <w:szCs w:val="18"/>
          <w:color w:val="auto"/>
        </w:rPr>
        <w:t>The 363 Sale resulted in a new entity, General Motors Company, which is the successor entity solely for accounting and financial reporting purposes. Because we are a new reporting entity, our financial statements are not comparable to the financial statements of Old GM.</w:t>
      </w:r>
    </w:p>
    <w:p>
      <w:pPr>
        <w:spacing w:after="0" w:line="132" w:lineRule="exact"/>
        <w:rPr>
          <w:sz w:val="20"/>
          <w:szCs w:val="20"/>
          <w:color w:val="auto"/>
        </w:rPr>
      </w:pPr>
    </w:p>
    <w:p>
      <w:pPr>
        <w:ind w:right="100" w:firstLine="228"/>
        <w:spacing w:after="0" w:line="291" w:lineRule="auto"/>
        <w:rPr>
          <w:sz w:val="20"/>
          <w:szCs w:val="20"/>
          <w:color w:val="auto"/>
        </w:rPr>
      </w:pPr>
      <w:r>
        <w:rPr>
          <w:rFonts w:ascii="Arial" w:cs="Arial" w:eastAsia="Arial" w:hAnsi="Arial"/>
          <w:sz w:val="16"/>
          <w:szCs w:val="16"/>
          <w:color w:val="auto"/>
        </w:rPr>
        <w:t>The accompanying condensed consolidated financial statements have been prepared pursuant to the rules and regulations of the SEC for interim financial information. Accordingly, they do not include all of the information and footnotes required by U.S. GAAP for complete financial statements. The accompanying condensed consolidated financial statements include all adjustments, comprised of normal recurring adjustments, considered necessary by management to fairly state our results of operations, financial position and cash flows. The operating results for interim periods are not necessarily indicative of results that may be expected for any other interim period or for the full year. These condensed consolidated financial statements should be read in conjunction with the consolidated financial statements and notes thereto included in our Form S-1.</w:t>
      </w:r>
    </w:p>
    <w:p>
      <w:pPr>
        <w:spacing w:after="0" w:line="120" w:lineRule="exact"/>
        <w:rPr>
          <w:sz w:val="20"/>
          <w:szCs w:val="20"/>
          <w:color w:val="auto"/>
        </w:rPr>
      </w:pPr>
    </w:p>
    <w:p>
      <w:pPr>
        <w:ind w:right="20" w:firstLine="228"/>
        <w:spacing w:after="0" w:line="255" w:lineRule="auto"/>
        <w:rPr>
          <w:sz w:val="20"/>
          <w:szCs w:val="20"/>
          <w:color w:val="auto"/>
        </w:rPr>
      </w:pPr>
      <w:r>
        <w:rPr>
          <w:rFonts w:ascii="Arial" w:cs="Arial" w:eastAsia="Arial" w:hAnsi="Arial"/>
          <w:sz w:val="18"/>
          <w:szCs w:val="18"/>
          <w:color w:val="auto"/>
        </w:rPr>
        <w:t>In the nine months ended September 30, 2010 we changed our managerial reporting structure so that certain entities geographically located within Russia and Uzbekistan were transferred from our GME segment to our GMIO segment. We have revised the segment presentation for all periods presented. Beginning in the fourth quarter of 2010, we are creating a new regional organization in South America. The new organization, GM South America, will include existing sales and manufacturing operations in Brazil, Argentina, Colombia, Ecuador, and Venezuela, as well as sales activities in those countries and Bolivia, Chile, Paraguay, Peru and Uruguay.</w:t>
      </w:r>
    </w:p>
    <w:p>
      <w:pPr>
        <w:spacing w:after="0" w:line="143" w:lineRule="exact"/>
        <w:rPr>
          <w:sz w:val="20"/>
          <w:szCs w:val="20"/>
          <w:color w:val="auto"/>
        </w:rPr>
      </w:pPr>
    </w:p>
    <w:p>
      <w:pPr>
        <w:ind w:right="40" w:firstLine="228"/>
        <w:spacing w:after="0" w:line="268" w:lineRule="auto"/>
        <w:rPr>
          <w:sz w:val="20"/>
          <w:szCs w:val="20"/>
          <w:color w:val="auto"/>
        </w:rPr>
      </w:pPr>
      <w:r>
        <w:rPr>
          <w:rFonts w:ascii="Arial" w:cs="Arial" w:eastAsia="Arial" w:hAnsi="Arial"/>
          <w:sz w:val="18"/>
          <w:szCs w:val="18"/>
          <w:color w:val="auto"/>
        </w:rPr>
        <w:t>On October 5, 2010 our Board of Directors recommended a three-for-one stock split on shares of our common stock, which was approved by our stockholders on November 1, 2010. The stock split was effected on November 1, 2010.</w:t>
      </w:r>
    </w:p>
    <w:p>
      <w:pPr>
        <w:spacing w:after="0" w:line="132" w:lineRule="exact"/>
        <w:rPr>
          <w:sz w:val="20"/>
          <w:szCs w:val="20"/>
          <w:color w:val="auto"/>
        </w:rPr>
      </w:pPr>
    </w:p>
    <w:p>
      <w:pPr>
        <w:ind w:right="60" w:firstLine="228"/>
        <w:spacing w:after="0" w:line="259" w:lineRule="auto"/>
        <w:rPr>
          <w:sz w:val="20"/>
          <w:szCs w:val="20"/>
          <w:color w:val="auto"/>
        </w:rPr>
      </w:pPr>
      <w:r>
        <w:rPr>
          <w:rFonts w:ascii="Arial" w:cs="Arial" w:eastAsia="Arial" w:hAnsi="Arial"/>
          <w:sz w:val="18"/>
          <w:szCs w:val="18"/>
          <w:color w:val="auto"/>
        </w:rPr>
        <w:t>Each stockholder’s percentage ownership in us and proportional voting power remained unchanged after the stock split. All applicable Successor share, per share and related information in the condensed consolidated financial statements and notes thereto have been adjusted retroactively to give effect to the three-for-one stock split.</w:t>
      </w:r>
    </w:p>
    <w:p>
      <w:pPr>
        <w:spacing w:after="0" w:line="140" w:lineRule="exact"/>
        <w:rPr>
          <w:sz w:val="20"/>
          <w:szCs w:val="20"/>
          <w:color w:val="auto"/>
        </w:rPr>
      </w:pPr>
    </w:p>
    <w:p>
      <w:pPr>
        <w:ind w:right="40" w:firstLine="228"/>
        <w:spacing w:after="0" w:line="256" w:lineRule="auto"/>
        <w:rPr>
          <w:sz w:val="20"/>
          <w:szCs w:val="20"/>
          <w:color w:val="auto"/>
        </w:rPr>
      </w:pPr>
      <w:r>
        <w:rPr>
          <w:rFonts w:ascii="Arial" w:cs="Arial" w:eastAsia="Arial" w:hAnsi="Arial"/>
          <w:sz w:val="18"/>
          <w:szCs w:val="18"/>
          <w:color w:val="auto"/>
        </w:rPr>
        <w:t>On October 5, 2010, our Board of Directors recommended that we amend our Certificate of Incorporation to increase the number of shares of common stock that we are authorized to issue from 2,500,000,000 shares to 5,000,000,000 shares and to increase the number of preferred shares that we are authorized to issue from 1,000,000,000 shares to 2,000,000,000 shares. Our stockholders approved these amendments on November 1, 2010, and they were effected on November 1, 2010.</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Use of Estimates in the Preparation of the Financial Statements</w:t>
      </w:r>
    </w:p>
    <w:p>
      <w:pPr>
        <w:spacing w:after="0" w:line="177" w:lineRule="exact"/>
        <w:rPr>
          <w:sz w:val="20"/>
          <w:szCs w:val="20"/>
          <w:color w:val="auto"/>
        </w:rPr>
      </w:pPr>
    </w:p>
    <w:p>
      <w:pPr>
        <w:ind w:right="220" w:firstLine="228"/>
        <w:spacing w:after="0" w:line="255" w:lineRule="auto"/>
        <w:rPr>
          <w:sz w:val="20"/>
          <w:szCs w:val="20"/>
          <w:color w:val="auto"/>
        </w:rPr>
      </w:pPr>
      <w:r>
        <w:rPr>
          <w:rFonts w:ascii="Arial" w:cs="Arial" w:eastAsia="Arial" w:hAnsi="Arial"/>
          <w:sz w:val="18"/>
          <w:szCs w:val="18"/>
          <w:color w:val="auto"/>
        </w:rPr>
        <w:t>The condensed consolidated financial statements are prepared in conformity with U.S. GAAP, which requires the use of estimates, judgments, and assumptions that affect the reported amounts of assets and liabilities at the date of the condensed consolidated financial statements and the reported amounts of revenue and expenses in the periods presented. We believe that the accounting estimates employed are appropriate and the resulting balances are reasonable; however, due to the inherent uncertainties in making estimates actual results could differ from the original estimates, requiring adjustments to these balances in future periods.</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Principles of Consolidation</w:t>
      </w:r>
    </w:p>
    <w:p>
      <w:pPr>
        <w:spacing w:after="0" w:line="177" w:lineRule="exact"/>
        <w:rPr>
          <w:sz w:val="20"/>
          <w:szCs w:val="20"/>
          <w:color w:val="auto"/>
        </w:rPr>
      </w:pPr>
    </w:p>
    <w:p>
      <w:pPr>
        <w:ind w:right="380" w:firstLine="228"/>
        <w:spacing w:after="0" w:line="254" w:lineRule="auto"/>
        <w:rPr>
          <w:sz w:val="20"/>
          <w:szCs w:val="20"/>
          <w:color w:val="auto"/>
        </w:rPr>
      </w:pPr>
      <w:r>
        <w:rPr>
          <w:rFonts w:ascii="Arial" w:cs="Arial" w:eastAsia="Arial" w:hAnsi="Arial"/>
          <w:sz w:val="18"/>
          <w:szCs w:val="18"/>
          <w:color w:val="auto"/>
        </w:rPr>
        <w:t>Our condensed consolidated financial statements include our accounts and those of our subsidiaries that we control due to ownership of a majority voting interest. In addition, we consolidate variable interest entities (VIEs) when we are the VIE’s primary beneficiary. Our share of earnings or losses of nonconsolidated affiliates are included in our consolidated operating results using the equity method of accounting when we are able to exercise significant influence over their operating and financial decisions. When we are not able to exercise significant influence over such affiliates, we use the cost method of accounting. All intercompany balances and transactions have been eliminated in consolidation. Old GM utilized the same principles of consolidation in its condensed consolidated financial statements.</w:t>
      </w:r>
    </w:p>
    <w:p>
      <w:pPr>
        <w:spacing w:after="0" w:line="13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00"/>
          </w:cols>
          <w:pgMar w:left="240" w:top="459" w:right="25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Correction of Presentation in Condensed Consolidated Financial Statements</w:t>
      </w:r>
    </w:p>
    <w:p>
      <w:pPr>
        <w:spacing w:after="0" w:line="177" w:lineRule="exact"/>
        <w:rPr>
          <w:sz w:val="20"/>
          <w:szCs w:val="20"/>
          <w:color w:val="auto"/>
        </w:rPr>
      </w:pPr>
    </w:p>
    <w:p>
      <w:pPr>
        <w:ind w:right="80" w:firstLine="228"/>
        <w:spacing w:after="0" w:line="287" w:lineRule="auto"/>
        <w:rPr>
          <w:sz w:val="20"/>
          <w:szCs w:val="20"/>
          <w:color w:val="auto"/>
        </w:rPr>
      </w:pPr>
      <w:r>
        <w:rPr>
          <w:rFonts w:ascii="Arial" w:cs="Arial" w:eastAsia="Arial" w:hAnsi="Arial"/>
          <w:sz w:val="16"/>
          <w:szCs w:val="16"/>
          <w:color w:val="auto"/>
        </w:rPr>
        <w:t>In the three months ended June 30, 2010 we identified several items which had not been properly classified in our condensed consolidated statement of cash flows for the three months ended March 31, 2010. We determined that we had not properly classified the effects of the devaluation of the Venezuelan Bolivar Fuerte (BsF), which reduced our cash balance by $199 million. This reduction should have been presented as part of the Effect of exchange rate changes on cash and cash equivalents rather than a reduction of Net cash provided by operating activities. Additionally, the change in the cash component of the Saab Automobile AB (Saab) assets classified as held for sale of $330 million should have been presented as part of Cash and cash equivalents reclassified (to) from assets held for sale rather than an increase in Net cash flows from operating activities. The net effects of the remaining corrections are included in the table below. For the nine months ended September 30, 2010, we have correctly presented these items in our condensed consolidated statement of cash flows. Although we do not consider the effects of these errors to be material, we intend to correct our condensed consolidated statement of cash flows for the three months ended March 31, 2010 in our Quarterly Report on Form 10-Q for the three months ending March 31, 2011 when filed. The originally reported and corrected amounts for the three months ended March 31, 2010 are summarized in the following table (dollars in millions):</w:t>
      </w:r>
    </w:p>
    <w:p>
      <w:pPr>
        <w:spacing w:after="0" w:line="14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520" w:type="dxa"/>
            <w:vAlign w:val="bottom"/>
          </w:tcPr>
          <w:p>
            <w:pPr>
              <w:spacing w:after="0"/>
              <w:rPr>
                <w:sz w:val="14"/>
                <w:szCs w:val="14"/>
                <w:color w:val="auto"/>
              </w:rPr>
            </w:pPr>
          </w:p>
        </w:tc>
        <w:tc>
          <w:tcPr>
            <w:tcW w:w="1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gridSpan w:val="2"/>
          </w:tcPr>
          <w:p>
            <w:pPr>
              <w:jc w:val="right"/>
              <w:ind w:right="760"/>
              <w:spacing w:after="0"/>
              <w:rPr>
                <w:sz w:val="20"/>
                <w:szCs w:val="20"/>
                <w:color w:val="auto"/>
              </w:rPr>
            </w:pPr>
            <w:r>
              <w:rPr>
                <w:rFonts w:ascii="Arial" w:cs="Arial" w:eastAsia="Arial" w:hAnsi="Arial"/>
                <w:sz w:val="14"/>
                <w:szCs w:val="14"/>
                <w:b w:val="1"/>
                <w:bCs w:val="1"/>
                <w:color w:val="auto"/>
              </w:rPr>
              <w:t>As</w:t>
            </w:r>
          </w:p>
        </w:tc>
        <w:tc>
          <w:tcPr>
            <w:tcW w:w="2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49"/>
        </w:trPr>
        <w:tc>
          <w:tcPr>
            <w:tcW w:w="20" w:type="dxa"/>
            <w:vAlign w:val="bottom"/>
          </w:tcPr>
          <w:p>
            <w:pPr>
              <w:spacing w:after="0"/>
              <w:rPr>
                <w:sz w:val="12"/>
                <w:szCs w:val="12"/>
                <w:color w:val="auto"/>
              </w:rPr>
            </w:pPr>
          </w:p>
        </w:tc>
        <w:tc>
          <w:tcPr>
            <w:tcW w:w="6520" w:type="dxa"/>
            <w:vAlign w:val="bottom"/>
          </w:tcPr>
          <w:p>
            <w:pPr>
              <w:spacing w:after="0"/>
              <w:rPr>
                <w:sz w:val="12"/>
                <w:szCs w:val="12"/>
                <w:color w:val="auto"/>
              </w:rPr>
            </w:pPr>
          </w:p>
        </w:tc>
        <w:tc>
          <w:tcPr>
            <w:tcW w:w="1780" w:type="dxa"/>
            <w:vAlign w:val="bottom"/>
          </w:tcPr>
          <w:p>
            <w:pPr>
              <w:spacing w:after="0"/>
              <w:rPr>
                <w:sz w:val="12"/>
                <w:szCs w:val="12"/>
                <w:color w:val="auto"/>
              </w:rPr>
            </w:pPr>
          </w:p>
        </w:tc>
        <w:tc>
          <w:tcPr>
            <w:tcW w:w="112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Originally</w:t>
            </w:r>
          </w:p>
        </w:tc>
        <w:tc>
          <w:tcPr>
            <w:tcW w:w="2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gridSpan w:val="2"/>
          </w:tcPr>
          <w:p>
            <w:pPr>
              <w:jc w:val="right"/>
              <w:ind w:right="340"/>
              <w:spacing w:after="0" w:line="149" w:lineRule="exact"/>
              <w:rPr>
                <w:sz w:val="20"/>
                <w:szCs w:val="20"/>
                <w:color w:val="auto"/>
              </w:rPr>
            </w:pPr>
            <w:r>
              <w:rPr>
                <w:rFonts w:ascii="Arial" w:cs="Arial" w:eastAsia="Arial" w:hAnsi="Arial"/>
                <w:sz w:val="14"/>
                <w:szCs w:val="14"/>
                <w:b w:val="1"/>
                <w:bCs w:val="1"/>
                <w:color w:val="auto"/>
              </w:rPr>
              <w:t>As</w:t>
            </w:r>
          </w:p>
        </w:tc>
      </w:tr>
      <w:tr>
        <w:trPr>
          <w:trHeight w:val="161"/>
        </w:trPr>
        <w:tc>
          <w:tcPr>
            <w:tcW w:w="20" w:type="dxa"/>
            <w:vAlign w:val="bottom"/>
          </w:tcPr>
          <w:p>
            <w:pPr>
              <w:spacing w:after="0"/>
              <w:rPr>
                <w:sz w:val="14"/>
                <w:szCs w:val="14"/>
                <w:color w:val="auto"/>
              </w:rPr>
            </w:pPr>
          </w:p>
        </w:tc>
        <w:tc>
          <w:tcPr>
            <w:tcW w:w="6520" w:type="dxa"/>
            <w:vAlign w:val="bottom"/>
          </w:tcPr>
          <w:p>
            <w:pPr>
              <w:spacing w:after="0"/>
              <w:rPr>
                <w:sz w:val="14"/>
                <w:szCs w:val="14"/>
                <w:color w:val="auto"/>
              </w:rPr>
            </w:pPr>
          </w:p>
        </w:tc>
        <w:tc>
          <w:tcPr>
            <w:tcW w:w="1780" w:type="dxa"/>
            <w:vAlign w:val="bottom"/>
          </w:tcPr>
          <w:p>
            <w:pPr>
              <w:spacing w:after="0"/>
              <w:rPr>
                <w:sz w:val="14"/>
                <w:szCs w:val="14"/>
                <w:color w:val="auto"/>
              </w:rPr>
            </w:pPr>
          </w:p>
        </w:tc>
        <w:tc>
          <w:tcPr>
            <w:tcW w:w="60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w w:val="91"/>
              </w:rPr>
              <w:t>Reported</w:t>
            </w:r>
          </w:p>
        </w:tc>
        <w:tc>
          <w:tcPr>
            <w:tcW w:w="520" w:type="dxa"/>
            <w:vAlign w:val="bottom"/>
          </w:tcPr>
          <w:p>
            <w:pPr>
              <w:spacing w:after="0"/>
              <w:rPr>
                <w:sz w:val="14"/>
                <w:szCs w:val="14"/>
                <w:color w:val="auto"/>
              </w:rPr>
            </w:pPr>
          </w:p>
        </w:tc>
        <w:tc>
          <w:tcPr>
            <w:tcW w:w="76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b w:val="1"/>
                <w:bCs w:val="1"/>
                <w:color w:val="auto"/>
                <w:w w:val="84"/>
              </w:rPr>
              <w:t>Adjustments</w:t>
            </w:r>
          </w:p>
        </w:tc>
        <w:tc>
          <w:tcPr>
            <w:tcW w:w="2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00" w:type="dxa"/>
            <w:vAlign w:val="bottom"/>
            <w:tcBorders>
              <w:bottom w:val="single" w:sz="8" w:color="auto"/>
            </w:tcBorders>
            <w:gridSpan w:val="2"/>
          </w:tcPr>
          <w:p>
            <w:pPr>
              <w:spacing w:after="0"/>
              <w:rPr>
                <w:sz w:val="20"/>
                <w:szCs w:val="20"/>
                <w:color w:val="auto"/>
              </w:rPr>
            </w:pPr>
            <w:r>
              <w:rPr>
                <w:rFonts w:ascii="Arial" w:cs="Arial" w:eastAsia="Arial" w:hAnsi="Arial"/>
                <w:sz w:val="14"/>
                <w:szCs w:val="14"/>
                <w:b w:val="1"/>
                <w:bCs w:val="1"/>
                <w:color w:val="auto"/>
                <w:w w:val="87"/>
              </w:rPr>
              <w:t>Corrected</w:t>
            </w:r>
          </w:p>
        </w:tc>
        <w:tc>
          <w:tcPr>
            <w:tcW w:w="100" w:type="dxa"/>
            <w:vAlign w:val="bottom"/>
          </w:tcPr>
          <w:p>
            <w:pPr>
              <w:spacing w:after="0"/>
              <w:rPr>
                <w:sz w:val="14"/>
                <w:szCs w:val="14"/>
                <w:color w:val="auto"/>
              </w:rPr>
            </w:pPr>
          </w:p>
        </w:tc>
      </w:tr>
      <w:tr>
        <w:trPr>
          <w:trHeight w:val="210"/>
        </w:trPr>
        <w:tc>
          <w:tcPr>
            <w:tcW w:w="20" w:type="dxa"/>
            <w:vAlign w:val="bottom"/>
          </w:tcPr>
          <w:p>
            <w:pPr>
              <w:spacing w:after="0"/>
              <w:rPr>
                <w:sz w:val="18"/>
                <w:szCs w:val="18"/>
                <w:color w:val="auto"/>
              </w:rPr>
            </w:pPr>
          </w:p>
        </w:tc>
        <w:tc>
          <w:tcPr>
            <w:tcW w:w="6520" w:type="dxa"/>
            <w:vAlign w:val="bottom"/>
            <w:shd w:val="clear" w:color="auto" w:fill="CCEEFF"/>
          </w:tcPr>
          <w:p>
            <w:pPr>
              <w:spacing w:after="0"/>
              <w:rPr>
                <w:sz w:val="20"/>
                <w:szCs w:val="20"/>
                <w:color w:val="auto"/>
              </w:rPr>
            </w:pPr>
            <w:r>
              <w:rPr>
                <w:rFonts w:ascii="Arial" w:cs="Arial" w:eastAsia="Arial" w:hAnsi="Arial"/>
                <w:sz w:val="18"/>
                <w:szCs w:val="18"/>
                <w:color w:val="auto"/>
              </w:rPr>
              <w:t>Net cash provided by (used in) operating activities</w:t>
            </w:r>
          </w:p>
        </w:tc>
        <w:tc>
          <w:tcPr>
            <w:tcW w:w="1880" w:type="dxa"/>
            <w:vAlign w:val="bottom"/>
            <w:gridSpan w:val="2"/>
            <w:shd w:val="clear" w:color="auto" w:fill="CCEEFF"/>
          </w:tcPr>
          <w:p>
            <w:pPr>
              <w:ind w:left="1780"/>
              <w:spacing w:after="0"/>
              <w:rPr>
                <w:sz w:val="20"/>
                <w:szCs w:val="20"/>
                <w:color w:val="auto"/>
              </w:rPr>
            </w:pPr>
            <w:r>
              <w:rPr>
                <w:rFonts w:ascii="Arial" w:cs="Arial" w:eastAsia="Arial" w:hAnsi="Arial"/>
                <w:sz w:val="18"/>
                <w:szCs w:val="18"/>
                <w:color w:val="auto"/>
                <w:w w:val="7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1,746</w:t>
            </w:r>
          </w:p>
        </w:tc>
        <w:tc>
          <w:tcPr>
            <w:tcW w:w="5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104</w:t>
            </w:r>
          </w:p>
        </w:tc>
        <w:tc>
          <w:tcPr>
            <w:tcW w:w="34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w w:val="79"/>
              </w:rPr>
              <w:t>$</w:t>
            </w: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1,850</w:t>
            </w:r>
          </w:p>
        </w:tc>
      </w:tr>
      <w:tr>
        <w:trPr>
          <w:trHeight w:val="216"/>
        </w:trPr>
        <w:tc>
          <w:tcPr>
            <w:tcW w:w="20" w:type="dxa"/>
            <w:vAlign w:val="bottom"/>
          </w:tcPr>
          <w:p>
            <w:pPr>
              <w:spacing w:after="0"/>
              <w:rPr>
                <w:sz w:val="18"/>
                <w:szCs w:val="18"/>
                <w:color w:val="auto"/>
              </w:rPr>
            </w:pPr>
          </w:p>
        </w:tc>
        <w:tc>
          <w:tcPr>
            <w:tcW w:w="6520" w:type="dxa"/>
            <w:vAlign w:val="bottom"/>
          </w:tcPr>
          <w:p>
            <w:pPr>
              <w:spacing w:after="0"/>
              <w:rPr>
                <w:sz w:val="20"/>
                <w:szCs w:val="20"/>
                <w:color w:val="auto"/>
              </w:rPr>
            </w:pPr>
            <w:r>
              <w:rPr>
                <w:rFonts w:ascii="Arial" w:cs="Arial" w:eastAsia="Arial" w:hAnsi="Arial"/>
                <w:sz w:val="18"/>
                <w:szCs w:val="18"/>
                <w:color w:val="auto"/>
              </w:rPr>
              <w:t>Net cash provided by (used in) investing activities</w:t>
            </w:r>
          </w:p>
        </w:tc>
        <w:tc>
          <w:tcPr>
            <w:tcW w:w="1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646</w:t>
            </w:r>
          </w:p>
        </w:tc>
        <w:tc>
          <w:tcPr>
            <w:tcW w:w="5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80" w:type="dxa"/>
            <w:vAlign w:val="bottom"/>
            <w:gridSpan w:val="2"/>
          </w:tcPr>
          <w:p>
            <w:pPr>
              <w:jc w:val="right"/>
              <w:ind w:right="240"/>
              <w:spacing w:after="0"/>
              <w:rPr>
                <w:sz w:val="20"/>
                <w:szCs w:val="20"/>
                <w:color w:val="auto"/>
              </w:rPr>
            </w:pPr>
            <w:r>
              <w:rPr>
                <w:rFonts w:ascii="Arial" w:cs="Arial" w:eastAsia="Arial" w:hAnsi="Arial"/>
                <w:sz w:val="18"/>
                <w:szCs w:val="18"/>
                <w:color w:val="auto"/>
              </w:rPr>
              <w:t>(195)</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451</w:t>
            </w:r>
          </w:p>
        </w:tc>
      </w:tr>
      <w:tr>
        <w:trPr>
          <w:trHeight w:val="216"/>
        </w:trPr>
        <w:tc>
          <w:tcPr>
            <w:tcW w:w="20" w:type="dxa"/>
            <w:vAlign w:val="bottom"/>
          </w:tcPr>
          <w:p>
            <w:pPr>
              <w:spacing w:after="0"/>
              <w:rPr>
                <w:sz w:val="18"/>
                <w:szCs w:val="18"/>
                <w:color w:val="auto"/>
              </w:rPr>
            </w:pPr>
          </w:p>
        </w:tc>
        <w:tc>
          <w:tcPr>
            <w:tcW w:w="6520" w:type="dxa"/>
            <w:vAlign w:val="bottom"/>
            <w:shd w:val="clear" w:color="auto" w:fill="CCEEFF"/>
          </w:tcPr>
          <w:p>
            <w:pPr>
              <w:spacing w:after="0"/>
              <w:rPr>
                <w:sz w:val="20"/>
                <w:szCs w:val="20"/>
                <w:color w:val="auto"/>
              </w:rPr>
            </w:pPr>
            <w:r>
              <w:rPr>
                <w:rFonts w:ascii="Arial" w:cs="Arial" w:eastAsia="Arial" w:hAnsi="Arial"/>
                <w:sz w:val="18"/>
                <w:szCs w:val="18"/>
                <w:color w:val="auto"/>
              </w:rPr>
              <w:t>Net cash provided by (used in) financing activities</w:t>
            </w:r>
          </w:p>
        </w:tc>
        <w:tc>
          <w:tcPr>
            <w:tcW w:w="1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w w:val="94"/>
              </w:rPr>
              <w:t>(1,688)</w:t>
            </w:r>
          </w:p>
        </w:tc>
        <w:tc>
          <w:tcPr>
            <w:tcW w:w="2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(50)</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4"/>
              </w:rPr>
              <w:t>(1,738)</w:t>
            </w:r>
          </w:p>
        </w:tc>
      </w:tr>
      <w:tr>
        <w:trPr>
          <w:trHeight w:val="216"/>
        </w:trPr>
        <w:tc>
          <w:tcPr>
            <w:tcW w:w="20" w:type="dxa"/>
            <w:vAlign w:val="bottom"/>
          </w:tcPr>
          <w:p>
            <w:pPr>
              <w:spacing w:after="0"/>
              <w:rPr>
                <w:sz w:val="18"/>
                <w:szCs w:val="18"/>
                <w:color w:val="auto"/>
              </w:rPr>
            </w:pPr>
          </w:p>
        </w:tc>
        <w:tc>
          <w:tcPr>
            <w:tcW w:w="6520" w:type="dxa"/>
            <w:vAlign w:val="bottom"/>
          </w:tcPr>
          <w:p>
            <w:pPr>
              <w:spacing w:after="0"/>
              <w:rPr>
                <w:sz w:val="20"/>
                <w:szCs w:val="20"/>
                <w:color w:val="auto"/>
              </w:rPr>
            </w:pPr>
            <w:r>
              <w:rPr>
                <w:rFonts w:ascii="Arial" w:cs="Arial" w:eastAsia="Arial" w:hAnsi="Arial"/>
                <w:sz w:val="18"/>
                <w:szCs w:val="18"/>
                <w:color w:val="auto"/>
              </w:rPr>
              <w:t>Effect of exchange rate changes on cash and cash equivalents</w:t>
            </w:r>
          </w:p>
        </w:tc>
        <w:tc>
          <w:tcPr>
            <w:tcW w:w="1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460"/>
              <w:spacing w:after="0"/>
              <w:rPr>
                <w:sz w:val="20"/>
                <w:szCs w:val="20"/>
                <w:color w:val="auto"/>
              </w:rPr>
            </w:pPr>
            <w:r>
              <w:rPr>
                <w:rFonts w:ascii="Arial" w:cs="Arial" w:eastAsia="Arial" w:hAnsi="Arial"/>
                <w:sz w:val="18"/>
                <w:szCs w:val="18"/>
                <w:color w:val="auto"/>
              </w:rPr>
              <w:t>(53)</w:t>
            </w:r>
          </w:p>
        </w:tc>
        <w:tc>
          <w:tcPr>
            <w:tcW w:w="260" w:type="dxa"/>
            <w:vAlign w:val="bottom"/>
          </w:tcPr>
          <w:p>
            <w:pPr>
              <w:spacing w:after="0"/>
              <w:rPr>
                <w:sz w:val="18"/>
                <w:szCs w:val="18"/>
                <w:color w:val="auto"/>
              </w:rPr>
            </w:pPr>
          </w:p>
        </w:tc>
        <w:tc>
          <w:tcPr>
            <w:tcW w:w="780" w:type="dxa"/>
            <w:vAlign w:val="bottom"/>
            <w:gridSpan w:val="2"/>
          </w:tcPr>
          <w:p>
            <w:pPr>
              <w:jc w:val="right"/>
              <w:ind w:right="240"/>
              <w:spacing w:after="0"/>
              <w:rPr>
                <w:sz w:val="20"/>
                <w:szCs w:val="20"/>
                <w:color w:val="auto"/>
              </w:rPr>
            </w:pPr>
            <w:r>
              <w:rPr>
                <w:rFonts w:ascii="Arial" w:cs="Arial" w:eastAsia="Arial" w:hAnsi="Arial"/>
                <w:sz w:val="18"/>
                <w:szCs w:val="18"/>
                <w:color w:val="auto"/>
              </w:rPr>
              <w:t>(250)</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gridSpan w:val="2"/>
          </w:tcPr>
          <w:p>
            <w:pPr>
              <w:jc w:val="right"/>
              <w:ind w:right="40"/>
              <w:spacing w:after="0"/>
              <w:rPr>
                <w:sz w:val="20"/>
                <w:szCs w:val="20"/>
                <w:color w:val="auto"/>
              </w:rPr>
            </w:pPr>
            <w:r>
              <w:rPr>
                <w:rFonts w:ascii="Arial" w:cs="Arial" w:eastAsia="Arial" w:hAnsi="Arial"/>
                <w:sz w:val="18"/>
                <w:szCs w:val="18"/>
                <w:color w:val="auto"/>
              </w:rPr>
              <w:t>(303)</w:t>
            </w:r>
          </w:p>
        </w:tc>
      </w:tr>
      <w:tr>
        <w:trPr>
          <w:trHeight w:val="216"/>
        </w:trPr>
        <w:tc>
          <w:tcPr>
            <w:tcW w:w="20" w:type="dxa"/>
            <w:vAlign w:val="bottom"/>
          </w:tcPr>
          <w:p>
            <w:pPr>
              <w:spacing w:after="0"/>
              <w:rPr>
                <w:sz w:val="18"/>
                <w:szCs w:val="18"/>
                <w:color w:val="auto"/>
              </w:rPr>
            </w:pPr>
          </w:p>
        </w:tc>
        <w:tc>
          <w:tcPr>
            <w:tcW w:w="652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 reclassified (to) from assets held for sale</w:t>
            </w:r>
          </w:p>
        </w:tc>
        <w:tc>
          <w:tcPr>
            <w:tcW w:w="1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(20)</w:t>
            </w:r>
          </w:p>
        </w:tc>
        <w:tc>
          <w:tcPr>
            <w:tcW w:w="2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391</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371</w:t>
            </w:r>
          </w:p>
        </w:tc>
      </w:tr>
      <w:tr>
        <w:trPr>
          <w:trHeight w:val="223"/>
        </w:trPr>
        <w:tc>
          <w:tcPr>
            <w:tcW w:w="20" w:type="dxa"/>
            <w:vAlign w:val="bottom"/>
          </w:tcPr>
          <w:p>
            <w:pPr>
              <w:spacing w:after="0"/>
              <w:rPr>
                <w:sz w:val="19"/>
                <w:szCs w:val="19"/>
                <w:color w:val="auto"/>
              </w:rPr>
            </w:pPr>
          </w:p>
        </w:tc>
        <w:tc>
          <w:tcPr>
            <w:tcW w:w="6520" w:type="dxa"/>
            <w:vAlign w:val="bottom"/>
          </w:tcPr>
          <w:p>
            <w:pPr>
              <w:spacing w:after="0"/>
              <w:rPr>
                <w:sz w:val="20"/>
                <w:szCs w:val="20"/>
                <w:color w:val="auto"/>
              </w:rPr>
            </w:pPr>
            <w:r>
              <w:rPr>
                <w:rFonts w:ascii="Arial" w:cs="Arial" w:eastAsia="Arial" w:hAnsi="Arial"/>
                <w:sz w:val="18"/>
                <w:szCs w:val="18"/>
                <w:color w:val="auto"/>
              </w:rPr>
              <w:t>Cash and cash equivalents at beginning of the period</w:t>
            </w:r>
          </w:p>
        </w:tc>
        <w:tc>
          <w:tcPr>
            <w:tcW w:w="17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7"/>
              </w:rPr>
              <w:t>22,679</w:t>
            </w:r>
          </w:p>
        </w:tc>
        <w:tc>
          <w:tcPr>
            <w:tcW w:w="52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7"/>
              </w:rPr>
              <w:t>22,679</w:t>
            </w:r>
          </w:p>
        </w:tc>
        <w:tc>
          <w:tcPr>
            <w:tcW w:w="1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652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 at end of the period</w:t>
            </w:r>
          </w:p>
        </w:tc>
        <w:tc>
          <w:tcPr>
            <w:tcW w:w="1880" w:type="dxa"/>
            <w:vAlign w:val="bottom"/>
            <w:gridSpan w:val="2"/>
            <w:shd w:val="clear" w:color="auto" w:fill="CCEEFF"/>
          </w:tcPr>
          <w:p>
            <w:pPr>
              <w:ind w:left="1780"/>
              <w:spacing w:after="0"/>
              <w:rPr>
                <w:sz w:val="20"/>
                <w:szCs w:val="20"/>
                <w:color w:val="auto"/>
              </w:rPr>
            </w:pPr>
            <w:r>
              <w:rPr>
                <w:rFonts w:ascii="Arial" w:cs="Arial" w:eastAsia="Arial" w:hAnsi="Arial"/>
                <w:sz w:val="18"/>
                <w:szCs w:val="18"/>
                <w:color w:val="auto"/>
                <w:w w:val="7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23,310</w:t>
            </w:r>
          </w:p>
        </w:tc>
        <w:tc>
          <w:tcPr>
            <w:tcW w:w="5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34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w w:val="79"/>
              </w:rPr>
              <w:t>$</w:t>
            </w: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7"/>
              </w:rPr>
              <w:t>23,310</w:t>
            </w:r>
          </w:p>
        </w:tc>
      </w:tr>
      <w:tr>
        <w:trPr>
          <w:trHeight w:val="20"/>
        </w:trPr>
        <w:tc>
          <w:tcPr>
            <w:tcW w:w="20" w:type="dxa"/>
            <w:vAlign w:val="bottom"/>
          </w:tcPr>
          <w:p>
            <w:pPr>
              <w:spacing w:after="0" w:line="20" w:lineRule="exact"/>
              <w:rPr>
                <w:sz w:val="1"/>
                <w:szCs w:val="1"/>
                <w:color w:val="auto"/>
              </w:rPr>
            </w:pPr>
          </w:p>
        </w:tc>
        <w:tc>
          <w:tcPr>
            <w:tcW w:w="652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67" w:lineRule="exact"/>
        <w:rPr>
          <w:sz w:val="20"/>
          <w:szCs w:val="20"/>
          <w:color w:val="auto"/>
        </w:rPr>
      </w:pPr>
    </w:p>
    <w:p>
      <w:pPr>
        <w:ind w:right="60" w:firstLine="228"/>
        <w:spacing w:after="0" w:line="294" w:lineRule="auto"/>
        <w:rPr>
          <w:sz w:val="20"/>
          <w:szCs w:val="20"/>
          <w:color w:val="auto"/>
        </w:rPr>
      </w:pPr>
      <w:r>
        <w:rPr>
          <w:rFonts w:ascii="Arial" w:cs="Arial" w:eastAsia="Arial" w:hAnsi="Arial"/>
          <w:sz w:val="16"/>
          <w:szCs w:val="16"/>
          <w:color w:val="auto"/>
        </w:rPr>
        <w:t>In addition, in the three months ended June 30, 2010, we identified several items that had not been properly classified in the condensed consolidated statement of cash flows for the period July 10, 2009 through September 30, 2009 (Successor). Although we do not consider the effects of these errors to be material, we have corrected our condensed consolidated statement of cash flows to properly reflect these items. These errors primarily relate to reclassifications within the respective sections of the condensed consolidated statement of cash flows. The originally reported and corrected amounts for the period July 10, 2009 through September 30, 2009 (Successor) are summarized in the following table (dollars in millions):</w:t>
      </w:r>
    </w:p>
    <w:p>
      <w:pPr>
        <w:spacing w:after="0" w:line="13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540" w:type="dxa"/>
            <w:vAlign w:val="bottom"/>
          </w:tcPr>
          <w:p>
            <w:pPr>
              <w:spacing w:after="0"/>
              <w:rPr>
                <w:sz w:val="14"/>
                <w:szCs w:val="14"/>
                <w:color w:val="auto"/>
              </w:rPr>
            </w:pPr>
          </w:p>
        </w:tc>
        <w:tc>
          <w:tcPr>
            <w:tcW w:w="1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gridSpan w:val="2"/>
          </w:tcPr>
          <w:p>
            <w:pPr>
              <w:jc w:val="right"/>
              <w:ind w:right="760"/>
              <w:spacing w:after="0"/>
              <w:rPr>
                <w:sz w:val="20"/>
                <w:szCs w:val="20"/>
                <w:color w:val="auto"/>
              </w:rPr>
            </w:pPr>
            <w:r>
              <w:rPr>
                <w:rFonts w:ascii="Arial" w:cs="Arial" w:eastAsia="Arial" w:hAnsi="Arial"/>
                <w:sz w:val="14"/>
                <w:szCs w:val="14"/>
                <w:b w:val="1"/>
                <w:bCs w:val="1"/>
                <w:color w:val="auto"/>
              </w:rPr>
              <w:t>As</w:t>
            </w:r>
          </w:p>
        </w:tc>
        <w:tc>
          <w:tcPr>
            <w:tcW w:w="2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49"/>
        </w:trPr>
        <w:tc>
          <w:tcPr>
            <w:tcW w:w="6540" w:type="dxa"/>
            <w:vAlign w:val="bottom"/>
          </w:tcPr>
          <w:p>
            <w:pPr>
              <w:spacing w:after="0"/>
              <w:rPr>
                <w:sz w:val="12"/>
                <w:szCs w:val="12"/>
                <w:color w:val="auto"/>
              </w:rPr>
            </w:pPr>
          </w:p>
        </w:tc>
        <w:tc>
          <w:tcPr>
            <w:tcW w:w="1780" w:type="dxa"/>
            <w:vAlign w:val="bottom"/>
          </w:tcPr>
          <w:p>
            <w:pPr>
              <w:spacing w:after="0"/>
              <w:rPr>
                <w:sz w:val="12"/>
                <w:szCs w:val="12"/>
                <w:color w:val="auto"/>
              </w:rPr>
            </w:pPr>
          </w:p>
        </w:tc>
        <w:tc>
          <w:tcPr>
            <w:tcW w:w="112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Originally</w:t>
            </w:r>
          </w:p>
        </w:tc>
        <w:tc>
          <w:tcPr>
            <w:tcW w:w="2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gridSpan w:val="2"/>
          </w:tcPr>
          <w:p>
            <w:pPr>
              <w:jc w:val="right"/>
              <w:ind w:right="340"/>
              <w:spacing w:after="0" w:line="149" w:lineRule="exact"/>
              <w:rPr>
                <w:sz w:val="20"/>
                <w:szCs w:val="20"/>
                <w:color w:val="auto"/>
              </w:rPr>
            </w:pPr>
            <w:r>
              <w:rPr>
                <w:rFonts w:ascii="Arial" w:cs="Arial" w:eastAsia="Arial" w:hAnsi="Arial"/>
                <w:sz w:val="14"/>
                <w:szCs w:val="14"/>
                <w:b w:val="1"/>
                <w:bCs w:val="1"/>
                <w:color w:val="auto"/>
              </w:rPr>
              <w:t>As</w:t>
            </w:r>
          </w:p>
        </w:tc>
      </w:tr>
      <w:tr>
        <w:trPr>
          <w:trHeight w:val="161"/>
        </w:trPr>
        <w:tc>
          <w:tcPr>
            <w:tcW w:w="6540" w:type="dxa"/>
            <w:vAlign w:val="bottom"/>
          </w:tcPr>
          <w:p>
            <w:pPr>
              <w:spacing w:after="0"/>
              <w:rPr>
                <w:sz w:val="14"/>
                <w:szCs w:val="14"/>
                <w:color w:val="auto"/>
              </w:rPr>
            </w:pPr>
          </w:p>
        </w:tc>
        <w:tc>
          <w:tcPr>
            <w:tcW w:w="1780" w:type="dxa"/>
            <w:vAlign w:val="bottom"/>
          </w:tcPr>
          <w:p>
            <w:pPr>
              <w:spacing w:after="0"/>
              <w:rPr>
                <w:sz w:val="14"/>
                <w:szCs w:val="14"/>
                <w:color w:val="auto"/>
              </w:rPr>
            </w:pPr>
          </w:p>
        </w:tc>
        <w:tc>
          <w:tcPr>
            <w:tcW w:w="60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w w:val="91"/>
              </w:rPr>
              <w:t>Reported</w:t>
            </w:r>
          </w:p>
        </w:tc>
        <w:tc>
          <w:tcPr>
            <w:tcW w:w="520" w:type="dxa"/>
            <w:vAlign w:val="bottom"/>
          </w:tcPr>
          <w:p>
            <w:pPr>
              <w:spacing w:after="0"/>
              <w:rPr>
                <w:sz w:val="14"/>
                <w:szCs w:val="14"/>
                <w:color w:val="auto"/>
              </w:rPr>
            </w:pPr>
          </w:p>
        </w:tc>
        <w:tc>
          <w:tcPr>
            <w:tcW w:w="76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b w:val="1"/>
                <w:bCs w:val="1"/>
                <w:color w:val="auto"/>
                <w:w w:val="84"/>
              </w:rPr>
              <w:t>Adjustments</w:t>
            </w:r>
          </w:p>
        </w:tc>
        <w:tc>
          <w:tcPr>
            <w:tcW w:w="2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00" w:type="dxa"/>
            <w:vAlign w:val="bottom"/>
            <w:tcBorders>
              <w:bottom w:val="single" w:sz="8" w:color="auto"/>
            </w:tcBorders>
            <w:gridSpan w:val="2"/>
          </w:tcPr>
          <w:p>
            <w:pPr>
              <w:spacing w:after="0"/>
              <w:rPr>
                <w:sz w:val="20"/>
                <w:szCs w:val="20"/>
                <w:color w:val="auto"/>
              </w:rPr>
            </w:pPr>
            <w:r>
              <w:rPr>
                <w:rFonts w:ascii="Arial" w:cs="Arial" w:eastAsia="Arial" w:hAnsi="Arial"/>
                <w:sz w:val="14"/>
                <w:szCs w:val="14"/>
                <w:b w:val="1"/>
                <w:bCs w:val="1"/>
                <w:color w:val="auto"/>
                <w:w w:val="87"/>
              </w:rPr>
              <w:t>Corrected</w:t>
            </w:r>
          </w:p>
        </w:tc>
        <w:tc>
          <w:tcPr>
            <w:tcW w:w="100" w:type="dxa"/>
            <w:vAlign w:val="bottom"/>
          </w:tcPr>
          <w:p>
            <w:pPr>
              <w:spacing w:after="0"/>
              <w:rPr>
                <w:sz w:val="14"/>
                <w:szCs w:val="14"/>
                <w:color w:val="auto"/>
              </w:rPr>
            </w:pPr>
          </w:p>
        </w:tc>
      </w:tr>
      <w:tr>
        <w:trPr>
          <w:trHeight w:val="210"/>
        </w:trPr>
        <w:tc>
          <w:tcPr>
            <w:tcW w:w="65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cash provided by (used in) operating activities</w:t>
            </w:r>
          </w:p>
        </w:tc>
        <w:tc>
          <w:tcPr>
            <w:tcW w:w="1880" w:type="dxa"/>
            <w:vAlign w:val="bottom"/>
            <w:gridSpan w:val="2"/>
            <w:shd w:val="clear" w:color="auto" w:fill="CCEEFF"/>
          </w:tcPr>
          <w:p>
            <w:pPr>
              <w:ind w:left="1780"/>
              <w:spacing w:after="0"/>
              <w:rPr>
                <w:sz w:val="20"/>
                <w:szCs w:val="20"/>
                <w:color w:val="auto"/>
              </w:rPr>
            </w:pPr>
            <w:r>
              <w:rPr>
                <w:rFonts w:ascii="Arial" w:cs="Arial" w:eastAsia="Arial" w:hAnsi="Arial"/>
                <w:sz w:val="18"/>
                <w:szCs w:val="18"/>
                <w:b w:val="1"/>
                <w:bCs w:val="1"/>
                <w:color w:val="auto"/>
                <w:w w:val="7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2,857</w:t>
            </w:r>
          </w:p>
        </w:tc>
        <w:tc>
          <w:tcPr>
            <w:tcW w:w="5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7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b w:val="1"/>
                <w:bCs w:val="1"/>
                <w:color w:val="auto"/>
              </w:rPr>
              <w:t>102</w:t>
            </w:r>
          </w:p>
        </w:tc>
        <w:tc>
          <w:tcPr>
            <w:tcW w:w="340" w:type="dxa"/>
            <w:vAlign w:val="bottom"/>
            <w:gridSpan w:val="2"/>
            <w:shd w:val="clear" w:color="auto" w:fill="CCEEFF"/>
          </w:tcPr>
          <w:p>
            <w:pPr>
              <w:ind w:left="240"/>
              <w:spacing w:after="0"/>
              <w:rPr>
                <w:sz w:val="20"/>
                <w:szCs w:val="20"/>
                <w:color w:val="auto"/>
              </w:rPr>
            </w:pPr>
            <w:r>
              <w:rPr>
                <w:rFonts w:ascii="Arial" w:cs="Arial" w:eastAsia="Arial" w:hAnsi="Arial"/>
                <w:sz w:val="18"/>
                <w:szCs w:val="18"/>
                <w:b w:val="1"/>
                <w:bCs w:val="1"/>
                <w:color w:val="auto"/>
                <w:w w:val="79"/>
              </w:rPr>
              <w:t>$</w:t>
            </w: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2,959</w:t>
            </w:r>
          </w:p>
        </w:tc>
      </w:tr>
      <w:tr>
        <w:trPr>
          <w:trHeight w:val="216"/>
        </w:trPr>
        <w:tc>
          <w:tcPr>
            <w:tcW w:w="6540" w:type="dxa"/>
            <w:vAlign w:val="bottom"/>
          </w:tcPr>
          <w:p>
            <w:pPr>
              <w:spacing w:after="0"/>
              <w:rPr>
                <w:sz w:val="20"/>
                <w:szCs w:val="20"/>
                <w:color w:val="auto"/>
              </w:rPr>
            </w:pPr>
            <w:r>
              <w:rPr>
                <w:rFonts w:ascii="Arial" w:cs="Arial" w:eastAsia="Arial" w:hAnsi="Arial"/>
                <w:sz w:val="18"/>
                <w:szCs w:val="18"/>
                <w:b w:val="1"/>
                <w:bCs w:val="1"/>
                <w:color w:val="auto"/>
              </w:rPr>
              <w:t>Cash flows from investing activities</w:t>
            </w:r>
          </w:p>
        </w:tc>
        <w:tc>
          <w:tcPr>
            <w:tcW w:w="1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5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Other (a)</w:t>
            </w:r>
          </w:p>
        </w:tc>
        <w:tc>
          <w:tcPr>
            <w:tcW w:w="1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(107)</w:t>
            </w:r>
          </w:p>
        </w:tc>
        <w:tc>
          <w:tcPr>
            <w:tcW w:w="2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76</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(31)</w:t>
            </w:r>
          </w:p>
        </w:tc>
      </w:tr>
      <w:tr>
        <w:trPr>
          <w:trHeight w:val="216"/>
        </w:trPr>
        <w:tc>
          <w:tcPr>
            <w:tcW w:w="6540" w:type="dxa"/>
            <w:vAlign w:val="bottom"/>
          </w:tcPr>
          <w:p>
            <w:pPr>
              <w:spacing w:after="0"/>
              <w:rPr>
                <w:sz w:val="20"/>
                <w:szCs w:val="20"/>
                <w:color w:val="auto"/>
              </w:rPr>
            </w:pPr>
            <w:r>
              <w:rPr>
                <w:rFonts w:ascii="Arial" w:cs="Arial" w:eastAsia="Arial" w:hAnsi="Arial"/>
                <w:sz w:val="18"/>
                <w:szCs w:val="18"/>
                <w:b w:val="1"/>
                <w:bCs w:val="1"/>
                <w:color w:val="auto"/>
              </w:rPr>
              <w:t>Net cash provided by (used in) investing activities</w:t>
            </w:r>
          </w:p>
        </w:tc>
        <w:tc>
          <w:tcPr>
            <w:tcW w:w="1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460"/>
              <w:spacing w:after="0"/>
              <w:rPr>
                <w:sz w:val="20"/>
                <w:szCs w:val="20"/>
                <w:color w:val="auto"/>
              </w:rPr>
            </w:pPr>
            <w:r>
              <w:rPr>
                <w:rFonts w:ascii="Arial" w:cs="Arial" w:eastAsia="Arial" w:hAnsi="Arial"/>
                <w:sz w:val="18"/>
                <w:szCs w:val="18"/>
                <w:b w:val="1"/>
                <w:bCs w:val="1"/>
                <w:color w:val="auto"/>
              </w:rPr>
              <w:t>(422)</w:t>
            </w:r>
          </w:p>
        </w:tc>
        <w:tc>
          <w:tcPr>
            <w:tcW w:w="260" w:type="dxa"/>
            <w:vAlign w:val="bottom"/>
          </w:tcPr>
          <w:p>
            <w:pPr>
              <w:spacing w:after="0"/>
              <w:rPr>
                <w:sz w:val="18"/>
                <w:szCs w:val="18"/>
                <w:color w:val="auto"/>
              </w:rPr>
            </w:pPr>
          </w:p>
        </w:tc>
        <w:tc>
          <w:tcPr>
            <w:tcW w:w="780" w:type="dxa"/>
            <w:vAlign w:val="bottom"/>
            <w:gridSpan w:val="2"/>
          </w:tcPr>
          <w:p>
            <w:pPr>
              <w:jc w:val="right"/>
              <w:ind w:right="280"/>
              <w:spacing w:after="0"/>
              <w:rPr>
                <w:sz w:val="20"/>
                <w:szCs w:val="20"/>
                <w:color w:val="auto"/>
              </w:rPr>
            </w:pPr>
            <w:r>
              <w:rPr>
                <w:rFonts w:ascii="Arial" w:cs="Arial" w:eastAsia="Arial" w:hAnsi="Arial"/>
                <w:sz w:val="18"/>
                <w:szCs w:val="18"/>
                <w:b w:val="1"/>
                <w:bCs w:val="1"/>
                <w:color w:val="auto"/>
              </w:rPr>
              <w:t>76</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gridSpan w:val="2"/>
          </w:tcPr>
          <w:p>
            <w:pPr>
              <w:jc w:val="right"/>
              <w:ind w:right="40"/>
              <w:spacing w:after="0"/>
              <w:rPr>
                <w:sz w:val="20"/>
                <w:szCs w:val="20"/>
                <w:color w:val="auto"/>
              </w:rPr>
            </w:pPr>
            <w:r>
              <w:rPr>
                <w:rFonts w:ascii="Arial" w:cs="Arial" w:eastAsia="Arial" w:hAnsi="Arial"/>
                <w:sz w:val="18"/>
                <w:szCs w:val="18"/>
                <w:b w:val="1"/>
                <w:bCs w:val="1"/>
                <w:color w:val="auto"/>
              </w:rPr>
              <w:t>(346)</w:t>
            </w:r>
          </w:p>
        </w:tc>
      </w:tr>
      <w:tr>
        <w:trPr>
          <w:trHeight w:val="216"/>
        </w:trPr>
        <w:tc>
          <w:tcPr>
            <w:tcW w:w="65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flows from financing activities</w:t>
            </w:r>
          </w:p>
        </w:tc>
        <w:tc>
          <w:tcPr>
            <w:tcW w:w="1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6540" w:type="dxa"/>
            <w:vAlign w:val="bottom"/>
          </w:tcPr>
          <w:p>
            <w:pPr>
              <w:ind w:left="220"/>
              <w:spacing w:after="0"/>
              <w:rPr>
                <w:sz w:val="20"/>
                <w:szCs w:val="20"/>
                <w:color w:val="auto"/>
              </w:rPr>
            </w:pPr>
            <w:r>
              <w:rPr>
                <w:rFonts w:ascii="Arial" w:cs="Arial" w:eastAsia="Arial" w:hAnsi="Arial"/>
                <w:sz w:val="18"/>
                <w:szCs w:val="18"/>
                <w:color w:val="auto"/>
              </w:rPr>
              <w:t>Net decrease in short-term debt</w:t>
            </w:r>
          </w:p>
        </w:tc>
        <w:tc>
          <w:tcPr>
            <w:tcW w:w="1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460"/>
              <w:spacing w:after="0"/>
              <w:rPr>
                <w:sz w:val="20"/>
                <w:szCs w:val="20"/>
                <w:color w:val="auto"/>
              </w:rPr>
            </w:pPr>
            <w:r>
              <w:rPr>
                <w:rFonts w:ascii="Arial" w:cs="Arial" w:eastAsia="Arial" w:hAnsi="Arial"/>
                <w:sz w:val="18"/>
                <w:szCs w:val="18"/>
                <w:color w:val="auto"/>
              </w:rPr>
              <w:t>(588)</w:t>
            </w:r>
          </w:p>
        </w:tc>
        <w:tc>
          <w:tcPr>
            <w:tcW w:w="260" w:type="dxa"/>
            <w:vAlign w:val="bottom"/>
          </w:tcPr>
          <w:p>
            <w:pPr>
              <w:spacing w:after="0"/>
              <w:rPr>
                <w:sz w:val="18"/>
                <w:szCs w:val="18"/>
                <w:color w:val="auto"/>
              </w:rPr>
            </w:pPr>
          </w:p>
        </w:tc>
        <w:tc>
          <w:tcPr>
            <w:tcW w:w="780" w:type="dxa"/>
            <w:vAlign w:val="bottom"/>
            <w:gridSpan w:val="2"/>
          </w:tcPr>
          <w:p>
            <w:pPr>
              <w:jc w:val="right"/>
              <w:ind w:right="280"/>
              <w:spacing w:after="0"/>
              <w:rPr>
                <w:sz w:val="20"/>
                <w:szCs w:val="20"/>
                <w:color w:val="auto"/>
              </w:rPr>
            </w:pPr>
            <w:r>
              <w:rPr>
                <w:rFonts w:ascii="Arial" w:cs="Arial" w:eastAsia="Arial" w:hAnsi="Arial"/>
                <w:sz w:val="18"/>
                <w:szCs w:val="18"/>
                <w:color w:val="auto"/>
              </w:rPr>
              <w:t>298</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gridSpan w:val="2"/>
          </w:tcPr>
          <w:p>
            <w:pPr>
              <w:jc w:val="right"/>
              <w:ind w:right="40"/>
              <w:spacing w:after="0"/>
              <w:rPr>
                <w:sz w:val="20"/>
                <w:szCs w:val="20"/>
                <w:color w:val="auto"/>
              </w:rPr>
            </w:pPr>
            <w:r>
              <w:rPr>
                <w:rFonts w:ascii="Arial" w:cs="Arial" w:eastAsia="Arial" w:hAnsi="Arial"/>
                <w:sz w:val="18"/>
                <w:szCs w:val="18"/>
                <w:color w:val="auto"/>
              </w:rPr>
              <w:t>(290)</w:t>
            </w:r>
          </w:p>
        </w:tc>
      </w:tr>
      <w:tr>
        <w:trPr>
          <w:trHeight w:val="216"/>
        </w:trPr>
        <w:tc>
          <w:tcPr>
            <w:tcW w:w="65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Payments on long-term debt</w:t>
            </w:r>
          </w:p>
        </w:tc>
        <w:tc>
          <w:tcPr>
            <w:tcW w:w="1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(130)</w:t>
            </w:r>
          </w:p>
        </w:tc>
        <w:tc>
          <w:tcPr>
            <w:tcW w:w="2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(453)</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(583)</w:t>
            </w:r>
          </w:p>
        </w:tc>
      </w:tr>
      <w:tr>
        <w:trPr>
          <w:trHeight w:val="216"/>
        </w:trPr>
        <w:tc>
          <w:tcPr>
            <w:tcW w:w="6540" w:type="dxa"/>
            <w:vAlign w:val="bottom"/>
          </w:tcPr>
          <w:p>
            <w:pPr>
              <w:spacing w:after="0"/>
              <w:rPr>
                <w:sz w:val="20"/>
                <w:szCs w:val="20"/>
                <w:color w:val="auto"/>
              </w:rPr>
            </w:pPr>
            <w:r>
              <w:rPr>
                <w:rFonts w:ascii="Arial" w:cs="Arial" w:eastAsia="Arial" w:hAnsi="Arial"/>
                <w:sz w:val="18"/>
                <w:szCs w:val="18"/>
                <w:b w:val="1"/>
                <w:bCs w:val="1"/>
                <w:color w:val="auto"/>
              </w:rPr>
              <w:t>Net cash provided by (used in) financing activities</w:t>
            </w:r>
          </w:p>
        </w:tc>
        <w:tc>
          <w:tcPr>
            <w:tcW w:w="1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b w:val="1"/>
                <w:bCs w:val="1"/>
                <w:color w:val="auto"/>
              </w:rPr>
              <w:t>3,523</w:t>
            </w:r>
          </w:p>
        </w:tc>
        <w:tc>
          <w:tcPr>
            <w:tcW w:w="5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80" w:type="dxa"/>
            <w:vAlign w:val="bottom"/>
            <w:gridSpan w:val="2"/>
          </w:tcPr>
          <w:p>
            <w:pPr>
              <w:jc w:val="right"/>
              <w:ind w:right="240"/>
              <w:spacing w:after="0"/>
              <w:rPr>
                <w:sz w:val="20"/>
                <w:szCs w:val="20"/>
                <w:color w:val="auto"/>
              </w:rPr>
            </w:pPr>
            <w:r>
              <w:rPr>
                <w:rFonts w:ascii="Arial" w:cs="Arial" w:eastAsia="Arial" w:hAnsi="Arial"/>
                <w:sz w:val="18"/>
                <w:szCs w:val="18"/>
                <w:b w:val="1"/>
                <w:bCs w:val="1"/>
                <w:color w:val="auto"/>
              </w:rPr>
              <w:t>(154)</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3,369</w:t>
            </w:r>
          </w:p>
        </w:tc>
      </w:tr>
      <w:tr>
        <w:trPr>
          <w:trHeight w:val="216"/>
        </w:trPr>
        <w:tc>
          <w:tcPr>
            <w:tcW w:w="6540" w:type="dxa"/>
            <w:vAlign w:val="bottom"/>
            <w:shd w:val="clear" w:color="auto" w:fill="CCEEFF"/>
          </w:tcPr>
          <w:p>
            <w:pPr>
              <w:spacing w:after="0"/>
              <w:rPr>
                <w:sz w:val="20"/>
                <w:szCs w:val="20"/>
                <w:color w:val="auto"/>
              </w:rPr>
            </w:pPr>
            <w:r>
              <w:rPr>
                <w:rFonts w:ascii="Arial" w:cs="Arial" w:eastAsia="Arial" w:hAnsi="Arial"/>
                <w:sz w:val="18"/>
                <w:szCs w:val="18"/>
                <w:color w:val="auto"/>
              </w:rPr>
              <w:t>Effect of exchange rate changes on cash and cash equivalents</w:t>
            </w:r>
          </w:p>
        </w:tc>
        <w:tc>
          <w:tcPr>
            <w:tcW w:w="1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398</w:t>
            </w:r>
          </w:p>
        </w:tc>
        <w:tc>
          <w:tcPr>
            <w:tcW w:w="5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(24)</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374</w:t>
            </w:r>
          </w:p>
        </w:tc>
      </w:tr>
      <w:tr>
        <w:trPr>
          <w:trHeight w:val="216"/>
        </w:trPr>
        <w:tc>
          <w:tcPr>
            <w:tcW w:w="6540" w:type="dxa"/>
            <w:vAlign w:val="bottom"/>
          </w:tcPr>
          <w:p>
            <w:pPr>
              <w:spacing w:after="0"/>
              <w:rPr>
                <w:sz w:val="20"/>
                <w:szCs w:val="20"/>
                <w:color w:val="auto"/>
              </w:rPr>
            </w:pPr>
            <w:r>
              <w:rPr>
                <w:rFonts w:ascii="Arial" w:cs="Arial" w:eastAsia="Arial" w:hAnsi="Arial"/>
                <w:sz w:val="18"/>
                <w:szCs w:val="18"/>
                <w:color w:val="auto"/>
              </w:rPr>
              <w:t>Cash and cash equivalents reclassified (to) from assets held for sale</w:t>
            </w:r>
          </w:p>
        </w:tc>
        <w:tc>
          <w:tcPr>
            <w:tcW w:w="1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460"/>
              <w:spacing w:after="0"/>
              <w:rPr>
                <w:sz w:val="20"/>
                <w:szCs w:val="20"/>
                <w:color w:val="auto"/>
              </w:rPr>
            </w:pPr>
            <w:r>
              <w:rPr>
                <w:rFonts w:ascii="Arial" w:cs="Arial" w:eastAsia="Arial" w:hAnsi="Arial"/>
                <w:sz w:val="18"/>
                <w:szCs w:val="18"/>
                <w:color w:val="auto"/>
              </w:rPr>
              <w:t>(277)</w:t>
            </w:r>
          </w:p>
        </w:tc>
        <w:tc>
          <w:tcPr>
            <w:tcW w:w="260" w:type="dxa"/>
            <w:vAlign w:val="bottom"/>
          </w:tcPr>
          <w:p>
            <w:pPr>
              <w:spacing w:after="0"/>
              <w:rPr>
                <w:sz w:val="18"/>
                <w:szCs w:val="18"/>
                <w:color w:val="auto"/>
              </w:rPr>
            </w:pPr>
          </w:p>
        </w:tc>
        <w:tc>
          <w:tcPr>
            <w:tcW w:w="78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gridSpan w:val="2"/>
          </w:tcPr>
          <w:p>
            <w:pPr>
              <w:jc w:val="right"/>
              <w:ind w:right="40"/>
              <w:spacing w:after="0"/>
              <w:rPr>
                <w:sz w:val="20"/>
                <w:szCs w:val="20"/>
                <w:color w:val="auto"/>
              </w:rPr>
            </w:pPr>
            <w:r>
              <w:rPr>
                <w:rFonts w:ascii="Arial" w:cs="Arial" w:eastAsia="Arial" w:hAnsi="Arial"/>
                <w:sz w:val="18"/>
                <w:szCs w:val="18"/>
                <w:color w:val="auto"/>
              </w:rPr>
              <w:t>(277)</w:t>
            </w:r>
          </w:p>
        </w:tc>
      </w:tr>
      <w:tr>
        <w:trPr>
          <w:trHeight w:val="216"/>
        </w:trPr>
        <w:tc>
          <w:tcPr>
            <w:tcW w:w="654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 at beginning of the period</w:t>
            </w:r>
          </w:p>
        </w:tc>
        <w:tc>
          <w:tcPr>
            <w:tcW w:w="1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19,013</w:t>
            </w:r>
          </w:p>
        </w:tc>
        <w:tc>
          <w:tcPr>
            <w:tcW w:w="5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7"/>
              </w:rPr>
              <w:t>19,013</w:t>
            </w:r>
          </w:p>
        </w:tc>
      </w:tr>
      <w:tr>
        <w:trPr>
          <w:trHeight w:val="228"/>
        </w:trPr>
        <w:tc>
          <w:tcPr>
            <w:tcW w:w="6540" w:type="dxa"/>
            <w:vAlign w:val="bottom"/>
          </w:tcPr>
          <w:p>
            <w:pPr>
              <w:spacing w:after="0"/>
              <w:rPr>
                <w:sz w:val="20"/>
                <w:szCs w:val="20"/>
                <w:color w:val="auto"/>
              </w:rPr>
            </w:pPr>
            <w:r>
              <w:rPr>
                <w:rFonts w:ascii="Arial" w:cs="Arial" w:eastAsia="Arial" w:hAnsi="Arial"/>
                <w:sz w:val="18"/>
                <w:szCs w:val="18"/>
                <w:b w:val="1"/>
                <w:bCs w:val="1"/>
                <w:color w:val="auto"/>
              </w:rPr>
              <w:t>Cash and cash equivalents at end of the period</w:t>
            </w:r>
          </w:p>
        </w:tc>
        <w:tc>
          <w:tcPr>
            <w:tcW w:w="1880" w:type="dxa"/>
            <w:vAlign w:val="bottom"/>
            <w:gridSpan w:val="2"/>
          </w:tcPr>
          <w:p>
            <w:pPr>
              <w:ind w:left="1780"/>
              <w:spacing w:after="0"/>
              <w:rPr>
                <w:sz w:val="20"/>
                <w:szCs w:val="20"/>
                <w:color w:val="auto"/>
              </w:rPr>
            </w:pPr>
            <w:r>
              <w:rPr>
                <w:rFonts w:ascii="Arial" w:cs="Arial" w:eastAsia="Arial" w:hAnsi="Arial"/>
                <w:sz w:val="18"/>
                <w:szCs w:val="18"/>
                <w:b w:val="1"/>
                <w:bCs w:val="1"/>
                <w:color w:val="auto"/>
                <w:w w:val="79"/>
              </w:rPr>
              <w:t>$</w:t>
            </w:r>
          </w:p>
        </w:tc>
        <w:tc>
          <w:tcPr>
            <w:tcW w:w="500" w:type="dxa"/>
            <w:vAlign w:val="bottom"/>
          </w:tcPr>
          <w:p>
            <w:pPr>
              <w:jc w:val="right"/>
              <w:spacing w:after="0"/>
              <w:rPr>
                <w:sz w:val="20"/>
                <w:szCs w:val="20"/>
                <w:color w:val="auto"/>
              </w:rPr>
            </w:pPr>
            <w:r>
              <w:rPr>
                <w:rFonts w:ascii="Arial" w:cs="Arial" w:eastAsia="Arial" w:hAnsi="Arial"/>
                <w:sz w:val="18"/>
                <w:szCs w:val="18"/>
                <w:b w:val="1"/>
                <w:bCs w:val="1"/>
                <w:color w:val="auto"/>
                <w:w w:val="87"/>
              </w:rPr>
              <w:t>25,092</w:t>
            </w:r>
          </w:p>
        </w:tc>
        <w:tc>
          <w:tcPr>
            <w:tcW w:w="520" w:type="dxa"/>
            <w:vAlign w:val="bottom"/>
          </w:tcPr>
          <w:p>
            <w:pPr>
              <w:spacing w:after="0"/>
              <w:rPr>
                <w:sz w:val="19"/>
                <w:szCs w:val="19"/>
                <w:color w:val="auto"/>
              </w:rPr>
            </w:pPr>
          </w:p>
        </w:tc>
        <w:tc>
          <w:tcPr>
            <w:tcW w:w="260" w:type="dxa"/>
            <w:vAlign w:val="bottom"/>
          </w:tcPr>
          <w:p>
            <w:pPr>
              <w:spacing w:after="0"/>
              <w:rPr>
                <w:sz w:val="20"/>
                <w:szCs w:val="20"/>
                <w:color w:val="auto"/>
              </w:rPr>
            </w:pPr>
            <w:r>
              <w:rPr>
                <w:rFonts w:ascii="Arial" w:cs="Arial" w:eastAsia="Arial" w:hAnsi="Arial"/>
                <w:sz w:val="18"/>
                <w:szCs w:val="18"/>
                <w:b w:val="1"/>
                <w:bCs w:val="1"/>
                <w:color w:val="auto"/>
              </w:rPr>
              <w:t>$</w:t>
            </w:r>
          </w:p>
        </w:tc>
        <w:tc>
          <w:tcPr>
            <w:tcW w:w="780" w:type="dxa"/>
            <w:vAlign w:val="bottom"/>
            <w:gridSpan w:val="2"/>
          </w:tcPr>
          <w:p>
            <w:pPr>
              <w:jc w:val="right"/>
              <w:ind w:right="280"/>
              <w:spacing w:after="0"/>
              <w:rPr>
                <w:sz w:val="20"/>
                <w:szCs w:val="20"/>
                <w:color w:val="auto"/>
              </w:rPr>
            </w:pPr>
            <w:r>
              <w:rPr>
                <w:rFonts w:ascii="Arial" w:cs="Arial" w:eastAsia="Arial" w:hAnsi="Arial"/>
                <w:sz w:val="18"/>
                <w:szCs w:val="18"/>
                <w:b w:val="1"/>
                <w:bCs w:val="1"/>
                <w:color w:val="auto"/>
              </w:rPr>
              <w:t>—</w:t>
            </w:r>
          </w:p>
        </w:tc>
        <w:tc>
          <w:tcPr>
            <w:tcW w:w="340" w:type="dxa"/>
            <w:vAlign w:val="bottom"/>
            <w:gridSpan w:val="2"/>
          </w:tcPr>
          <w:p>
            <w:pPr>
              <w:ind w:left="240"/>
              <w:spacing w:after="0"/>
              <w:rPr>
                <w:sz w:val="20"/>
                <w:szCs w:val="20"/>
                <w:color w:val="auto"/>
              </w:rPr>
            </w:pPr>
            <w:r>
              <w:rPr>
                <w:rFonts w:ascii="Arial" w:cs="Arial" w:eastAsia="Arial" w:hAnsi="Arial"/>
                <w:sz w:val="18"/>
                <w:szCs w:val="18"/>
                <w:b w:val="1"/>
                <w:bCs w:val="1"/>
                <w:color w:val="auto"/>
                <w:w w:val="79"/>
              </w:rPr>
              <w:t>$</w:t>
            </w:r>
          </w:p>
        </w:tc>
        <w:tc>
          <w:tcPr>
            <w:tcW w:w="60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w w:val="87"/>
              </w:rPr>
              <w:t>25,092</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60960</wp:posOffset>
            </wp:positionV>
            <wp:extent cx="72898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08" w:lineRule="exact"/>
        <w:rPr>
          <w:sz w:val="20"/>
          <w:szCs w:val="20"/>
          <w:color w:val="auto"/>
        </w:rPr>
      </w:pPr>
    </w:p>
    <w:p>
      <w:pPr>
        <w:ind w:left="460" w:right="20" w:hanging="452"/>
        <w:spacing w:after="0" w:line="259" w:lineRule="auto"/>
        <w:tabs>
          <w:tab w:leader="none" w:pos="460" w:val="left"/>
        </w:tabs>
        <w:numPr>
          <w:ilvl w:val="0"/>
          <w:numId w:val="6"/>
        </w:numPr>
        <w:rPr>
          <w:rFonts w:ascii="Arial" w:cs="Arial" w:eastAsia="Arial" w:hAnsi="Arial"/>
          <w:sz w:val="18"/>
          <w:szCs w:val="18"/>
          <w:color w:val="auto"/>
        </w:rPr>
      </w:pPr>
      <w:r>
        <w:rPr>
          <w:rFonts w:ascii="Arial" w:cs="Arial" w:eastAsia="Arial" w:hAnsi="Arial"/>
          <w:sz w:val="18"/>
          <w:szCs w:val="18"/>
          <w:color w:val="auto"/>
        </w:rPr>
        <w:t>Amount of ($107) million was originally reported as ($160) million in our condensed consolidated statement of cash flows for the period July 10, 2009 through September 30, 2009 (Successor). This amount was adjusted by $53 million due to a change in presentation in the condensed consolidated statement of cash flows for the nine months ended September 30, 2010.</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20"/>
          </w:cols>
          <w:pgMar w:left="240" w:top="459" w:right="23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339" w:lineRule="exact"/>
        <w:rPr>
          <w:sz w:val="20"/>
          <w:szCs w:val="20"/>
          <w:color w:val="auto"/>
        </w:rPr>
      </w:pPr>
    </w:p>
    <w:p>
      <w:pPr>
        <w:ind w:right="160" w:firstLine="228"/>
        <w:spacing w:after="0" w:line="256" w:lineRule="auto"/>
        <w:rPr>
          <w:sz w:val="20"/>
          <w:szCs w:val="20"/>
          <w:color w:val="auto"/>
        </w:rPr>
      </w:pPr>
      <w:r>
        <w:rPr>
          <w:rFonts w:ascii="Arial" w:cs="Arial" w:eastAsia="Arial" w:hAnsi="Arial"/>
          <w:sz w:val="18"/>
          <w:szCs w:val="18"/>
          <w:color w:val="auto"/>
        </w:rPr>
        <w:t>In addition, we have corrected certain amounts disclosed in the notes to the condensed consolidated financial statements included in our 2009 Form 10-Q for the nine-month period ended September 30, 2009 (2009 Form 10-Q). Although we do not consider the effects of these disclosure errors to be material, we have corrected the amounts in the notes to the condensed consolidated financial statements. Originally reported and corrected amounts are included in the affected notes to the condensed consolidated financial statements which follow.</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Venezuelan Exchange Regulations</w:t>
      </w:r>
    </w:p>
    <w:p>
      <w:pPr>
        <w:spacing w:after="0" w:line="177" w:lineRule="exact"/>
        <w:rPr>
          <w:sz w:val="20"/>
          <w:szCs w:val="20"/>
          <w:color w:val="auto"/>
        </w:rPr>
      </w:pPr>
    </w:p>
    <w:p>
      <w:pPr>
        <w:ind w:right="80" w:firstLine="228"/>
        <w:spacing w:after="0" w:line="318" w:lineRule="auto"/>
        <w:rPr>
          <w:sz w:val="20"/>
          <w:szCs w:val="20"/>
          <w:color w:val="auto"/>
        </w:rPr>
      </w:pPr>
      <w:r>
        <w:rPr>
          <w:rFonts w:ascii="Arial" w:cs="Arial" w:eastAsia="Arial" w:hAnsi="Arial"/>
          <w:sz w:val="15"/>
          <w:szCs w:val="15"/>
          <w:color w:val="auto"/>
        </w:rPr>
        <w:t>Our Venezuelan subsidiaries changed their functional currency from the BsF, the local currency, to the U.S. Dollar, our reporting currency, on January 1, 2010 because of the hyperinflationary status of the Venezuelan economy. Further, pursuant to the official devaluation of the Venezuelan currency and establishment of the dual fixed exchange rates in January 2010, we remeasured the BsF denominated monetary assets and liabilities held by our Venezuelan subsidiaries at the nonessential rate of 4.30 BsF to $1.00. The remeasurement resulted in a charge of $25 million recorded in Cost of sales in the nine months ended September 30, 2010. In the nine months ended September 30, 2010 all BsF denominated transactions have been remeasured at the nonessential rate of 4.30 BsF to $1.00.</w:t>
      </w:r>
    </w:p>
    <w:p>
      <w:pPr>
        <w:spacing w:after="0" w:line="100" w:lineRule="exact"/>
        <w:rPr>
          <w:sz w:val="20"/>
          <w:szCs w:val="20"/>
          <w:color w:val="auto"/>
        </w:rPr>
      </w:pPr>
    </w:p>
    <w:p>
      <w:pPr>
        <w:ind w:right="240" w:firstLine="228"/>
        <w:spacing w:after="0" w:line="294" w:lineRule="auto"/>
        <w:rPr>
          <w:sz w:val="20"/>
          <w:szCs w:val="20"/>
          <w:color w:val="auto"/>
        </w:rPr>
      </w:pPr>
      <w:r>
        <w:rPr>
          <w:rFonts w:ascii="Arial" w:cs="Arial" w:eastAsia="Arial" w:hAnsi="Arial"/>
          <w:sz w:val="16"/>
          <w:szCs w:val="16"/>
          <w:color w:val="auto"/>
        </w:rPr>
        <w:t>In June 2010, the Venezuelan government introduced additional foreign currency exchange control regulations, which imposed restrictions on the use of the parallel foreign currency exchange market, thereby making it more difficult to convert BsF to U.S. Dollars. We periodically accessed the parallel exchange market, which historically enabled entities to obtain foreign currency for transactions that could not be processed by the Commission for the Administration of Currency Exchange (CADIVI). The restrictions on the foreign currency exchange market could affect our Venezuelan subsidiaries’ ability to pay its non-BsF denominated obligations that do not qualify to be processed by CADIVI at the official exchange rates as well as our ability to benefit from those operations.</w:t>
      </w:r>
    </w:p>
    <w:p>
      <w:pPr>
        <w:spacing w:after="0" w:line="116" w:lineRule="exact"/>
        <w:rPr>
          <w:sz w:val="20"/>
          <w:szCs w:val="20"/>
          <w:color w:val="auto"/>
        </w:rPr>
      </w:pPr>
    </w:p>
    <w:p>
      <w:pPr>
        <w:ind w:right="40" w:firstLine="228"/>
        <w:spacing w:after="0" w:line="268" w:lineRule="auto"/>
        <w:rPr>
          <w:sz w:val="20"/>
          <w:szCs w:val="20"/>
          <w:color w:val="auto"/>
        </w:rPr>
      </w:pPr>
      <w:r>
        <w:rPr>
          <w:rFonts w:ascii="Arial" w:cs="Arial" w:eastAsia="Arial" w:hAnsi="Arial"/>
          <w:sz w:val="18"/>
          <w:szCs w:val="18"/>
          <w:color w:val="auto"/>
        </w:rPr>
        <w:t>The following tables provide condensed financial information for our Venezuelan subsidiaries at and for the three and nine months ended September 30, 2010, which includes amounts receivable from and payable to, and transactions with, affiliated entities (dollars in millions):</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9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220" w:type="dxa"/>
            <w:vAlign w:val="bottom"/>
            <w:gridSpan w:val="3"/>
          </w:tcPr>
          <w:p>
            <w:pPr>
              <w:spacing w:after="0"/>
              <w:rPr>
                <w:sz w:val="20"/>
                <w:szCs w:val="20"/>
                <w:color w:val="auto"/>
              </w:rPr>
            </w:pPr>
            <w:r>
              <w:rPr>
                <w:rFonts w:ascii="Arial" w:cs="Arial" w:eastAsia="Arial" w:hAnsi="Arial"/>
                <w:sz w:val="14"/>
                <w:szCs w:val="14"/>
                <w:b w:val="1"/>
                <w:bCs w:val="1"/>
                <w:color w:val="auto"/>
                <w:w w:val="91"/>
              </w:rPr>
              <w:t>September 30, 2010</w:t>
            </w:r>
          </w:p>
        </w:tc>
      </w:tr>
      <w:tr>
        <w:trPr>
          <w:trHeight w:val="210"/>
        </w:trPr>
        <w:tc>
          <w:tcPr>
            <w:tcW w:w="7940" w:type="dxa"/>
            <w:vAlign w:val="bottom"/>
            <w:shd w:val="clear" w:color="auto" w:fill="CCEEFF"/>
          </w:tcPr>
          <w:p>
            <w:pPr>
              <w:spacing w:after="0"/>
              <w:rPr>
                <w:sz w:val="20"/>
                <w:szCs w:val="20"/>
                <w:color w:val="auto"/>
              </w:rPr>
            </w:pPr>
            <w:r>
              <w:rPr>
                <w:rFonts w:ascii="Arial" w:cs="Arial" w:eastAsia="Arial" w:hAnsi="Arial"/>
                <w:sz w:val="18"/>
                <w:szCs w:val="18"/>
                <w:color w:val="auto"/>
              </w:rPr>
              <w:t>Total assets (a)</w:t>
            </w: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1,408</w:t>
            </w:r>
          </w:p>
        </w:tc>
        <w:tc>
          <w:tcPr>
            <w:tcW w:w="100" w:type="dxa"/>
            <w:vAlign w:val="bottom"/>
            <w:shd w:val="clear" w:color="auto" w:fill="CCEEFF"/>
          </w:tcPr>
          <w:p>
            <w:pPr>
              <w:spacing w:after="0"/>
              <w:rPr>
                <w:sz w:val="18"/>
                <w:szCs w:val="18"/>
                <w:color w:val="auto"/>
              </w:rPr>
            </w:pPr>
          </w:p>
        </w:tc>
      </w:tr>
      <w:tr>
        <w:trPr>
          <w:trHeight w:val="222"/>
        </w:trPr>
        <w:tc>
          <w:tcPr>
            <w:tcW w:w="7940" w:type="dxa"/>
            <w:vAlign w:val="bottom"/>
          </w:tcPr>
          <w:p>
            <w:pPr>
              <w:spacing w:after="0"/>
              <w:rPr>
                <w:sz w:val="20"/>
                <w:szCs w:val="20"/>
                <w:color w:val="auto"/>
              </w:rPr>
            </w:pPr>
            <w:r>
              <w:rPr>
                <w:rFonts w:ascii="Arial" w:cs="Arial" w:eastAsia="Arial" w:hAnsi="Arial"/>
                <w:sz w:val="18"/>
                <w:szCs w:val="18"/>
                <w:color w:val="auto"/>
              </w:rPr>
              <w:t>Total liabilities (b)</w:t>
            </w:r>
          </w:p>
        </w:tc>
        <w:tc>
          <w:tcPr>
            <w:tcW w:w="1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1,147</w:t>
            </w:r>
          </w:p>
        </w:tc>
        <w:tc>
          <w:tcPr>
            <w:tcW w:w="100" w:type="dxa"/>
            <w:vAlign w:val="bottom"/>
          </w:tcPr>
          <w:p>
            <w:pPr>
              <w:spacing w:after="0"/>
              <w:rPr>
                <w:sz w:val="19"/>
                <w:szCs w:val="19"/>
                <w:color w:val="auto"/>
              </w:rPr>
            </w:pPr>
          </w:p>
        </w:tc>
      </w:tr>
      <w:tr>
        <w:trPr>
          <w:trHeight w:val="332"/>
        </w:trPr>
        <w:tc>
          <w:tcPr>
            <w:tcW w:w="79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120" w:type="dxa"/>
            <w:vAlign w:val="bottom"/>
            <w:gridSpan w:val="2"/>
          </w:tcPr>
          <w:p>
            <w:pPr>
              <w:jc w:val="right"/>
              <w:ind w:right="1280"/>
              <w:spacing w:after="0"/>
              <w:rPr>
                <w:sz w:val="20"/>
                <w:szCs w:val="20"/>
                <w:color w:val="auto"/>
              </w:rPr>
            </w:pPr>
            <w:r>
              <w:rPr>
                <w:rFonts w:ascii="Arial" w:cs="Arial" w:eastAsia="Arial" w:hAnsi="Arial"/>
                <w:sz w:val="14"/>
                <w:szCs w:val="14"/>
                <w:b w:val="1"/>
                <w:bCs w:val="1"/>
                <w:color w:val="auto"/>
                <w:w w:val="89"/>
              </w:rPr>
              <w:t>Three Months</w:t>
            </w:r>
          </w:p>
        </w:tc>
        <w:tc>
          <w:tcPr>
            <w:tcW w:w="140" w:type="dxa"/>
            <w:vAlign w:val="bottom"/>
          </w:tcPr>
          <w:p>
            <w:pPr>
              <w:spacing w:after="0"/>
              <w:rPr>
                <w:sz w:val="24"/>
                <w:szCs w:val="24"/>
                <w:color w:val="auto"/>
              </w:rPr>
            </w:pPr>
          </w:p>
        </w:tc>
        <w:tc>
          <w:tcPr>
            <w:tcW w:w="108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0"/>
              </w:rPr>
              <w:t>Nine Months</w:t>
            </w:r>
          </w:p>
        </w:tc>
      </w:tr>
      <w:tr>
        <w:trPr>
          <w:trHeight w:val="149"/>
        </w:trPr>
        <w:tc>
          <w:tcPr>
            <w:tcW w:w="79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120" w:type="dxa"/>
            <w:vAlign w:val="bottom"/>
            <w:gridSpan w:val="2"/>
          </w:tcPr>
          <w:p>
            <w:pPr>
              <w:jc w:val="right"/>
              <w:ind w:right="1500"/>
              <w:spacing w:after="0" w:line="149" w:lineRule="exact"/>
              <w:rPr>
                <w:sz w:val="20"/>
                <w:szCs w:val="20"/>
                <w:color w:val="auto"/>
              </w:rPr>
            </w:pPr>
            <w:r>
              <w:rPr>
                <w:rFonts w:ascii="Arial" w:cs="Arial" w:eastAsia="Arial" w:hAnsi="Arial"/>
                <w:sz w:val="14"/>
                <w:szCs w:val="14"/>
                <w:b w:val="1"/>
                <w:bCs w:val="1"/>
                <w:color w:val="auto"/>
              </w:rPr>
              <w:t>Ended</w:t>
            </w:r>
          </w:p>
        </w:tc>
        <w:tc>
          <w:tcPr>
            <w:tcW w:w="140" w:type="dxa"/>
            <w:vAlign w:val="bottom"/>
          </w:tcPr>
          <w:p>
            <w:pPr>
              <w:spacing w:after="0"/>
              <w:rPr>
                <w:sz w:val="12"/>
                <w:szCs w:val="12"/>
                <w:color w:val="auto"/>
              </w:rPr>
            </w:pPr>
          </w:p>
        </w:tc>
        <w:tc>
          <w:tcPr>
            <w:tcW w:w="108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84"/>
              </w:rPr>
              <w:t>Ended</w:t>
            </w:r>
          </w:p>
        </w:tc>
      </w:tr>
      <w:tr>
        <w:trPr>
          <w:trHeight w:val="161"/>
        </w:trPr>
        <w:tc>
          <w:tcPr>
            <w:tcW w:w="7940" w:type="dxa"/>
            <w:vAlign w:val="bottom"/>
          </w:tcPr>
          <w:p>
            <w:pPr>
              <w:spacing w:after="0"/>
              <w:rPr>
                <w:sz w:val="14"/>
                <w:szCs w:val="14"/>
                <w:color w:val="auto"/>
              </w:rPr>
            </w:pPr>
          </w:p>
        </w:tc>
        <w:tc>
          <w:tcPr>
            <w:tcW w:w="1140" w:type="dxa"/>
            <w:vAlign w:val="bottom"/>
            <w:gridSpan w:val="2"/>
          </w:tcPr>
          <w:p>
            <w:pPr>
              <w:ind w:left="20"/>
              <w:spacing w:after="0"/>
              <w:rPr>
                <w:sz w:val="20"/>
                <w:szCs w:val="20"/>
                <w:color w:val="auto"/>
              </w:rPr>
            </w:pPr>
            <w:r>
              <w:rPr>
                <w:rFonts w:ascii="Arial" w:cs="Arial" w:eastAsia="Arial" w:hAnsi="Arial"/>
                <w:sz w:val="14"/>
                <w:szCs w:val="14"/>
                <w:b w:val="1"/>
                <w:bCs w:val="1"/>
                <w:color w:val="auto"/>
                <w:w w:val="84"/>
              </w:rPr>
              <w:t>September 30, 2010</w:t>
            </w:r>
          </w:p>
        </w:tc>
        <w:tc>
          <w:tcPr>
            <w:tcW w:w="1120" w:type="dxa"/>
            <w:vAlign w:val="bottom"/>
          </w:tcPr>
          <w:p>
            <w:pPr>
              <w:spacing w:after="0"/>
              <w:rPr>
                <w:sz w:val="14"/>
                <w:szCs w:val="14"/>
                <w:color w:val="auto"/>
              </w:rPr>
            </w:pPr>
          </w:p>
        </w:tc>
        <w:tc>
          <w:tcPr>
            <w:tcW w:w="1220" w:type="dxa"/>
            <w:vAlign w:val="bottom"/>
            <w:gridSpan w:val="3"/>
          </w:tcPr>
          <w:p>
            <w:pPr>
              <w:spacing w:after="0"/>
              <w:rPr>
                <w:sz w:val="20"/>
                <w:szCs w:val="20"/>
                <w:color w:val="auto"/>
              </w:rPr>
            </w:pPr>
            <w:r>
              <w:rPr>
                <w:rFonts w:ascii="Arial" w:cs="Arial" w:eastAsia="Arial" w:hAnsi="Arial"/>
                <w:sz w:val="14"/>
                <w:szCs w:val="14"/>
                <w:b w:val="1"/>
                <w:bCs w:val="1"/>
                <w:color w:val="auto"/>
                <w:w w:val="91"/>
              </w:rPr>
              <w:t>September 30, 2010</w:t>
            </w:r>
          </w:p>
        </w:tc>
      </w:tr>
      <w:tr>
        <w:trPr>
          <w:trHeight w:val="20"/>
        </w:trPr>
        <w:tc>
          <w:tcPr>
            <w:tcW w:w="79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7940" w:type="dxa"/>
            <w:vAlign w:val="bottom"/>
            <w:shd w:val="clear" w:color="auto" w:fill="CCEEFF"/>
          </w:tcPr>
          <w:p>
            <w:pPr>
              <w:spacing w:after="0"/>
              <w:rPr>
                <w:sz w:val="20"/>
                <w:szCs w:val="20"/>
                <w:color w:val="auto"/>
              </w:rPr>
            </w:pPr>
            <w:r>
              <w:rPr>
                <w:rFonts w:ascii="Arial" w:cs="Arial" w:eastAsia="Arial" w:hAnsi="Arial"/>
                <w:sz w:val="18"/>
                <w:szCs w:val="18"/>
                <w:color w:val="auto"/>
              </w:rPr>
              <w:t>Revenue</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2120" w:type="dxa"/>
            <w:vAlign w:val="bottom"/>
            <w:gridSpan w:val="2"/>
            <w:shd w:val="clear" w:color="auto" w:fill="CCEEFF"/>
          </w:tcPr>
          <w:p>
            <w:pPr>
              <w:jc w:val="right"/>
              <w:ind w:right="1120"/>
              <w:spacing w:after="0"/>
              <w:rPr>
                <w:sz w:val="20"/>
                <w:szCs w:val="20"/>
                <w:color w:val="auto"/>
              </w:rPr>
            </w:pPr>
            <w:r>
              <w:rPr>
                <w:rFonts w:ascii="Arial" w:cs="Arial" w:eastAsia="Arial" w:hAnsi="Arial"/>
                <w:sz w:val="18"/>
                <w:szCs w:val="18"/>
                <w:color w:val="auto"/>
              </w:rPr>
              <w:t>347</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789</w:t>
            </w:r>
          </w:p>
        </w:tc>
        <w:tc>
          <w:tcPr>
            <w:tcW w:w="100" w:type="dxa"/>
            <w:vAlign w:val="bottom"/>
            <w:shd w:val="clear" w:color="auto" w:fill="CCEEFF"/>
          </w:tcPr>
          <w:p>
            <w:pPr>
              <w:spacing w:after="0"/>
              <w:rPr>
                <w:sz w:val="18"/>
                <w:szCs w:val="18"/>
                <w:color w:val="auto"/>
              </w:rPr>
            </w:pPr>
          </w:p>
        </w:tc>
      </w:tr>
      <w:tr>
        <w:trPr>
          <w:trHeight w:val="222"/>
        </w:trPr>
        <w:tc>
          <w:tcPr>
            <w:tcW w:w="7940" w:type="dxa"/>
            <w:vAlign w:val="bottom"/>
          </w:tcPr>
          <w:p>
            <w:pPr>
              <w:spacing w:after="0"/>
              <w:rPr>
                <w:sz w:val="20"/>
                <w:szCs w:val="20"/>
                <w:color w:val="auto"/>
              </w:rPr>
            </w:pPr>
            <w:r>
              <w:rPr>
                <w:rFonts w:ascii="Arial" w:cs="Arial" w:eastAsia="Arial" w:hAnsi="Arial"/>
                <w:sz w:val="18"/>
                <w:szCs w:val="18"/>
                <w:color w:val="auto"/>
              </w:rPr>
              <w:t>Net income attributable to stockholders (c)</w:t>
            </w: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2120" w:type="dxa"/>
            <w:vAlign w:val="bottom"/>
            <w:gridSpan w:val="2"/>
          </w:tcPr>
          <w:p>
            <w:pPr>
              <w:jc w:val="right"/>
              <w:ind w:right="1120"/>
              <w:spacing w:after="0"/>
              <w:rPr>
                <w:sz w:val="20"/>
                <w:szCs w:val="20"/>
                <w:color w:val="auto"/>
              </w:rPr>
            </w:pPr>
            <w:r>
              <w:rPr>
                <w:rFonts w:ascii="Arial" w:cs="Arial" w:eastAsia="Arial" w:hAnsi="Arial"/>
                <w:sz w:val="18"/>
                <w:szCs w:val="18"/>
                <w:color w:val="auto"/>
              </w:rPr>
              <w:t>29</w:t>
            </w: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244</w:t>
            </w:r>
          </w:p>
        </w:tc>
        <w:tc>
          <w:tcPr>
            <w:tcW w:w="100" w:type="dxa"/>
            <w:vAlign w:val="bottom"/>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64770</wp:posOffset>
            </wp:positionV>
            <wp:extent cx="72898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14" w:lineRule="exact"/>
        <w:rPr>
          <w:sz w:val="20"/>
          <w:szCs w:val="20"/>
          <w:color w:val="auto"/>
        </w:rPr>
      </w:pPr>
    </w:p>
    <w:p>
      <w:pPr>
        <w:ind w:left="460" w:hanging="452"/>
        <w:spacing w:after="0"/>
        <w:tabs>
          <w:tab w:leader="none" w:pos="460" w:val="left"/>
        </w:tabs>
        <w:numPr>
          <w:ilvl w:val="0"/>
          <w:numId w:val="7"/>
        </w:numPr>
        <w:rPr>
          <w:rFonts w:ascii="Arial" w:cs="Arial" w:eastAsia="Arial" w:hAnsi="Arial"/>
          <w:sz w:val="18"/>
          <w:szCs w:val="18"/>
          <w:color w:val="auto"/>
        </w:rPr>
      </w:pPr>
      <w:r>
        <w:rPr>
          <w:rFonts w:ascii="Arial" w:cs="Arial" w:eastAsia="Arial" w:hAnsi="Arial"/>
          <w:sz w:val="18"/>
          <w:szCs w:val="18"/>
          <w:color w:val="auto"/>
        </w:rPr>
        <w:t>Includes BsF denominated and non-BsF denominated monetary assets of $360 million and $672 million.</w:t>
      </w:r>
    </w:p>
    <w:p>
      <w:pPr>
        <w:spacing w:after="0" w:line="90" w:lineRule="exact"/>
        <w:rPr>
          <w:rFonts w:ascii="Arial" w:cs="Arial" w:eastAsia="Arial" w:hAnsi="Arial"/>
          <w:sz w:val="18"/>
          <w:szCs w:val="18"/>
          <w:color w:val="auto"/>
        </w:rPr>
      </w:pPr>
    </w:p>
    <w:p>
      <w:pPr>
        <w:ind w:left="460" w:hanging="452"/>
        <w:spacing w:after="0"/>
        <w:tabs>
          <w:tab w:leader="none" w:pos="460" w:val="left"/>
        </w:tabs>
        <w:numPr>
          <w:ilvl w:val="0"/>
          <w:numId w:val="7"/>
        </w:numPr>
        <w:rPr>
          <w:rFonts w:ascii="Arial" w:cs="Arial" w:eastAsia="Arial" w:hAnsi="Arial"/>
          <w:sz w:val="18"/>
          <w:szCs w:val="18"/>
          <w:color w:val="auto"/>
        </w:rPr>
      </w:pPr>
      <w:r>
        <w:rPr>
          <w:rFonts w:ascii="Arial" w:cs="Arial" w:eastAsia="Arial" w:hAnsi="Arial"/>
          <w:sz w:val="18"/>
          <w:szCs w:val="18"/>
          <w:color w:val="auto"/>
        </w:rPr>
        <w:t>Includes BsF denominated and non-BsF denominated monetary liabilities of $621 million and $491 million.</w:t>
      </w:r>
    </w:p>
    <w:p>
      <w:pPr>
        <w:spacing w:after="0" w:line="90" w:lineRule="exact"/>
        <w:rPr>
          <w:rFonts w:ascii="Arial" w:cs="Arial" w:eastAsia="Arial" w:hAnsi="Arial"/>
          <w:sz w:val="18"/>
          <w:szCs w:val="18"/>
          <w:color w:val="auto"/>
        </w:rPr>
      </w:pPr>
    </w:p>
    <w:p>
      <w:pPr>
        <w:ind w:left="460" w:right="20" w:hanging="452"/>
        <w:spacing w:after="0" w:line="256" w:lineRule="auto"/>
        <w:tabs>
          <w:tab w:leader="none" w:pos="460" w:val="left"/>
        </w:tabs>
        <w:numPr>
          <w:ilvl w:val="0"/>
          <w:numId w:val="7"/>
        </w:numPr>
        <w:rPr>
          <w:rFonts w:ascii="Arial" w:cs="Arial" w:eastAsia="Arial" w:hAnsi="Arial"/>
          <w:sz w:val="18"/>
          <w:szCs w:val="18"/>
          <w:color w:val="auto"/>
        </w:rPr>
      </w:pPr>
      <w:r>
        <w:rPr>
          <w:rFonts w:ascii="Arial" w:cs="Arial" w:eastAsia="Arial" w:hAnsi="Arial"/>
          <w:sz w:val="18"/>
          <w:szCs w:val="18"/>
          <w:color w:val="auto"/>
        </w:rPr>
        <w:t>Includes a gain of $119 million related to the devaluation of the Bolivar in January 2010 and gains of $82 million and $207 million in the three and nine months ended September 30, 2010 due to favorable foreign currency exchanges that were processed by CADIVI. The $119 million gain on the devaluation was offset by a $144 million loss recorded in the U.S. on BsF denominated assets, which is not included in Net income attributable to stockholders reported above.</w:t>
      </w:r>
    </w:p>
    <w:p>
      <w:pPr>
        <w:spacing w:after="0" w:line="143" w:lineRule="exact"/>
        <w:rPr>
          <w:sz w:val="20"/>
          <w:szCs w:val="20"/>
          <w:color w:val="auto"/>
        </w:rPr>
      </w:pPr>
    </w:p>
    <w:p>
      <w:pPr>
        <w:ind w:right="200" w:firstLine="228"/>
        <w:spacing w:after="0" w:line="332" w:lineRule="auto"/>
        <w:rPr>
          <w:sz w:val="20"/>
          <w:szCs w:val="20"/>
          <w:color w:val="auto"/>
        </w:rPr>
      </w:pPr>
      <w:r>
        <w:rPr>
          <w:rFonts w:ascii="Arial" w:cs="Arial" w:eastAsia="Arial" w:hAnsi="Arial"/>
          <w:sz w:val="16"/>
          <w:szCs w:val="16"/>
          <w:color w:val="auto"/>
        </w:rPr>
        <w:t>In addition, the total amount pending government approval for settlement is BsF 1.1 billion (equivalent to $347 million), for which some requests have been pending from 2007. The amount includes payables to affiliated entities of $250 million, which includes dividends payable of $144 million.</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Recently Adopted Accounting Principles</w:t>
      </w:r>
    </w:p>
    <w:p>
      <w:pPr>
        <w:spacing w:after="0" w:line="177"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Transfers of Financial Assets</w:t>
      </w:r>
    </w:p>
    <w:p>
      <w:pPr>
        <w:spacing w:after="0" w:line="171" w:lineRule="exact"/>
        <w:rPr>
          <w:sz w:val="20"/>
          <w:szCs w:val="20"/>
          <w:color w:val="auto"/>
        </w:rPr>
      </w:pPr>
    </w:p>
    <w:p>
      <w:pPr>
        <w:ind w:right="20" w:firstLine="228"/>
        <w:spacing w:after="0" w:line="259" w:lineRule="auto"/>
        <w:rPr>
          <w:sz w:val="20"/>
          <w:szCs w:val="20"/>
          <w:color w:val="auto"/>
        </w:rPr>
      </w:pPr>
      <w:r>
        <w:rPr>
          <w:rFonts w:ascii="Arial" w:cs="Arial" w:eastAsia="Arial" w:hAnsi="Arial"/>
          <w:sz w:val="18"/>
          <w:szCs w:val="18"/>
          <w:color w:val="auto"/>
        </w:rPr>
        <w:t>In January 2010 we adopted certain amendments to ASC 860-10, “Transfers and Servicing” (ASC 860-10). ASC 860-10 eliminates the concept of a qualifying special-purpose entity (SPE), establishes a new definition of participating interest that must be met for transfers of portions of financial assets to be eligible for sale accounting, clarifies and amends the derecognition criteria for a transfer</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20"/>
          </w:cols>
          <w:pgMar w:left="240" w:top="459" w:right="23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164" w:lineRule="exact"/>
        <w:rPr>
          <w:sz w:val="20"/>
          <w:szCs w:val="20"/>
          <w:color w:val="auto"/>
        </w:rPr>
      </w:pPr>
    </w:p>
    <w:p>
      <w:pPr>
        <w:spacing w:after="0" w:line="370" w:lineRule="auto"/>
        <w:rPr>
          <w:sz w:val="20"/>
          <w:szCs w:val="20"/>
          <w:color w:val="auto"/>
        </w:rPr>
      </w:pPr>
      <w:r>
        <w:rPr>
          <w:rFonts w:ascii="Arial" w:cs="Arial" w:eastAsia="Arial" w:hAnsi="Arial"/>
          <w:sz w:val="15"/>
          <w:szCs w:val="15"/>
          <w:color w:val="auto"/>
        </w:rPr>
        <w:t>of financial assets to be accounted for as a sale, and changes the amount that can be recorded as a gain or loss on a transfer accounted for as a sale when beneficial interests are received by the transferor. The adoption of these amendments did not have a material effect on the condensed consolidated financial statements.</w:t>
      </w:r>
    </w:p>
    <w:p>
      <w:pPr>
        <w:spacing w:after="0" w:line="62"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Variable Interest Entities</w:t>
      </w:r>
    </w:p>
    <w:p>
      <w:pPr>
        <w:spacing w:after="0" w:line="171" w:lineRule="exact"/>
        <w:rPr>
          <w:sz w:val="20"/>
          <w:szCs w:val="20"/>
          <w:color w:val="auto"/>
        </w:rPr>
      </w:pPr>
    </w:p>
    <w:p>
      <w:pPr>
        <w:ind w:right="20" w:firstLine="228"/>
        <w:spacing w:after="0" w:line="288" w:lineRule="auto"/>
        <w:rPr>
          <w:sz w:val="20"/>
          <w:szCs w:val="20"/>
          <w:color w:val="auto"/>
        </w:rPr>
      </w:pPr>
      <w:r>
        <w:rPr>
          <w:rFonts w:ascii="Arial" w:cs="Arial" w:eastAsia="Arial" w:hAnsi="Arial"/>
          <w:sz w:val="16"/>
          <w:szCs w:val="16"/>
          <w:color w:val="auto"/>
        </w:rPr>
        <w:t>In January 2010 we adopted amendments to ASC 810-10, “Consolidation” (ASC 810-10). These amendments require an enterprise to qualitatively assess the determination of the primary beneficiary of a VIE based on whether the enterprise: (1) has the power to direct the activities of a VIE that most significantly affect the entity’s economic performance; and (2) has the obligation to absorb losses of the entity or the right to receive benefits from the entity that could potentially be significant to the VIE. These amendments also require, among other considerations, an ongoing reconsideration of the primary beneficiary. In February 2010 the Financial Accounting Standards Board (FASB) issued guidance that permitted an indefinite deferral of these amendments for entities that have all the attributes of an investment company or that apply measurement principles consistent with those followed by investment companies. An entity that qualifies for the deferral will continue to be assessed under the overall guidance on the consolidation of VIEs in effect prior to the adoption of these amendments. This deferral was applicable to certain investment funds associated with our employee benefit plans and investment funds managing investments on behalf of unrelated third parties.</w:t>
      </w:r>
    </w:p>
    <w:p>
      <w:pPr>
        <w:spacing w:after="0" w:line="120" w:lineRule="exact"/>
        <w:rPr>
          <w:sz w:val="20"/>
          <w:szCs w:val="20"/>
          <w:color w:val="auto"/>
        </w:rPr>
      </w:pPr>
    </w:p>
    <w:p>
      <w:pPr>
        <w:ind w:right="20" w:firstLine="228"/>
        <w:spacing w:after="0" w:line="289" w:lineRule="auto"/>
        <w:rPr>
          <w:sz w:val="20"/>
          <w:szCs w:val="20"/>
          <w:color w:val="auto"/>
        </w:rPr>
      </w:pPr>
      <w:r>
        <w:rPr>
          <w:rFonts w:ascii="Arial" w:cs="Arial" w:eastAsia="Arial" w:hAnsi="Arial"/>
          <w:sz w:val="16"/>
          <w:szCs w:val="16"/>
          <w:color w:val="auto"/>
        </w:rPr>
        <w:t>The amendments were adopted prospectively. Upon adoption, we consolidated General Motors Egypt (GM Egypt) which resulted in an increase in Total assets of $254 million, an increase in Total liabilities of $178 million, and an increase in Noncontrolling interests of $76 million. Due to our application of fresh-start reporting on July 10, 2009 and because our investment in GM Egypt was accounted for using the equity method of accounting, there was no difference between the net assets added to the condensed consolidated balance sheet upon consolidation and the amount of previously recorded interest in GM Egypt. As a result, there was no cumulative effect of a change in accounting principle to Accumulated deficit. The effect of these amendments was measured based on the amount at which the asset, liability and noncontrolling interest would have been carried or recorded in the condensed consolidated financial statements if these amendments had been effective since inception of our relationship with GM Egypt. Refer to Note 10 for additional information on the effect of the adoption of these amendments.</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Accounting Standards Not Yet Adopted</w:t>
      </w:r>
    </w:p>
    <w:p>
      <w:pPr>
        <w:spacing w:after="0" w:line="177" w:lineRule="exact"/>
        <w:rPr>
          <w:sz w:val="20"/>
          <w:szCs w:val="20"/>
          <w:color w:val="auto"/>
        </w:rPr>
      </w:pPr>
    </w:p>
    <w:p>
      <w:pPr>
        <w:ind w:right="240" w:firstLine="228"/>
        <w:spacing w:after="0" w:line="290" w:lineRule="auto"/>
        <w:rPr>
          <w:sz w:val="20"/>
          <w:szCs w:val="20"/>
          <w:color w:val="auto"/>
        </w:rPr>
      </w:pPr>
      <w:r>
        <w:rPr>
          <w:rFonts w:ascii="Arial" w:cs="Arial" w:eastAsia="Arial" w:hAnsi="Arial"/>
          <w:sz w:val="16"/>
          <w:szCs w:val="16"/>
          <w:color w:val="auto"/>
        </w:rPr>
        <w:t>In September 2009 the FASB issued Accounting Standards Update (ASU) 2009-13, “Multiple-Deliverable Revenue Arrangements” (ASU 2009-13). ASU 2009-13 addresses the unit of accounting for multiple-element arrangements. In addition, ASU 2009-13 revises the method by which consideration is allocated among the units of accounting. The overall consideration is allocated to each deliverable by establishing a selling price for individual deliverables based on a hierarchy of evidence, including vendor-specific objective evidence, other third party evidence of the selling price, or the reporting entity’s best estimate of the selling price of individual deliverables in the arrangement. ASU 2009-13 will be effective prospectively for revenue arrangements entered into or materially modified in fiscal years beginning on or after June 15, 2010. We are currently evaluating the effects, if any, that ASU 2009-13 will have on the condensed consolidated financial statements.</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 Acquisition and Disposals of Businesses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Acquisition of Delphi Businesses</w:t>
      </w:r>
    </w:p>
    <w:p>
      <w:pPr>
        <w:spacing w:after="0" w:line="177" w:lineRule="exact"/>
        <w:rPr>
          <w:sz w:val="20"/>
          <w:szCs w:val="20"/>
          <w:color w:val="auto"/>
        </w:rPr>
      </w:pPr>
    </w:p>
    <w:p>
      <w:pPr>
        <w:ind w:right="20" w:firstLine="228"/>
        <w:spacing w:after="0" w:line="291" w:lineRule="auto"/>
        <w:rPr>
          <w:sz w:val="20"/>
          <w:szCs w:val="20"/>
          <w:color w:val="auto"/>
        </w:rPr>
      </w:pPr>
      <w:r>
        <w:rPr>
          <w:rFonts w:ascii="Arial" w:cs="Arial" w:eastAsia="Arial" w:hAnsi="Arial"/>
          <w:sz w:val="16"/>
          <w:szCs w:val="16"/>
          <w:color w:val="auto"/>
        </w:rPr>
        <w:t>In July 2009 we entered into the Delphi Master Disposition Agreement (DMDA) with Delphi Corporation (Delphi) and other parties, which was consummated in October 2009. Under the DMDA, we agreed to acquire Delphi’s global steering business (Nexteer) and four domestic component manufacturing facilities as well as make an investment in a new entity, New Delphi, which acquired substantially all of Delphi’s remaining assets. At October 6, 2009 the fair value of Nexteer and the four domestic facilities was $287 million and the assets acquired and liabilities assumed were consolidated and included in the results of our GMNA segment. Total assets of $1.2 billion were comprised primarily of accounts and notes receivables, inventories and property, plant and equipment. Total liabilities of $0.9 billion were comprised primarily of accounts payable, accrued expenses, short-term debt and other liabilities.</w:t>
      </w:r>
    </w:p>
    <w:p>
      <w:pPr>
        <w:spacing w:after="0" w:line="1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20"/>
          </w:cols>
          <w:pgMar w:left="240" w:top="459" w:right="23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17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339" w:lineRule="exact"/>
        <w:rPr>
          <w:sz w:val="20"/>
          <w:szCs w:val="20"/>
          <w:color w:val="auto"/>
        </w:rPr>
      </w:pPr>
    </w:p>
    <w:p>
      <w:pPr>
        <w:ind w:right="140" w:firstLine="228"/>
        <w:spacing w:after="0" w:line="255" w:lineRule="auto"/>
        <w:rPr>
          <w:sz w:val="20"/>
          <w:szCs w:val="20"/>
          <w:color w:val="auto"/>
        </w:rPr>
      </w:pPr>
      <w:r>
        <w:rPr>
          <w:rFonts w:ascii="Arial" w:cs="Arial" w:eastAsia="Arial" w:hAnsi="Arial"/>
          <w:sz w:val="18"/>
          <w:szCs w:val="18"/>
          <w:color w:val="auto"/>
        </w:rPr>
        <w:t>We funded the acquisitions, transaction related costs and settlements of certain pre-existing arrangements through net cash payments of $2.7 billion. We also assumed liabilities and wind-down obligations of $120 million, waived our claims associated with the Delphi liquidity support agreements of $850 million and waived our rights to claims associated with previously transferred pension costs for hourly employees. Of these amounts, we contributed $1.7 billion to New Delphi and paid the Pension Benefit Guarantee Corporation (PBGC) $70 million in October 2009. Our investment in New Delphi is accounted for using the equity method.</w:t>
      </w:r>
    </w:p>
    <w:p>
      <w:pPr>
        <w:spacing w:after="0" w:line="143" w:lineRule="exact"/>
        <w:rPr>
          <w:sz w:val="20"/>
          <w:szCs w:val="20"/>
          <w:color w:val="auto"/>
        </w:rPr>
      </w:pPr>
    </w:p>
    <w:p>
      <w:pPr>
        <w:ind w:right="120" w:firstLine="228"/>
        <w:spacing w:after="0" w:line="255" w:lineRule="auto"/>
        <w:rPr>
          <w:sz w:val="20"/>
          <w:szCs w:val="20"/>
          <w:color w:val="auto"/>
        </w:rPr>
      </w:pPr>
      <w:r>
        <w:rPr>
          <w:rFonts w:ascii="Arial" w:cs="Arial" w:eastAsia="Arial" w:hAnsi="Arial"/>
          <w:sz w:val="18"/>
          <w:szCs w:val="18"/>
          <w:color w:val="auto"/>
        </w:rPr>
        <w:t>In July 2010 we entered into a definitive agreement to sell Nexteer to an unaffiliated party. The transaction is subject to customary closing conditions, regulatory approvals and review by government agencies in the U.S. and China. At September 30, 2010 Nexteer had total assets of $857 million, total liabilities of $376 million, and recorded revenue of $1.4 billion in the nine months ended September 30, 2010, of which $765 million were sales to us and our affiliates. Nexteer did not qualify for held for sale classification at September 30, 2010. Once consummated, we do not expect the sale of Nexteer to have a material effect on our consolidated financial statements.</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Sale of India Operations</w:t>
      </w:r>
    </w:p>
    <w:p>
      <w:pPr>
        <w:spacing w:after="0" w:line="177" w:lineRule="exact"/>
        <w:rPr>
          <w:sz w:val="20"/>
          <w:szCs w:val="20"/>
          <w:color w:val="auto"/>
        </w:rPr>
      </w:pPr>
    </w:p>
    <w:p>
      <w:pPr>
        <w:ind w:right="100" w:firstLine="228"/>
        <w:spacing w:after="0" w:line="288" w:lineRule="auto"/>
        <w:rPr>
          <w:sz w:val="20"/>
          <w:szCs w:val="20"/>
          <w:color w:val="auto"/>
        </w:rPr>
      </w:pPr>
      <w:r>
        <w:rPr>
          <w:rFonts w:ascii="Arial" w:cs="Arial" w:eastAsia="Arial" w:hAnsi="Arial"/>
          <w:sz w:val="16"/>
          <w:szCs w:val="16"/>
          <w:color w:val="auto"/>
        </w:rPr>
        <w:t>In December 2009 we and SAIC Motor Hong Kong Investment Limited (SAIC-HK) entered into a joint venture, SAIC GM Investment Limited (HKJV) to invest in automotive projects outside of markets in China, initially focusing on markets in India. On February 1, 2010 we sold certain of our operations in India (India Operations), part of our GMIO segment, in exchange for a promissory note due in 2013. The amount due under the promissory note may be partially reduced, or increased, based on the India Operation’s cumulative earnings before interest and taxes for the three year period ending December 31, 2012. In connection with the sale we recorded net consideration of $190 million and an insignificant gain. The sale transaction resulted in a loss of control and the deconsolidation of the India Operations on February 1, 2010. Accordingly, we removed the assets and liabilities of the India Operations from our consolidated financial statements and recorded an equity interest in HKJV to reflect cash of $50 million we contributed to HKJV and a $123 million commitment to provide additional capital that we are required to make in accordance with the terms of the joint venture agreement. We have recorded a corresponding liability to reflect our obligation to provide additional capital.</w:t>
      </w:r>
    </w:p>
    <w:p>
      <w:pPr>
        <w:spacing w:after="0" w:line="1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Saab Bankruptcy and Sale</w:t>
      </w:r>
    </w:p>
    <w:p>
      <w:pPr>
        <w:spacing w:after="0" w:line="177" w:lineRule="exact"/>
        <w:rPr>
          <w:sz w:val="20"/>
          <w:szCs w:val="20"/>
          <w:color w:val="auto"/>
        </w:rPr>
      </w:pPr>
    </w:p>
    <w:p>
      <w:pPr>
        <w:ind w:right="100" w:firstLine="228"/>
        <w:spacing w:after="0" w:line="291" w:lineRule="auto"/>
        <w:rPr>
          <w:sz w:val="20"/>
          <w:szCs w:val="20"/>
          <w:color w:val="auto"/>
        </w:rPr>
      </w:pPr>
      <w:r>
        <w:rPr>
          <w:rFonts w:ascii="Arial" w:cs="Arial" w:eastAsia="Arial" w:hAnsi="Arial"/>
          <w:sz w:val="16"/>
          <w:szCs w:val="16"/>
          <w:color w:val="auto"/>
        </w:rPr>
        <w:t>In February 2009 Saab, part of the GME segment, filed for protection under the reorganization laws of Sweden in order to reorganize itself into a stand-alone entity. Old GM determined that the reorganization proceeding resulted in a loss of the elements of control necessary for consolidation and therefore Old GM deconsolidated Saab in February 2009. Old GM recorded a loss of $824 million in Other expenses, net related to the deconsolidation. The loss reflects the remeasurement of Old GM’s net investment in Saab to its estimated fair value of $0, costs associated with commitments and obligations to suppliers and others, and a commitment to provide up to $150 million of DIP financing. We acquired Old GM’s investment in Saab in connection with the 363 Sale. In August 2009 Saab exited its reorganization proceeding, and we regained the elements of control and consolidated Saab at an insignificant fair value.</w:t>
      </w:r>
    </w:p>
    <w:p>
      <w:pPr>
        <w:spacing w:after="0" w:line="120" w:lineRule="exact"/>
        <w:rPr>
          <w:sz w:val="20"/>
          <w:szCs w:val="20"/>
          <w:color w:val="auto"/>
        </w:rPr>
      </w:pPr>
    </w:p>
    <w:p>
      <w:pPr>
        <w:ind w:right="180" w:firstLine="228"/>
        <w:spacing w:after="0" w:line="294" w:lineRule="auto"/>
        <w:rPr>
          <w:sz w:val="20"/>
          <w:szCs w:val="20"/>
          <w:color w:val="auto"/>
        </w:rPr>
      </w:pPr>
      <w:r>
        <w:rPr>
          <w:rFonts w:ascii="Arial" w:cs="Arial" w:eastAsia="Arial" w:hAnsi="Arial"/>
          <w:sz w:val="16"/>
          <w:szCs w:val="16"/>
          <w:color w:val="auto"/>
        </w:rPr>
        <w:t>In February 2010 we completed the sale of Saab and in May 2010 we completed the sale of Saab Automobile GB (Saab GB) to Spyker Cars NV. Of the negotiated cash purchase price of $74 million, we received $50 million at closing and received the remaining $24 million in July 2010. We also received preference shares in Saab with a face value of $326 million and an estimated fair value that is insignificant and received $114 million as repayment of the DIP financing that we provided to Saab during 2009. In the nine months ended September 30, 2010 we recorded a gain of $123 million in Interest income and other non-operating income, net reflecting cash received of $166 million less net assets with a book value of $43 million.</w:t>
      </w:r>
    </w:p>
    <w:p>
      <w:pPr>
        <w:spacing w:after="0" w:line="1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Sale of 1% Interest in Shanghai General Motors Co., Ltd.</w:t>
      </w:r>
    </w:p>
    <w:p>
      <w:pPr>
        <w:spacing w:after="0" w:line="177" w:lineRule="exact"/>
        <w:rPr>
          <w:sz w:val="20"/>
          <w:szCs w:val="20"/>
          <w:color w:val="auto"/>
        </w:rPr>
      </w:pPr>
    </w:p>
    <w:p>
      <w:pPr>
        <w:ind w:firstLine="228"/>
        <w:spacing w:after="0" w:line="259" w:lineRule="auto"/>
        <w:rPr>
          <w:sz w:val="20"/>
          <w:szCs w:val="20"/>
          <w:color w:val="auto"/>
        </w:rPr>
      </w:pPr>
      <w:r>
        <w:rPr>
          <w:rFonts w:ascii="Arial" w:cs="Arial" w:eastAsia="Arial" w:hAnsi="Arial"/>
          <w:sz w:val="18"/>
          <w:szCs w:val="18"/>
          <w:color w:val="auto"/>
        </w:rPr>
        <w:t>In February 2010 we sold a 1% ownership interest in Shanghai General Motors Co., Ltd. (SGM) to SAIC-HK, reducing our ownership interest to 49%. The sale of the 1% ownership interest to Shanghai Automotive Industry Corporation (SAIC) was predicated on our ability to work with SAIC to obtain a $400 million line of credit from a commercial bank to us. We also received a</w:t>
      </w:r>
    </w:p>
    <w:p>
      <w:pPr>
        <w:spacing w:after="0" w:line="12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380"/>
          </w:cols>
          <w:pgMar w:left="240" w:top="459" w:right="27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164" w:lineRule="exact"/>
        <w:rPr>
          <w:sz w:val="20"/>
          <w:szCs w:val="20"/>
          <w:color w:val="auto"/>
        </w:rPr>
      </w:pPr>
    </w:p>
    <w:p>
      <w:pPr>
        <w:ind w:right="240"/>
        <w:spacing w:after="0" w:line="259" w:lineRule="auto"/>
        <w:rPr>
          <w:sz w:val="20"/>
          <w:szCs w:val="20"/>
          <w:color w:val="auto"/>
        </w:rPr>
      </w:pPr>
      <w:r>
        <w:rPr>
          <w:rFonts w:ascii="Arial" w:cs="Arial" w:eastAsia="Arial" w:hAnsi="Arial"/>
          <w:sz w:val="18"/>
          <w:szCs w:val="18"/>
          <w:color w:val="auto"/>
        </w:rPr>
        <w:t>call option to repurchase the 1% which is contingently exercisable based on events which we do not unilaterally control. As part of the loan arrangement SAIC provided a commitment whereby, in the event of default, SAIC will purchase the ownership interest in SGM that we pledged as collateral for the loan. We recorded an insignificant gain on this transaction in the nine months ended September 30, 2010.</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Acquisition of AmeriCredit Corp.</w:t>
      </w:r>
    </w:p>
    <w:p>
      <w:pPr>
        <w:spacing w:after="0" w:line="177" w:lineRule="exact"/>
        <w:rPr>
          <w:sz w:val="20"/>
          <w:szCs w:val="20"/>
          <w:color w:val="auto"/>
        </w:rPr>
      </w:pPr>
    </w:p>
    <w:p>
      <w:pPr>
        <w:ind w:left="240"/>
        <w:spacing w:after="0"/>
        <w:rPr>
          <w:sz w:val="20"/>
          <w:szCs w:val="20"/>
          <w:color w:val="auto"/>
        </w:rPr>
      </w:pPr>
      <w:r>
        <w:rPr>
          <w:rFonts w:ascii="Arial" w:cs="Arial" w:eastAsia="Arial" w:hAnsi="Arial"/>
          <w:sz w:val="18"/>
          <w:szCs w:val="18"/>
          <w:color w:val="auto"/>
        </w:rPr>
        <w:t>Refer to Note 27 for information on the acquisition of AmeriCredit Corp. (AmeriCredit).</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5. Marketable Securities</w:t>
      </w:r>
    </w:p>
    <w:p>
      <w:pPr>
        <w:spacing w:after="0" w:line="177" w:lineRule="exact"/>
        <w:rPr>
          <w:sz w:val="20"/>
          <w:szCs w:val="20"/>
          <w:color w:val="auto"/>
        </w:rPr>
      </w:pPr>
    </w:p>
    <w:p>
      <w:pPr>
        <w:ind w:right="420" w:firstLine="228"/>
        <w:spacing w:after="0" w:line="268" w:lineRule="auto"/>
        <w:rPr>
          <w:sz w:val="20"/>
          <w:szCs w:val="20"/>
          <w:color w:val="auto"/>
        </w:rPr>
      </w:pPr>
      <w:r>
        <w:rPr>
          <w:rFonts w:ascii="Arial" w:cs="Arial" w:eastAsia="Arial" w:hAnsi="Arial"/>
          <w:sz w:val="18"/>
          <w:szCs w:val="18"/>
          <w:color w:val="auto"/>
        </w:rPr>
        <w:t>The following table summarizes information regarding trading securities gains and losses, which are recorded in Interest income and other non-operating income, net on securities still held at the reporting date (dollars in millions):</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8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gridSpan w:val="3"/>
          </w:tcPr>
          <w:p>
            <w:pPr>
              <w:jc w:val="right"/>
              <w:ind w:right="392"/>
              <w:spacing w:after="0"/>
              <w:rPr>
                <w:sz w:val="20"/>
                <w:szCs w:val="20"/>
                <w:color w:val="auto"/>
              </w:rPr>
            </w:pPr>
            <w:r>
              <w:rPr>
                <w:rFonts w:ascii="Arial" w:cs="Arial" w:eastAsia="Arial" w:hAnsi="Arial"/>
                <w:sz w:val="14"/>
                <w:szCs w:val="14"/>
                <w:b w:val="1"/>
                <w:bCs w:val="1"/>
                <w:color w:val="auto"/>
                <w:w w:val="79"/>
              </w:rPr>
              <w:t>Successor</w:t>
            </w:r>
          </w:p>
        </w:tc>
        <w:tc>
          <w:tcPr>
            <w:tcW w:w="24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8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40" w:type="dxa"/>
            <w:vAlign w:val="bottom"/>
            <w:gridSpan w:val="3"/>
          </w:tcPr>
          <w:p>
            <w:pPr>
              <w:jc w:val="center"/>
              <w:ind w:left="59"/>
              <w:spacing w:after="0" w:line="129" w:lineRule="exact"/>
              <w:rPr>
                <w:sz w:val="20"/>
                <w:szCs w:val="20"/>
                <w:color w:val="auto"/>
              </w:rPr>
            </w:pPr>
            <w:r>
              <w:rPr>
                <w:rFonts w:ascii="Arial" w:cs="Arial" w:eastAsia="Arial" w:hAnsi="Arial"/>
                <w:sz w:val="14"/>
                <w:szCs w:val="14"/>
                <w:b w:val="1"/>
                <w:bCs w:val="1"/>
                <w:color w:val="auto"/>
                <w:w w:val="89"/>
              </w:rPr>
              <w:t>Three Months</w:t>
            </w:r>
          </w:p>
        </w:tc>
        <w:tc>
          <w:tcPr>
            <w:tcW w:w="2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40" w:type="dxa"/>
            <w:vAlign w:val="bottom"/>
            <w:gridSpan w:val="4"/>
          </w:tcPr>
          <w:p>
            <w:pPr>
              <w:jc w:val="center"/>
              <w:ind w:left="59"/>
              <w:spacing w:after="0" w:line="129" w:lineRule="exact"/>
              <w:rPr>
                <w:sz w:val="20"/>
                <w:szCs w:val="20"/>
                <w:color w:val="auto"/>
              </w:rPr>
            </w:pPr>
            <w:r>
              <w:rPr>
                <w:rFonts w:ascii="Arial" w:cs="Arial" w:eastAsia="Arial" w:hAnsi="Arial"/>
                <w:sz w:val="14"/>
                <w:szCs w:val="14"/>
                <w:b w:val="1"/>
                <w:bCs w:val="1"/>
                <w:color w:val="auto"/>
                <w:w w:val="88"/>
              </w:rPr>
              <w:t>Nine Months</w:t>
            </w:r>
          </w:p>
        </w:tc>
        <w:tc>
          <w:tcPr>
            <w:tcW w:w="2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40" w:type="dxa"/>
            <w:vAlign w:val="bottom"/>
            <w:gridSpan w:val="3"/>
          </w:tcPr>
          <w:p>
            <w:pPr>
              <w:jc w:val="center"/>
              <w:ind w:left="40"/>
              <w:spacing w:after="0" w:line="129" w:lineRule="exact"/>
              <w:rPr>
                <w:sz w:val="20"/>
                <w:szCs w:val="20"/>
                <w:color w:val="auto"/>
              </w:rPr>
            </w:pPr>
            <w:r>
              <w:rPr>
                <w:rFonts w:ascii="Arial" w:cs="Arial" w:eastAsia="Arial" w:hAnsi="Arial"/>
                <w:sz w:val="14"/>
                <w:szCs w:val="14"/>
                <w:b w:val="1"/>
                <w:bCs w:val="1"/>
                <w:color w:val="auto"/>
                <w:w w:val="87"/>
              </w:rPr>
              <w:t>July 10, 2009</w:t>
            </w:r>
          </w:p>
        </w:tc>
        <w:tc>
          <w:tcPr>
            <w:tcW w:w="2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720" w:type="dxa"/>
            <w:vAlign w:val="bottom"/>
            <w:gridSpan w:val="2"/>
          </w:tcPr>
          <w:p>
            <w:pPr>
              <w:jc w:val="center"/>
              <w:ind w:right="108"/>
              <w:spacing w:after="0" w:line="149" w:lineRule="exact"/>
              <w:rPr>
                <w:sz w:val="20"/>
                <w:szCs w:val="20"/>
                <w:color w:val="auto"/>
              </w:rPr>
            </w:pPr>
            <w:r>
              <w:rPr>
                <w:rFonts w:ascii="Arial" w:cs="Arial" w:eastAsia="Arial" w:hAnsi="Arial"/>
                <w:sz w:val="14"/>
                <w:szCs w:val="14"/>
                <w:b w:val="1"/>
                <w:bCs w:val="1"/>
                <w:color w:val="auto"/>
                <w:w w:val="88"/>
              </w:rPr>
              <w:t>Ended</w:t>
            </w:r>
          </w:p>
        </w:tc>
        <w:tc>
          <w:tcPr>
            <w:tcW w:w="2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80" w:type="dxa"/>
            <w:vAlign w:val="bottom"/>
            <w:gridSpan w:val="2"/>
          </w:tcPr>
          <w:p>
            <w:pPr>
              <w:jc w:val="center"/>
              <w:ind w:right="152"/>
              <w:spacing w:after="0" w:line="149" w:lineRule="exact"/>
              <w:rPr>
                <w:sz w:val="20"/>
                <w:szCs w:val="20"/>
                <w:color w:val="auto"/>
              </w:rPr>
            </w:pPr>
            <w:r>
              <w:rPr>
                <w:rFonts w:ascii="Arial" w:cs="Arial" w:eastAsia="Arial" w:hAnsi="Arial"/>
                <w:sz w:val="14"/>
                <w:szCs w:val="14"/>
                <w:b w:val="1"/>
                <w:bCs w:val="1"/>
                <w:color w:val="auto"/>
                <w:w w:val="88"/>
              </w:rPr>
              <w:t>Ended</w:t>
            </w:r>
          </w:p>
        </w:tc>
        <w:tc>
          <w:tcPr>
            <w:tcW w:w="2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720" w:type="dxa"/>
            <w:vAlign w:val="bottom"/>
            <w:gridSpan w:val="2"/>
          </w:tcPr>
          <w:p>
            <w:pPr>
              <w:jc w:val="center"/>
              <w:ind w:right="112"/>
              <w:spacing w:after="0" w:line="149" w:lineRule="exact"/>
              <w:rPr>
                <w:sz w:val="20"/>
                <w:szCs w:val="20"/>
                <w:color w:val="auto"/>
              </w:rPr>
            </w:pPr>
            <w:r>
              <w:rPr>
                <w:rFonts w:ascii="Arial" w:cs="Arial" w:eastAsia="Arial" w:hAnsi="Arial"/>
                <w:sz w:val="14"/>
                <w:szCs w:val="14"/>
                <w:b w:val="1"/>
                <w:bCs w:val="1"/>
                <w:color w:val="auto"/>
                <w:w w:val="87"/>
              </w:rPr>
              <w:t>Through</w:t>
            </w:r>
          </w:p>
        </w:tc>
        <w:tc>
          <w:tcPr>
            <w:tcW w:w="2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8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80" w:type="dxa"/>
            <w:vAlign w:val="bottom"/>
            <w:gridSpan w:val="4"/>
          </w:tcPr>
          <w:p>
            <w:pPr>
              <w:jc w:val="center"/>
              <w:ind w:right="32"/>
              <w:spacing w:after="0"/>
              <w:rPr>
                <w:sz w:val="20"/>
                <w:szCs w:val="20"/>
                <w:color w:val="auto"/>
              </w:rPr>
            </w:pPr>
            <w:r>
              <w:rPr>
                <w:rFonts w:ascii="Arial" w:cs="Arial" w:eastAsia="Arial" w:hAnsi="Arial"/>
                <w:sz w:val="14"/>
                <w:szCs w:val="14"/>
                <w:b w:val="1"/>
                <w:bCs w:val="1"/>
                <w:color w:val="auto"/>
                <w:w w:val="85"/>
              </w:rPr>
              <w:t>September 30, 2010</w:t>
            </w:r>
          </w:p>
        </w:tc>
        <w:tc>
          <w:tcPr>
            <w:tcW w:w="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00" w:type="dxa"/>
            <w:vAlign w:val="bottom"/>
            <w:gridSpan w:val="5"/>
          </w:tcPr>
          <w:p>
            <w:pPr>
              <w:jc w:val="center"/>
              <w:ind w:right="12"/>
              <w:spacing w:after="0"/>
              <w:rPr>
                <w:sz w:val="20"/>
                <w:szCs w:val="20"/>
                <w:color w:val="auto"/>
              </w:rPr>
            </w:pPr>
            <w:r>
              <w:rPr>
                <w:rFonts w:ascii="Arial" w:cs="Arial" w:eastAsia="Arial" w:hAnsi="Arial"/>
                <w:sz w:val="14"/>
                <w:szCs w:val="14"/>
                <w:b w:val="1"/>
                <w:bCs w:val="1"/>
                <w:color w:val="auto"/>
                <w:w w:val="85"/>
              </w:rPr>
              <w:t>September 30, 2010</w:t>
            </w:r>
          </w:p>
        </w:tc>
        <w:tc>
          <w:tcPr>
            <w:tcW w:w="4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80" w:type="dxa"/>
            <w:vAlign w:val="bottom"/>
            <w:gridSpan w:val="4"/>
          </w:tcPr>
          <w:p>
            <w:pPr>
              <w:jc w:val="center"/>
              <w:ind w:right="32"/>
              <w:spacing w:after="0"/>
              <w:rPr>
                <w:sz w:val="20"/>
                <w:szCs w:val="20"/>
                <w:color w:val="auto"/>
              </w:rPr>
            </w:pPr>
            <w:r>
              <w:rPr>
                <w:rFonts w:ascii="Arial" w:cs="Arial" w:eastAsia="Arial" w:hAnsi="Arial"/>
                <w:sz w:val="14"/>
                <w:szCs w:val="14"/>
                <w:b w:val="1"/>
                <w:bCs w:val="1"/>
                <w:color w:val="auto"/>
                <w:w w:val="85"/>
              </w:rPr>
              <w:t>September 30, 2009</w:t>
            </w:r>
          </w:p>
        </w:tc>
        <w:tc>
          <w:tcPr>
            <w:tcW w:w="420" w:type="dxa"/>
            <w:vAlign w:val="bottom"/>
          </w:tcPr>
          <w:p>
            <w:pPr>
              <w:spacing w:after="0"/>
              <w:rPr>
                <w:sz w:val="14"/>
                <w:szCs w:val="14"/>
                <w:color w:val="auto"/>
              </w:rPr>
            </w:pPr>
          </w:p>
        </w:tc>
        <w:tc>
          <w:tcPr>
            <w:tcW w:w="1140" w:type="dxa"/>
            <w:vAlign w:val="bottom"/>
            <w:gridSpan w:val="2"/>
          </w:tcPr>
          <w:p>
            <w:pPr>
              <w:spacing w:after="0"/>
              <w:rPr>
                <w:sz w:val="20"/>
                <w:szCs w:val="20"/>
                <w:color w:val="auto"/>
              </w:rPr>
            </w:pPr>
            <w:r>
              <w:rPr>
                <w:rFonts w:ascii="Arial" w:cs="Arial" w:eastAsia="Arial" w:hAnsi="Arial"/>
                <w:sz w:val="14"/>
                <w:szCs w:val="14"/>
                <w:b w:val="1"/>
                <w:bCs w:val="1"/>
                <w:color w:val="auto"/>
                <w:w w:val="85"/>
              </w:rPr>
              <w:t>September 30, 2010</w:t>
            </w:r>
          </w:p>
        </w:tc>
        <w:tc>
          <w:tcPr>
            <w:tcW w:w="420" w:type="dxa"/>
            <w:vAlign w:val="bottom"/>
          </w:tcPr>
          <w:p>
            <w:pPr>
              <w:spacing w:after="0"/>
              <w:rPr>
                <w:sz w:val="14"/>
                <w:szCs w:val="14"/>
                <w:color w:val="auto"/>
              </w:rPr>
            </w:pPr>
          </w:p>
        </w:tc>
        <w:tc>
          <w:tcPr>
            <w:tcW w:w="1180" w:type="dxa"/>
            <w:vAlign w:val="bottom"/>
            <w:gridSpan w:val="3"/>
          </w:tcPr>
          <w:p>
            <w:pPr>
              <w:spacing w:after="0"/>
              <w:rPr>
                <w:sz w:val="20"/>
                <w:szCs w:val="20"/>
                <w:color w:val="auto"/>
              </w:rPr>
            </w:pPr>
            <w:r>
              <w:rPr>
                <w:rFonts w:ascii="Arial" w:cs="Arial" w:eastAsia="Arial" w:hAnsi="Arial"/>
                <w:sz w:val="14"/>
                <w:szCs w:val="14"/>
                <w:b w:val="1"/>
                <w:bCs w:val="1"/>
                <w:color w:val="auto"/>
                <w:w w:val="91"/>
              </w:rPr>
              <w:t>December 31, 2009</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1040" w:type="dxa"/>
            <w:vAlign w:val="bottom"/>
            <w:tcBorders>
              <w:top w:val="single" w:sz="8" w:color="auto"/>
              <w:bottom w:val="single" w:sz="8" w:color="auto"/>
            </w:tcBorders>
            <w:gridSpan w:val="3"/>
          </w:tcPr>
          <w:p>
            <w:pPr>
              <w:jc w:val="center"/>
              <w:ind w:left="59"/>
              <w:spacing w:after="0" w:line="142" w:lineRule="exact"/>
              <w:rPr>
                <w:sz w:val="20"/>
                <w:szCs w:val="20"/>
                <w:color w:val="auto"/>
              </w:rPr>
            </w:pPr>
            <w:r>
              <w:rPr>
                <w:rFonts w:ascii="Arial" w:cs="Arial" w:eastAsia="Arial" w:hAnsi="Arial"/>
                <w:sz w:val="14"/>
                <w:szCs w:val="14"/>
                <w:b w:val="1"/>
                <w:bCs w:val="1"/>
                <w:color w:val="auto"/>
                <w:w w:val="87"/>
              </w:rPr>
              <w:t>Unrealized</w:t>
            </w:r>
          </w:p>
        </w:tc>
        <w:tc>
          <w:tcPr>
            <w:tcW w:w="240" w:type="dxa"/>
            <w:vAlign w:val="bottom"/>
            <w:tcBorders>
              <w:top w:val="single" w:sz="8" w:color="auto"/>
              <w:bottom w:val="single" w:sz="8" w:color="auto"/>
            </w:tcBorders>
          </w:tcPr>
          <w:p>
            <w:pPr>
              <w:spacing w:after="0"/>
              <w:rPr>
                <w:sz w:val="12"/>
                <w:szCs w:val="12"/>
                <w:color w:val="auto"/>
              </w:rPr>
            </w:pPr>
          </w:p>
        </w:tc>
        <w:tc>
          <w:tcPr>
            <w:tcW w:w="42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1040" w:type="dxa"/>
            <w:vAlign w:val="bottom"/>
            <w:tcBorders>
              <w:top w:val="single" w:sz="8" w:color="auto"/>
              <w:bottom w:val="single" w:sz="8" w:color="auto"/>
            </w:tcBorders>
            <w:gridSpan w:val="4"/>
          </w:tcPr>
          <w:p>
            <w:pPr>
              <w:jc w:val="center"/>
              <w:ind w:left="59"/>
              <w:spacing w:after="0" w:line="142" w:lineRule="exact"/>
              <w:rPr>
                <w:sz w:val="20"/>
                <w:szCs w:val="20"/>
                <w:color w:val="auto"/>
              </w:rPr>
            </w:pPr>
            <w:r>
              <w:rPr>
                <w:rFonts w:ascii="Arial" w:cs="Arial" w:eastAsia="Arial" w:hAnsi="Arial"/>
                <w:sz w:val="14"/>
                <w:szCs w:val="14"/>
                <w:b w:val="1"/>
                <w:bCs w:val="1"/>
                <w:color w:val="auto"/>
                <w:w w:val="87"/>
              </w:rPr>
              <w:t>Unrealized</w:t>
            </w:r>
          </w:p>
        </w:tc>
        <w:tc>
          <w:tcPr>
            <w:tcW w:w="260" w:type="dxa"/>
            <w:vAlign w:val="bottom"/>
            <w:tcBorders>
              <w:top w:val="single" w:sz="8" w:color="auto"/>
              <w:bottom w:val="single" w:sz="8" w:color="auto"/>
            </w:tcBorders>
          </w:tcPr>
          <w:p>
            <w:pPr>
              <w:spacing w:after="0"/>
              <w:rPr>
                <w:sz w:val="12"/>
                <w:szCs w:val="12"/>
                <w:color w:val="auto"/>
              </w:rPr>
            </w:pPr>
          </w:p>
        </w:tc>
        <w:tc>
          <w:tcPr>
            <w:tcW w:w="400" w:type="dxa"/>
            <w:vAlign w:val="bottom"/>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1040" w:type="dxa"/>
            <w:vAlign w:val="bottom"/>
            <w:tcBorders>
              <w:top w:val="single" w:sz="8" w:color="auto"/>
              <w:bottom w:val="single" w:sz="8" w:color="auto"/>
            </w:tcBorders>
            <w:gridSpan w:val="3"/>
          </w:tcPr>
          <w:p>
            <w:pPr>
              <w:jc w:val="center"/>
              <w:ind w:left="60"/>
              <w:spacing w:after="0" w:line="142" w:lineRule="exact"/>
              <w:rPr>
                <w:sz w:val="20"/>
                <w:szCs w:val="20"/>
                <w:color w:val="auto"/>
              </w:rPr>
            </w:pPr>
            <w:r>
              <w:rPr>
                <w:rFonts w:ascii="Arial" w:cs="Arial" w:eastAsia="Arial" w:hAnsi="Arial"/>
                <w:sz w:val="14"/>
                <w:szCs w:val="14"/>
                <w:b w:val="1"/>
                <w:bCs w:val="1"/>
                <w:color w:val="auto"/>
                <w:w w:val="87"/>
              </w:rPr>
              <w:t>Unrealized</w:t>
            </w:r>
          </w:p>
        </w:tc>
        <w:tc>
          <w:tcPr>
            <w:tcW w:w="240" w:type="dxa"/>
            <w:vAlign w:val="bottom"/>
            <w:tcBorders>
              <w:top w:val="single" w:sz="8" w:color="auto"/>
              <w:bottom w:val="single" w:sz="8" w:color="auto"/>
            </w:tcBorders>
          </w:tcPr>
          <w:p>
            <w:pPr>
              <w:spacing w:after="0"/>
              <w:rPr>
                <w:sz w:val="12"/>
                <w:szCs w:val="12"/>
                <w:color w:val="auto"/>
              </w:rPr>
            </w:pPr>
          </w:p>
        </w:tc>
        <w:tc>
          <w:tcPr>
            <w:tcW w:w="420" w:type="dxa"/>
            <w:vAlign w:val="bottom"/>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900" w:type="dxa"/>
            <w:vAlign w:val="bottom"/>
            <w:tcBorders>
              <w:top w:val="single" w:sz="8" w:color="auto"/>
            </w:tcBorders>
          </w:tcPr>
          <w:p>
            <w:pPr>
              <w:jc w:val="right"/>
              <w:ind w:right="377"/>
              <w:spacing w:after="0" w:line="142" w:lineRule="exact"/>
              <w:rPr>
                <w:sz w:val="20"/>
                <w:szCs w:val="20"/>
                <w:color w:val="auto"/>
              </w:rPr>
            </w:pPr>
            <w:r>
              <w:rPr>
                <w:rFonts w:ascii="Arial" w:cs="Arial" w:eastAsia="Arial" w:hAnsi="Arial"/>
                <w:sz w:val="14"/>
                <w:szCs w:val="14"/>
                <w:b w:val="1"/>
                <w:bCs w:val="1"/>
                <w:color w:val="auto"/>
              </w:rPr>
              <w:t>Fair</w:t>
            </w:r>
          </w:p>
        </w:tc>
        <w:tc>
          <w:tcPr>
            <w:tcW w:w="420" w:type="dxa"/>
            <w:vAlign w:val="bottom"/>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860" w:type="dxa"/>
            <w:vAlign w:val="bottom"/>
            <w:tcBorders>
              <w:top w:val="single" w:sz="8" w:color="auto"/>
            </w:tcBorders>
          </w:tcPr>
          <w:p>
            <w:pPr>
              <w:jc w:val="center"/>
              <w:ind w:right="137"/>
              <w:spacing w:after="0" w:line="142" w:lineRule="exact"/>
              <w:rPr>
                <w:sz w:val="20"/>
                <w:szCs w:val="20"/>
                <w:color w:val="auto"/>
              </w:rPr>
            </w:pPr>
            <w:r>
              <w:rPr>
                <w:rFonts w:ascii="Arial" w:cs="Arial" w:eastAsia="Arial" w:hAnsi="Arial"/>
                <w:sz w:val="14"/>
                <w:szCs w:val="14"/>
                <w:b w:val="1"/>
                <w:bCs w:val="1"/>
                <w:color w:val="auto"/>
                <w:w w:val="93"/>
              </w:rPr>
              <w:t>Fair</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40" w:type="dxa"/>
            <w:vAlign w:val="bottom"/>
            <w:gridSpan w:val="2"/>
          </w:tcPr>
          <w:p>
            <w:pPr>
              <w:jc w:val="right"/>
              <w:spacing w:after="0" w:line="142" w:lineRule="exact"/>
              <w:rPr>
                <w:sz w:val="20"/>
                <w:szCs w:val="20"/>
                <w:color w:val="auto"/>
              </w:rPr>
            </w:pPr>
            <w:r>
              <w:rPr>
                <w:rFonts w:ascii="Arial" w:cs="Arial" w:eastAsia="Arial" w:hAnsi="Arial"/>
                <w:sz w:val="14"/>
                <w:szCs w:val="14"/>
                <w:b w:val="1"/>
                <w:bCs w:val="1"/>
                <w:color w:val="auto"/>
                <w:w w:val="97"/>
              </w:rPr>
              <w:t>Gains</w:t>
            </w:r>
          </w:p>
        </w:tc>
        <w:tc>
          <w:tcPr>
            <w:tcW w:w="460" w:type="dxa"/>
            <w:vAlign w:val="bottom"/>
          </w:tcPr>
          <w:p>
            <w:pPr>
              <w:spacing w:after="0"/>
              <w:rPr>
                <w:sz w:val="12"/>
                <w:szCs w:val="12"/>
                <w:color w:val="auto"/>
              </w:rPr>
            </w:pPr>
          </w:p>
        </w:tc>
        <w:tc>
          <w:tcPr>
            <w:tcW w:w="500" w:type="dxa"/>
            <w:vAlign w:val="bottom"/>
            <w:gridSpan w:val="2"/>
          </w:tcPr>
          <w:p>
            <w:pPr>
              <w:ind w:left="60"/>
              <w:spacing w:after="0" w:line="142" w:lineRule="exact"/>
              <w:rPr>
                <w:sz w:val="20"/>
                <w:szCs w:val="20"/>
                <w:color w:val="auto"/>
              </w:rPr>
            </w:pPr>
            <w:r>
              <w:rPr>
                <w:rFonts w:ascii="Arial" w:cs="Arial" w:eastAsia="Arial" w:hAnsi="Arial"/>
                <w:sz w:val="14"/>
                <w:szCs w:val="14"/>
                <w:b w:val="1"/>
                <w:bCs w:val="1"/>
                <w:color w:val="auto"/>
                <w:w w:val="86"/>
              </w:rPr>
              <w:t>Losses</w:t>
            </w:r>
          </w:p>
        </w:tc>
        <w:tc>
          <w:tcPr>
            <w:tcW w:w="420" w:type="dxa"/>
            <w:vAlign w:val="bottom"/>
          </w:tcPr>
          <w:p>
            <w:pPr>
              <w:spacing w:after="0"/>
              <w:rPr>
                <w:sz w:val="12"/>
                <w:szCs w:val="12"/>
                <w:color w:val="auto"/>
              </w:rPr>
            </w:pPr>
          </w:p>
        </w:tc>
        <w:tc>
          <w:tcPr>
            <w:tcW w:w="460" w:type="dxa"/>
            <w:vAlign w:val="bottom"/>
            <w:gridSpan w:val="3"/>
          </w:tcPr>
          <w:p>
            <w:pPr>
              <w:ind w:left="40"/>
              <w:spacing w:after="0" w:line="142" w:lineRule="exact"/>
              <w:rPr>
                <w:sz w:val="20"/>
                <w:szCs w:val="20"/>
                <w:color w:val="auto"/>
              </w:rPr>
            </w:pPr>
            <w:r>
              <w:rPr>
                <w:rFonts w:ascii="Arial" w:cs="Arial" w:eastAsia="Arial" w:hAnsi="Arial"/>
                <w:sz w:val="14"/>
                <w:szCs w:val="14"/>
                <w:b w:val="1"/>
                <w:bCs w:val="1"/>
                <w:color w:val="auto"/>
              </w:rPr>
              <w:t>Gains</w:t>
            </w:r>
          </w:p>
        </w:tc>
        <w:tc>
          <w:tcPr>
            <w:tcW w:w="440" w:type="dxa"/>
            <w:vAlign w:val="bottom"/>
          </w:tcPr>
          <w:p>
            <w:pPr>
              <w:spacing w:after="0"/>
              <w:rPr>
                <w:sz w:val="12"/>
                <w:szCs w:val="12"/>
                <w:color w:val="auto"/>
              </w:rPr>
            </w:pPr>
          </w:p>
        </w:tc>
        <w:tc>
          <w:tcPr>
            <w:tcW w:w="500" w:type="dxa"/>
            <w:vAlign w:val="bottom"/>
            <w:gridSpan w:val="2"/>
          </w:tcPr>
          <w:p>
            <w:pPr>
              <w:jc w:val="right"/>
              <w:spacing w:after="0" w:line="142" w:lineRule="exact"/>
              <w:rPr>
                <w:sz w:val="20"/>
                <w:szCs w:val="20"/>
                <w:color w:val="auto"/>
              </w:rPr>
            </w:pPr>
            <w:r>
              <w:rPr>
                <w:rFonts w:ascii="Arial" w:cs="Arial" w:eastAsia="Arial" w:hAnsi="Arial"/>
                <w:sz w:val="14"/>
                <w:szCs w:val="14"/>
                <w:b w:val="1"/>
                <w:bCs w:val="1"/>
                <w:color w:val="auto"/>
                <w:w w:val="82"/>
              </w:rPr>
              <w:t>Losses</w:t>
            </w:r>
          </w:p>
        </w:tc>
        <w:tc>
          <w:tcPr>
            <w:tcW w:w="400" w:type="dxa"/>
            <w:vAlign w:val="bottom"/>
          </w:tcPr>
          <w:p>
            <w:pPr>
              <w:spacing w:after="0"/>
              <w:rPr>
                <w:sz w:val="12"/>
                <w:szCs w:val="12"/>
                <w:color w:val="auto"/>
              </w:rPr>
            </w:pPr>
          </w:p>
        </w:tc>
        <w:tc>
          <w:tcPr>
            <w:tcW w:w="440" w:type="dxa"/>
            <w:vAlign w:val="bottom"/>
            <w:gridSpan w:val="2"/>
          </w:tcPr>
          <w:p>
            <w:pPr>
              <w:jc w:val="right"/>
              <w:spacing w:after="0" w:line="142" w:lineRule="exact"/>
              <w:rPr>
                <w:sz w:val="20"/>
                <w:szCs w:val="20"/>
                <w:color w:val="auto"/>
              </w:rPr>
            </w:pPr>
            <w:r>
              <w:rPr>
                <w:rFonts w:ascii="Arial" w:cs="Arial" w:eastAsia="Arial" w:hAnsi="Arial"/>
                <w:sz w:val="14"/>
                <w:szCs w:val="14"/>
                <w:b w:val="1"/>
                <w:bCs w:val="1"/>
                <w:color w:val="auto"/>
                <w:w w:val="97"/>
              </w:rPr>
              <w:t>Gains</w:t>
            </w:r>
          </w:p>
        </w:tc>
        <w:tc>
          <w:tcPr>
            <w:tcW w:w="460" w:type="dxa"/>
            <w:vAlign w:val="bottom"/>
          </w:tcPr>
          <w:p>
            <w:pPr>
              <w:spacing w:after="0"/>
              <w:rPr>
                <w:sz w:val="12"/>
                <w:szCs w:val="12"/>
                <w:color w:val="auto"/>
              </w:rPr>
            </w:pPr>
          </w:p>
        </w:tc>
        <w:tc>
          <w:tcPr>
            <w:tcW w:w="500" w:type="dxa"/>
            <w:vAlign w:val="bottom"/>
            <w:gridSpan w:val="2"/>
          </w:tcPr>
          <w:p>
            <w:pPr>
              <w:jc w:val="right"/>
              <w:spacing w:after="0" w:line="142" w:lineRule="exact"/>
              <w:rPr>
                <w:sz w:val="20"/>
                <w:szCs w:val="20"/>
                <w:color w:val="auto"/>
              </w:rPr>
            </w:pPr>
            <w:r>
              <w:rPr>
                <w:rFonts w:ascii="Arial" w:cs="Arial" w:eastAsia="Arial" w:hAnsi="Arial"/>
                <w:sz w:val="14"/>
                <w:szCs w:val="14"/>
                <w:b w:val="1"/>
                <w:bCs w:val="1"/>
                <w:color w:val="auto"/>
                <w:w w:val="86"/>
              </w:rPr>
              <w:t>Losses</w:t>
            </w:r>
          </w:p>
        </w:tc>
        <w:tc>
          <w:tcPr>
            <w:tcW w:w="4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00" w:type="dxa"/>
            <w:vAlign w:val="bottom"/>
          </w:tcPr>
          <w:p>
            <w:pPr>
              <w:jc w:val="right"/>
              <w:ind w:right="337"/>
              <w:spacing w:after="0" w:line="142" w:lineRule="exact"/>
              <w:rPr>
                <w:sz w:val="20"/>
                <w:szCs w:val="20"/>
                <w:color w:val="auto"/>
              </w:rPr>
            </w:pPr>
            <w:r>
              <w:rPr>
                <w:rFonts w:ascii="Arial" w:cs="Arial" w:eastAsia="Arial" w:hAnsi="Arial"/>
                <w:sz w:val="14"/>
                <w:szCs w:val="14"/>
                <w:b w:val="1"/>
                <w:bCs w:val="1"/>
                <w:color w:val="auto"/>
              </w:rPr>
              <w:t>Value</w:t>
            </w:r>
          </w:p>
        </w:tc>
        <w:tc>
          <w:tcPr>
            <w:tcW w:w="4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60" w:type="dxa"/>
            <w:vAlign w:val="bottom"/>
            <w:gridSpan w:val="2"/>
          </w:tcPr>
          <w:p>
            <w:pPr>
              <w:jc w:val="center"/>
              <w:ind w:right="320"/>
              <w:spacing w:after="0" w:line="142" w:lineRule="exact"/>
              <w:rPr>
                <w:sz w:val="20"/>
                <w:szCs w:val="20"/>
                <w:color w:val="auto"/>
              </w:rPr>
            </w:pPr>
            <w:r>
              <w:rPr>
                <w:rFonts w:ascii="Arial" w:cs="Arial" w:eastAsia="Arial" w:hAnsi="Arial"/>
                <w:sz w:val="14"/>
                <w:szCs w:val="14"/>
                <w:b w:val="1"/>
                <w:bCs w:val="1"/>
                <w:color w:val="auto"/>
                <w:w w:val="85"/>
              </w:rPr>
              <w:t>Value</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00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Trading securities (a)</w:t>
            </w:r>
          </w:p>
        </w:tc>
        <w:tc>
          <w:tcPr>
            <w:tcW w:w="22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00" w:type="dxa"/>
            <w:vAlign w:val="bottom"/>
            <w:gridSpan w:val="2"/>
          </w:tcPr>
          <w:p>
            <w:pPr>
              <w:spacing w:after="0"/>
              <w:rPr>
                <w:sz w:val="20"/>
                <w:szCs w:val="20"/>
                <w:color w:val="auto"/>
              </w:rPr>
            </w:pPr>
            <w:r>
              <w:rPr>
                <w:rFonts w:ascii="Arial" w:cs="Arial" w:eastAsia="Arial" w:hAnsi="Arial"/>
                <w:sz w:val="18"/>
                <w:szCs w:val="18"/>
                <w:color w:val="auto"/>
              </w:rPr>
              <w:t>Equity</w:t>
            </w: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320" w:type="dxa"/>
            <w:vAlign w:val="bottom"/>
          </w:tcPr>
          <w:p>
            <w:pPr>
              <w:jc w:val="right"/>
              <w:spacing w:after="0"/>
              <w:rPr>
                <w:sz w:val="20"/>
                <w:szCs w:val="20"/>
                <w:color w:val="auto"/>
              </w:rPr>
            </w:pPr>
            <w:r>
              <w:rPr>
                <w:rFonts w:ascii="Arial" w:cs="Arial" w:eastAsia="Arial" w:hAnsi="Arial"/>
                <w:sz w:val="18"/>
                <w:szCs w:val="18"/>
                <w:color w:val="auto"/>
              </w:rPr>
              <w:t>5</w:t>
            </w:r>
          </w:p>
        </w:tc>
        <w:tc>
          <w:tcPr>
            <w:tcW w:w="720" w:type="dxa"/>
            <w:vAlign w:val="bottom"/>
            <w:gridSpan w:val="2"/>
          </w:tcPr>
          <w:p>
            <w:pPr>
              <w:jc w:val="right"/>
              <w:ind w:right="108"/>
              <w:spacing w:after="0"/>
              <w:rPr>
                <w:sz w:val="20"/>
                <w:szCs w:val="20"/>
                <w:color w:val="auto"/>
              </w:rPr>
            </w:pPr>
            <w:r>
              <w:rPr>
                <w:rFonts w:ascii="Arial" w:cs="Arial" w:eastAsia="Arial" w:hAnsi="Arial"/>
                <w:sz w:val="18"/>
                <w:szCs w:val="18"/>
                <w:color w:val="auto"/>
              </w:rPr>
              <w:t>$</w:t>
            </w:r>
          </w:p>
        </w:tc>
        <w:tc>
          <w:tcPr>
            <w:tcW w:w="660" w:type="dxa"/>
            <w:vAlign w:val="bottom"/>
            <w:gridSpan w:val="2"/>
          </w:tcPr>
          <w:p>
            <w:pPr>
              <w:jc w:val="right"/>
              <w:ind w:right="420"/>
              <w:spacing w:after="0"/>
              <w:rPr>
                <w:sz w:val="20"/>
                <w:szCs w:val="20"/>
                <w:color w:val="auto"/>
              </w:rPr>
            </w:pPr>
            <w:r>
              <w:rPr>
                <w:rFonts w:ascii="Arial" w:cs="Arial" w:eastAsia="Arial" w:hAnsi="Arial"/>
                <w:sz w:val="18"/>
                <w:szCs w:val="18"/>
                <w:color w:val="auto"/>
              </w:rPr>
              <w:t>2</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360" w:type="dxa"/>
            <w:vAlign w:val="bottom"/>
            <w:gridSpan w:val="2"/>
          </w:tcPr>
          <w:p>
            <w:pPr>
              <w:jc w:val="right"/>
              <w:ind w:right="20"/>
              <w:spacing w:after="0"/>
              <w:rPr>
                <w:sz w:val="20"/>
                <w:szCs w:val="20"/>
                <w:color w:val="auto"/>
              </w:rPr>
            </w:pPr>
            <w:r>
              <w:rPr>
                <w:rFonts w:ascii="Arial" w:cs="Arial" w:eastAsia="Arial" w:hAnsi="Arial"/>
                <w:sz w:val="18"/>
                <w:szCs w:val="18"/>
                <w:color w:val="auto"/>
              </w:rPr>
              <w:t>2</w:t>
            </w:r>
          </w:p>
        </w:tc>
        <w:tc>
          <w:tcPr>
            <w:tcW w:w="680" w:type="dxa"/>
            <w:vAlign w:val="bottom"/>
            <w:gridSpan w:val="2"/>
          </w:tcPr>
          <w:p>
            <w:pPr>
              <w:jc w:val="right"/>
              <w:ind w:right="92"/>
              <w:spacing w:after="0"/>
              <w:rPr>
                <w:sz w:val="20"/>
                <w:szCs w:val="20"/>
                <w:color w:val="auto"/>
              </w:rPr>
            </w:pPr>
            <w:r>
              <w:rPr>
                <w:rFonts w:ascii="Arial" w:cs="Arial" w:eastAsia="Arial" w:hAnsi="Arial"/>
                <w:sz w:val="18"/>
                <w:szCs w:val="18"/>
                <w:color w:val="auto"/>
              </w:rPr>
              <w:t>$</w:t>
            </w:r>
          </w:p>
        </w:tc>
        <w:tc>
          <w:tcPr>
            <w:tcW w:w="260" w:type="dxa"/>
            <w:vAlign w:val="bottom"/>
          </w:tcPr>
          <w:p>
            <w:pPr>
              <w:jc w:val="right"/>
              <w:spacing w:after="0"/>
              <w:rPr>
                <w:sz w:val="20"/>
                <w:szCs w:val="20"/>
                <w:color w:val="auto"/>
              </w:rPr>
            </w:pPr>
            <w:r>
              <w:rPr>
                <w:rFonts w:ascii="Arial" w:cs="Arial" w:eastAsia="Arial" w:hAnsi="Arial"/>
                <w:sz w:val="18"/>
                <w:szCs w:val="18"/>
                <w:color w:val="auto"/>
              </w:rPr>
              <w:t>2</w:t>
            </w:r>
          </w:p>
        </w:tc>
        <w:tc>
          <w:tcPr>
            <w:tcW w:w="5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320" w:type="dxa"/>
            <w:vAlign w:val="bottom"/>
          </w:tcPr>
          <w:p>
            <w:pPr>
              <w:jc w:val="right"/>
              <w:spacing w:after="0"/>
              <w:rPr>
                <w:sz w:val="20"/>
                <w:szCs w:val="20"/>
                <w:color w:val="auto"/>
              </w:rPr>
            </w:pPr>
            <w:r>
              <w:rPr>
                <w:rFonts w:ascii="Arial" w:cs="Arial" w:eastAsia="Arial" w:hAnsi="Arial"/>
                <w:sz w:val="18"/>
                <w:szCs w:val="18"/>
                <w:color w:val="auto"/>
              </w:rPr>
              <w:t>4</w:t>
            </w:r>
          </w:p>
        </w:tc>
        <w:tc>
          <w:tcPr>
            <w:tcW w:w="720" w:type="dxa"/>
            <w:vAlign w:val="bottom"/>
            <w:gridSpan w:val="2"/>
          </w:tcPr>
          <w:p>
            <w:pPr>
              <w:jc w:val="right"/>
              <w:ind w:right="112"/>
              <w:spacing w:after="0"/>
              <w:rPr>
                <w:sz w:val="20"/>
                <w:szCs w:val="20"/>
                <w:color w:val="auto"/>
              </w:rPr>
            </w:pPr>
            <w:r>
              <w:rPr>
                <w:rFonts w:ascii="Arial" w:cs="Arial" w:eastAsia="Arial" w:hAnsi="Arial"/>
                <w:sz w:val="18"/>
                <w:szCs w:val="18"/>
                <w:color w:val="auto"/>
              </w:rPr>
              <w:t>$</w:t>
            </w:r>
          </w:p>
        </w:tc>
        <w:tc>
          <w:tcPr>
            <w:tcW w:w="660" w:type="dxa"/>
            <w:vAlign w:val="bottom"/>
            <w:gridSpan w:val="2"/>
          </w:tcPr>
          <w:p>
            <w:pPr>
              <w:jc w:val="right"/>
              <w:ind w:right="420"/>
              <w:spacing w:after="0"/>
              <w:rPr>
                <w:sz w:val="20"/>
                <w:szCs w:val="20"/>
                <w:color w:val="auto"/>
              </w:rPr>
            </w:pPr>
            <w:r>
              <w:rPr>
                <w:rFonts w:ascii="Arial" w:cs="Arial" w:eastAsia="Arial" w:hAnsi="Arial"/>
                <w:sz w:val="18"/>
                <w:szCs w:val="18"/>
                <w:color w:val="auto"/>
              </w:rPr>
              <w:t>2</w:t>
            </w:r>
          </w:p>
        </w:tc>
        <w:tc>
          <w:tcPr>
            <w:tcW w:w="240" w:type="dxa"/>
            <w:vAlign w:val="bottom"/>
          </w:tcPr>
          <w:p>
            <w:pPr>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35</w:t>
            </w:r>
          </w:p>
        </w:tc>
        <w:tc>
          <w:tcPr>
            <w:tcW w:w="640" w:type="dxa"/>
            <w:vAlign w:val="bottom"/>
            <w:gridSpan w:val="2"/>
          </w:tcPr>
          <w:p>
            <w:pPr>
              <w:ind w:left="420"/>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32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0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3"/>
              </w:rPr>
              <w:t>United States government and agencies</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3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4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00" w:type="dxa"/>
            <w:vAlign w:val="bottom"/>
            <w:gridSpan w:val="2"/>
          </w:tcPr>
          <w:p>
            <w:pPr>
              <w:spacing w:after="0"/>
              <w:rPr>
                <w:sz w:val="20"/>
                <w:szCs w:val="20"/>
                <w:color w:val="auto"/>
              </w:rPr>
            </w:pPr>
            <w:r>
              <w:rPr>
                <w:rFonts w:ascii="Arial" w:cs="Arial" w:eastAsia="Arial" w:hAnsi="Arial"/>
                <w:sz w:val="18"/>
                <w:szCs w:val="18"/>
                <w:color w:val="auto"/>
              </w:rPr>
              <w:t>Mortgage and asset-backed</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jc w:val="right"/>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60" w:type="dxa"/>
            <w:vAlign w:val="bottom"/>
            <w:gridSpan w:val="2"/>
          </w:tcPr>
          <w:p>
            <w:pPr>
              <w:jc w:val="right"/>
              <w:ind w:right="420"/>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18"/>
                <w:szCs w:val="18"/>
                <w:color w:val="auto"/>
              </w:rPr>
            </w:pPr>
          </w:p>
        </w:tc>
        <w:tc>
          <w:tcPr>
            <w:tcW w:w="3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60" w:type="dxa"/>
            <w:vAlign w:val="bottom"/>
          </w:tcPr>
          <w:p>
            <w:pPr>
              <w:jc w:val="right"/>
              <w:spacing w:after="0"/>
              <w:rPr>
                <w:sz w:val="20"/>
                <w:szCs w:val="20"/>
                <w:color w:val="auto"/>
              </w:rPr>
            </w:pPr>
            <w:r>
              <w:rPr>
                <w:rFonts w:ascii="Arial" w:cs="Arial" w:eastAsia="Arial" w:hAnsi="Arial"/>
                <w:sz w:val="18"/>
                <w:szCs w:val="18"/>
                <w:color w:val="auto"/>
              </w:rPr>
              <w:t>1</w:t>
            </w:r>
          </w:p>
        </w:tc>
        <w:tc>
          <w:tcPr>
            <w:tcW w:w="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jc w:val="right"/>
              <w:spacing w:after="0"/>
              <w:rPr>
                <w:sz w:val="20"/>
                <w:szCs w:val="20"/>
                <w:color w:val="auto"/>
              </w:rPr>
            </w:pPr>
            <w:r>
              <w:rPr>
                <w:rFonts w:ascii="Arial" w:cs="Arial" w:eastAsia="Arial" w:hAnsi="Arial"/>
                <w:sz w:val="18"/>
                <w:szCs w:val="18"/>
                <w:color w:val="auto"/>
              </w:rPr>
              <w:t>1</w:t>
            </w:r>
          </w:p>
        </w:tc>
        <w:tc>
          <w:tcPr>
            <w:tcW w:w="4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60" w:type="dxa"/>
            <w:vAlign w:val="bottom"/>
            <w:gridSpan w:val="2"/>
          </w:tcPr>
          <w:p>
            <w:pPr>
              <w:jc w:val="right"/>
              <w:ind w:right="420"/>
              <w:spacing w:after="0"/>
              <w:rPr>
                <w:sz w:val="20"/>
                <w:szCs w:val="20"/>
                <w:color w:val="auto"/>
              </w:rPr>
            </w:pPr>
            <w:r>
              <w:rPr>
                <w:rFonts w:ascii="Arial" w:cs="Arial" w:eastAsia="Arial" w:hAnsi="Arial"/>
                <w:sz w:val="18"/>
                <w:szCs w:val="18"/>
                <w:color w:val="auto"/>
              </w:rPr>
              <w:t>3</w:t>
            </w: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28</w:t>
            </w:r>
          </w:p>
        </w:tc>
        <w:tc>
          <w:tcPr>
            <w:tcW w:w="4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Foreign government</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4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3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w:t>
            </w:r>
          </w:p>
        </w:tc>
        <w:tc>
          <w:tcPr>
            <w:tcW w:w="4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4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w:t>
            </w:r>
          </w:p>
        </w:tc>
        <w:tc>
          <w:tcPr>
            <w:tcW w:w="4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00" w:type="dxa"/>
            <w:vAlign w:val="bottom"/>
            <w:gridSpan w:val="2"/>
          </w:tcPr>
          <w:p>
            <w:pPr>
              <w:spacing w:after="0"/>
              <w:rPr>
                <w:sz w:val="20"/>
                <w:szCs w:val="20"/>
                <w:color w:val="auto"/>
              </w:rPr>
            </w:pPr>
            <w:r>
              <w:rPr>
                <w:rFonts w:ascii="Arial" w:cs="Arial" w:eastAsia="Arial" w:hAnsi="Arial"/>
                <w:sz w:val="18"/>
                <w:szCs w:val="18"/>
                <w:color w:val="auto"/>
              </w:rPr>
              <w:t>Corporate debt</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jc w:val="right"/>
              <w:spacing w:after="0"/>
              <w:rPr>
                <w:sz w:val="20"/>
                <w:szCs w:val="20"/>
                <w:color w:val="auto"/>
              </w:rPr>
            </w:pPr>
            <w:r>
              <w:rPr>
                <w:rFonts w:ascii="Arial" w:cs="Arial" w:eastAsia="Arial" w:hAnsi="Arial"/>
                <w:sz w:val="18"/>
                <w:szCs w:val="18"/>
                <w:color w:val="auto"/>
              </w:rPr>
              <w:t>1</w:t>
            </w:r>
          </w:p>
        </w:tc>
        <w:tc>
          <w:tcPr>
            <w:tcW w:w="4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6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3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jc w:val="right"/>
              <w:spacing w:after="0"/>
              <w:rPr>
                <w:sz w:val="20"/>
                <w:szCs w:val="20"/>
                <w:color w:val="auto"/>
              </w:rPr>
            </w:pPr>
            <w:r>
              <w:rPr>
                <w:rFonts w:ascii="Arial" w:cs="Arial" w:eastAsia="Arial" w:hAnsi="Arial"/>
                <w:sz w:val="18"/>
                <w:szCs w:val="18"/>
                <w:color w:val="auto"/>
              </w:rPr>
              <w:t>1</w:t>
            </w:r>
          </w:p>
        </w:tc>
        <w:tc>
          <w:tcPr>
            <w:tcW w:w="4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60" w:type="dxa"/>
            <w:vAlign w:val="bottom"/>
            <w:gridSpan w:val="2"/>
          </w:tcPr>
          <w:p>
            <w:pPr>
              <w:jc w:val="right"/>
              <w:ind w:right="420"/>
              <w:spacing w:after="0"/>
              <w:rPr>
                <w:sz w:val="20"/>
                <w:szCs w:val="20"/>
                <w:color w:val="auto"/>
              </w:rPr>
            </w:pPr>
            <w:r>
              <w:rPr>
                <w:rFonts w:ascii="Arial" w:cs="Arial" w:eastAsia="Arial" w:hAnsi="Arial"/>
                <w:sz w:val="18"/>
                <w:szCs w:val="18"/>
                <w:color w:val="auto"/>
              </w:rPr>
              <w:t>1</w:t>
            </w: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29</w:t>
            </w:r>
          </w:p>
        </w:tc>
        <w:tc>
          <w:tcPr>
            <w:tcW w:w="4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1140" w:type="dxa"/>
            <w:vAlign w:val="bottom"/>
          </w:tcPr>
          <w:p>
            <w:pPr>
              <w:spacing w:after="0"/>
              <w:rPr>
                <w:sz w:val="2"/>
                <w:szCs w:val="2"/>
                <w:color w:val="auto"/>
              </w:rPr>
            </w:pPr>
          </w:p>
        </w:tc>
        <w:tc>
          <w:tcPr>
            <w:tcW w:w="18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44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30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trading securities</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46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108"/>
              <w:spacing w:after="0"/>
              <w:rPr>
                <w:sz w:val="20"/>
                <w:szCs w:val="20"/>
                <w:color w:val="auto"/>
              </w:rPr>
            </w:pPr>
            <w:r>
              <w:rPr>
                <w:rFonts w:ascii="Arial" w:cs="Arial" w:eastAsia="Arial" w:hAnsi="Arial"/>
                <w:sz w:val="15"/>
                <w:szCs w:val="15"/>
                <w:color w:val="auto"/>
                <w:w w:val="71"/>
              </w:rPr>
              <w:t>$</w:t>
            </w:r>
          </w:p>
        </w:tc>
        <w:tc>
          <w:tcPr>
            <w:tcW w:w="66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4</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3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w:t>
            </w:r>
          </w:p>
        </w:tc>
        <w:tc>
          <w:tcPr>
            <w:tcW w:w="680" w:type="dxa"/>
            <w:vAlign w:val="bottom"/>
            <w:gridSpan w:val="2"/>
            <w:shd w:val="clear" w:color="auto" w:fill="CCEEFF"/>
          </w:tcPr>
          <w:p>
            <w:pPr>
              <w:jc w:val="right"/>
              <w:ind w:right="92"/>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720" w:type="dxa"/>
            <w:vAlign w:val="bottom"/>
            <w:gridSpan w:val="2"/>
            <w:shd w:val="clear" w:color="auto" w:fill="CCEEFF"/>
          </w:tcPr>
          <w:p>
            <w:pPr>
              <w:jc w:val="right"/>
              <w:ind w:right="112"/>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6</w:t>
            </w:r>
          </w:p>
        </w:tc>
        <w:tc>
          <w:tcPr>
            <w:tcW w:w="2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134</w:t>
            </w:r>
          </w:p>
        </w:tc>
        <w:tc>
          <w:tcPr>
            <w:tcW w:w="64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2"/>
        </w:trPr>
        <w:tc>
          <w:tcPr>
            <w:tcW w:w="20" w:type="dxa"/>
            <w:vAlign w:val="bottom"/>
          </w:tcPr>
          <w:p>
            <w:pPr>
              <w:spacing w:after="0"/>
              <w:rPr>
                <w:sz w:val="8"/>
                <w:szCs w:val="8"/>
                <w:color w:val="auto"/>
              </w:rPr>
            </w:pPr>
          </w:p>
        </w:tc>
        <w:tc>
          <w:tcPr>
            <w:tcW w:w="1140" w:type="dxa"/>
            <w:vAlign w:val="bottom"/>
            <w:tcBorders>
              <w:bottom w:val="single" w:sz="8" w:color="auto"/>
            </w:tcBorders>
          </w:tcPr>
          <w:p>
            <w:pPr>
              <w:spacing w:after="0"/>
              <w:rPr>
                <w:sz w:val="8"/>
                <w:szCs w:val="8"/>
                <w:color w:val="auto"/>
              </w:rPr>
            </w:pPr>
          </w:p>
        </w:tc>
        <w:tc>
          <w:tcPr>
            <w:tcW w:w="1860" w:type="dxa"/>
            <w:vAlign w:val="bottom"/>
          </w:tcPr>
          <w:p>
            <w:pPr>
              <w:spacing w:after="0"/>
              <w:rPr>
                <w:sz w:val="8"/>
                <w:szCs w:val="8"/>
                <w:color w:val="auto"/>
              </w:rPr>
            </w:pPr>
          </w:p>
        </w:tc>
        <w:tc>
          <w:tcPr>
            <w:tcW w:w="220" w:type="dxa"/>
            <w:vAlign w:val="bottom"/>
          </w:tcPr>
          <w:p>
            <w:pPr>
              <w:spacing w:after="0"/>
              <w:rPr>
                <w:sz w:val="8"/>
                <w:szCs w:val="8"/>
                <w:color w:val="auto"/>
              </w:rPr>
            </w:pPr>
          </w:p>
        </w:tc>
        <w:tc>
          <w:tcPr>
            <w:tcW w:w="120" w:type="dxa"/>
            <w:vAlign w:val="bottom"/>
          </w:tcPr>
          <w:p>
            <w:pPr>
              <w:spacing w:after="0"/>
              <w:rPr>
                <w:sz w:val="8"/>
                <w:szCs w:val="8"/>
                <w:color w:val="auto"/>
              </w:rPr>
            </w:pPr>
          </w:p>
        </w:tc>
        <w:tc>
          <w:tcPr>
            <w:tcW w:w="320" w:type="dxa"/>
            <w:vAlign w:val="bottom"/>
          </w:tcPr>
          <w:p>
            <w:pPr>
              <w:spacing w:after="0"/>
              <w:rPr>
                <w:sz w:val="8"/>
                <w:szCs w:val="8"/>
                <w:color w:val="auto"/>
              </w:rPr>
            </w:pPr>
          </w:p>
        </w:tc>
        <w:tc>
          <w:tcPr>
            <w:tcW w:w="460" w:type="dxa"/>
            <w:vAlign w:val="bottom"/>
          </w:tcPr>
          <w:p>
            <w:pPr>
              <w:spacing w:after="0"/>
              <w:rPr>
                <w:sz w:val="8"/>
                <w:szCs w:val="8"/>
                <w:color w:val="auto"/>
              </w:rPr>
            </w:pPr>
          </w:p>
        </w:tc>
        <w:tc>
          <w:tcPr>
            <w:tcW w:w="260" w:type="dxa"/>
            <w:vAlign w:val="bottom"/>
          </w:tcPr>
          <w:p>
            <w:pPr>
              <w:spacing w:after="0"/>
              <w:rPr>
                <w:sz w:val="8"/>
                <w:szCs w:val="8"/>
                <w:color w:val="auto"/>
              </w:rPr>
            </w:pPr>
          </w:p>
        </w:tc>
        <w:tc>
          <w:tcPr>
            <w:tcW w:w="240" w:type="dxa"/>
            <w:vAlign w:val="bottom"/>
          </w:tcPr>
          <w:p>
            <w:pPr>
              <w:spacing w:after="0"/>
              <w:rPr>
                <w:sz w:val="8"/>
                <w:szCs w:val="8"/>
                <w:color w:val="auto"/>
              </w:rPr>
            </w:pPr>
          </w:p>
        </w:tc>
        <w:tc>
          <w:tcPr>
            <w:tcW w:w="420" w:type="dxa"/>
            <w:vAlign w:val="bottom"/>
          </w:tcPr>
          <w:p>
            <w:pPr>
              <w:spacing w:after="0"/>
              <w:rPr>
                <w:sz w:val="8"/>
                <w:szCs w:val="8"/>
                <w:color w:val="auto"/>
              </w:rPr>
            </w:pPr>
          </w:p>
        </w:tc>
        <w:tc>
          <w:tcPr>
            <w:tcW w:w="100" w:type="dxa"/>
            <w:vAlign w:val="bottom"/>
          </w:tcPr>
          <w:p>
            <w:pPr>
              <w:spacing w:after="0"/>
              <w:rPr>
                <w:sz w:val="8"/>
                <w:szCs w:val="8"/>
                <w:color w:val="auto"/>
              </w:rPr>
            </w:pPr>
          </w:p>
        </w:tc>
        <w:tc>
          <w:tcPr>
            <w:tcW w:w="340" w:type="dxa"/>
            <w:vAlign w:val="bottom"/>
          </w:tcPr>
          <w:p>
            <w:pPr>
              <w:spacing w:after="0"/>
              <w:rPr>
                <w:sz w:val="8"/>
                <w:szCs w:val="8"/>
                <w:color w:val="auto"/>
              </w:rPr>
            </w:pPr>
          </w:p>
        </w:tc>
        <w:tc>
          <w:tcPr>
            <w:tcW w:w="20" w:type="dxa"/>
            <w:vAlign w:val="bottom"/>
          </w:tcPr>
          <w:p>
            <w:pPr>
              <w:spacing w:after="0"/>
              <w:rPr>
                <w:sz w:val="8"/>
                <w:szCs w:val="8"/>
                <w:color w:val="auto"/>
              </w:rPr>
            </w:pPr>
          </w:p>
        </w:tc>
        <w:tc>
          <w:tcPr>
            <w:tcW w:w="440" w:type="dxa"/>
            <w:vAlign w:val="bottom"/>
          </w:tcPr>
          <w:p>
            <w:pPr>
              <w:spacing w:after="0"/>
              <w:rPr>
                <w:sz w:val="8"/>
                <w:szCs w:val="8"/>
                <w:color w:val="auto"/>
              </w:rPr>
            </w:pPr>
          </w:p>
        </w:tc>
        <w:tc>
          <w:tcPr>
            <w:tcW w:w="240" w:type="dxa"/>
            <w:vAlign w:val="bottom"/>
          </w:tcPr>
          <w:p>
            <w:pPr>
              <w:spacing w:after="0"/>
              <w:rPr>
                <w:sz w:val="8"/>
                <w:szCs w:val="8"/>
                <w:color w:val="auto"/>
              </w:rPr>
            </w:pPr>
          </w:p>
        </w:tc>
        <w:tc>
          <w:tcPr>
            <w:tcW w:w="260" w:type="dxa"/>
            <w:vAlign w:val="bottom"/>
          </w:tcPr>
          <w:p>
            <w:pPr>
              <w:spacing w:after="0"/>
              <w:rPr>
                <w:sz w:val="8"/>
                <w:szCs w:val="8"/>
                <w:color w:val="auto"/>
              </w:rPr>
            </w:pPr>
          </w:p>
        </w:tc>
        <w:tc>
          <w:tcPr>
            <w:tcW w:w="400" w:type="dxa"/>
            <w:vAlign w:val="bottom"/>
          </w:tcPr>
          <w:p>
            <w:pPr>
              <w:spacing w:after="0"/>
              <w:rPr>
                <w:sz w:val="8"/>
                <w:szCs w:val="8"/>
                <w:color w:val="auto"/>
              </w:rPr>
            </w:pPr>
          </w:p>
        </w:tc>
        <w:tc>
          <w:tcPr>
            <w:tcW w:w="120" w:type="dxa"/>
            <w:vAlign w:val="bottom"/>
          </w:tcPr>
          <w:p>
            <w:pPr>
              <w:spacing w:after="0"/>
              <w:rPr>
                <w:sz w:val="8"/>
                <w:szCs w:val="8"/>
                <w:color w:val="auto"/>
              </w:rPr>
            </w:pPr>
          </w:p>
        </w:tc>
        <w:tc>
          <w:tcPr>
            <w:tcW w:w="320" w:type="dxa"/>
            <w:vAlign w:val="bottom"/>
          </w:tcPr>
          <w:p>
            <w:pPr>
              <w:spacing w:after="0"/>
              <w:rPr>
                <w:sz w:val="8"/>
                <w:szCs w:val="8"/>
                <w:color w:val="auto"/>
              </w:rPr>
            </w:pPr>
          </w:p>
        </w:tc>
        <w:tc>
          <w:tcPr>
            <w:tcW w:w="460" w:type="dxa"/>
            <w:vAlign w:val="bottom"/>
          </w:tcPr>
          <w:p>
            <w:pPr>
              <w:spacing w:after="0"/>
              <w:rPr>
                <w:sz w:val="8"/>
                <w:szCs w:val="8"/>
                <w:color w:val="auto"/>
              </w:rPr>
            </w:pPr>
          </w:p>
        </w:tc>
        <w:tc>
          <w:tcPr>
            <w:tcW w:w="260" w:type="dxa"/>
            <w:vAlign w:val="bottom"/>
          </w:tcPr>
          <w:p>
            <w:pPr>
              <w:spacing w:after="0"/>
              <w:rPr>
                <w:sz w:val="8"/>
                <w:szCs w:val="8"/>
                <w:color w:val="auto"/>
              </w:rPr>
            </w:pPr>
          </w:p>
        </w:tc>
        <w:tc>
          <w:tcPr>
            <w:tcW w:w="240" w:type="dxa"/>
            <w:vAlign w:val="bottom"/>
          </w:tcPr>
          <w:p>
            <w:pPr>
              <w:spacing w:after="0"/>
              <w:rPr>
                <w:sz w:val="8"/>
                <w:szCs w:val="8"/>
                <w:color w:val="auto"/>
              </w:rPr>
            </w:pPr>
          </w:p>
        </w:tc>
        <w:tc>
          <w:tcPr>
            <w:tcW w:w="420" w:type="dxa"/>
            <w:vAlign w:val="bottom"/>
          </w:tcPr>
          <w:p>
            <w:pPr>
              <w:spacing w:after="0"/>
              <w:rPr>
                <w:sz w:val="8"/>
                <w:szCs w:val="8"/>
                <w:color w:val="auto"/>
              </w:rPr>
            </w:pPr>
          </w:p>
        </w:tc>
        <w:tc>
          <w:tcPr>
            <w:tcW w:w="240" w:type="dxa"/>
            <w:vAlign w:val="bottom"/>
          </w:tcPr>
          <w:p>
            <w:pPr>
              <w:spacing w:after="0"/>
              <w:rPr>
                <w:sz w:val="8"/>
                <w:szCs w:val="8"/>
                <w:color w:val="auto"/>
              </w:rPr>
            </w:pPr>
          </w:p>
        </w:tc>
        <w:tc>
          <w:tcPr>
            <w:tcW w:w="900" w:type="dxa"/>
            <w:vAlign w:val="bottom"/>
          </w:tcPr>
          <w:p>
            <w:pPr>
              <w:spacing w:after="0"/>
              <w:rPr>
                <w:sz w:val="8"/>
                <w:szCs w:val="8"/>
                <w:color w:val="auto"/>
              </w:rPr>
            </w:pPr>
          </w:p>
        </w:tc>
        <w:tc>
          <w:tcPr>
            <w:tcW w:w="420" w:type="dxa"/>
            <w:vAlign w:val="bottom"/>
          </w:tcPr>
          <w:p>
            <w:pPr>
              <w:spacing w:after="0"/>
              <w:rPr>
                <w:sz w:val="8"/>
                <w:szCs w:val="8"/>
                <w:color w:val="auto"/>
              </w:rPr>
            </w:pPr>
          </w:p>
        </w:tc>
        <w:tc>
          <w:tcPr>
            <w:tcW w:w="220" w:type="dxa"/>
            <w:vAlign w:val="bottom"/>
          </w:tcPr>
          <w:p>
            <w:pPr>
              <w:spacing w:after="0"/>
              <w:rPr>
                <w:sz w:val="8"/>
                <w:szCs w:val="8"/>
                <w:color w:val="auto"/>
              </w:rPr>
            </w:pPr>
          </w:p>
        </w:tc>
        <w:tc>
          <w:tcPr>
            <w:tcW w:w="86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19" w:lineRule="exact"/>
        <w:rPr>
          <w:sz w:val="20"/>
          <w:szCs w:val="20"/>
          <w:color w:val="auto"/>
        </w:rPr>
      </w:pPr>
    </w:p>
    <w:p>
      <w:pPr>
        <w:ind w:left="460" w:hanging="452"/>
        <w:spacing w:after="0"/>
        <w:tabs>
          <w:tab w:leader="none" w:pos="460" w:val="left"/>
        </w:tabs>
        <w:numPr>
          <w:ilvl w:val="0"/>
          <w:numId w:val="8"/>
        </w:numPr>
        <w:rPr>
          <w:rFonts w:ascii="Arial" w:cs="Arial" w:eastAsia="Arial" w:hAnsi="Arial"/>
          <w:sz w:val="18"/>
          <w:szCs w:val="18"/>
          <w:color w:val="auto"/>
        </w:rPr>
      </w:pPr>
      <w:r>
        <w:rPr>
          <w:rFonts w:ascii="Arial" w:cs="Arial" w:eastAsia="Arial" w:hAnsi="Arial"/>
          <w:sz w:val="18"/>
          <w:szCs w:val="18"/>
          <w:color w:val="auto"/>
        </w:rPr>
        <w:t>Old GM had no marketable securities classified as trading for the period January 1, 2009 through July 9, 2009.</w:t>
      </w:r>
    </w:p>
    <w:p>
      <w:pPr>
        <w:spacing w:after="0" w:line="171" w:lineRule="exact"/>
        <w:rPr>
          <w:sz w:val="20"/>
          <w:szCs w:val="20"/>
          <w:color w:val="auto"/>
        </w:rPr>
      </w:pPr>
    </w:p>
    <w:p>
      <w:pPr>
        <w:ind w:right="40" w:firstLine="228"/>
        <w:spacing w:after="0" w:line="259" w:lineRule="auto"/>
        <w:rPr>
          <w:sz w:val="20"/>
          <w:szCs w:val="20"/>
          <w:color w:val="auto"/>
        </w:rPr>
      </w:pPr>
      <w:r>
        <w:rPr>
          <w:rFonts w:ascii="Arial" w:cs="Arial" w:eastAsia="Arial" w:hAnsi="Arial"/>
          <w:sz w:val="18"/>
          <w:szCs w:val="18"/>
          <w:color w:val="auto"/>
        </w:rPr>
        <w:t>We maintained $73 million and $79 million of the above trading securities as compensating balances to support letters of credit of $61 million and $66 million at September 30, 2010 and December 31, 2009. We have access to these securities in the normal course of business; however, the letters of credit may be withdrawn if the minimum collateral balance is not maintained.</w:t>
      </w:r>
    </w:p>
    <w:p>
      <w:pPr>
        <w:spacing w:after="0" w:line="140" w:lineRule="exact"/>
        <w:rPr>
          <w:sz w:val="20"/>
          <w:szCs w:val="20"/>
          <w:color w:val="auto"/>
        </w:rPr>
      </w:pPr>
    </w:p>
    <w:p>
      <w:pPr>
        <w:ind w:right="100" w:firstLine="228"/>
        <w:spacing w:after="0" w:line="268" w:lineRule="auto"/>
        <w:rPr>
          <w:sz w:val="20"/>
          <w:szCs w:val="20"/>
          <w:color w:val="auto"/>
        </w:rPr>
      </w:pPr>
      <w:r>
        <w:rPr>
          <w:rFonts w:ascii="Arial" w:cs="Arial" w:eastAsia="Arial" w:hAnsi="Arial"/>
          <w:sz w:val="18"/>
          <w:szCs w:val="18"/>
          <w:color w:val="auto"/>
        </w:rPr>
        <w:t>The following table summarizes information regarding available-for-sale securities, including unrealized gains and losses which are recorded in Accumulated other comprehensive income (loss) on securities still held at the reporting date (dollars in millions):</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180" w:type="dxa"/>
            <w:vAlign w:val="bottom"/>
          </w:tcPr>
          <w:p>
            <w:pPr>
              <w:spacing w:after="0"/>
              <w:rPr>
                <w:sz w:val="14"/>
                <w:szCs w:val="14"/>
                <w:color w:val="auto"/>
              </w:rPr>
            </w:pPr>
          </w:p>
        </w:tc>
        <w:tc>
          <w:tcPr>
            <w:tcW w:w="1980" w:type="dxa"/>
            <w:vAlign w:val="bottom"/>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4"/>
                <w:szCs w:val="14"/>
                <w:b w:val="1"/>
                <w:bCs w:val="1"/>
                <w:color w:val="auto"/>
              </w:rPr>
              <w:t>Successor</w:t>
            </w:r>
          </w:p>
        </w:tc>
        <w:tc>
          <w:tcPr>
            <w:tcW w:w="4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180" w:type="dxa"/>
            <w:vAlign w:val="bottom"/>
          </w:tcPr>
          <w:p>
            <w:pPr>
              <w:spacing w:after="0"/>
              <w:rPr>
                <w:sz w:val="12"/>
                <w:szCs w:val="12"/>
                <w:color w:val="auto"/>
              </w:rPr>
            </w:pPr>
          </w:p>
        </w:tc>
        <w:tc>
          <w:tcPr>
            <w:tcW w:w="1980" w:type="dxa"/>
            <w:vAlign w:val="bottom"/>
          </w:tcPr>
          <w:p>
            <w:pPr>
              <w:spacing w:after="0"/>
              <w:rPr>
                <w:sz w:val="12"/>
                <w:szCs w:val="12"/>
                <w:color w:val="auto"/>
              </w:rPr>
            </w:pPr>
          </w:p>
        </w:tc>
        <w:tc>
          <w:tcPr>
            <w:tcW w:w="500" w:type="dxa"/>
            <w:vAlign w:val="bottom"/>
            <w:tcBorders>
              <w:bottom w:val="single" w:sz="8" w:color="auto"/>
            </w:tcBorders>
          </w:tcPr>
          <w:p>
            <w:pPr>
              <w:spacing w:after="0"/>
              <w:rPr>
                <w:sz w:val="12"/>
                <w:szCs w:val="12"/>
                <w:color w:val="auto"/>
              </w:rPr>
            </w:pPr>
          </w:p>
        </w:tc>
        <w:tc>
          <w:tcPr>
            <w:tcW w:w="1500" w:type="dxa"/>
            <w:vAlign w:val="bottom"/>
            <w:tcBorders>
              <w:bottom w:val="single" w:sz="8" w:color="auto"/>
            </w:tcBorders>
            <w:gridSpan w:val="7"/>
          </w:tcPr>
          <w:p>
            <w:pPr>
              <w:jc w:val="right"/>
              <w:ind w:right="120"/>
              <w:spacing w:after="0" w:line="142" w:lineRule="exact"/>
              <w:rPr>
                <w:sz w:val="20"/>
                <w:szCs w:val="20"/>
                <w:color w:val="auto"/>
              </w:rPr>
            </w:pPr>
            <w:r>
              <w:rPr>
                <w:rFonts w:ascii="Arial" w:cs="Arial" w:eastAsia="Arial" w:hAnsi="Arial"/>
                <w:sz w:val="14"/>
                <w:szCs w:val="14"/>
                <w:b w:val="1"/>
                <w:bCs w:val="1"/>
                <w:color w:val="auto"/>
              </w:rPr>
              <w:t>September 30, 2010</w:t>
            </w:r>
          </w:p>
        </w:tc>
        <w:tc>
          <w:tcPr>
            <w:tcW w:w="12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spacing w:after="0"/>
              <w:rPr>
                <w:sz w:val="12"/>
                <w:szCs w:val="12"/>
                <w:color w:val="auto"/>
              </w:rPr>
            </w:pPr>
          </w:p>
        </w:tc>
        <w:tc>
          <w:tcPr>
            <w:tcW w:w="2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1320" w:type="dxa"/>
            <w:vAlign w:val="bottom"/>
            <w:tcBorders>
              <w:bottom w:val="single" w:sz="8" w:color="auto"/>
            </w:tcBorders>
            <w:gridSpan w:val="6"/>
          </w:tcPr>
          <w:p>
            <w:pPr>
              <w:spacing w:after="0" w:line="142" w:lineRule="exact"/>
              <w:rPr>
                <w:sz w:val="20"/>
                <w:szCs w:val="20"/>
                <w:color w:val="auto"/>
              </w:rPr>
            </w:pPr>
            <w:r>
              <w:rPr>
                <w:rFonts w:ascii="Arial" w:cs="Arial" w:eastAsia="Arial" w:hAnsi="Arial"/>
                <w:sz w:val="14"/>
                <w:szCs w:val="14"/>
                <w:b w:val="1"/>
                <w:bCs w:val="1"/>
                <w:color w:val="auto"/>
              </w:rPr>
              <w:t>December 31, 2009</w:t>
            </w:r>
          </w:p>
        </w:tc>
        <w:tc>
          <w:tcPr>
            <w:tcW w:w="140" w:type="dxa"/>
            <w:vAlign w:val="bottom"/>
            <w:tcBorders>
              <w:bottom w:val="single" w:sz="8" w:color="auto"/>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180" w:type="dxa"/>
            <w:vAlign w:val="bottom"/>
          </w:tcPr>
          <w:p>
            <w:pPr>
              <w:spacing w:after="0"/>
              <w:rPr>
                <w:sz w:val="12"/>
                <w:szCs w:val="12"/>
                <w:color w:val="auto"/>
              </w:rPr>
            </w:pPr>
          </w:p>
        </w:tc>
        <w:tc>
          <w:tcPr>
            <w:tcW w:w="19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gridSpan w:val="3"/>
          </w:tcPr>
          <w:p>
            <w:pPr>
              <w:jc w:val="right"/>
              <w:spacing w:after="0" w:line="142" w:lineRule="exact"/>
              <w:rPr>
                <w:sz w:val="20"/>
                <w:szCs w:val="20"/>
                <w:color w:val="auto"/>
              </w:rPr>
            </w:pPr>
            <w:r>
              <w:rPr>
                <w:rFonts w:ascii="Arial" w:cs="Arial" w:eastAsia="Arial" w:hAnsi="Arial"/>
                <w:sz w:val="14"/>
                <w:szCs w:val="14"/>
                <w:b w:val="1"/>
                <w:bCs w:val="1"/>
                <w:color w:val="auto"/>
                <w:w w:val="95"/>
              </w:rPr>
              <w:t>Unrealized</w:t>
            </w:r>
          </w:p>
        </w:tc>
        <w:tc>
          <w:tcPr>
            <w:tcW w:w="180" w:type="dxa"/>
            <w:vAlign w:val="bottom"/>
            <w:tcBorders>
              <w:bottom w:val="single" w:sz="8" w:color="auto"/>
            </w:tcBorders>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gridSpan w:val="2"/>
          </w:tcPr>
          <w:p>
            <w:pPr>
              <w:jc w:val="right"/>
              <w:ind w:right="380"/>
              <w:spacing w:after="0" w:line="142" w:lineRule="exact"/>
              <w:rPr>
                <w:sz w:val="20"/>
                <w:szCs w:val="20"/>
                <w:color w:val="auto"/>
              </w:rPr>
            </w:pPr>
            <w:r>
              <w:rPr>
                <w:rFonts w:ascii="Arial" w:cs="Arial" w:eastAsia="Arial" w:hAnsi="Arial"/>
                <w:sz w:val="14"/>
                <w:szCs w:val="14"/>
                <w:b w:val="1"/>
                <w:bCs w:val="1"/>
                <w:color w:val="auto"/>
              </w:rPr>
              <w:t>Fair</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gridSpan w:val="3"/>
          </w:tcPr>
          <w:p>
            <w:pPr>
              <w:ind w:left="60"/>
              <w:spacing w:after="0" w:line="142" w:lineRule="exact"/>
              <w:rPr>
                <w:sz w:val="20"/>
                <w:szCs w:val="20"/>
                <w:color w:val="auto"/>
              </w:rPr>
            </w:pPr>
            <w:r>
              <w:rPr>
                <w:rFonts w:ascii="Arial" w:cs="Arial" w:eastAsia="Arial" w:hAnsi="Arial"/>
                <w:sz w:val="14"/>
                <w:szCs w:val="14"/>
                <w:b w:val="1"/>
                <w:bCs w:val="1"/>
                <w:color w:val="auto"/>
                <w:w w:val="87"/>
              </w:rPr>
              <w:t>Unrealized</w:t>
            </w:r>
          </w:p>
        </w:tc>
        <w:tc>
          <w:tcPr>
            <w:tcW w:w="200" w:type="dxa"/>
            <w:vAlign w:val="bottom"/>
            <w:tcBorders>
              <w:bottom w:val="single" w:sz="8" w:color="auto"/>
            </w:tcBorders>
          </w:tcPr>
          <w:p>
            <w:pPr>
              <w:spacing w:after="0"/>
              <w:rPr>
                <w:sz w:val="12"/>
                <w:szCs w:val="12"/>
                <w:color w:val="auto"/>
              </w:rPr>
            </w:pPr>
          </w:p>
        </w:tc>
        <w:tc>
          <w:tcPr>
            <w:tcW w:w="280" w:type="dxa"/>
            <w:vAlign w:val="bottom"/>
          </w:tcPr>
          <w:p>
            <w:pPr>
              <w:spacing w:after="0"/>
              <w:rPr>
                <w:sz w:val="12"/>
                <w:szCs w:val="12"/>
                <w:color w:val="auto"/>
              </w:rPr>
            </w:pPr>
          </w:p>
        </w:tc>
        <w:tc>
          <w:tcPr>
            <w:tcW w:w="440" w:type="dxa"/>
            <w:vAlign w:val="bottom"/>
            <w:gridSpan w:val="3"/>
          </w:tcPr>
          <w:p>
            <w:pPr>
              <w:ind w:left="60"/>
              <w:spacing w:after="0" w:line="142" w:lineRule="exact"/>
              <w:rPr>
                <w:sz w:val="20"/>
                <w:szCs w:val="20"/>
                <w:color w:val="auto"/>
              </w:rPr>
            </w:pPr>
            <w:r>
              <w:rPr>
                <w:rFonts w:ascii="Arial" w:cs="Arial" w:eastAsia="Arial" w:hAnsi="Arial"/>
                <w:sz w:val="14"/>
                <w:szCs w:val="14"/>
                <w:b w:val="1"/>
                <w:bCs w:val="1"/>
                <w:color w:val="auto"/>
              </w:rPr>
              <w:t>Fair</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180" w:type="dxa"/>
            <w:vAlign w:val="bottom"/>
          </w:tcPr>
          <w:p>
            <w:pPr>
              <w:spacing w:after="0"/>
              <w:rPr>
                <w:sz w:val="12"/>
                <w:szCs w:val="12"/>
                <w:color w:val="auto"/>
              </w:rPr>
            </w:pPr>
          </w:p>
        </w:tc>
        <w:tc>
          <w:tcPr>
            <w:tcW w:w="1980" w:type="dxa"/>
            <w:vAlign w:val="bottom"/>
          </w:tcPr>
          <w:p>
            <w:pPr>
              <w:spacing w:after="0"/>
              <w:rPr>
                <w:sz w:val="12"/>
                <w:szCs w:val="12"/>
                <w:color w:val="auto"/>
              </w:rPr>
            </w:pPr>
          </w:p>
        </w:tc>
        <w:tc>
          <w:tcPr>
            <w:tcW w:w="500" w:type="dxa"/>
            <w:vAlign w:val="bottom"/>
          </w:tcPr>
          <w:p>
            <w:pPr>
              <w:jc w:val="right"/>
              <w:ind w:right="39"/>
              <w:spacing w:after="0" w:line="142" w:lineRule="exact"/>
              <w:rPr>
                <w:sz w:val="20"/>
                <w:szCs w:val="20"/>
                <w:color w:val="auto"/>
              </w:rPr>
            </w:pPr>
            <w:r>
              <w:rPr>
                <w:rFonts w:ascii="Arial" w:cs="Arial" w:eastAsia="Arial" w:hAnsi="Arial"/>
                <w:sz w:val="14"/>
                <w:szCs w:val="14"/>
                <w:b w:val="1"/>
                <w:bCs w:val="1"/>
                <w:color w:val="auto"/>
              </w:rPr>
              <w:t>Cost</w:t>
            </w:r>
          </w:p>
        </w:tc>
        <w:tc>
          <w:tcPr>
            <w:tcW w:w="300" w:type="dxa"/>
            <w:vAlign w:val="bottom"/>
          </w:tcPr>
          <w:p>
            <w:pPr>
              <w:spacing w:after="0"/>
              <w:rPr>
                <w:sz w:val="12"/>
                <w:szCs w:val="12"/>
                <w:color w:val="auto"/>
              </w:rPr>
            </w:pPr>
          </w:p>
        </w:tc>
        <w:tc>
          <w:tcPr>
            <w:tcW w:w="340" w:type="dxa"/>
            <w:vAlign w:val="bottom"/>
            <w:gridSpan w:val="2"/>
          </w:tcPr>
          <w:p>
            <w:pPr>
              <w:spacing w:after="0" w:line="142" w:lineRule="exact"/>
              <w:rPr>
                <w:sz w:val="20"/>
                <w:szCs w:val="20"/>
                <w:color w:val="auto"/>
              </w:rPr>
            </w:pPr>
            <w:r>
              <w:rPr>
                <w:rFonts w:ascii="Arial" w:cs="Arial" w:eastAsia="Arial" w:hAnsi="Arial"/>
                <w:sz w:val="14"/>
                <w:szCs w:val="14"/>
                <w:b w:val="1"/>
                <w:bCs w:val="1"/>
                <w:color w:val="auto"/>
                <w:w w:val="82"/>
              </w:rPr>
              <w:t>Gains</w:t>
            </w:r>
          </w:p>
        </w:tc>
        <w:tc>
          <w:tcPr>
            <w:tcW w:w="300" w:type="dxa"/>
            <w:vAlign w:val="bottom"/>
          </w:tcPr>
          <w:p>
            <w:pPr>
              <w:spacing w:after="0"/>
              <w:rPr>
                <w:sz w:val="12"/>
                <w:szCs w:val="12"/>
                <w:color w:val="auto"/>
              </w:rPr>
            </w:pPr>
          </w:p>
        </w:tc>
        <w:tc>
          <w:tcPr>
            <w:tcW w:w="380" w:type="dxa"/>
            <w:vAlign w:val="bottom"/>
            <w:gridSpan w:val="2"/>
          </w:tcPr>
          <w:p>
            <w:pPr>
              <w:jc w:val="right"/>
              <w:spacing w:after="0" w:line="142" w:lineRule="exact"/>
              <w:rPr>
                <w:sz w:val="20"/>
                <w:szCs w:val="20"/>
                <w:color w:val="auto"/>
              </w:rPr>
            </w:pPr>
            <w:r>
              <w:rPr>
                <w:rFonts w:ascii="Arial" w:cs="Arial" w:eastAsia="Arial" w:hAnsi="Arial"/>
                <w:sz w:val="14"/>
                <w:szCs w:val="14"/>
                <w:b w:val="1"/>
                <w:bCs w:val="1"/>
                <w:color w:val="auto"/>
                <w:w w:val="74"/>
              </w:rPr>
              <w:t>Losses</w:t>
            </w: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gridSpan w:val="2"/>
          </w:tcPr>
          <w:p>
            <w:pPr>
              <w:jc w:val="right"/>
              <w:ind w:right="340"/>
              <w:spacing w:after="0" w:line="142" w:lineRule="exact"/>
              <w:rPr>
                <w:sz w:val="20"/>
                <w:szCs w:val="20"/>
                <w:color w:val="auto"/>
              </w:rPr>
            </w:pPr>
            <w:r>
              <w:rPr>
                <w:rFonts w:ascii="Arial" w:cs="Arial" w:eastAsia="Arial" w:hAnsi="Arial"/>
                <w:sz w:val="14"/>
                <w:szCs w:val="14"/>
                <w:b w:val="1"/>
                <w:bCs w:val="1"/>
                <w:color w:val="auto"/>
              </w:rPr>
              <w:t>Value</w:t>
            </w:r>
          </w:p>
        </w:tc>
        <w:tc>
          <w:tcPr>
            <w:tcW w:w="40" w:type="dxa"/>
            <w:vAlign w:val="bottom"/>
          </w:tcPr>
          <w:p>
            <w:pPr>
              <w:spacing w:after="0"/>
              <w:rPr>
                <w:sz w:val="12"/>
                <w:szCs w:val="12"/>
                <w:color w:val="auto"/>
              </w:rPr>
            </w:pPr>
          </w:p>
        </w:tc>
        <w:tc>
          <w:tcPr>
            <w:tcW w:w="420" w:type="dxa"/>
            <w:vAlign w:val="bottom"/>
            <w:gridSpan w:val="3"/>
          </w:tcPr>
          <w:p>
            <w:pPr>
              <w:spacing w:after="0" w:line="142" w:lineRule="exact"/>
              <w:rPr>
                <w:sz w:val="20"/>
                <w:szCs w:val="20"/>
                <w:color w:val="auto"/>
              </w:rPr>
            </w:pPr>
            <w:r>
              <w:rPr>
                <w:rFonts w:ascii="Arial" w:cs="Arial" w:eastAsia="Arial" w:hAnsi="Arial"/>
                <w:sz w:val="14"/>
                <w:szCs w:val="14"/>
                <w:b w:val="1"/>
                <w:bCs w:val="1"/>
                <w:color w:val="auto"/>
              </w:rPr>
              <w:t>Cost</w:t>
            </w:r>
          </w:p>
        </w:tc>
        <w:tc>
          <w:tcPr>
            <w:tcW w:w="140" w:type="dxa"/>
            <w:vAlign w:val="bottom"/>
          </w:tcPr>
          <w:p>
            <w:pPr>
              <w:spacing w:after="0"/>
              <w:rPr>
                <w:sz w:val="12"/>
                <w:szCs w:val="12"/>
                <w:color w:val="auto"/>
              </w:rPr>
            </w:pPr>
          </w:p>
        </w:tc>
        <w:tc>
          <w:tcPr>
            <w:tcW w:w="360" w:type="dxa"/>
            <w:vAlign w:val="bottom"/>
            <w:gridSpan w:val="2"/>
          </w:tcPr>
          <w:p>
            <w:pPr>
              <w:ind w:left="20"/>
              <w:spacing w:after="0" w:line="142" w:lineRule="exact"/>
              <w:rPr>
                <w:sz w:val="20"/>
                <w:szCs w:val="20"/>
                <w:color w:val="auto"/>
              </w:rPr>
            </w:pPr>
            <w:r>
              <w:rPr>
                <w:rFonts w:ascii="Arial" w:cs="Arial" w:eastAsia="Arial" w:hAnsi="Arial"/>
                <w:sz w:val="14"/>
                <w:szCs w:val="14"/>
                <w:b w:val="1"/>
                <w:bCs w:val="1"/>
                <w:color w:val="auto"/>
                <w:w w:val="82"/>
              </w:rPr>
              <w:t>Gains</w:t>
            </w:r>
          </w:p>
        </w:tc>
        <w:tc>
          <w:tcPr>
            <w:tcW w:w="300" w:type="dxa"/>
            <w:vAlign w:val="bottom"/>
          </w:tcPr>
          <w:p>
            <w:pPr>
              <w:spacing w:after="0"/>
              <w:rPr>
                <w:sz w:val="12"/>
                <w:szCs w:val="12"/>
                <w:color w:val="auto"/>
              </w:rPr>
            </w:pPr>
          </w:p>
        </w:tc>
        <w:tc>
          <w:tcPr>
            <w:tcW w:w="380" w:type="dxa"/>
            <w:vAlign w:val="bottom"/>
            <w:gridSpan w:val="2"/>
          </w:tcPr>
          <w:p>
            <w:pPr>
              <w:jc w:val="right"/>
              <w:spacing w:after="0" w:line="142" w:lineRule="exact"/>
              <w:rPr>
                <w:sz w:val="20"/>
                <w:szCs w:val="20"/>
                <w:color w:val="auto"/>
              </w:rPr>
            </w:pPr>
            <w:r>
              <w:rPr>
                <w:rFonts w:ascii="Arial" w:cs="Arial" w:eastAsia="Arial" w:hAnsi="Arial"/>
                <w:sz w:val="14"/>
                <w:szCs w:val="14"/>
                <w:b w:val="1"/>
                <w:bCs w:val="1"/>
                <w:color w:val="auto"/>
                <w:w w:val="70"/>
              </w:rPr>
              <w:t>Losses</w:t>
            </w:r>
          </w:p>
        </w:tc>
        <w:tc>
          <w:tcPr>
            <w:tcW w:w="280" w:type="dxa"/>
            <w:vAlign w:val="bottom"/>
          </w:tcPr>
          <w:p>
            <w:pPr>
              <w:spacing w:after="0"/>
              <w:rPr>
                <w:sz w:val="12"/>
                <w:szCs w:val="12"/>
                <w:color w:val="auto"/>
              </w:rPr>
            </w:pPr>
          </w:p>
        </w:tc>
        <w:tc>
          <w:tcPr>
            <w:tcW w:w="440" w:type="dxa"/>
            <w:vAlign w:val="bottom"/>
            <w:gridSpan w:val="3"/>
          </w:tcPr>
          <w:p>
            <w:pPr>
              <w:ind w:left="20"/>
              <w:spacing w:after="0" w:line="142" w:lineRule="exact"/>
              <w:rPr>
                <w:sz w:val="20"/>
                <w:szCs w:val="20"/>
                <w:color w:val="auto"/>
              </w:rPr>
            </w:pPr>
            <w:r>
              <w:rPr>
                <w:rFonts w:ascii="Arial" w:cs="Arial" w:eastAsia="Arial" w:hAnsi="Arial"/>
                <w:sz w:val="14"/>
                <w:szCs w:val="14"/>
                <w:b w:val="1"/>
                <w:bCs w:val="1"/>
                <w:color w:val="auto"/>
              </w:rPr>
              <w:t>Value</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1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Available-for-sale securities</w:t>
            </w:r>
          </w:p>
        </w:tc>
        <w:tc>
          <w:tcPr>
            <w:tcW w:w="1980" w:type="dxa"/>
            <w:vAlign w:val="bottom"/>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80" w:type="dxa"/>
            <w:vAlign w:val="bottom"/>
          </w:tcPr>
          <w:p>
            <w:pPr>
              <w:spacing w:after="0"/>
              <w:rPr>
                <w:sz w:val="20"/>
                <w:szCs w:val="20"/>
                <w:color w:val="auto"/>
              </w:rPr>
            </w:pPr>
            <w:r>
              <w:rPr>
                <w:rFonts w:ascii="Arial" w:cs="Arial" w:eastAsia="Arial" w:hAnsi="Arial"/>
                <w:sz w:val="18"/>
                <w:szCs w:val="18"/>
                <w:color w:val="auto"/>
              </w:rPr>
              <w:t>United States government and agencies</w:t>
            </w:r>
          </w:p>
        </w:tc>
        <w:tc>
          <w:tcPr>
            <w:tcW w:w="2480" w:type="dxa"/>
            <w:vAlign w:val="bottom"/>
            <w:gridSpan w:val="2"/>
          </w:tcPr>
          <w:p>
            <w:pPr>
              <w:jc w:val="right"/>
              <w:spacing w:after="0"/>
              <w:rPr>
                <w:sz w:val="20"/>
                <w:szCs w:val="20"/>
                <w:color w:val="auto"/>
              </w:rPr>
            </w:pPr>
            <w:r>
              <w:rPr>
                <w:rFonts w:ascii="Arial" w:cs="Arial" w:eastAsia="Arial" w:hAnsi="Arial"/>
                <w:sz w:val="18"/>
                <w:szCs w:val="18"/>
                <w:color w:val="auto"/>
              </w:rPr>
              <w:t>$2,254</w:t>
            </w:r>
          </w:p>
        </w:tc>
        <w:tc>
          <w:tcPr>
            <w:tcW w:w="420" w:type="dxa"/>
            <w:vAlign w:val="bottom"/>
            <w:gridSpan w:val="2"/>
          </w:tcPr>
          <w:p>
            <w:pPr>
              <w:ind w:left="300"/>
              <w:spacing w:after="0"/>
              <w:rPr>
                <w:sz w:val="20"/>
                <w:szCs w:val="20"/>
                <w:color w:val="auto"/>
              </w:rPr>
            </w:pPr>
            <w:r>
              <w:rPr>
                <w:rFonts w:ascii="Arial" w:cs="Arial" w:eastAsia="Arial" w:hAnsi="Arial"/>
                <w:sz w:val="18"/>
                <w:szCs w:val="18"/>
                <w:color w:val="auto"/>
                <w:w w:val="99"/>
              </w:rPr>
              <w:t>$</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500" w:type="dxa"/>
            <w:vAlign w:val="bottom"/>
            <w:gridSpan w:val="2"/>
          </w:tcPr>
          <w:p>
            <w:pPr>
              <w:jc w:val="right"/>
              <w:ind w:right="32"/>
              <w:spacing w:after="0"/>
              <w:rPr>
                <w:sz w:val="20"/>
                <w:szCs w:val="20"/>
                <w:color w:val="auto"/>
              </w:rPr>
            </w:pPr>
            <w:r>
              <w:rPr>
                <w:rFonts w:ascii="Arial" w:cs="Arial" w:eastAsia="Arial" w:hAnsi="Arial"/>
                <w:sz w:val="18"/>
                <w:szCs w:val="18"/>
                <w:color w:val="auto"/>
              </w:rPr>
              <w:t>$</w:t>
            </w:r>
          </w:p>
        </w:tc>
        <w:tc>
          <w:tcPr>
            <w:tcW w:w="360" w:type="dxa"/>
            <w:vAlign w:val="bottom"/>
            <w:gridSpan w:val="2"/>
          </w:tcPr>
          <w:p>
            <w:pPr>
              <w:jc w:val="right"/>
              <w:ind w:right="180"/>
              <w:spacing w:after="0"/>
              <w:rPr>
                <w:sz w:val="20"/>
                <w:szCs w:val="20"/>
                <w:color w:val="auto"/>
              </w:rPr>
            </w:pPr>
            <w:r>
              <w:rPr>
                <w:rFonts w:ascii="Arial" w:cs="Arial" w:eastAsia="Arial" w:hAnsi="Arial"/>
                <w:sz w:val="18"/>
                <w:szCs w:val="18"/>
                <w:color w:val="auto"/>
                <w:w w:val="88"/>
              </w:rPr>
              <w:t>—</w:t>
            </w:r>
          </w:p>
        </w:tc>
        <w:tc>
          <w:tcPr>
            <w:tcW w:w="880" w:type="dxa"/>
            <w:vAlign w:val="bottom"/>
            <w:gridSpan w:val="3"/>
          </w:tcPr>
          <w:p>
            <w:pPr>
              <w:jc w:val="right"/>
              <w:ind w:right="260"/>
              <w:spacing w:after="0"/>
              <w:rPr>
                <w:sz w:val="20"/>
                <w:szCs w:val="20"/>
                <w:color w:val="auto"/>
              </w:rPr>
            </w:pPr>
            <w:r>
              <w:rPr>
                <w:rFonts w:ascii="Arial" w:cs="Arial" w:eastAsia="Arial" w:hAnsi="Arial"/>
                <w:sz w:val="18"/>
                <w:szCs w:val="18"/>
                <w:color w:val="auto"/>
              </w:rPr>
              <w:t>$2,254</w:t>
            </w:r>
          </w:p>
        </w:tc>
        <w:tc>
          <w:tcPr>
            <w:tcW w:w="120" w:type="dxa"/>
            <w:vAlign w:val="bottom"/>
            <w:gridSpan w:val="2"/>
          </w:tcPr>
          <w:p>
            <w:pPr>
              <w:ind w:left="40"/>
              <w:spacing w:after="0"/>
              <w:rPr>
                <w:sz w:val="20"/>
                <w:szCs w:val="20"/>
                <w:color w:val="auto"/>
              </w:rPr>
            </w:pPr>
            <w:r>
              <w:rPr>
                <w:rFonts w:ascii="Arial" w:cs="Arial" w:eastAsia="Arial" w:hAnsi="Arial"/>
                <w:sz w:val="15"/>
                <w:szCs w:val="15"/>
                <w:color w:val="auto"/>
                <w:w w:val="71"/>
              </w:rPr>
              <w:t>$</w:t>
            </w:r>
          </w:p>
        </w:tc>
        <w:tc>
          <w:tcPr>
            <w:tcW w:w="340" w:type="dxa"/>
            <w:vAlign w:val="bottom"/>
            <w:gridSpan w:val="2"/>
          </w:tcPr>
          <w:p>
            <w:pPr>
              <w:jc w:val="right"/>
              <w:ind w:right="160"/>
              <w:spacing w:after="0"/>
              <w:rPr>
                <w:sz w:val="20"/>
                <w:szCs w:val="20"/>
                <w:color w:val="auto"/>
              </w:rPr>
            </w:pPr>
            <w:r>
              <w:rPr>
                <w:rFonts w:ascii="Arial" w:cs="Arial" w:eastAsia="Arial" w:hAnsi="Arial"/>
                <w:sz w:val="18"/>
                <w:szCs w:val="18"/>
                <w:color w:val="auto"/>
              </w:rPr>
              <w:t>2</w:t>
            </w:r>
          </w:p>
        </w:tc>
        <w:tc>
          <w:tcPr>
            <w:tcW w:w="280" w:type="dxa"/>
            <w:vAlign w:val="bottom"/>
            <w:gridSpan w:val="2"/>
          </w:tcPr>
          <w:p>
            <w:pPr>
              <w:ind w:left="140"/>
              <w:spacing w:after="0"/>
              <w:rPr>
                <w:sz w:val="20"/>
                <w:szCs w:val="20"/>
                <w:color w:val="auto"/>
              </w:rPr>
            </w:pPr>
            <w:r>
              <w:rPr>
                <w:rFonts w:ascii="Arial" w:cs="Arial" w:eastAsia="Arial" w:hAnsi="Arial"/>
                <w:sz w:val="18"/>
                <w:szCs w:val="18"/>
                <w:color w:val="auto"/>
              </w:rPr>
              <w:t>$</w:t>
            </w:r>
          </w:p>
        </w:tc>
        <w:tc>
          <w:tcPr>
            <w:tcW w:w="220" w:type="dxa"/>
            <w:vAlign w:val="bottom"/>
          </w:tcPr>
          <w:p>
            <w:pPr>
              <w:ind w:left="40"/>
              <w:spacing w:after="0"/>
              <w:rPr>
                <w:sz w:val="20"/>
                <w:szCs w:val="20"/>
                <w:color w:val="auto"/>
              </w:rPr>
            </w:pPr>
            <w:r>
              <w:rPr>
                <w:rFonts w:ascii="Arial" w:cs="Arial" w:eastAsia="Arial" w:hAnsi="Arial"/>
                <w:sz w:val="18"/>
                <w:szCs w:val="18"/>
                <w:color w:val="auto"/>
                <w:w w:val="88"/>
              </w:rPr>
              <w:t>—</w:t>
            </w:r>
          </w:p>
        </w:tc>
        <w:tc>
          <w:tcPr>
            <w:tcW w:w="480" w:type="dxa"/>
            <w:vAlign w:val="bottom"/>
            <w:gridSpan w:val="2"/>
          </w:tcPr>
          <w:p>
            <w:pPr>
              <w:jc w:val="right"/>
              <w:ind w:right="32"/>
              <w:spacing w:after="0"/>
              <w:rPr>
                <w:sz w:val="20"/>
                <w:szCs w:val="20"/>
                <w:color w:val="auto"/>
              </w:rPr>
            </w:pPr>
            <w:r>
              <w:rPr>
                <w:rFonts w:ascii="Arial" w:cs="Arial" w:eastAsia="Arial" w:hAnsi="Arial"/>
                <w:sz w:val="18"/>
                <w:szCs w:val="18"/>
                <w:color w:val="auto"/>
              </w:rPr>
              <w:t>$</w:t>
            </w:r>
          </w:p>
        </w:tc>
        <w:tc>
          <w:tcPr>
            <w:tcW w:w="480" w:type="dxa"/>
            <w:vAlign w:val="bottom"/>
            <w:gridSpan w:val="2"/>
          </w:tcPr>
          <w:p>
            <w:pPr>
              <w:jc w:val="right"/>
              <w:ind w:right="280"/>
              <w:spacing w:after="0"/>
              <w:rPr>
                <w:sz w:val="20"/>
                <w:szCs w:val="20"/>
                <w:color w:val="auto"/>
              </w:rPr>
            </w:pPr>
            <w:r>
              <w:rPr>
                <w:rFonts w:ascii="Arial" w:cs="Arial" w:eastAsia="Arial" w:hAnsi="Arial"/>
                <w:sz w:val="18"/>
                <w:szCs w:val="18"/>
                <w:color w:val="auto"/>
                <w:w w:val="99"/>
              </w:rPr>
              <w:t>—</w:t>
            </w: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200" w:type="dxa"/>
            <w:vAlign w:val="bottom"/>
          </w:tcPr>
          <w:p>
            <w:pPr>
              <w:jc w:val="right"/>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80" w:type="dxa"/>
            <w:vAlign w:val="bottom"/>
            <w:shd w:val="clear" w:color="auto" w:fill="CCEEFF"/>
          </w:tcPr>
          <w:p>
            <w:pPr>
              <w:spacing w:after="0"/>
              <w:rPr>
                <w:sz w:val="20"/>
                <w:szCs w:val="20"/>
                <w:color w:val="auto"/>
              </w:rPr>
            </w:pPr>
            <w:r>
              <w:rPr>
                <w:rFonts w:ascii="Arial" w:cs="Arial" w:eastAsia="Arial" w:hAnsi="Arial"/>
                <w:sz w:val="18"/>
                <w:szCs w:val="18"/>
                <w:color w:val="auto"/>
              </w:rPr>
              <w:t>Certificates of deposit</w:t>
            </w:r>
          </w:p>
        </w:tc>
        <w:tc>
          <w:tcPr>
            <w:tcW w:w="2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1,448</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88"/>
              </w:rPr>
              <w:t>—</w:t>
            </w:r>
          </w:p>
        </w:tc>
        <w:tc>
          <w:tcPr>
            <w:tcW w:w="88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1,448</w:t>
            </w: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8</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ind w:left="40"/>
              <w:spacing w:after="0"/>
              <w:rPr>
                <w:sz w:val="20"/>
                <w:szCs w:val="20"/>
                <w:color w:val="auto"/>
              </w:rPr>
            </w:pPr>
            <w:r>
              <w:rPr>
                <w:rFonts w:ascii="Arial" w:cs="Arial" w:eastAsia="Arial" w:hAnsi="Arial"/>
                <w:sz w:val="18"/>
                <w:szCs w:val="18"/>
                <w:color w:val="auto"/>
                <w:w w:val="88"/>
              </w:rPr>
              <w:t>—</w:t>
            </w:r>
          </w:p>
        </w:tc>
        <w:tc>
          <w:tcPr>
            <w:tcW w:w="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99"/>
              </w:rPr>
              <w:t>—</w:t>
            </w: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80" w:type="dxa"/>
            <w:vAlign w:val="bottom"/>
          </w:tcPr>
          <w:p>
            <w:pPr>
              <w:spacing w:after="0"/>
              <w:rPr>
                <w:sz w:val="20"/>
                <w:szCs w:val="20"/>
                <w:color w:val="auto"/>
              </w:rPr>
            </w:pPr>
            <w:r>
              <w:rPr>
                <w:rFonts w:ascii="Arial" w:cs="Arial" w:eastAsia="Arial" w:hAnsi="Arial"/>
                <w:sz w:val="18"/>
                <w:szCs w:val="18"/>
                <w:color w:val="auto"/>
              </w:rPr>
              <w:t>Corporate debt</w:t>
            </w:r>
          </w:p>
        </w:tc>
        <w:tc>
          <w:tcPr>
            <w:tcW w:w="19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2,173</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jc w:val="right"/>
              <w:spacing w:after="0"/>
              <w:rPr>
                <w:sz w:val="20"/>
                <w:szCs w:val="20"/>
                <w:color w:val="auto"/>
              </w:rPr>
            </w:pPr>
            <w:r>
              <w:rPr>
                <w:rFonts w:ascii="Arial" w:cs="Arial" w:eastAsia="Arial" w:hAnsi="Arial"/>
                <w:sz w:val="18"/>
                <w:szCs w:val="18"/>
                <w:color w:val="auto"/>
              </w:rPr>
              <w:t>1</w:t>
            </w: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60" w:type="dxa"/>
            <w:vAlign w:val="bottom"/>
            <w:gridSpan w:val="2"/>
          </w:tcPr>
          <w:p>
            <w:pPr>
              <w:jc w:val="right"/>
              <w:ind w:right="180"/>
              <w:spacing w:after="0"/>
              <w:rPr>
                <w:sz w:val="20"/>
                <w:szCs w:val="20"/>
                <w:color w:val="auto"/>
              </w:rPr>
            </w:pPr>
            <w:r>
              <w:rPr>
                <w:rFonts w:ascii="Arial" w:cs="Arial" w:eastAsia="Arial" w:hAnsi="Arial"/>
                <w:sz w:val="18"/>
                <w:szCs w:val="18"/>
                <w:color w:val="auto"/>
                <w:w w:val="88"/>
              </w:rPr>
              <w:t>—</w:t>
            </w:r>
          </w:p>
        </w:tc>
        <w:tc>
          <w:tcPr>
            <w:tcW w:w="880" w:type="dxa"/>
            <w:vAlign w:val="bottom"/>
            <w:gridSpan w:val="3"/>
          </w:tcPr>
          <w:p>
            <w:pPr>
              <w:jc w:val="right"/>
              <w:ind w:right="260"/>
              <w:spacing w:after="0"/>
              <w:rPr>
                <w:sz w:val="20"/>
                <w:szCs w:val="20"/>
                <w:color w:val="auto"/>
              </w:rPr>
            </w:pPr>
            <w:r>
              <w:rPr>
                <w:rFonts w:ascii="Arial" w:cs="Arial" w:eastAsia="Arial" w:hAnsi="Arial"/>
                <w:sz w:val="18"/>
                <w:szCs w:val="18"/>
                <w:color w:val="auto"/>
              </w:rPr>
              <w:t>2,174</w:t>
            </w: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gridSpan w:val="2"/>
          </w:tcPr>
          <w:p>
            <w:pPr>
              <w:jc w:val="right"/>
              <w:ind w:right="160"/>
              <w:spacing w:after="0"/>
              <w:rPr>
                <w:sz w:val="20"/>
                <w:szCs w:val="20"/>
                <w:color w:val="auto"/>
              </w:rPr>
            </w:pPr>
            <w:r>
              <w:rPr>
                <w:rFonts w:ascii="Arial" w:cs="Arial" w:eastAsia="Arial" w:hAnsi="Arial"/>
                <w:sz w:val="18"/>
                <w:szCs w:val="18"/>
                <w:color w:val="auto"/>
                <w:w w:val="88"/>
              </w:rPr>
              <w:t>—</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ind w:left="40"/>
              <w:spacing w:after="0"/>
              <w:rPr>
                <w:sz w:val="20"/>
                <w:szCs w:val="20"/>
                <w:color w:val="auto"/>
              </w:rPr>
            </w:pPr>
            <w:r>
              <w:rPr>
                <w:rFonts w:ascii="Arial" w:cs="Arial" w:eastAsia="Arial" w:hAnsi="Arial"/>
                <w:sz w:val="18"/>
                <w:szCs w:val="18"/>
                <w:color w:val="auto"/>
                <w:w w:val="88"/>
              </w:rPr>
              <w:t>—</w:t>
            </w: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80" w:type="dxa"/>
            <w:vAlign w:val="bottom"/>
            <w:gridSpan w:val="2"/>
          </w:tcPr>
          <w:p>
            <w:pPr>
              <w:jc w:val="right"/>
              <w:ind w:right="280"/>
              <w:spacing w:after="0"/>
              <w:rPr>
                <w:sz w:val="20"/>
                <w:szCs w:val="20"/>
                <w:color w:val="auto"/>
              </w:rPr>
            </w:pPr>
            <w:r>
              <w:rPr>
                <w:rFonts w:ascii="Arial" w:cs="Arial" w:eastAsia="Arial" w:hAnsi="Arial"/>
                <w:sz w:val="18"/>
                <w:szCs w:val="18"/>
                <w:color w:val="auto"/>
                <w:w w:val="99"/>
              </w:rPr>
              <w:t>—</w:t>
            </w:r>
          </w:p>
        </w:tc>
        <w:tc>
          <w:tcPr>
            <w:tcW w:w="140" w:type="dxa"/>
            <w:vAlign w:val="bottom"/>
          </w:tcPr>
          <w:p>
            <w:pPr>
              <w:spacing w:after="0"/>
              <w:rPr>
                <w:sz w:val="18"/>
                <w:szCs w:val="18"/>
                <w:color w:val="auto"/>
              </w:rPr>
            </w:pPr>
          </w:p>
        </w:tc>
        <w:tc>
          <w:tcPr>
            <w:tcW w:w="300" w:type="dxa"/>
            <w:vAlign w:val="bottom"/>
            <w:gridSpan w:val="2"/>
          </w:tcPr>
          <w:p>
            <w:pPr>
              <w:jc w:val="right"/>
              <w:ind w:right="100"/>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180" w:type="dxa"/>
            <w:vAlign w:val="bottom"/>
          </w:tcPr>
          <w:p>
            <w:pPr>
              <w:spacing w:after="0"/>
              <w:rPr>
                <w:sz w:val="2"/>
                <w:szCs w:val="2"/>
                <w:color w:val="auto"/>
              </w:rPr>
            </w:pPr>
          </w:p>
        </w:tc>
        <w:tc>
          <w:tcPr>
            <w:tcW w:w="198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180" w:type="dxa"/>
            <w:vAlign w:val="bottom"/>
            <w:shd w:val="clear" w:color="auto" w:fill="CCEEFF"/>
          </w:tcPr>
          <w:p>
            <w:pPr>
              <w:spacing w:after="0"/>
              <w:rPr>
                <w:sz w:val="20"/>
                <w:szCs w:val="20"/>
                <w:color w:val="auto"/>
              </w:rPr>
            </w:pPr>
            <w:r>
              <w:rPr>
                <w:rFonts w:ascii="Arial" w:cs="Arial" w:eastAsia="Arial" w:hAnsi="Arial"/>
                <w:sz w:val="18"/>
                <w:szCs w:val="18"/>
                <w:color w:val="auto"/>
              </w:rPr>
              <w:t>Total available-for-sale securities</w:t>
            </w:r>
          </w:p>
        </w:tc>
        <w:tc>
          <w:tcPr>
            <w:tcW w:w="19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5,875</w:t>
            </w:r>
          </w:p>
        </w:tc>
        <w:tc>
          <w:tcPr>
            <w:tcW w:w="42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w w:val="99"/>
              </w:rPr>
              <w:t>$</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500" w:type="dxa"/>
            <w:vAlign w:val="bottom"/>
            <w:gridSpan w:val="2"/>
            <w:shd w:val="clear" w:color="auto" w:fill="CCEEFF"/>
          </w:tcPr>
          <w:p>
            <w:pPr>
              <w:jc w:val="right"/>
              <w:ind w:right="32"/>
              <w:spacing w:after="0"/>
              <w:rPr>
                <w:sz w:val="20"/>
                <w:szCs w:val="20"/>
                <w:color w:val="auto"/>
              </w:rPr>
            </w:pPr>
            <w:r>
              <w:rPr>
                <w:rFonts w:ascii="Arial" w:cs="Arial" w:eastAsia="Arial" w:hAnsi="Arial"/>
                <w:sz w:val="18"/>
                <w:szCs w:val="18"/>
                <w:color w:val="auto"/>
              </w:rPr>
              <w:t>$</w:t>
            </w:r>
          </w:p>
        </w:tc>
        <w:tc>
          <w:tcPr>
            <w:tcW w:w="3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88"/>
              </w:rPr>
              <w:t>—</w:t>
            </w:r>
          </w:p>
        </w:tc>
        <w:tc>
          <w:tcPr>
            <w:tcW w:w="88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5,876</w:t>
            </w:r>
          </w:p>
        </w:tc>
        <w:tc>
          <w:tcPr>
            <w:tcW w:w="120" w:type="dxa"/>
            <w:vAlign w:val="bottom"/>
            <w:gridSpan w:val="2"/>
            <w:shd w:val="clear" w:color="auto" w:fill="CCEEFF"/>
          </w:tcPr>
          <w:p>
            <w:pPr>
              <w:ind w:left="40"/>
              <w:spacing w:after="0"/>
              <w:rPr>
                <w:sz w:val="20"/>
                <w:szCs w:val="20"/>
                <w:color w:val="auto"/>
              </w:rPr>
            </w:pPr>
            <w:r>
              <w:rPr>
                <w:rFonts w:ascii="Arial" w:cs="Arial" w:eastAsia="Arial" w:hAnsi="Arial"/>
                <w:sz w:val="15"/>
                <w:szCs w:val="15"/>
                <w:u w:val="single" w:color="auto"/>
                <w:color w:val="auto"/>
                <w:w w:val="71"/>
              </w:rPr>
              <w:t>$</w:t>
            </w:r>
          </w:p>
        </w:tc>
        <w:tc>
          <w:tcPr>
            <w:tcW w:w="3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79"/>
              </w:rPr>
              <w:t>10</w:t>
            </w:r>
          </w:p>
        </w:tc>
        <w:tc>
          <w:tcPr>
            <w:tcW w:w="28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ind w:left="40"/>
              <w:spacing w:after="0"/>
              <w:rPr>
                <w:sz w:val="20"/>
                <w:szCs w:val="20"/>
                <w:color w:val="auto"/>
              </w:rPr>
            </w:pPr>
            <w:r>
              <w:rPr>
                <w:rFonts w:ascii="Arial" w:cs="Arial" w:eastAsia="Arial" w:hAnsi="Arial"/>
                <w:sz w:val="18"/>
                <w:szCs w:val="18"/>
                <w:color w:val="auto"/>
                <w:w w:val="88"/>
              </w:rPr>
              <w:t>—</w:t>
            </w:r>
          </w:p>
        </w:tc>
        <w:tc>
          <w:tcPr>
            <w:tcW w:w="480" w:type="dxa"/>
            <w:vAlign w:val="bottom"/>
            <w:gridSpan w:val="2"/>
            <w:shd w:val="clear" w:color="auto" w:fill="CCEEFF"/>
          </w:tcPr>
          <w:p>
            <w:pPr>
              <w:jc w:val="right"/>
              <w:ind w:right="32"/>
              <w:spacing w:after="0"/>
              <w:rPr>
                <w:sz w:val="20"/>
                <w:szCs w:val="20"/>
                <w:color w:val="auto"/>
              </w:rPr>
            </w:pPr>
            <w:r>
              <w:rPr>
                <w:rFonts w:ascii="Arial" w:cs="Arial" w:eastAsia="Arial" w:hAnsi="Arial"/>
                <w:sz w:val="18"/>
                <w:szCs w:val="18"/>
                <w:color w:val="auto"/>
              </w:rPr>
              <w:t>$</w:t>
            </w:r>
          </w:p>
        </w:tc>
        <w:tc>
          <w:tcPr>
            <w:tcW w:w="4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99"/>
              </w:rPr>
              <w:t>—</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180" w:type="dxa"/>
            <w:vAlign w:val="bottom"/>
          </w:tcPr>
          <w:p>
            <w:pPr>
              <w:spacing w:after="0" w:line="20" w:lineRule="exact"/>
              <w:rPr>
                <w:sz w:val="1"/>
                <w:szCs w:val="1"/>
                <w:color w:val="auto"/>
              </w:rPr>
            </w:pPr>
          </w:p>
        </w:tc>
        <w:tc>
          <w:tcPr>
            <w:tcW w:w="1980" w:type="dxa"/>
            <w:vAlign w:val="bottom"/>
            <w:vMerge w:val="restart"/>
          </w:tcPr>
          <w:p>
            <w:pPr>
              <w:jc w:val="right"/>
              <w:ind w:right="292"/>
              <w:spacing w:after="0"/>
              <w:rPr>
                <w:sz w:val="20"/>
                <w:szCs w:val="20"/>
                <w:color w:val="auto"/>
              </w:rPr>
            </w:pPr>
            <w:r>
              <w:rPr>
                <w:rFonts w:ascii="Arial" w:cs="Arial" w:eastAsia="Arial" w:hAnsi="Arial"/>
                <w:sz w:val="18"/>
                <w:szCs w:val="18"/>
                <w:color w:val="auto"/>
              </w:rPr>
              <w:t>14</w:t>
            </w:r>
          </w:p>
        </w:tc>
        <w:tc>
          <w:tcPr>
            <w:tcW w:w="5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7"/>
        </w:trPr>
        <w:tc>
          <w:tcPr>
            <w:tcW w:w="20" w:type="dxa"/>
            <w:vAlign w:val="bottom"/>
          </w:tcPr>
          <w:p>
            <w:pPr>
              <w:spacing w:after="0"/>
              <w:rPr>
                <w:sz w:val="24"/>
                <w:szCs w:val="24"/>
                <w:color w:val="auto"/>
              </w:rPr>
            </w:pPr>
          </w:p>
        </w:tc>
        <w:tc>
          <w:tcPr>
            <w:tcW w:w="4180" w:type="dxa"/>
            <w:vAlign w:val="bottom"/>
          </w:tcPr>
          <w:p>
            <w:pPr>
              <w:spacing w:after="0"/>
              <w:rPr>
                <w:sz w:val="24"/>
                <w:szCs w:val="24"/>
                <w:color w:val="auto"/>
              </w:rPr>
            </w:pPr>
          </w:p>
        </w:tc>
        <w:tc>
          <w:tcPr>
            <w:tcW w:w="1980" w:type="dxa"/>
            <w:vAlign w:val="bottom"/>
            <w:vMerge w:val="continue"/>
          </w:tcPr>
          <w:p>
            <w:pPr>
              <w:spacing w:after="0"/>
              <w:rPr>
                <w:sz w:val="24"/>
                <w:szCs w:val="24"/>
                <w:color w:val="auto"/>
              </w:rPr>
            </w:pPr>
          </w:p>
        </w:tc>
        <w:tc>
          <w:tcPr>
            <w:tcW w:w="5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339" w:lineRule="exact"/>
        <w:rPr>
          <w:sz w:val="20"/>
          <w:szCs w:val="20"/>
          <w:color w:val="auto"/>
        </w:rPr>
      </w:pPr>
    </w:p>
    <w:p>
      <w:pPr>
        <w:ind w:right="60" w:firstLine="228"/>
        <w:spacing w:after="0" w:line="256" w:lineRule="auto"/>
        <w:rPr>
          <w:sz w:val="20"/>
          <w:szCs w:val="20"/>
          <w:color w:val="auto"/>
        </w:rPr>
      </w:pPr>
      <w:r>
        <w:rPr>
          <w:rFonts w:ascii="Arial" w:cs="Arial" w:eastAsia="Arial" w:hAnsi="Arial"/>
          <w:sz w:val="18"/>
          <w:szCs w:val="18"/>
          <w:color w:val="auto"/>
        </w:rPr>
        <w:t>In addition to the securities previously discussed, securities of $15.5 billion and $11.2 billion with original maturities of 90 days or less were classified as cash equivalents and securities of $1.5 billion and $14.2 billion were classified as Restricted cash and marketable securities at September 30, 2010 and December 31, 2009. Additionally, we held equity securities that are classified as available-for-sale and recorded in Other assets. These securities had a fair value of $40 million and $13 million at September 30, 2010 and December 31, 2009.</w:t>
      </w:r>
    </w:p>
    <w:p>
      <w:pPr>
        <w:spacing w:after="0" w:line="143" w:lineRule="exact"/>
        <w:rPr>
          <w:sz w:val="20"/>
          <w:szCs w:val="20"/>
          <w:color w:val="auto"/>
        </w:rPr>
      </w:pPr>
    </w:p>
    <w:p>
      <w:pPr>
        <w:ind w:right="200" w:firstLine="228"/>
        <w:spacing w:after="0" w:line="268" w:lineRule="auto"/>
        <w:rPr>
          <w:sz w:val="20"/>
          <w:szCs w:val="20"/>
          <w:color w:val="auto"/>
        </w:rPr>
      </w:pPr>
      <w:r>
        <w:rPr>
          <w:rFonts w:ascii="Arial" w:cs="Arial" w:eastAsia="Arial" w:hAnsi="Arial"/>
          <w:sz w:val="18"/>
          <w:szCs w:val="18"/>
          <w:color w:val="auto"/>
        </w:rPr>
        <w:t>The following table summarizes proceeds from and realized gains and losses on disposals of investments in marketable securities classified as available-for-sale and sold prior to maturity (dollars in millions):</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42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280" w:type="dxa"/>
            <w:vAlign w:val="bottom"/>
            <w:tcBorders>
              <w:bottom w:val="single" w:sz="8" w:color="auto"/>
            </w:tcBorders>
            <w:gridSpan w:val="2"/>
          </w:tcPr>
          <w:p>
            <w:pPr>
              <w:jc w:val="center"/>
              <w:ind w:right="440"/>
              <w:spacing w:after="0"/>
              <w:rPr>
                <w:sz w:val="20"/>
                <w:szCs w:val="20"/>
                <w:color w:val="auto"/>
              </w:rPr>
            </w:pPr>
            <w:r>
              <w:rPr>
                <w:rFonts w:ascii="Arial" w:cs="Arial" w:eastAsia="Arial" w:hAnsi="Arial"/>
                <w:sz w:val="14"/>
                <w:szCs w:val="14"/>
                <w:b w:val="1"/>
                <w:bCs w:val="1"/>
                <w:color w:val="auto"/>
                <w:w w:val="79"/>
              </w:rPr>
              <w:t>Successor</w:t>
            </w:r>
          </w:p>
        </w:tc>
        <w:tc>
          <w:tcPr>
            <w:tcW w:w="28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spacing w:after="0"/>
              <w:rPr>
                <w:sz w:val="14"/>
                <w:szCs w:val="14"/>
                <w:color w:val="auto"/>
              </w:rPr>
            </w:pPr>
          </w:p>
        </w:tc>
        <w:tc>
          <w:tcPr>
            <w:tcW w:w="640" w:type="dxa"/>
            <w:vAlign w:val="bottom"/>
            <w:tcBorders>
              <w:right w:val="single" w:sz="8" w:color="auto"/>
            </w:tcBorders>
          </w:tcPr>
          <w:p>
            <w:pPr>
              <w:spacing w:after="0"/>
              <w:rPr>
                <w:sz w:val="14"/>
                <w:szCs w:val="14"/>
                <w:color w:val="auto"/>
              </w:rPr>
            </w:pPr>
          </w:p>
        </w:tc>
        <w:tc>
          <w:tcPr>
            <w:tcW w:w="46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260" w:type="dxa"/>
            <w:vAlign w:val="bottom"/>
            <w:tcBorders>
              <w:bottom w:val="single" w:sz="8" w:color="auto"/>
            </w:tcBorders>
            <w:gridSpan w:val="3"/>
          </w:tcPr>
          <w:p>
            <w:pPr>
              <w:ind w:left="540"/>
              <w:spacing w:after="0"/>
              <w:rPr>
                <w:sz w:val="20"/>
                <w:szCs w:val="20"/>
                <w:color w:val="auto"/>
              </w:rPr>
            </w:pPr>
            <w:r>
              <w:rPr>
                <w:rFonts w:ascii="Arial" w:cs="Arial" w:eastAsia="Arial" w:hAnsi="Arial"/>
                <w:sz w:val="14"/>
                <w:szCs w:val="14"/>
                <w:b w:val="1"/>
                <w:bCs w:val="1"/>
                <w:color w:val="auto"/>
                <w:w w:val="83"/>
              </w:rPr>
              <w:t>Predecessor</w:t>
            </w:r>
          </w:p>
        </w:tc>
        <w:tc>
          <w:tcPr>
            <w:tcW w:w="6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29"/>
        </w:trPr>
        <w:tc>
          <w:tcPr>
            <w:tcW w:w="2420" w:type="dxa"/>
            <w:vAlign w:val="bottom"/>
          </w:tcPr>
          <w:p>
            <w:pPr>
              <w:spacing w:after="0"/>
              <w:rPr>
                <w:sz w:val="11"/>
                <w:szCs w:val="11"/>
                <w:color w:val="auto"/>
              </w:rPr>
            </w:pPr>
          </w:p>
        </w:tc>
        <w:tc>
          <w:tcPr>
            <w:tcW w:w="13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640" w:type="dxa"/>
            <w:vAlign w:val="bottom"/>
            <w:tcBorders>
              <w:right w:val="single" w:sz="8" w:color="auto"/>
            </w:tcBorders>
          </w:tcPr>
          <w:p>
            <w:pPr>
              <w:spacing w:after="0"/>
              <w:rPr>
                <w:sz w:val="11"/>
                <w:szCs w:val="11"/>
                <w:color w:val="auto"/>
              </w:rPr>
            </w:pPr>
          </w:p>
        </w:tc>
        <w:tc>
          <w:tcPr>
            <w:tcW w:w="4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80" w:type="dxa"/>
            <w:vAlign w:val="bottom"/>
            <w:gridSpan w:val="2"/>
          </w:tcPr>
          <w:p>
            <w:pPr>
              <w:ind w:left="20"/>
              <w:spacing w:after="0" w:line="129" w:lineRule="exact"/>
              <w:rPr>
                <w:sz w:val="20"/>
                <w:szCs w:val="20"/>
                <w:color w:val="auto"/>
              </w:rPr>
            </w:pPr>
            <w:r>
              <w:rPr>
                <w:rFonts w:ascii="Arial" w:cs="Arial" w:eastAsia="Arial" w:hAnsi="Arial"/>
                <w:sz w:val="14"/>
                <w:szCs w:val="14"/>
                <w:b w:val="1"/>
                <w:bCs w:val="1"/>
                <w:color w:val="auto"/>
                <w:w w:val="92"/>
              </w:rPr>
              <w:t>January 1,</w:t>
            </w:r>
          </w:p>
        </w:tc>
        <w:tc>
          <w:tcPr>
            <w:tcW w:w="100" w:type="dxa"/>
            <w:vAlign w:val="bottom"/>
          </w:tcPr>
          <w:p>
            <w:pPr>
              <w:spacing w:after="0"/>
              <w:rPr>
                <w:sz w:val="11"/>
                <w:szCs w:val="11"/>
                <w:color w:val="auto"/>
              </w:rPr>
            </w:pPr>
          </w:p>
        </w:tc>
      </w:tr>
      <w:tr>
        <w:trPr>
          <w:trHeight w:val="149"/>
        </w:trPr>
        <w:tc>
          <w:tcPr>
            <w:tcW w:w="242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580" w:type="dxa"/>
            <w:vAlign w:val="bottom"/>
            <w:gridSpan w:val="2"/>
          </w:tcPr>
          <w:p>
            <w:pPr>
              <w:jc w:val="right"/>
              <w:ind w:right="720"/>
              <w:spacing w:after="0" w:line="149" w:lineRule="exact"/>
              <w:rPr>
                <w:sz w:val="20"/>
                <w:szCs w:val="20"/>
                <w:color w:val="auto"/>
              </w:rPr>
            </w:pPr>
            <w:r>
              <w:rPr>
                <w:rFonts w:ascii="Arial" w:cs="Arial" w:eastAsia="Arial" w:hAnsi="Arial"/>
                <w:sz w:val="14"/>
                <w:szCs w:val="14"/>
                <w:b w:val="1"/>
                <w:bCs w:val="1"/>
                <w:color w:val="auto"/>
                <w:w w:val="91"/>
              </w:rPr>
              <w:t>Three Months</w:t>
            </w:r>
          </w:p>
        </w:tc>
        <w:tc>
          <w:tcPr>
            <w:tcW w:w="140" w:type="dxa"/>
            <w:vAlign w:val="bottom"/>
          </w:tcPr>
          <w:p>
            <w:pPr>
              <w:spacing w:after="0"/>
              <w:rPr>
                <w:sz w:val="12"/>
                <w:szCs w:val="12"/>
                <w:color w:val="auto"/>
              </w:rPr>
            </w:pPr>
          </w:p>
        </w:tc>
        <w:tc>
          <w:tcPr>
            <w:tcW w:w="1280" w:type="dxa"/>
            <w:vAlign w:val="bottom"/>
            <w:gridSpan w:val="2"/>
          </w:tcPr>
          <w:p>
            <w:pPr>
              <w:jc w:val="center"/>
              <w:ind w:right="420"/>
              <w:spacing w:after="0" w:line="149" w:lineRule="exact"/>
              <w:rPr>
                <w:sz w:val="20"/>
                <w:szCs w:val="20"/>
                <w:color w:val="auto"/>
              </w:rPr>
            </w:pPr>
            <w:r>
              <w:rPr>
                <w:rFonts w:ascii="Arial" w:cs="Arial" w:eastAsia="Arial" w:hAnsi="Arial"/>
                <w:sz w:val="14"/>
                <w:szCs w:val="14"/>
                <w:b w:val="1"/>
                <w:bCs w:val="1"/>
                <w:color w:val="auto"/>
                <w:w w:val="88"/>
              </w:rPr>
              <w:t>Nine Months</w:t>
            </w:r>
          </w:p>
        </w:tc>
        <w:tc>
          <w:tcPr>
            <w:tcW w:w="2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0" w:type="dxa"/>
            <w:vAlign w:val="bottom"/>
          </w:tcPr>
          <w:p>
            <w:pPr>
              <w:jc w:val="center"/>
              <w:ind w:right="80"/>
              <w:spacing w:after="0" w:line="149" w:lineRule="exact"/>
              <w:rPr>
                <w:sz w:val="20"/>
                <w:szCs w:val="20"/>
                <w:color w:val="auto"/>
              </w:rPr>
            </w:pPr>
            <w:r>
              <w:rPr>
                <w:rFonts w:ascii="Arial" w:cs="Arial" w:eastAsia="Arial" w:hAnsi="Arial"/>
                <w:sz w:val="14"/>
                <w:szCs w:val="14"/>
                <w:b w:val="1"/>
                <w:bCs w:val="1"/>
                <w:color w:val="auto"/>
                <w:w w:val="87"/>
              </w:rPr>
              <w:t>July 10, 2009</w:t>
            </w:r>
          </w:p>
        </w:tc>
        <w:tc>
          <w:tcPr>
            <w:tcW w:w="640" w:type="dxa"/>
            <w:vAlign w:val="bottom"/>
            <w:tcBorders>
              <w:right w:val="single" w:sz="8" w:color="auto"/>
            </w:tcBorders>
          </w:tcPr>
          <w:p>
            <w:pPr>
              <w:spacing w:after="0"/>
              <w:rPr>
                <w:sz w:val="12"/>
                <w:szCs w:val="12"/>
                <w:color w:val="auto"/>
              </w:rPr>
            </w:pPr>
          </w:p>
        </w:tc>
        <w:tc>
          <w:tcPr>
            <w:tcW w:w="460" w:type="dxa"/>
            <w:vAlign w:val="bottom"/>
          </w:tcPr>
          <w:p>
            <w:pPr>
              <w:spacing w:after="0"/>
              <w:rPr>
                <w:sz w:val="12"/>
                <w:szCs w:val="12"/>
                <w:color w:val="auto"/>
              </w:rPr>
            </w:pPr>
          </w:p>
        </w:tc>
        <w:tc>
          <w:tcPr>
            <w:tcW w:w="68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w w:val="83"/>
              </w:rPr>
              <w:t>July 1, 2009</w:t>
            </w:r>
          </w:p>
        </w:tc>
        <w:tc>
          <w:tcPr>
            <w:tcW w:w="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jc w:val="right"/>
              <w:ind w:right="120"/>
              <w:spacing w:after="0" w:line="149" w:lineRule="exact"/>
              <w:rPr>
                <w:sz w:val="20"/>
                <w:szCs w:val="20"/>
                <w:color w:val="auto"/>
              </w:rPr>
            </w:pPr>
            <w:r>
              <w:rPr>
                <w:rFonts w:ascii="Arial" w:cs="Arial" w:eastAsia="Arial" w:hAnsi="Arial"/>
                <w:sz w:val="14"/>
                <w:szCs w:val="14"/>
                <w:b w:val="1"/>
                <w:bCs w:val="1"/>
                <w:color w:val="auto"/>
              </w:rPr>
              <w:t>2009</w:t>
            </w:r>
          </w:p>
        </w:tc>
        <w:tc>
          <w:tcPr>
            <w:tcW w:w="100" w:type="dxa"/>
            <w:vAlign w:val="bottom"/>
          </w:tcPr>
          <w:p>
            <w:pPr>
              <w:spacing w:after="0"/>
              <w:rPr>
                <w:sz w:val="12"/>
                <w:szCs w:val="12"/>
                <w:color w:val="auto"/>
              </w:rPr>
            </w:pPr>
          </w:p>
        </w:tc>
      </w:tr>
      <w:tr>
        <w:trPr>
          <w:trHeight w:val="149"/>
        </w:trPr>
        <w:tc>
          <w:tcPr>
            <w:tcW w:w="242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580" w:type="dxa"/>
            <w:vAlign w:val="bottom"/>
            <w:gridSpan w:val="2"/>
          </w:tcPr>
          <w:p>
            <w:pPr>
              <w:jc w:val="right"/>
              <w:ind w:right="940"/>
              <w:spacing w:after="0" w:line="149" w:lineRule="exact"/>
              <w:rPr>
                <w:sz w:val="20"/>
                <w:szCs w:val="20"/>
                <w:color w:val="auto"/>
              </w:rPr>
            </w:pPr>
            <w:r>
              <w:rPr>
                <w:rFonts w:ascii="Arial" w:cs="Arial" w:eastAsia="Arial" w:hAnsi="Arial"/>
                <w:sz w:val="14"/>
                <w:szCs w:val="14"/>
                <w:b w:val="1"/>
                <w:bCs w:val="1"/>
                <w:color w:val="auto"/>
              </w:rPr>
              <w:t>Ended</w:t>
            </w:r>
          </w:p>
        </w:tc>
        <w:tc>
          <w:tcPr>
            <w:tcW w:w="140" w:type="dxa"/>
            <w:vAlign w:val="bottom"/>
          </w:tcPr>
          <w:p>
            <w:pPr>
              <w:spacing w:after="0"/>
              <w:rPr>
                <w:sz w:val="12"/>
                <w:szCs w:val="12"/>
                <w:color w:val="auto"/>
              </w:rPr>
            </w:pPr>
          </w:p>
        </w:tc>
        <w:tc>
          <w:tcPr>
            <w:tcW w:w="1280" w:type="dxa"/>
            <w:vAlign w:val="bottom"/>
            <w:gridSpan w:val="2"/>
          </w:tcPr>
          <w:p>
            <w:pPr>
              <w:jc w:val="center"/>
              <w:ind w:right="420"/>
              <w:spacing w:after="0" w:line="149" w:lineRule="exact"/>
              <w:rPr>
                <w:sz w:val="20"/>
                <w:szCs w:val="20"/>
                <w:color w:val="auto"/>
              </w:rPr>
            </w:pPr>
            <w:r>
              <w:rPr>
                <w:rFonts w:ascii="Arial" w:cs="Arial" w:eastAsia="Arial" w:hAnsi="Arial"/>
                <w:sz w:val="14"/>
                <w:szCs w:val="14"/>
                <w:b w:val="1"/>
                <w:bCs w:val="1"/>
                <w:color w:val="auto"/>
                <w:w w:val="88"/>
              </w:rPr>
              <w:t>Ended</w:t>
            </w:r>
          </w:p>
        </w:tc>
        <w:tc>
          <w:tcPr>
            <w:tcW w:w="2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0" w:type="dxa"/>
            <w:vAlign w:val="bottom"/>
          </w:tcPr>
          <w:p>
            <w:pPr>
              <w:jc w:val="center"/>
              <w:ind w:right="60"/>
              <w:spacing w:after="0" w:line="149" w:lineRule="exact"/>
              <w:rPr>
                <w:sz w:val="20"/>
                <w:szCs w:val="20"/>
                <w:color w:val="auto"/>
              </w:rPr>
            </w:pPr>
            <w:r>
              <w:rPr>
                <w:rFonts w:ascii="Arial" w:cs="Arial" w:eastAsia="Arial" w:hAnsi="Arial"/>
                <w:sz w:val="14"/>
                <w:szCs w:val="14"/>
                <w:b w:val="1"/>
                <w:bCs w:val="1"/>
                <w:color w:val="auto"/>
                <w:w w:val="87"/>
              </w:rPr>
              <w:t>Through</w:t>
            </w:r>
          </w:p>
        </w:tc>
        <w:tc>
          <w:tcPr>
            <w:tcW w:w="640" w:type="dxa"/>
            <w:vAlign w:val="bottom"/>
            <w:tcBorders>
              <w:right w:val="single" w:sz="8" w:color="auto"/>
            </w:tcBorders>
          </w:tcPr>
          <w:p>
            <w:pPr>
              <w:spacing w:after="0"/>
              <w:rPr>
                <w:sz w:val="12"/>
                <w:szCs w:val="12"/>
                <w:color w:val="auto"/>
              </w:rPr>
            </w:pPr>
          </w:p>
        </w:tc>
        <w:tc>
          <w:tcPr>
            <w:tcW w:w="4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ind w:left="20"/>
              <w:spacing w:after="0" w:line="149" w:lineRule="exact"/>
              <w:rPr>
                <w:sz w:val="20"/>
                <w:szCs w:val="20"/>
                <w:color w:val="auto"/>
              </w:rPr>
            </w:pPr>
            <w:r>
              <w:rPr>
                <w:rFonts w:ascii="Arial" w:cs="Arial" w:eastAsia="Arial" w:hAnsi="Arial"/>
                <w:sz w:val="14"/>
                <w:szCs w:val="14"/>
                <w:b w:val="1"/>
                <w:bCs w:val="1"/>
                <w:color w:val="auto"/>
                <w:w w:val="98"/>
              </w:rPr>
              <w:t>Through</w:t>
            </w:r>
          </w:p>
        </w:tc>
        <w:tc>
          <w:tcPr>
            <w:tcW w:w="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rPr>
              <w:t>Through</w:t>
            </w:r>
          </w:p>
        </w:tc>
      </w:tr>
      <w:tr>
        <w:trPr>
          <w:trHeight w:val="161"/>
        </w:trPr>
        <w:tc>
          <w:tcPr>
            <w:tcW w:w="242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700" w:type="dxa"/>
            <w:vAlign w:val="bottom"/>
            <w:gridSpan w:val="3"/>
          </w:tcPr>
          <w:p>
            <w:pPr>
              <w:spacing w:after="0"/>
              <w:rPr>
                <w:sz w:val="20"/>
                <w:szCs w:val="20"/>
                <w:color w:val="auto"/>
              </w:rPr>
            </w:pPr>
            <w:r>
              <w:rPr>
                <w:rFonts w:ascii="Arial" w:cs="Arial" w:eastAsia="Arial" w:hAnsi="Arial"/>
                <w:sz w:val="14"/>
                <w:szCs w:val="14"/>
                <w:b w:val="1"/>
                <w:bCs w:val="1"/>
                <w:color w:val="auto"/>
              </w:rPr>
              <w:t>September 30, 2010</w:t>
            </w:r>
          </w:p>
        </w:tc>
        <w:tc>
          <w:tcPr>
            <w:tcW w:w="1420" w:type="dxa"/>
            <w:vAlign w:val="bottom"/>
            <w:gridSpan w:val="3"/>
          </w:tcPr>
          <w:p>
            <w:pPr>
              <w:spacing w:after="0"/>
              <w:rPr>
                <w:sz w:val="20"/>
                <w:szCs w:val="20"/>
                <w:color w:val="auto"/>
              </w:rPr>
            </w:pPr>
            <w:r>
              <w:rPr>
                <w:rFonts w:ascii="Arial" w:cs="Arial" w:eastAsia="Arial" w:hAnsi="Arial"/>
                <w:sz w:val="14"/>
                <w:szCs w:val="14"/>
                <w:b w:val="1"/>
                <w:bCs w:val="1"/>
                <w:color w:val="auto"/>
              </w:rPr>
              <w:t>September 30, 2010</w:t>
            </w:r>
          </w:p>
        </w:tc>
        <w:tc>
          <w:tcPr>
            <w:tcW w:w="280" w:type="dxa"/>
            <w:vAlign w:val="bottom"/>
          </w:tcPr>
          <w:p>
            <w:pPr>
              <w:spacing w:after="0"/>
              <w:rPr>
                <w:sz w:val="14"/>
                <w:szCs w:val="14"/>
                <w:color w:val="auto"/>
              </w:rPr>
            </w:pPr>
          </w:p>
        </w:tc>
        <w:tc>
          <w:tcPr>
            <w:tcW w:w="1140" w:type="dxa"/>
            <w:vAlign w:val="bottom"/>
            <w:gridSpan w:val="2"/>
          </w:tcPr>
          <w:p>
            <w:pPr>
              <w:spacing w:after="0"/>
              <w:rPr>
                <w:sz w:val="20"/>
                <w:szCs w:val="20"/>
                <w:color w:val="auto"/>
              </w:rPr>
            </w:pPr>
            <w:r>
              <w:rPr>
                <w:rFonts w:ascii="Arial" w:cs="Arial" w:eastAsia="Arial" w:hAnsi="Arial"/>
                <w:sz w:val="14"/>
                <w:szCs w:val="14"/>
                <w:b w:val="1"/>
                <w:bCs w:val="1"/>
                <w:color w:val="auto"/>
                <w:w w:val="85"/>
              </w:rPr>
              <w:t>September 30, 2009</w:t>
            </w:r>
          </w:p>
        </w:tc>
        <w:tc>
          <w:tcPr>
            <w:tcW w:w="640" w:type="dxa"/>
            <w:vAlign w:val="bottom"/>
            <w:tcBorders>
              <w:right w:val="single" w:sz="8" w:color="auto"/>
            </w:tcBorders>
          </w:tcPr>
          <w:p>
            <w:pPr>
              <w:spacing w:after="0"/>
              <w:rPr>
                <w:sz w:val="14"/>
                <w:szCs w:val="14"/>
                <w:color w:val="auto"/>
              </w:rPr>
            </w:pPr>
          </w:p>
        </w:tc>
        <w:tc>
          <w:tcPr>
            <w:tcW w:w="460" w:type="dxa"/>
            <w:vAlign w:val="bottom"/>
          </w:tcPr>
          <w:p>
            <w:pPr>
              <w:spacing w:after="0"/>
              <w:rPr>
                <w:sz w:val="14"/>
                <w:szCs w:val="14"/>
                <w:color w:val="auto"/>
              </w:rPr>
            </w:pPr>
          </w:p>
        </w:tc>
        <w:tc>
          <w:tcPr>
            <w:tcW w:w="680" w:type="dxa"/>
            <w:vAlign w:val="bottom"/>
            <w:gridSpan w:val="2"/>
          </w:tcPr>
          <w:p>
            <w:pPr>
              <w:spacing w:after="0"/>
              <w:rPr>
                <w:sz w:val="20"/>
                <w:szCs w:val="20"/>
                <w:color w:val="auto"/>
              </w:rPr>
            </w:pPr>
            <w:r>
              <w:rPr>
                <w:rFonts w:ascii="Arial" w:cs="Arial" w:eastAsia="Arial" w:hAnsi="Arial"/>
                <w:sz w:val="14"/>
                <w:szCs w:val="14"/>
                <w:b w:val="1"/>
                <w:bCs w:val="1"/>
                <w:color w:val="auto"/>
                <w:w w:val="83"/>
              </w:rPr>
              <w:t>July 9, 2009</w:t>
            </w:r>
          </w:p>
        </w:tc>
        <w:tc>
          <w:tcPr>
            <w:tcW w:w="580" w:type="dxa"/>
            <w:vAlign w:val="bottom"/>
          </w:tcPr>
          <w:p>
            <w:pPr>
              <w:spacing w:after="0"/>
              <w:rPr>
                <w:sz w:val="14"/>
                <w:szCs w:val="14"/>
                <w:color w:val="auto"/>
              </w:rPr>
            </w:pPr>
          </w:p>
        </w:tc>
        <w:tc>
          <w:tcPr>
            <w:tcW w:w="780" w:type="dxa"/>
            <w:vAlign w:val="bottom"/>
            <w:gridSpan w:val="3"/>
          </w:tcPr>
          <w:p>
            <w:pPr>
              <w:spacing w:after="0"/>
              <w:rPr>
                <w:sz w:val="20"/>
                <w:szCs w:val="20"/>
                <w:color w:val="auto"/>
              </w:rPr>
            </w:pPr>
            <w:r>
              <w:rPr>
                <w:rFonts w:ascii="Arial" w:cs="Arial" w:eastAsia="Arial" w:hAnsi="Arial"/>
                <w:sz w:val="14"/>
                <w:szCs w:val="14"/>
                <w:b w:val="1"/>
                <w:bCs w:val="1"/>
                <w:color w:val="auto"/>
                <w:w w:val="96"/>
              </w:rPr>
              <w:t>July 9, 2009</w:t>
            </w:r>
          </w:p>
        </w:tc>
      </w:tr>
      <w:tr>
        <w:trPr>
          <w:trHeight w:val="20"/>
        </w:trPr>
        <w:tc>
          <w:tcPr>
            <w:tcW w:w="242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640" w:type="dxa"/>
            <w:vAlign w:val="bottom"/>
            <w:tcBorders>
              <w:right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2420" w:type="dxa"/>
            <w:vAlign w:val="bottom"/>
            <w:shd w:val="clear" w:color="auto" w:fill="CCEEFF"/>
          </w:tcPr>
          <w:p>
            <w:pPr>
              <w:spacing w:after="0"/>
              <w:rPr>
                <w:sz w:val="20"/>
                <w:szCs w:val="20"/>
                <w:color w:val="auto"/>
              </w:rPr>
            </w:pPr>
            <w:r>
              <w:rPr>
                <w:rFonts w:ascii="Arial" w:cs="Arial" w:eastAsia="Arial" w:hAnsi="Arial"/>
                <w:sz w:val="18"/>
                <w:szCs w:val="18"/>
                <w:color w:val="auto"/>
              </w:rPr>
              <w:t>Sales proceeds</w:t>
            </w:r>
          </w:p>
        </w:tc>
        <w:tc>
          <w:tcPr>
            <w:tcW w:w="1440" w:type="dxa"/>
            <w:vAlign w:val="bottom"/>
            <w:gridSpan w:val="2"/>
            <w:shd w:val="clear" w:color="auto" w:fill="CCEEFF"/>
          </w:tcPr>
          <w:p>
            <w:pPr>
              <w:ind w:left="1320"/>
              <w:spacing w:after="0"/>
              <w:rPr>
                <w:sz w:val="20"/>
                <w:szCs w:val="20"/>
                <w:color w:val="auto"/>
              </w:rPr>
            </w:pPr>
            <w:r>
              <w:rPr>
                <w:rFonts w:ascii="Arial" w:cs="Arial" w:eastAsia="Arial" w:hAnsi="Arial"/>
                <w:sz w:val="18"/>
                <w:szCs w:val="18"/>
                <w:color w:val="auto"/>
                <w:w w:val="99"/>
              </w:rPr>
              <w:t>$</w:t>
            </w:r>
          </w:p>
        </w:tc>
        <w:tc>
          <w:tcPr>
            <w:tcW w:w="158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5</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2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6</w:t>
            </w:r>
          </w:p>
        </w:tc>
        <w:tc>
          <w:tcPr>
            <w:tcW w:w="42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ind w:left="820"/>
              <w:spacing w:after="0"/>
              <w:rPr>
                <w:sz w:val="20"/>
                <w:szCs w:val="20"/>
                <w:color w:val="auto"/>
              </w:rPr>
            </w:pPr>
            <w:r>
              <w:rPr>
                <w:rFonts w:ascii="Arial" w:cs="Arial" w:eastAsia="Arial" w:hAnsi="Arial"/>
                <w:sz w:val="18"/>
                <w:szCs w:val="18"/>
                <w:color w:val="auto"/>
                <w:w w:val="88"/>
              </w:rPr>
              <w:t>—</w:t>
            </w:r>
          </w:p>
        </w:tc>
        <w:tc>
          <w:tcPr>
            <w:tcW w:w="640" w:type="dxa"/>
            <w:vAlign w:val="bottom"/>
            <w:tcBorders>
              <w:right w:val="single" w:sz="8" w:color="auto"/>
            </w:tcBorders>
            <w:shd w:val="clear" w:color="auto" w:fill="CCEEFF"/>
          </w:tcPr>
          <w:p>
            <w:pPr>
              <w:spacing w:after="0"/>
              <w:rPr>
                <w:sz w:val="18"/>
                <w:szCs w:val="18"/>
                <w:color w:val="auto"/>
              </w:rPr>
            </w:pPr>
          </w:p>
        </w:tc>
        <w:tc>
          <w:tcPr>
            <w:tcW w:w="540" w:type="dxa"/>
            <w:vAlign w:val="bottom"/>
            <w:gridSpan w:val="2"/>
            <w:shd w:val="clear" w:color="auto" w:fill="CCEEFF"/>
          </w:tcPr>
          <w:p>
            <w:pPr>
              <w:ind w:left="460"/>
              <w:spacing w:after="0"/>
              <w:rPr>
                <w:sz w:val="20"/>
                <w:szCs w:val="20"/>
                <w:color w:val="auto"/>
              </w:rPr>
            </w:pPr>
            <w:r>
              <w:rPr>
                <w:rFonts w:ascii="Arial" w:cs="Arial" w:eastAsia="Arial" w:hAnsi="Arial"/>
                <w:sz w:val="15"/>
                <w:szCs w:val="15"/>
                <w:color w:val="auto"/>
                <w:w w:val="71"/>
              </w:rPr>
              <w:t>$</w:t>
            </w:r>
          </w:p>
        </w:tc>
        <w:tc>
          <w:tcPr>
            <w:tcW w:w="600" w:type="dxa"/>
            <w:vAlign w:val="bottom"/>
            <w:shd w:val="clear" w:color="auto" w:fill="CCEEFF"/>
          </w:tcPr>
          <w:p>
            <w:pPr>
              <w:ind w:left="440"/>
              <w:spacing w:after="0"/>
              <w:rPr>
                <w:sz w:val="20"/>
                <w:szCs w:val="20"/>
                <w:color w:val="auto"/>
              </w:rPr>
            </w:pPr>
            <w:r>
              <w:rPr>
                <w:rFonts w:ascii="Arial" w:cs="Arial" w:eastAsia="Arial" w:hAnsi="Arial"/>
                <w:sz w:val="18"/>
                <w:szCs w:val="18"/>
                <w:color w:val="auto"/>
                <w:w w:val="77"/>
              </w:rPr>
              <w:t>—</w:t>
            </w:r>
          </w:p>
        </w:tc>
        <w:tc>
          <w:tcPr>
            <w:tcW w:w="660" w:type="dxa"/>
            <w:vAlign w:val="bottom"/>
            <w:gridSpan w:val="2"/>
            <w:shd w:val="clear" w:color="auto" w:fill="CCEEFF"/>
          </w:tcPr>
          <w:p>
            <w:pPr>
              <w:ind w:left="580"/>
              <w:spacing w:after="0"/>
              <w:rPr>
                <w:sz w:val="20"/>
                <w:szCs w:val="20"/>
                <w:color w:val="auto"/>
              </w:rPr>
            </w:pPr>
            <w:r>
              <w:rPr>
                <w:rFonts w:ascii="Arial" w:cs="Arial" w:eastAsia="Arial" w:hAnsi="Arial"/>
                <w:sz w:val="15"/>
                <w:szCs w:val="15"/>
                <w:color w:val="auto"/>
                <w:w w:val="71"/>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185</w:t>
            </w:r>
          </w:p>
        </w:tc>
        <w:tc>
          <w:tcPr>
            <w:tcW w:w="100" w:type="dxa"/>
            <w:vAlign w:val="bottom"/>
            <w:shd w:val="clear" w:color="auto" w:fill="CCEEFF"/>
          </w:tcPr>
          <w:p>
            <w:pPr>
              <w:spacing w:after="0"/>
              <w:rPr>
                <w:sz w:val="18"/>
                <w:szCs w:val="18"/>
                <w:color w:val="auto"/>
              </w:rPr>
            </w:pPr>
          </w:p>
        </w:tc>
      </w:tr>
      <w:tr>
        <w:trPr>
          <w:trHeight w:val="216"/>
        </w:trPr>
        <w:tc>
          <w:tcPr>
            <w:tcW w:w="2420" w:type="dxa"/>
            <w:vAlign w:val="bottom"/>
          </w:tcPr>
          <w:p>
            <w:pPr>
              <w:spacing w:after="0"/>
              <w:rPr>
                <w:sz w:val="20"/>
                <w:szCs w:val="20"/>
                <w:color w:val="auto"/>
              </w:rPr>
            </w:pPr>
            <w:r>
              <w:rPr>
                <w:rFonts w:ascii="Arial" w:cs="Arial" w:eastAsia="Arial" w:hAnsi="Arial"/>
                <w:sz w:val="18"/>
                <w:szCs w:val="18"/>
                <w:color w:val="auto"/>
              </w:rPr>
              <w:t>Realized gains</w:t>
            </w:r>
          </w:p>
        </w:tc>
        <w:tc>
          <w:tcPr>
            <w:tcW w:w="1440" w:type="dxa"/>
            <w:vAlign w:val="bottom"/>
            <w:gridSpan w:val="2"/>
          </w:tcPr>
          <w:p>
            <w:pPr>
              <w:ind w:left="1320"/>
              <w:spacing w:after="0"/>
              <w:rPr>
                <w:sz w:val="20"/>
                <w:szCs w:val="20"/>
                <w:color w:val="auto"/>
              </w:rPr>
            </w:pPr>
            <w:r>
              <w:rPr>
                <w:rFonts w:ascii="Arial" w:cs="Arial" w:eastAsia="Arial" w:hAnsi="Arial"/>
                <w:sz w:val="18"/>
                <w:szCs w:val="18"/>
                <w:color w:val="auto"/>
                <w:w w:val="99"/>
              </w:rPr>
              <w:t>$</w:t>
            </w:r>
          </w:p>
        </w:tc>
        <w:tc>
          <w:tcPr>
            <w:tcW w:w="1580" w:type="dxa"/>
            <w:vAlign w:val="bottom"/>
            <w:gridSpan w:val="2"/>
          </w:tcPr>
          <w:p>
            <w:pPr>
              <w:jc w:val="right"/>
              <w:ind w:right="5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128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42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1000" w:type="dxa"/>
            <w:vAlign w:val="bottom"/>
          </w:tcPr>
          <w:p>
            <w:pPr>
              <w:ind w:left="820"/>
              <w:spacing w:after="0"/>
              <w:rPr>
                <w:sz w:val="20"/>
                <w:szCs w:val="20"/>
                <w:color w:val="auto"/>
              </w:rPr>
            </w:pPr>
            <w:r>
              <w:rPr>
                <w:rFonts w:ascii="Arial" w:cs="Arial" w:eastAsia="Arial" w:hAnsi="Arial"/>
                <w:sz w:val="18"/>
                <w:szCs w:val="18"/>
                <w:color w:val="auto"/>
                <w:w w:val="88"/>
              </w:rPr>
              <w:t>—</w:t>
            </w:r>
          </w:p>
        </w:tc>
        <w:tc>
          <w:tcPr>
            <w:tcW w:w="640" w:type="dxa"/>
            <w:vAlign w:val="bottom"/>
            <w:tcBorders>
              <w:right w:val="single" w:sz="8" w:color="auto"/>
            </w:tcBorders>
          </w:tcPr>
          <w:p>
            <w:pPr>
              <w:spacing w:after="0"/>
              <w:rPr>
                <w:sz w:val="18"/>
                <w:szCs w:val="18"/>
                <w:color w:val="auto"/>
              </w:rPr>
            </w:pPr>
          </w:p>
        </w:tc>
        <w:tc>
          <w:tcPr>
            <w:tcW w:w="540" w:type="dxa"/>
            <w:vAlign w:val="bottom"/>
            <w:gridSpan w:val="2"/>
          </w:tcPr>
          <w:p>
            <w:pPr>
              <w:ind w:left="460"/>
              <w:spacing w:after="0"/>
              <w:rPr>
                <w:sz w:val="20"/>
                <w:szCs w:val="20"/>
                <w:color w:val="auto"/>
              </w:rPr>
            </w:pPr>
            <w:r>
              <w:rPr>
                <w:rFonts w:ascii="Arial" w:cs="Arial" w:eastAsia="Arial" w:hAnsi="Arial"/>
                <w:sz w:val="15"/>
                <w:szCs w:val="15"/>
                <w:color w:val="auto"/>
                <w:w w:val="71"/>
              </w:rPr>
              <w:t>$</w:t>
            </w:r>
          </w:p>
        </w:tc>
        <w:tc>
          <w:tcPr>
            <w:tcW w:w="600" w:type="dxa"/>
            <w:vAlign w:val="bottom"/>
          </w:tcPr>
          <w:p>
            <w:pPr>
              <w:ind w:left="440"/>
              <w:spacing w:after="0"/>
              <w:rPr>
                <w:sz w:val="20"/>
                <w:szCs w:val="20"/>
                <w:color w:val="auto"/>
              </w:rPr>
            </w:pPr>
            <w:r>
              <w:rPr>
                <w:rFonts w:ascii="Arial" w:cs="Arial" w:eastAsia="Arial" w:hAnsi="Arial"/>
                <w:sz w:val="18"/>
                <w:szCs w:val="18"/>
                <w:color w:val="auto"/>
                <w:w w:val="77"/>
              </w:rPr>
              <w:t>—</w:t>
            </w:r>
          </w:p>
        </w:tc>
        <w:tc>
          <w:tcPr>
            <w:tcW w:w="660" w:type="dxa"/>
            <w:vAlign w:val="bottom"/>
            <w:gridSpan w:val="2"/>
          </w:tcPr>
          <w:p>
            <w:pPr>
              <w:ind w:left="580"/>
              <w:spacing w:after="0"/>
              <w:rPr>
                <w:sz w:val="20"/>
                <w:szCs w:val="20"/>
                <w:color w:val="auto"/>
              </w:rPr>
            </w:pPr>
            <w:r>
              <w:rPr>
                <w:rFonts w:ascii="Arial" w:cs="Arial" w:eastAsia="Arial" w:hAnsi="Arial"/>
                <w:sz w:val="15"/>
                <w:szCs w:val="15"/>
                <w:color w:val="auto"/>
                <w:w w:val="71"/>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18"/>
                <w:szCs w:val="18"/>
                <w:color w:val="auto"/>
              </w:rPr>
            </w:pPr>
          </w:p>
        </w:tc>
      </w:tr>
      <w:tr>
        <w:trPr>
          <w:trHeight w:val="216"/>
        </w:trPr>
        <w:tc>
          <w:tcPr>
            <w:tcW w:w="2420" w:type="dxa"/>
            <w:vAlign w:val="bottom"/>
            <w:shd w:val="clear" w:color="auto" w:fill="CCEEFF"/>
          </w:tcPr>
          <w:p>
            <w:pPr>
              <w:spacing w:after="0"/>
              <w:rPr>
                <w:sz w:val="20"/>
                <w:szCs w:val="20"/>
                <w:color w:val="auto"/>
              </w:rPr>
            </w:pPr>
            <w:r>
              <w:rPr>
                <w:rFonts w:ascii="Arial" w:cs="Arial" w:eastAsia="Arial" w:hAnsi="Arial"/>
                <w:sz w:val="18"/>
                <w:szCs w:val="18"/>
                <w:color w:val="auto"/>
              </w:rPr>
              <w:t>Realized losses</w:t>
            </w:r>
          </w:p>
        </w:tc>
        <w:tc>
          <w:tcPr>
            <w:tcW w:w="1440" w:type="dxa"/>
            <w:vAlign w:val="bottom"/>
            <w:gridSpan w:val="2"/>
            <w:shd w:val="clear" w:color="auto" w:fill="CCEEFF"/>
          </w:tcPr>
          <w:p>
            <w:pPr>
              <w:ind w:left="1320"/>
              <w:spacing w:after="0"/>
              <w:rPr>
                <w:sz w:val="20"/>
                <w:szCs w:val="20"/>
                <w:color w:val="auto"/>
              </w:rPr>
            </w:pPr>
            <w:r>
              <w:rPr>
                <w:rFonts w:ascii="Arial" w:cs="Arial" w:eastAsia="Arial" w:hAnsi="Arial"/>
                <w:sz w:val="18"/>
                <w:szCs w:val="18"/>
                <w:color w:val="auto"/>
                <w:w w:val="99"/>
              </w:rPr>
              <w:t>$</w:t>
            </w:r>
          </w:p>
        </w:tc>
        <w:tc>
          <w:tcPr>
            <w:tcW w:w="158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2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42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ind w:left="820"/>
              <w:spacing w:after="0"/>
              <w:rPr>
                <w:sz w:val="20"/>
                <w:szCs w:val="20"/>
                <w:color w:val="auto"/>
              </w:rPr>
            </w:pPr>
            <w:r>
              <w:rPr>
                <w:rFonts w:ascii="Arial" w:cs="Arial" w:eastAsia="Arial" w:hAnsi="Arial"/>
                <w:sz w:val="18"/>
                <w:szCs w:val="18"/>
                <w:color w:val="auto"/>
                <w:w w:val="88"/>
              </w:rPr>
              <w:t>—</w:t>
            </w:r>
          </w:p>
        </w:tc>
        <w:tc>
          <w:tcPr>
            <w:tcW w:w="640" w:type="dxa"/>
            <w:vAlign w:val="bottom"/>
            <w:tcBorders>
              <w:right w:val="single" w:sz="8" w:color="auto"/>
            </w:tcBorders>
            <w:shd w:val="clear" w:color="auto" w:fill="CCEEFF"/>
          </w:tcPr>
          <w:p>
            <w:pPr>
              <w:spacing w:after="0"/>
              <w:rPr>
                <w:sz w:val="18"/>
                <w:szCs w:val="18"/>
                <w:color w:val="auto"/>
              </w:rPr>
            </w:pPr>
          </w:p>
        </w:tc>
        <w:tc>
          <w:tcPr>
            <w:tcW w:w="540" w:type="dxa"/>
            <w:vAlign w:val="bottom"/>
            <w:gridSpan w:val="2"/>
            <w:shd w:val="clear" w:color="auto" w:fill="CCEEFF"/>
          </w:tcPr>
          <w:p>
            <w:pPr>
              <w:ind w:left="460"/>
              <w:spacing w:after="0"/>
              <w:rPr>
                <w:sz w:val="20"/>
                <w:szCs w:val="20"/>
                <w:color w:val="auto"/>
              </w:rPr>
            </w:pPr>
            <w:r>
              <w:rPr>
                <w:rFonts w:ascii="Arial" w:cs="Arial" w:eastAsia="Arial" w:hAnsi="Arial"/>
                <w:sz w:val="15"/>
                <w:szCs w:val="15"/>
                <w:color w:val="auto"/>
                <w:w w:val="71"/>
              </w:rPr>
              <w:t>$</w:t>
            </w:r>
          </w:p>
        </w:tc>
        <w:tc>
          <w:tcPr>
            <w:tcW w:w="600" w:type="dxa"/>
            <w:vAlign w:val="bottom"/>
            <w:shd w:val="clear" w:color="auto" w:fill="CCEEFF"/>
          </w:tcPr>
          <w:p>
            <w:pPr>
              <w:ind w:left="440"/>
              <w:spacing w:after="0"/>
              <w:rPr>
                <w:sz w:val="20"/>
                <w:szCs w:val="20"/>
                <w:color w:val="auto"/>
              </w:rPr>
            </w:pPr>
            <w:r>
              <w:rPr>
                <w:rFonts w:ascii="Arial" w:cs="Arial" w:eastAsia="Arial" w:hAnsi="Arial"/>
                <w:sz w:val="18"/>
                <w:szCs w:val="18"/>
                <w:color w:val="auto"/>
                <w:w w:val="77"/>
              </w:rPr>
              <w:t>—</w:t>
            </w:r>
          </w:p>
        </w:tc>
        <w:tc>
          <w:tcPr>
            <w:tcW w:w="660" w:type="dxa"/>
            <w:vAlign w:val="bottom"/>
            <w:gridSpan w:val="2"/>
            <w:shd w:val="clear" w:color="auto" w:fill="CCEEFF"/>
          </w:tcPr>
          <w:p>
            <w:pPr>
              <w:ind w:left="580"/>
              <w:spacing w:after="0"/>
              <w:rPr>
                <w:sz w:val="20"/>
                <w:szCs w:val="20"/>
                <w:color w:val="auto"/>
              </w:rPr>
            </w:pPr>
            <w:r>
              <w:rPr>
                <w:rFonts w:ascii="Arial" w:cs="Arial" w:eastAsia="Arial" w:hAnsi="Arial"/>
                <w:sz w:val="15"/>
                <w:szCs w:val="15"/>
                <w:color w:val="auto"/>
                <w:w w:val="71"/>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100" w:type="dxa"/>
            <w:vAlign w:val="bottom"/>
            <w:shd w:val="clear" w:color="auto" w:fill="CCEEFF"/>
          </w:tcPr>
          <w:p>
            <w:pPr>
              <w:spacing w:after="0"/>
              <w:rPr>
                <w:sz w:val="18"/>
                <w:szCs w:val="18"/>
                <w:color w:val="auto"/>
              </w:rPr>
            </w:pPr>
          </w:p>
        </w:tc>
      </w:tr>
    </w:tbl>
    <w:p>
      <w:pPr>
        <w:spacing w:after="0" w:line="154" w:lineRule="exact"/>
        <w:rPr>
          <w:sz w:val="20"/>
          <w:szCs w:val="20"/>
          <w:color w:val="auto"/>
        </w:rPr>
      </w:pPr>
    </w:p>
    <w:p>
      <w:pPr>
        <w:jc w:val="both"/>
        <w:ind w:right="120" w:firstLine="228"/>
        <w:spacing w:after="0" w:line="268" w:lineRule="auto"/>
        <w:rPr>
          <w:sz w:val="20"/>
          <w:szCs w:val="20"/>
          <w:color w:val="auto"/>
        </w:rPr>
      </w:pPr>
      <w:r>
        <w:rPr>
          <w:rFonts w:ascii="Arial" w:cs="Arial" w:eastAsia="Arial" w:hAnsi="Arial"/>
          <w:sz w:val="18"/>
          <w:szCs w:val="18"/>
          <w:color w:val="auto"/>
        </w:rPr>
        <w:t>The following table summarizes the fair value of investments classified as available-for-sale securities by contractual maturity at September 30, 2010 (dollars in millions):</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8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520" w:type="dxa"/>
            <w:vAlign w:val="bottom"/>
            <w:gridSpan w:val="7"/>
          </w:tcPr>
          <w:p>
            <w:pPr>
              <w:jc w:val="right"/>
              <w:ind w:right="580"/>
              <w:spacing w:after="0"/>
              <w:rPr>
                <w:sz w:val="20"/>
                <w:szCs w:val="20"/>
                <w:color w:val="auto"/>
              </w:rPr>
            </w:pPr>
            <w:r>
              <w:rPr>
                <w:rFonts w:ascii="Arial" w:cs="Arial" w:eastAsia="Arial" w:hAnsi="Arial"/>
                <w:sz w:val="14"/>
                <w:szCs w:val="14"/>
                <w:b w:val="1"/>
                <w:bCs w:val="1"/>
                <w:color w:val="auto"/>
              </w:rPr>
              <w:t>Successor</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8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20" w:type="dxa"/>
            <w:vAlign w:val="bottom"/>
            <w:tcBorders>
              <w:top w:val="single" w:sz="8" w:color="auto"/>
            </w:tcBorders>
            <w:gridSpan w:val="3"/>
          </w:tcPr>
          <w:p>
            <w:pPr>
              <w:spacing w:after="0" w:line="129" w:lineRule="exact"/>
              <w:rPr>
                <w:sz w:val="20"/>
                <w:szCs w:val="20"/>
                <w:color w:val="auto"/>
              </w:rPr>
            </w:pPr>
            <w:r>
              <w:rPr>
                <w:rFonts w:ascii="Arial" w:cs="Arial" w:eastAsia="Arial" w:hAnsi="Arial"/>
                <w:sz w:val="14"/>
                <w:szCs w:val="14"/>
                <w:b w:val="1"/>
                <w:bCs w:val="1"/>
                <w:color w:val="auto"/>
              </w:rPr>
              <w:t>Amortized</w:t>
            </w:r>
          </w:p>
        </w:tc>
        <w:tc>
          <w:tcPr>
            <w:tcW w:w="20" w:type="dxa"/>
            <w:vAlign w:val="bottom"/>
            <w:tcBorders>
              <w:top w:val="single" w:sz="8" w:color="auto"/>
            </w:tcBorders>
          </w:tcPr>
          <w:p>
            <w:pPr>
              <w:spacing w:after="0"/>
              <w:rPr>
                <w:sz w:val="11"/>
                <w:szCs w:val="11"/>
                <w:color w:val="auto"/>
              </w:rPr>
            </w:pPr>
          </w:p>
        </w:tc>
        <w:tc>
          <w:tcPr>
            <w:tcW w:w="180" w:type="dxa"/>
            <w:vAlign w:val="bottom"/>
            <w:tcBorders>
              <w:top w:val="single" w:sz="8" w:color="auto"/>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500" w:type="dxa"/>
            <w:vAlign w:val="bottom"/>
            <w:tcBorders>
              <w:top w:val="single" w:sz="8" w:color="auto"/>
            </w:tcBorders>
          </w:tcPr>
          <w:p>
            <w:pPr>
              <w:jc w:val="right"/>
              <w:ind w:right="42"/>
              <w:spacing w:after="0" w:line="129" w:lineRule="exact"/>
              <w:rPr>
                <w:sz w:val="20"/>
                <w:szCs w:val="20"/>
                <w:color w:val="auto"/>
              </w:rPr>
            </w:pPr>
            <w:r>
              <w:rPr>
                <w:rFonts w:ascii="Arial" w:cs="Arial" w:eastAsia="Arial" w:hAnsi="Arial"/>
                <w:sz w:val="14"/>
                <w:szCs w:val="14"/>
                <w:b w:val="1"/>
                <w:bCs w:val="1"/>
                <w:color w:val="auto"/>
              </w:rPr>
              <w:t>Fair</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88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jc w:val="right"/>
              <w:ind w:right="100"/>
              <w:spacing w:after="0"/>
              <w:rPr>
                <w:sz w:val="20"/>
                <w:szCs w:val="20"/>
                <w:color w:val="auto"/>
              </w:rPr>
            </w:pPr>
            <w:r>
              <w:rPr>
                <w:rFonts w:ascii="Arial" w:cs="Arial" w:eastAsia="Arial" w:hAnsi="Arial"/>
                <w:sz w:val="14"/>
                <w:szCs w:val="14"/>
                <w:b w:val="1"/>
                <w:bCs w:val="1"/>
                <w:color w:val="auto"/>
                <w:w w:val="96"/>
              </w:rPr>
              <w:t>Cost</w:t>
            </w: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00" w:type="dxa"/>
            <w:vAlign w:val="bottom"/>
            <w:tcBorders>
              <w:bottom w:val="single" w:sz="8" w:color="auto"/>
            </w:tcBorders>
          </w:tcPr>
          <w:p>
            <w:pPr>
              <w:jc w:val="right"/>
              <w:ind w:right="2"/>
              <w:spacing w:after="0"/>
              <w:rPr>
                <w:sz w:val="20"/>
                <w:szCs w:val="20"/>
                <w:color w:val="auto"/>
              </w:rPr>
            </w:pPr>
            <w:r>
              <w:rPr>
                <w:rFonts w:ascii="Arial" w:cs="Arial" w:eastAsia="Arial" w:hAnsi="Arial"/>
                <w:sz w:val="14"/>
                <w:szCs w:val="14"/>
                <w:b w:val="1"/>
                <w:bCs w:val="1"/>
                <w:color w:val="auto"/>
              </w:rPr>
              <w:t>Value</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860" w:type="dxa"/>
            <w:vAlign w:val="bottom"/>
            <w:shd w:val="clear" w:color="auto" w:fill="CCEEFF"/>
          </w:tcPr>
          <w:p>
            <w:pPr>
              <w:spacing w:after="0"/>
              <w:rPr>
                <w:sz w:val="20"/>
                <w:szCs w:val="20"/>
                <w:color w:val="auto"/>
              </w:rPr>
            </w:pPr>
            <w:r>
              <w:rPr>
                <w:rFonts w:ascii="Arial" w:cs="Arial" w:eastAsia="Arial" w:hAnsi="Arial"/>
                <w:sz w:val="18"/>
                <w:szCs w:val="18"/>
                <w:color w:val="auto"/>
              </w:rPr>
              <w:t>Due in one year or less</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5,874</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$5,875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60" w:type="dxa"/>
            <w:vAlign w:val="bottom"/>
          </w:tcPr>
          <w:p>
            <w:pPr>
              <w:spacing w:after="0"/>
              <w:rPr>
                <w:sz w:val="20"/>
                <w:szCs w:val="20"/>
                <w:color w:val="auto"/>
              </w:rPr>
            </w:pPr>
            <w:r>
              <w:rPr>
                <w:rFonts w:ascii="Arial" w:cs="Arial" w:eastAsia="Arial" w:hAnsi="Arial"/>
                <w:sz w:val="18"/>
                <w:szCs w:val="18"/>
                <w:color w:val="auto"/>
              </w:rPr>
              <w:t>Due after one year through five years</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1</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60" w:type="dxa"/>
            <w:vAlign w:val="bottom"/>
            <w:shd w:val="clear" w:color="auto" w:fill="CCEEFF"/>
          </w:tcPr>
          <w:p>
            <w:pPr>
              <w:spacing w:after="0"/>
              <w:rPr>
                <w:sz w:val="20"/>
                <w:szCs w:val="20"/>
                <w:color w:val="auto"/>
              </w:rPr>
            </w:pPr>
            <w:r>
              <w:rPr>
                <w:rFonts w:ascii="Arial" w:cs="Arial" w:eastAsia="Arial" w:hAnsi="Arial"/>
                <w:sz w:val="18"/>
                <w:szCs w:val="18"/>
                <w:color w:val="auto"/>
              </w:rPr>
              <w:t>Due after five years through ten years</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60" w:type="dxa"/>
            <w:vAlign w:val="bottom"/>
          </w:tcPr>
          <w:p>
            <w:pPr>
              <w:spacing w:after="0"/>
              <w:rPr>
                <w:sz w:val="20"/>
                <w:szCs w:val="20"/>
                <w:color w:val="auto"/>
              </w:rPr>
            </w:pPr>
            <w:r>
              <w:rPr>
                <w:rFonts w:ascii="Arial" w:cs="Arial" w:eastAsia="Arial" w:hAnsi="Arial"/>
                <w:sz w:val="18"/>
                <w:szCs w:val="18"/>
                <w:color w:val="auto"/>
              </w:rPr>
              <w:t>Due after ten years</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88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80" w:type="dxa"/>
            <w:vAlign w:val="bottom"/>
          </w:tcPr>
          <w:p>
            <w:pPr>
              <w:spacing w:after="0"/>
              <w:rPr>
                <w:sz w:val="2"/>
                <w:szCs w:val="2"/>
                <w:color w:val="auto"/>
              </w:rPr>
            </w:pPr>
          </w:p>
        </w:tc>
        <w:tc>
          <w:tcPr>
            <w:tcW w:w="5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8860" w:type="dxa"/>
            <w:vAlign w:val="bottom"/>
            <w:shd w:val="clear" w:color="auto" w:fill="CCEEFF"/>
          </w:tcPr>
          <w:p>
            <w:pPr>
              <w:spacing w:after="0"/>
              <w:rPr>
                <w:sz w:val="20"/>
                <w:szCs w:val="20"/>
                <w:color w:val="auto"/>
              </w:rPr>
            </w:pPr>
            <w:r>
              <w:rPr>
                <w:rFonts w:ascii="Arial" w:cs="Arial" w:eastAsia="Arial" w:hAnsi="Arial"/>
                <w:sz w:val="18"/>
                <w:szCs w:val="18"/>
                <w:color w:val="auto"/>
              </w:rPr>
              <w:t>Total contractual maturities of available-for-sale securities</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5,875</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5,876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860" w:type="dxa"/>
            <w:vAlign w:val="bottom"/>
            <w:vMerge w:val="restart"/>
          </w:tcPr>
          <w:p>
            <w:pPr>
              <w:ind w:left="220"/>
              <w:spacing w:after="0"/>
              <w:rPr>
                <w:sz w:val="20"/>
                <w:szCs w:val="20"/>
                <w:color w:val="auto"/>
              </w:rPr>
            </w:pPr>
            <w:r>
              <w:rPr>
                <w:rFonts w:ascii="Arial" w:cs="Arial" w:eastAsia="Arial" w:hAnsi="Arial"/>
                <w:sz w:val="18"/>
                <w:szCs w:val="18"/>
                <w:color w:val="auto"/>
                <w:w w:val="89"/>
              </w:rPr>
              <w:t>Refer to Note 21 for the amounts recorded as a result of other than temporary impairments on debt and equity securities.</w:t>
            </w: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0"/>
        </w:trPr>
        <w:tc>
          <w:tcPr>
            <w:tcW w:w="20" w:type="dxa"/>
            <w:vAlign w:val="bottom"/>
          </w:tcPr>
          <w:p>
            <w:pPr>
              <w:spacing w:after="0"/>
              <w:rPr>
                <w:sz w:val="24"/>
                <w:szCs w:val="24"/>
                <w:color w:val="auto"/>
              </w:rPr>
            </w:pPr>
          </w:p>
        </w:tc>
        <w:tc>
          <w:tcPr>
            <w:tcW w:w="8860" w:type="dxa"/>
            <w:vAlign w:val="bottom"/>
            <w:vMerge w:val="continue"/>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8880" w:type="dxa"/>
            <w:vAlign w:val="bottom"/>
            <w:gridSpan w:val="2"/>
          </w:tcPr>
          <w:p>
            <w:pPr>
              <w:spacing w:after="0"/>
              <w:rPr>
                <w:sz w:val="20"/>
                <w:szCs w:val="20"/>
                <w:color w:val="auto"/>
              </w:rPr>
            </w:pPr>
            <w:r>
              <w:rPr>
                <w:rFonts w:ascii="Arial" w:cs="Arial" w:eastAsia="Arial" w:hAnsi="Arial"/>
                <w:sz w:val="18"/>
                <w:szCs w:val="18"/>
                <w:b w:val="1"/>
                <w:bCs w:val="1"/>
                <w:color w:val="auto"/>
              </w:rPr>
              <w:t>Note 6. Inventories</w:t>
            </w: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20" w:type="dxa"/>
            <w:vAlign w:val="bottom"/>
          </w:tcPr>
          <w:p>
            <w:pPr>
              <w:spacing w:after="0"/>
              <w:rPr>
                <w:sz w:val="24"/>
                <w:szCs w:val="24"/>
                <w:color w:val="auto"/>
              </w:rPr>
            </w:pPr>
          </w:p>
        </w:tc>
        <w:tc>
          <w:tcPr>
            <w:tcW w:w="8860" w:type="dxa"/>
            <w:vAlign w:val="bottom"/>
          </w:tcPr>
          <w:p>
            <w:pPr>
              <w:ind w:left="220"/>
              <w:spacing w:after="0"/>
              <w:rPr>
                <w:sz w:val="20"/>
                <w:szCs w:val="20"/>
                <w:color w:val="auto"/>
              </w:rPr>
            </w:pPr>
            <w:r>
              <w:rPr>
                <w:rFonts w:ascii="Arial" w:cs="Arial" w:eastAsia="Arial" w:hAnsi="Arial"/>
                <w:sz w:val="18"/>
                <w:szCs w:val="18"/>
                <w:color w:val="auto"/>
              </w:rPr>
              <w:t>The following table summarizes the components of our Inventories (dollars in millions):</w:t>
            </w: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3"/>
        </w:trPr>
        <w:tc>
          <w:tcPr>
            <w:tcW w:w="20" w:type="dxa"/>
            <w:vAlign w:val="bottom"/>
          </w:tcPr>
          <w:p>
            <w:pPr>
              <w:spacing w:after="0"/>
              <w:rPr>
                <w:sz w:val="24"/>
                <w:szCs w:val="24"/>
                <w:color w:val="auto"/>
              </w:rPr>
            </w:pPr>
          </w:p>
        </w:tc>
        <w:tc>
          <w:tcPr>
            <w:tcW w:w="88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b w:val="1"/>
                <w:bCs w:val="1"/>
                <w:color w:val="auto"/>
                <w:w w:val="79"/>
              </w:rPr>
              <w:t>Successor</w:t>
            </w:r>
          </w:p>
        </w:tc>
        <w:tc>
          <w:tcPr>
            <w:tcW w:w="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8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20" w:type="dxa"/>
            <w:vAlign w:val="bottom"/>
            <w:gridSpan w:val="3"/>
          </w:tcPr>
          <w:p>
            <w:pPr>
              <w:spacing w:after="0" w:line="129" w:lineRule="exact"/>
              <w:rPr>
                <w:sz w:val="20"/>
                <w:szCs w:val="20"/>
                <w:color w:val="auto"/>
              </w:rPr>
            </w:pPr>
            <w:r>
              <w:rPr>
                <w:rFonts w:ascii="Arial" w:cs="Arial" w:eastAsia="Arial" w:hAnsi="Arial"/>
                <w:sz w:val="14"/>
                <w:szCs w:val="14"/>
                <w:b w:val="1"/>
                <w:bCs w:val="1"/>
                <w:color w:val="auto"/>
                <w:w w:val="83"/>
              </w:rPr>
              <w:t>September 30,</w:t>
            </w: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0" w:type="dxa"/>
            <w:vAlign w:val="bottom"/>
            <w:gridSpan w:val="3"/>
          </w:tcPr>
          <w:p>
            <w:pPr>
              <w:ind w:left="20"/>
              <w:spacing w:after="0" w:line="129" w:lineRule="exact"/>
              <w:rPr>
                <w:sz w:val="20"/>
                <w:szCs w:val="20"/>
                <w:color w:val="auto"/>
              </w:rPr>
            </w:pPr>
            <w:r>
              <w:rPr>
                <w:rFonts w:ascii="Arial" w:cs="Arial" w:eastAsia="Arial" w:hAnsi="Arial"/>
                <w:sz w:val="14"/>
                <w:szCs w:val="14"/>
                <w:b w:val="1"/>
                <w:bCs w:val="1"/>
                <w:color w:val="auto"/>
                <w:w w:val="83"/>
              </w:rPr>
              <w:t>December 31,</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88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jc w:val="right"/>
              <w:ind w:right="76"/>
              <w:spacing w:after="0"/>
              <w:rPr>
                <w:sz w:val="20"/>
                <w:szCs w:val="20"/>
                <w:color w:val="auto"/>
              </w:rPr>
            </w:pPr>
            <w:r>
              <w:rPr>
                <w:rFonts w:ascii="Arial" w:cs="Arial" w:eastAsia="Arial" w:hAnsi="Arial"/>
                <w:sz w:val="14"/>
                <w:szCs w:val="14"/>
                <w:b w:val="1"/>
                <w:bCs w:val="1"/>
                <w:color w:val="auto"/>
              </w:rPr>
              <w:t>2010</w:t>
            </w:r>
          </w:p>
        </w:tc>
        <w:tc>
          <w:tcPr>
            <w:tcW w:w="120" w:type="dxa"/>
            <w:vAlign w:val="bottom"/>
            <w:tcBorders>
              <w:bottom w:val="single" w:sz="8" w:color="auto"/>
            </w:tcBorders>
          </w:tcPr>
          <w:p>
            <w:pPr>
              <w:spacing w:after="0"/>
              <w:rPr>
                <w:sz w:val="14"/>
                <w:szCs w:val="14"/>
                <w:color w:val="auto"/>
              </w:rPr>
            </w:pPr>
          </w:p>
        </w:tc>
        <w:tc>
          <w:tcPr>
            <w:tcW w:w="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gridSpan w:val="2"/>
          </w:tcPr>
          <w:p>
            <w:pPr>
              <w:jc w:val="right"/>
              <w:ind w:right="182"/>
              <w:spacing w:after="0"/>
              <w:rPr>
                <w:sz w:val="20"/>
                <w:szCs w:val="20"/>
                <w:color w:val="auto"/>
              </w:rPr>
            </w:pPr>
            <w:r>
              <w:rPr>
                <w:rFonts w:ascii="Arial" w:cs="Arial" w:eastAsia="Arial" w:hAnsi="Arial"/>
                <w:sz w:val="14"/>
                <w:szCs w:val="14"/>
                <w:b w:val="1"/>
                <w:bCs w:val="1"/>
                <w:color w:val="auto"/>
              </w:rPr>
              <w:t>2009</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860" w:type="dxa"/>
            <w:vAlign w:val="bottom"/>
            <w:shd w:val="clear" w:color="auto" w:fill="CCEEFF"/>
          </w:tcPr>
          <w:p>
            <w:pPr>
              <w:spacing w:after="0"/>
              <w:rPr>
                <w:sz w:val="20"/>
                <w:szCs w:val="20"/>
                <w:color w:val="auto"/>
              </w:rPr>
            </w:pPr>
            <w:r>
              <w:rPr>
                <w:rFonts w:ascii="Arial" w:cs="Arial" w:eastAsia="Arial" w:hAnsi="Arial"/>
                <w:sz w:val="18"/>
                <w:szCs w:val="18"/>
                <w:color w:val="auto"/>
              </w:rPr>
              <w:t>Productive material, work in process, and supplies</w:t>
            </w:r>
          </w:p>
        </w:tc>
        <w:tc>
          <w:tcPr>
            <w:tcW w:w="38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5,736</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w:t>
            </w: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4,201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860" w:type="dxa"/>
            <w:vAlign w:val="bottom"/>
          </w:tcPr>
          <w:p>
            <w:pPr>
              <w:spacing w:after="0"/>
              <w:rPr>
                <w:sz w:val="20"/>
                <w:szCs w:val="20"/>
                <w:color w:val="auto"/>
              </w:rPr>
            </w:pPr>
            <w:r>
              <w:rPr>
                <w:rFonts w:ascii="Arial" w:cs="Arial" w:eastAsia="Arial" w:hAnsi="Arial"/>
                <w:sz w:val="18"/>
                <w:szCs w:val="18"/>
                <w:color w:val="auto"/>
              </w:rPr>
              <w:t>Finished product, including service parts</w:t>
            </w:r>
          </w:p>
        </w:tc>
        <w:tc>
          <w:tcPr>
            <w:tcW w:w="20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7,308</w:t>
            </w:r>
          </w:p>
        </w:tc>
        <w:tc>
          <w:tcPr>
            <w:tcW w:w="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5,906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60" w:type="dxa"/>
            <w:vAlign w:val="bottom"/>
            <w:shd w:val="clear" w:color="auto" w:fill="CCEEFF"/>
          </w:tcPr>
          <w:p>
            <w:pPr>
              <w:spacing w:after="0"/>
              <w:rPr>
                <w:sz w:val="20"/>
                <w:szCs w:val="20"/>
                <w:color w:val="auto"/>
              </w:rPr>
            </w:pPr>
            <w:r>
              <w:rPr>
                <w:rFonts w:ascii="Arial" w:cs="Arial" w:eastAsia="Arial" w:hAnsi="Arial"/>
                <w:sz w:val="18"/>
                <w:szCs w:val="18"/>
                <w:color w:val="auto"/>
              </w:rPr>
              <w:t>Total inventories</w:t>
            </w:r>
          </w:p>
        </w:tc>
        <w:tc>
          <w:tcPr>
            <w:tcW w:w="38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13,044</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w:t>
            </w: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10,107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8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 Equity in Net Assets of Nonconsolidated Affiliates</w:t>
      </w:r>
    </w:p>
    <w:p>
      <w:pPr>
        <w:spacing w:after="0" w:line="177" w:lineRule="exact"/>
        <w:rPr>
          <w:sz w:val="20"/>
          <w:szCs w:val="20"/>
          <w:color w:val="auto"/>
        </w:rPr>
      </w:pPr>
    </w:p>
    <w:p>
      <w:pPr>
        <w:ind w:right="220" w:firstLine="228"/>
        <w:spacing w:after="0" w:line="268" w:lineRule="auto"/>
        <w:rPr>
          <w:sz w:val="20"/>
          <w:szCs w:val="20"/>
          <w:color w:val="auto"/>
        </w:rPr>
      </w:pPr>
      <w:r>
        <w:rPr>
          <w:rFonts w:ascii="Arial" w:cs="Arial" w:eastAsia="Arial" w:hAnsi="Arial"/>
          <w:sz w:val="18"/>
          <w:szCs w:val="18"/>
          <w:color w:val="auto"/>
        </w:rPr>
        <w:t>Nonconsolidated affiliates are entities in which an equity ownership interest is maintained and for which the equity method of accounting is used, due to the ability to exert significant influence over decisions relating to their operating and financial affairs.</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20"/>
          </w:cols>
          <w:pgMar w:left="240" w:top="459" w:right="23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339" w:lineRule="exact"/>
        <w:rPr>
          <w:sz w:val="20"/>
          <w:szCs w:val="20"/>
          <w:color w:val="auto"/>
        </w:rPr>
      </w:pPr>
    </w:p>
    <w:p>
      <w:pPr>
        <w:ind w:left="240"/>
        <w:spacing w:after="0"/>
        <w:rPr>
          <w:sz w:val="20"/>
          <w:szCs w:val="20"/>
          <w:color w:val="auto"/>
        </w:rPr>
      </w:pPr>
      <w:r>
        <w:rPr>
          <w:rFonts w:ascii="Arial" w:cs="Arial" w:eastAsia="Arial" w:hAnsi="Arial"/>
          <w:sz w:val="16"/>
          <w:szCs w:val="16"/>
          <w:color w:val="auto"/>
        </w:rPr>
        <w:t>The following table summarizes information regarding equity in income of and disposition of interest in nonconsolidated affiliates (dollars in millions):</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80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center"/>
              <w:ind w:right="78"/>
              <w:spacing w:after="0"/>
              <w:rPr>
                <w:sz w:val="20"/>
                <w:szCs w:val="20"/>
                <w:color w:val="auto"/>
              </w:rPr>
            </w:pPr>
            <w:r>
              <w:rPr>
                <w:rFonts w:ascii="Arial" w:cs="Arial" w:eastAsia="Arial" w:hAnsi="Arial"/>
                <w:sz w:val="14"/>
                <w:szCs w:val="14"/>
                <w:b w:val="1"/>
                <w:bCs w:val="1"/>
                <w:color w:val="auto"/>
                <w:w w:val="79"/>
              </w:rPr>
              <w:t>Successor</w:t>
            </w:r>
          </w:p>
        </w:tc>
        <w:tc>
          <w:tcPr>
            <w:tcW w:w="50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spacing w:after="0"/>
              <w:rPr>
                <w:sz w:val="14"/>
                <w:szCs w:val="14"/>
                <w:color w:val="auto"/>
              </w:rPr>
            </w:pPr>
          </w:p>
        </w:tc>
        <w:tc>
          <w:tcPr>
            <w:tcW w:w="620" w:type="dxa"/>
            <w:vAlign w:val="bottom"/>
            <w:tcBorders>
              <w:right w:val="single" w:sz="8" w:color="auto"/>
            </w:tcBorders>
          </w:tcPr>
          <w:p>
            <w:pPr>
              <w:spacing w:after="0"/>
              <w:rPr>
                <w:sz w:val="14"/>
                <w:szCs w:val="14"/>
                <w:color w:val="auto"/>
              </w:rPr>
            </w:pPr>
          </w:p>
        </w:tc>
        <w:tc>
          <w:tcPr>
            <w:tcW w:w="4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gridSpan w:val="3"/>
          </w:tcPr>
          <w:p>
            <w:pPr>
              <w:ind w:left="520"/>
              <w:spacing w:after="0"/>
              <w:rPr>
                <w:sz w:val="20"/>
                <w:szCs w:val="20"/>
                <w:color w:val="auto"/>
              </w:rPr>
            </w:pPr>
            <w:r>
              <w:rPr>
                <w:rFonts w:ascii="Arial" w:cs="Arial" w:eastAsia="Arial" w:hAnsi="Arial"/>
                <w:sz w:val="14"/>
                <w:szCs w:val="14"/>
                <w:b w:val="1"/>
                <w:bCs w:val="1"/>
                <w:color w:val="auto"/>
                <w:w w:val="80"/>
              </w:rPr>
              <w:t>Predecessor</w:t>
            </w:r>
          </w:p>
        </w:tc>
        <w:tc>
          <w:tcPr>
            <w:tcW w:w="6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28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620" w:type="dxa"/>
            <w:vAlign w:val="bottom"/>
            <w:tcBorders>
              <w:right w:val="single" w:sz="8" w:color="auto"/>
            </w:tcBorders>
          </w:tcPr>
          <w:p>
            <w:pPr>
              <w:spacing w:after="0"/>
              <w:rPr>
                <w:sz w:val="11"/>
                <w:szCs w:val="11"/>
                <w:color w:val="auto"/>
              </w:rPr>
            </w:pPr>
          </w:p>
        </w:tc>
        <w:tc>
          <w:tcPr>
            <w:tcW w:w="4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gridSpan w:val="2"/>
          </w:tcPr>
          <w:p>
            <w:pPr>
              <w:ind w:left="20"/>
              <w:spacing w:after="0" w:line="129" w:lineRule="exact"/>
              <w:rPr>
                <w:sz w:val="20"/>
                <w:szCs w:val="20"/>
                <w:color w:val="auto"/>
              </w:rPr>
            </w:pPr>
            <w:r>
              <w:rPr>
                <w:rFonts w:ascii="Arial" w:cs="Arial" w:eastAsia="Arial" w:hAnsi="Arial"/>
                <w:sz w:val="14"/>
                <w:szCs w:val="14"/>
                <w:b w:val="1"/>
                <w:bCs w:val="1"/>
                <w:color w:val="auto"/>
                <w:w w:val="95"/>
              </w:rPr>
              <w:t>January 1,</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2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tcPr>
          <w:p>
            <w:pPr>
              <w:jc w:val="right"/>
              <w:ind w:right="77"/>
              <w:spacing w:after="0" w:line="149" w:lineRule="exact"/>
              <w:rPr>
                <w:sz w:val="20"/>
                <w:szCs w:val="20"/>
                <w:color w:val="auto"/>
              </w:rPr>
            </w:pPr>
            <w:r>
              <w:rPr>
                <w:rFonts w:ascii="Arial" w:cs="Arial" w:eastAsia="Arial" w:hAnsi="Arial"/>
                <w:sz w:val="14"/>
                <w:szCs w:val="14"/>
                <w:b w:val="1"/>
                <w:bCs w:val="1"/>
                <w:color w:val="auto"/>
                <w:w w:val="89"/>
              </w:rPr>
              <w:t>Three Months</w:t>
            </w:r>
          </w:p>
        </w:tc>
        <w:tc>
          <w:tcPr>
            <w:tcW w:w="5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0" w:type="dxa"/>
            <w:vAlign w:val="bottom"/>
          </w:tcPr>
          <w:p>
            <w:pPr>
              <w:jc w:val="center"/>
              <w:ind w:right="58"/>
              <w:spacing w:after="0" w:line="149" w:lineRule="exact"/>
              <w:rPr>
                <w:sz w:val="20"/>
                <w:szCs w:val="20"/>
                <w:color w:val="auto"/>
              </w:rPr>
            </w:pPr>
            <w:r>
              <w:rPr>
                <w:rFonts w:ascii="Arial" w:cs="Arial" w:eastAsia="Arial" w:hAnsi="Arial"/>
                <w:sz w:val="14"/>
                <w:szCs w:val="14"/>
                <w:b w:val="1"/>
                <w:bCs w:val="1"/>
                <w:color w:val="auto"/>
                <w:w w:val="88"/>
              </w:rPr>
              <w:t>Nine Months</w:t>
            </w:r>
          </w:p>
        </w:tc>
        <w:tc>
          <w:tcPr>
            <w:tcW w:w="5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0" w:type="dxa"/>
            <w:vAlign w:val="bottom"/>
          </w:tcPr>
          <w:p>
            <w:pPr>
              <w:jc w:val="right"/>
              <w:ind w:right="97"/>
              <w:spacing w:after="0" w:line="149" w:lineRule="exact"/>
              <w:rPr>
                <w:sz w:val="20"/>
                <w:szCs w:val="20"/>
                <w:color w:val="auto"/>
              </w:rPr>
            </w:pPr>
            <w:r>
              <w:rPr>
                <w:rFonts w:ascii="Arial" w:cs="Arial" w:eastAsia="Arial" w:hAnsi="Arial"/>
                <w:sz w:val="14"/>
                <w:szCs w:val="14"/>
                <w:b w:val="1"/>
                <w:bCs w:val="1"/>
                <w:color w:val="auto"/>
                <w:w w:val="92"/>
              </w:rPr>
              <w:t>July 10, 2009</w:t>
            </w:r>
          </w:p>
        </w:tc>
        <w:tc>
          <w:tcPr>
            <w:tcW w:w="620" w:type="dxa"/>
            <w:vAlign w:val="bottom"/>
            <w:tcBorders>
              <w:right w:val="single" w:sz="8" w:color="auto"/>
            </w:tcBorders>
          </w:tcPr>
          <w:p>
            <w:pPr>
              <w:spacing w:after="0"/>
              <w:rPr>
                <w:sz w:val="12"/>
                <w:szCs w:val="12"/>
                <w:color w:val="auto"/>
              </w:rPr>
            </w:pPr>
          </w:p>
        </w:tc>
        <w:tc>
          <w:tcPr>
            <w:tcW w:w="400" w:type="dxa"/>
            <w:vAlign w:val="bottom"/>
          </w:tcPr>
          <w:p>
            <w:pPr>
              <w:spacing w:after="0"/>
              <w:rPr>
                <w:sz w:val="12"/>
                <w:szCs w:val="12"/>
                <w:color w:val="auto"/>
              </w:rPr>
            </w:pPr>
          </w:p>
        </w:tc>
        <w:tc>
          <w:tcPr>
            <w:tcW w:w="70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w w:val="86"/>
              </w:rPr>
              <w:t>July 1, 2009</w:t>
            </w: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jc w:val="right"/>
              <w:ind w:right="137"/>
              <w:spacing w:after="0" w:line="149" w:lineRule="exact"/>
              <w:rPr>
                <w:sz w:val="20"/>
                <w:szCs w:val="20"/>
                <w:color w:val="auto"/>
              </w:rPr>
            </w:pPr>
            <w:r>
              <w:rPr>
                <w:rFonts w:ascii="Arial" w:cs="Arial" w:eastAsia="Arial" w:hAnsi="Arial"/>
                <w:sz w:val="14"/>
                <w:szCs w:val="14"/>
                <w:b w:val="1"/>
                <w:bCs w:val="1"/>
                <w:color w:val="auto"/>
              </w:rPr>
              <w:t>2009</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2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tcPr>
          <w:p>
            <w:pPr>
              <w:jc w:val="right"/>
              <w:ind w:right="297"/>
              <w:spacing w:after="0" w:line="149" w:lineRule="exact"/>
              <w:rPr>
                <w:sz w:val="20"/>
                <w:szCs w:val="20"/>
                <w:color w:val="auto"/>
              </w:rPr>
            </w:pPr>
            <w:r>
              <w:rPr>
                <w:rFonts w:ascii="Arial" w:cs="Arial" w:eastAsia="Arial" w:hAnsi="Arial"/>
                <w:sz w:val="14"/>
                <w:szCs w:val="14"/>
                <w:b w:val="1"/>
                <w:bCs w:val="1"/>
                <w:color w:val="auto"/>
              </w:rPr>
              <w:t>Ended</w:t>
            </w:r>
          </w:p>
        </w:tc>
        <w:tc>
          <w:tcPr>
            <w:tcW w:w="5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0" w:type="dxa"/>
            <w:vAlign w:val="bottom"/>
          </w:tcPr>
          <w:p>
            <w:pPr>
              <w:jc w:val="center"/>
              <w:ind w:right="58"/>
              <w:spacing w:after="0" w:line="149" w:lineRule="exact"/>
              <w:rPr>
                <w:sz w:val="20"/>
                <w:szCs w:val="20"/>
                <w:color w:val="auto"/>
              </w:rPr>
            </w:pPr>
            <w:r>
              <w:rPr>
                <w:rFonts w:ascii="Arial" w:cs="Arial" w:eastAsia="Arial" w:hAnsi="Arial"/>
                <w:sz w:val="14"/>
                <w:szCs w:val="14"/>
                <w:b w:val="1"/>
                <w:bCs w:val="1"/>
                <w:color w:val="auto"/>
                <w:w w:val="88"/>
              </w:rPr>
              <w:t>Ended</w:t>
            </w:r>
          </w:p>
        </w:tc>
        <w:tc>
          <w:tcPr>
            <w:tcW w:w="5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0" w:type="dxa"/>
            <w:vAlign w:val="bottom"/>
          </w:tcPr>
          <w:p>
            <w:pPr>
              <w:jc w:val="right"/>
              <w:ind w:right="237"/>
              <w:spacing w:after="0" w:line="149" w:lineRule="exact"/>
              <w:rPr>
                <w:sz w:val="20"/>
                <w:szCs w:val="20"/>
                <w:color w:val="auto"/>
              </w:rPr>
            </w:pPr>
            <w:r>
              <w:rPr>
                <w:rFonts w:ascii="Arial" w:cs="Arial" w:eastAsia="Arial" w:hAnsi="Arial"/>
                <w:sz w:val="14"/>
                <w:szCs w:val="14"/>
                <w:b w:val="1"/>
                <w:bCs w:val="1"/>
                <w:color w:val="auto"/>
              </w:rPr>
              <w:t>Through</w:t>
            </w:r>
          </w:p>
        </w:tc>
        <w:tc>
          <w:tcPr>
            <w:tcW w:w="620" w:type="dxa"/>
            <w:vAlign w:val="bottom"/>
            <w:tcBorders>
              <w:right w:val="single" w:sz="8" w:color="auto"/>
            </w:tcBorders>
          </w:tcPr>
          <w:p>
            <w:pPr>
              <w:spacing w:after="0"/>
              <w:rPr>
                <w:sz w:val="12"/>
                <w:szCs w:val="12"/>
                <w:color w:val="auto"/>
              </w:rPr>
            </w:pPr>
          </w:p>
        </w:tc>
        <w:tc>
          <w:tcPr>
            <w:tcW w:w="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jc w:val="right"/>
              <w:ind w:right="17"/>
              <w:spacing w:after="0" w:line="149" w:lineRule="exact"/>
              <w:rPr>
                <w:sz w:val="20"/>
                <w:szCs w:val="20"/>
                <w:color w:val="auto"/>
              </w:rPr>
            </w:pPr>
            <w:r>
              <w:rPr>
                <w:rFonts w:ascii="Arial" w:cs="Arial" w:eastAsia="Arial" w:hAnsi="Arial"/>
                <w:sz w:val="14"/>
                <w:szCs w:val="14"/>
                <w:b w:val="1"/>
                <w:bCs w:val="1"/>
                <w:color w:val="auto"/>
                <w:w w:val="84"/>
              </w:rPr>
              <w:t>Through</w:t>
            </w: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gridSpan w:val="2"/>
          </w:tcPr>
          <w:p>
            <w:pPr>
              <w:jc w:val="right"/>
              <w:ind w:right="200"/>
              <w:spacing w:after="0" w:line="149" w:lineRule="exact"/>
              <w:rPr>
                <w:sz w:val="20"/>
                <w:szCs w:val="20"/>
                <w:color w:val="auto"/>
              </w:rPr>
            </w:pPr>
            <w:r>
              <w:rPr>
                <w:rFonts w:ascii="Arial" w:cs="Arial" w:eastAsia="Arial" w:hAnsi="Arial"/>
                <w:sz w:val="14"/>
                <w:szCs w:val="14"/>
                <w:b w:val="1"/>
                <w:bCs w:val="1"/>
                <w:color w:val="auto"/>
                <w:w w:val="84"/>
              </w:rPr>
              <w:t>Through</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800" w:type="dxa"/>
            <w:vAlign w:val="bottom"/>
          </w:tcPr>
          <w:p>
            <w:pPr>
              <w:spacing w:after="0"/>
              <w:rPr>
                <w:sz w:val="14"/>
                <w:szCs w:val="14"/>
                <w:color w:val="auto"/>
              </w:rPr>
            </w:pPr>
          </w:p>
        </w:tc>
        <w:tc>
          <w:tcPr>
            <w:tcW w:w="1120" w:type="dxa"/>
            <w:vAlign w:val="bottom"/>
            <w:tcBorders>
              <w:bottom w:val="single" w:sz="8" w:color="auto"/>
            </w:tcBorders>
            <w:gridSpan w:val="2"/>
          </w:tcPr>
          <w:p>
            <w:pPr>
              <w:spacing w:after="0"/>
              <w:rPr>
                <w:sz w:val="20"/>
                <w:szCs w:val="20"/>
                <w:color w:val="auto"/>
              </w:rPr>
            </w:pPr>
            <w:r>
              <w:rPr>
                <w:rFonts w:ascii="Arial" w:cs="Arial" w:eastAsia="Arial" w:hAnsi="Arial"/>
                <w:sz w:val="14"/>
                <w:szCs w:val="14"/>
                <w:b w:val="1"/>
                <w:bCs w:val="1"/>
                <w:color w:val="auto"/>
                <w:w w:val="84"/>
              </w:rPr>
              <w:t>September 30, 2010</w:t>
            </w:r>
          </w:p>
        </w:tc>
        <w:tc>
          <w:tcPr>
            <w:tcW w:w="520" w:type="dxa"/>
            <w:vAlign w:val="bottom"/>
          </w:tcPr>
          <w:p>
            <w:pPr>
              <w:spacing w:after="0"/>
              <w:rPr>
                <w:sz w:val="14"/>
                <w:szCs w:val="14"/>
                <w:color w:val="auto"/>
              </w:rPr>
            </w:pPr>
          </w:p>
        </w:tc>
        <w:tc>
          <w:tcPr>
            <w:tcW w:w="114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85"/>
              </w:rPr>
              <w:t>September 30, 2010</w:t>
            </w:r>
          </w:p>
        </w:tc>
        <w:tc>
          <w:tcPr>
            <w:tcW w:w="500" w:type="dxa"/>
            <w:vAlign w:val="bottom"/>
          </w:tcPr>
          <w:p>
            <w:pPr>
              <w:spacing w:after="0"/>
              <w:rPr>
                <w:sz w:val="14"/>
                <w:szCs w:val="14"/>
                <w:color w:val="auto"/>
              </w:rPr>
            </w:pPr>
          </w:p>
        </w:tc>
        <w:tc>
          <w:tcPr>
            <w:tcW w:w="114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b w:val="1"/>
                <w:bCs w:val="1"/>
                <w:color w:val="auto"/>
                <w:w w:val="84"/>
              </w:rPr>
              <w:t>September 30, 2009</w:t>
            </w:r>
          </w:p>
        </w:tc>
        <w:tc>
          <w:tcPr>
            <w:tcW w:w="620" w:type="dxa"/>
            <w:vAlign w:val="bottom"/>
            <w:tcBorders>
              <w:right w:val="single" w:sz="8" w:color="auto"/>
            </w:tcBorders>
          </w:tcPr>
          <w:p>
            <w:pPr>
              <w:spacing w:after="0"/>
              <w:rPr>
                <w:sz w:val="14"/>
                <w:szCs w:val="14"/>
                <w:color w:val="auto"/>
              </w:rPr>
            </w:pPr>
          </w:p>
        </w:tc>
        <w:tc>
          <w:tcPr>
            <w:tcW w:w="400" w:type="dxa"/>
            <w:vAlign w:val="bottom"/>
          </w:tcPr>
          <w:p>
            <w:pPr>
              <w:spacing w:after="0"/>
              <w:rPr>
                <w:sz w:val="14"/>
                <w:szCs w:val="14"/>
                <w:color w:val="auto"/>
              </w:rPr>
            </w:pPr>
          </w:p>
        </w:tc>
        <w:tc>
          <w:tcPr>
            <w:tcW w:w="700" w:type="dxa"/>
            <w:vAlign w:val="bottom"/>
            <w:tcBorders>
              <w:bottom w:val="single" w:sz="8" w:color="auto"/>
            </w:tcBorders>
            <w:gridSpan w:val="2"/>
          </w:tcPr>
          <w:p>
            <w:pPr>
              <w:spacing w:after="0"/>
              <w:rPr>
                <w:sz w:val="20"/>
                <w:szCs w:val="20"/>
                <w:color w:val="auto"/>
              </w:rPr>
            </w:pPr>
            <w:r>
              <w:rPr>
                <w:rFonts w:ascii="Arial" w:cs="Arial" w:eastAsia="Arial" w:hAnsi="Arial"/>
                <w:sz w:val="14"/>
                <w:szCs w:val="14"/>
                <w:b w:val="1"/>
                <w:bCs w:val="1"/>
                <w:color w:val="auto"/>
                <w:w w:val="86"/>
              </w:rPr>
              <w:t>July 9, 2009</w:t>
            </w:r>
          </w:p>
        </w:tc>
        <w:tc>
          <w:tcPr>
            <w:tcW w:w="520" w:type="dxa"/>
            <w:vAlign w:val="bottom"/>
          </w:tcPr>
          <w:p>
            <w:pPr>
              <w:spacing w:after="0"/>
              <w:rPr>
                <w:sz w:val="14"/>
                <w:szCs w:val="14"/>
                <w:color w:val="auto"/>
              </w:rPr>
            </w:pPr>
          </w:p>
        </w:tc>
        <w:tc>
          <w:tcPr>
            <w:tcW w:w="700" w:type="dxa"/>
            <w:vAlign w:val="bottom"/>
            <w:tcBorders>
              <w:bottom w:val="single" w:sz="8" w:color="auto"/>
            </w:tcBorders>
            <w:gridSpan w:val="2"/>
          </w:tcPr>
          <w:p>
            <w:pPr>
              <w:spacing w:after="0"/>
              <w:rPr>
                <w:sz w:val="20"/>
                <w:szCs w:val="20"/>
                <w:color w:val="auto"/>
              </w:rPr>
            </w:pPr>
            <w:r>
              <w:rPr>
                <w:rFonts w:ascii="Arial" w:cs="Arial" w:eastAsia="Arial" w:hAnsi="Arial"/>
                <w:sz w:val="14"/>
                <w:szCs w:val="14"/>
                <w:b w:val="1"/>
                <w:bCs w:val="1"/>
                <w:color w:val="auto"/>
                <w:w w:val="86"/>
              </w:rPr>
              <w:t>July 9, 2009</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9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SGM and SGMW (a)</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336</w:t>
            </w: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1,071</w:t>
            </w:r>
          </w:p>
        </w:tc>
        <w:tc>
          <w:tcPr>
            <w:tcW w:w="64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195</w:t>
            </w:r>
          </w:p>
        </w:tc>
        <w:tc>
          <w:tcPr>
            <w:tcW w:w="620" w:type="dxa"/>
            <w:vAlign w:val="bottom"/>
            <w:tcBorders>
              <w:right w:val="single" w:sz="8" w:color="auto"/>
            </w:tcBorders>
            <w:shd w:val="clear" w:color="auto" w:fill="CCEEFF"/>
          </w:tcPr>
          <w:p>
            <w:pPr>
              <w:spacing w:after="0"/>
              <w:rPr>
                <w:sz w:val="18"/>
                <w:szCs w:val="18"/>
                <w:color w:val="auto"/>
              </w:rPr>
            </w:pPr>
          </w:p>
        </w:tc>
        <w:tc>
          <w:tcPr>
            <w:tcW w:w="50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w w:val="7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620" w:type="dxa"/>
            <w:vAlign w:val="bottom"/>
            <w:gridSpan w:val="2"/>
            <w:shd w:val="clear" w:color="auto" w:fill="CCEEFF"/>
          </w:tcPr>
          <w:p>
            <w:pPr>
              <w:ind w:left="520"/>
              <w:spacing w:after="0"/>
              <w:rPr>
                <w:sz w:val="20"/>
                <w:szCs w:val="20"/>
                <w:color w:val="auto"/>
              </w:rPr>
            </w:pPr>
            <w:r>
              <w:rPr>
                <w:rFonts w:ascii="Arial" w:cs="Arial" w:eastAsia="Arial" w:hAnsi="Arial"/>
                <w:sz w:val="18"/>
                <w:szCs w:val="18"/>
                <w:color w:val="auto"/>
                <w:w w:val="79"/>
              </w:rPr>
              <w:t>$</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298</w:t>
            </w:r>
          </w:p>
        </w:tc>
        <w:tc>
          <w:tcPr>
            <w:tcW w:w="0" w:type="dxa"/>
            <w:vAlign w:val="bottom"/>
          </w:tcPr>
          <w:p>
            <w:pPr>
              <w:spacing w:after="0"/>
              <w:rPr>
                <w:sz w:val="1"/>
                <w:szCs w:val="1"/>
                <w:color w:val="auto"/>
              </w:rPr>
            </w:pPr>
          </w:p>
        </w:tc>
      </w:tr>
      <w:tr>
        <w:trPr>
          <w:trHeight w:val="20"/>
        </w:trPr>
        <w:tc>
          <w:tcPr>
            <w:tcW w:w="3960" w:type="dxa"/>
            <w:vAlign w:val="bottom"/>
            <w:gridSpan w:val="3"/>
            <w:vMerge w:val="restart"/>
          </w:tcPr>
          <w:p>
            <w:pPr>
              <w:spacing w:after="0"/>
              <w:rPr>
                <w:sz w:val="20"/>
                <w:szCs w:val="20"/>
                <w:color w:val="auto"/>
              </w:rPr>
            </w:pPr>
            <w:r>
              <w:rPr>
                <w:rFonts w:ascii="Arial" w:cs="Arial" w:eastAsia="Arial" w:hAnsi="Arial"/>
                <w:sz w:val="18"/>
                <w:szCs w:val="18"/>
                <w:color w:val="auto"/>
              </w:rPr>
              <w:t>Ally Financial (b)</w:t>
            </w:r>
          </w:p>
        </w:tc>
        <w:tc>
          <w:tcPr>
            <w:tcW w:w="12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620" w:type="dxa"/>
            <w:vAlign w:val="bottom"/>
            <w:tcBorders>
              <w:right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3960" w:type="dxa"/>
            <w:vAlign w:val="bottom"/>
            <w:gridSpan w:val="3"/>
            <w:vMerge w:val="continue"/>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5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5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620" w:type="dxa"/>
            <w:vAlign w:val="bottom"/>
            <w:tcBorders>
              <w:right w:val="single" w:sz="8" w:color="auto"/>
            </w:tcBorders>
          </w:tcPr>
          <w:p>
            <w:pPr>
              <w:spacing w:after="0"/>
              <w:rPr>
                <w:sz w:val="19"/>
                <w:szCs w:val="19"/>
                <w:color w:val="auto"/>
              </w:rPr>
            </w:pPr>
          </w:p>
        </w:tc>
        <w:tc>
          <w:tcPr>
            <w:tcW w:w="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w:t>
            </w:r>
          </w:p>
        </w:tc>
        <w:tc>
          <w:tcPr>
            <w:tcW w:w="5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00" w:type="dxa"/>
            <w:vAlign w:val="bottom"/>
            <w:gridSpan w:val="2"/>
          </w:tcPr>
          <w:p>
            <w:pPr>
              <w:jc w:val="right"/>
              <w:ind w:right="40"/>
              <w:spacing w:after="0"/>
              <w:rPr>
                <w:sz w:val="20"/>
                <w:szCs w:val="20"/>
                <w:color w:val="auto"/>
              </w:rPr>
            </w:pPr>
            <w:r>
              <w:rPr>
                <w:rFonts w:ascii="Arial" w:cs="Arial" w:eastAsia="Arial" w:hAnsi="Arial"/>
                <w:sz w:val="18"/>
                <w:szCs w:val="18"/>
                <w:color w:val="auto"/>
              </w:rPr>
              <w:t>(1,097)</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9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Gain on conversion of UST Ally Financial Loan</w:t>
            </w: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620" w:type="dxa"/>
            <w:vAlign w:val="bottom"/>
            <w:tcBorders>
              <w:right w:val="single" w:sz="8" w:color="auto"/>
            </w:tcBorders>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394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(c)</w:t>
            </w:r>
          </w:p>
        </w:tc>
        <w:tc>
          <w:tcPr>
            <w:tcW w:w="1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20" w:type="dxa"/>
            <w:vAlign w:val="bottom"/>
            <w:tcBorders>
              <w:right w:val="single" w:sz="8" w:color="auto"/>
            </w:tcBorders>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2,477</w:t>
            </w:r>
          </w:p>
        </w:tc>
        <w:tc>
          <w:tcPr>
            <w:tcW w:w="0" w:type="dxa"/>
            <w:vAlign w:val="bottom"/>
          </w:tcPr>
          <w:p>
            <w:pPr>
              <w:spacing w:after="0"/>
              <w:rPr>
                <w:sz w:val="1"/>
                <w:szCs w:val="1"/>
                <w:color w:val="auto"/>
              </w:rPr>
            </w:pPr>
          </w:p>
        </w:tc>
      </w:tr>
      <w:tr>
        <w:trPr>
          <w:trHeight w:val="215"/>
        </w:trPr>
        <w:tc>
          <w:tcPr>
            <w:tcW w:w="3960" w:type="dxa"/>
            <w:vAlign w:val="bottom"/>
            <w:gridSpan w:val="3"/>
          </w:tcPr>
          <w:p>
            <w:pPr>
              <w:spacing w:after="0"/>
              <w:rPr>
                <w:sz w:val="20"/>
                <w:szCs w:val="20"/>
                <w:color w:val="auto"/>
              </w:rPr>
            </w:pPr>
            <w:r>
              <w:rPr>
                <w:rFonts w:ascii="Arial" w:cs="Arial" w:eastAsia="Arial" w:hAnsi="Arial"/>
                <w:sz w:val="18"/>
                <w:szCs w:val="18"/>
                <w:color w:val="auto"/>
              </w:rPr>
              <w:t>Total equity in income of and disposition of</w:t>
            </w:r>
          </w:p>
        </w:tc>
        <w:tc>
          <w:tcPr>
            <w:tcW w:w="12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5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5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620" w:type="dxa"/>
            <w:vAlign w:val="bottom"/>
            <w:tcBorders>
              <w:right w:val="single" w:sz="8" w:color="auto"/>
            </w:tcBorders>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600" w:type="dxa"/>
            <w:vAlign w:val="bottom"/>
            <w:tcBorders>
              <w:top w:val="single" w:sz="8" w:color="auto"/>
            </w:tcBorders>
          </w:tcPr>
          <w:p>
            <w:pPr>
              <w:spacing w:after="0"/>
              <w:rPr>
                <w:sz w:val="18"/>
                <w:szCs w:val="18"/>
                <w:color w:val="auto"/>
              </w:rPr>
            </w:pPr>
          </w:p>
        </w:tc>
        <w:tc>
          <w:tcPr>
            <w:tcW w:w="52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6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940" w:type="dxa"/>
            <w:vAlign w:val="bottom"/>
            <w:gridSpan w:val="2"/>
          </w:tcPr>
          <w:p>
            <w:pPr>
              <w:ind w:left="200"/>
              <w:spacing w:after="0"/>
              <w:rPr>
                <w:sz w:val="20"/>
                <w:szCs w:val="20"/>
                <w:color w:val="auto"/>
              </w:rPr>
            </w:pPr>
            <w:r>
              <w:rPr>
                <w:rFonts w:ascii="Arial" w:cs="Arial" w:eastAsia="Arial" w:hAnsi="Arial"/>
                <w:sz w:val="18"/>
                <w:szCs w:val="18"/>
                <w:color w:val="auto"/>
              </w:rPr>
              <w:t>interest in Ally Financial (b)</w:t>
            </w:r>
          </w:p>
        </w:tc>
        <w:tc>
          <w:tcPr>
            <w:tcW w:w="1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5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5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620" w:type="dxa"/>
            <w:vAlign w:val="bottom"/>
            <w:tcBorders>
              <w:right w:val="single" w:sz="8" w:color="auto"/>
            </w:tcBorders>
          </w:tcPr>
          <w:p>
            <w:pPr>
              <w:spacing w:after="0"/>
              <w:rPr>
                <w:sz w:val="19"/>
                <w:szCs w:val="19"/>
                <w:color w:val="auto"/>
              </w:rPr>
            </w:pPr>
          </w:p>
        </w:tc>
        <w:tc>
          <w:tcPr>
            <w:tcW w:w="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w:t>
            </w:r>
          </w:p>
        </w:tc>
        <w:tc>
          <w:tcPr>
            <w:tcW w:w="5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1,380</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39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New United Motor Manufacturing, Inc. (d)</w:t>
            </w: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20" w:type="dxa"/>
            <w:vAlign w:val="bottom"/>
            <w:tcBorders>
              <w:right w:val="single" w:sz="8" w:color="auto"/>
            </w:tcBorders>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(243)</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940" w:type="dxa"/>
            <w:vAlign w:val="bottom"/>
            <w:gridSpan w:val="2"/>
          </w:tcPr>
          <w:p>
            <w:pPr>
              <w:spacing w:after="0"/>
              <w:rPr>
                <w:sz w:val="20"/>
                <w:szCs w:val="20"/>
                <w:color w:val="auto"/>
              </w:rPr>
            </w:pPr>
            <w:r>
              <w:rPr>
                <w:rFonts w:ascii="Arial" w:cs="Arial" w:eastAsia="Arial" w:hAnsi="Arial"/>
                <w:sz w:val="18"/>
                <w:szCs w:val="18"/>
                <w:color w:val="auto"/>
              </w:rPr>
              <w:t>Others</w:t>
            </w:r>
          </w:p>
        </w:tc>
        <w:tc>
          <w:tcPr>
            <w:tcW w:w="1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15</w:t>
            </w:r>
          </w:p>
        </w:tc>
        <w:tc>
          <w:tcPr>
            <w:tcW w:w="5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94</w:t>
            </w:r>
          </w:p>
        </w:tc>
        <w:tc>
          <w:tcPr>
            <w:tcW w:w="5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9</w:t>
            </w:r>
          </w:p>
        </w:tc>
        <w:tc>
          <w:tcPr>
            <w:tcW w:w="620" w:type="dxa"/>
            <w:vAlign w:val="bottom"/>
            <w:tcBorders>
              <w:right w:val="single" w:sz="8" w:color="auto"/>
            </w:tcBorders>
          </w:tcPr>
          <w:p>
            <w:pPr>
              <w:spacing w:after="0"/>
              <w:rPr>
                <w:sz w:val="19"/>
                <w:szCs w:val="19"/>
                <w:color w:val="auto"/>
              </w:rPr>
            </w:pPr>
          </w:p>
        </w:tc>
        <w:tc>
          <w:tcPr>
            <w:tcW w:w="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7</w:t>
            </w:r>
          </w:p>
        </w:tc>
        <w:tc>
          <w:tcPr>
            <w:tcW w:w="5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39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equity in income of nonconsolidated</w:t>
            </w:r>
          </w:p>
        </w:tc>
        <w:tc>
          <w:tcPr>
            <w:tcW w:w="12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620" w:type="dxa"/>
            <w:vAlign w:val="bottom"/>
            <w:tcBorders>
              <w:right w:val="single" w:sz="8" w:color="auto"/>
            </w:tcBorders>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394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affiliates</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351</w:t>
            </w: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1,165</w:t>
            </w:r>
          </w:p>
        </w:tc>
        <w:tc>
          <w:tcPr>
            <w:tcW w:w="64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204</w:t>
            </w:r>
          </w:p>
        </w:tc>
        <w:tc>
          <w:tcPr>
            <w:tcW w:w="620" w:type="dxa"/>
            <w:vAlign w:val="bottom"/>
            <w:tcBorders>
              <w:right w:val="single" w:sz="8" w:color="auto"/>
            </w:tcBorders>
            <w:shd w:val="clear" w:color="auto" w:fill="CCEEFF"/>
          </w:tcPr>
          <w:p>
            <w:pPr>
              <w:spacing w:after="0"/>
              <w:rPr>
                <w:sz w:val="19"/>
                <w:szCs w:val="19"/>
                <w:color w:val="auto"/>
              </w:rPr>
            </w:pPr>
          </w:p>
        </w:tc>
        <w:tc>
          <w:tcPr>
            <w:tcW w:w="50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w w:val="7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620" w:type="dxa"/>
            <w:vAlign w:val="bottom"/>
            <w:gridSpan w:val="2"/>
            <w:shd w:val="clear" w:color="auto" w:fill="CCEEFF"/>
          </w:tcPr>
          <w:p>
            <w:pPr>
              <w:ind w:left="520"/>
              <w:spacing w:after="0"/>
              <w:rPr>
                <w:sz w:val="20"/>
                <w:szCs w:val="20"/>
                <w:color w:val="auto"/>
              </w:rPr>
            </w:pPr>
            <w:r>
              <w:rPr>
                <w:rFonts w:ascii="Arial" w:cs="Arial" w:eastAsia="Arial" w:hAnsi="Arial"/>
                <w:sz w:val="18"/>
                <w:szCs w:val="18"/>
                <w:color w:val="auto"/>
                <w:w w:val="79"/>
              </w:rPr>
              <w:t>$</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1,441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8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right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2"/>
        </w:trPr>
        <w:tc>
          <w:tcPr>
            <w:tcW w:w="20" w:type="dxa"/>
            <w:vAlign w:val="bottom"/>
          </w:tcPr>
          <w:p>
            <w:pPr>
              <w:spacing w:after="0"/>
              <w:rPr>
                <w:sz w:val="8"/>
                <w:szCs w:val="8"/>
                <w:color w:val="auto"/>
              </w:rPr>
            </w:pPr>
          </w:p>
        </w:tc>
        <w:tc>
          <w:tcPr>
            <w:tcW w:w="1140" w:type="dxa"/>
            <w:vAlign w:val="bottom"/>
            <w:tcBorders>
              <w:bottom w:val="single" w:sz="8" w:color="auto"/>
            </w:tcBorders>
          </w:tcPr>
          <w:p>
            <w:pPr>
              <w:spacing w:after="0"/>
              <w:rPr>
                <w:sz w:val="8"/>
                <w:szCs w:val="8"/>
                <w:color w:val="auto"/>
              </w:rPr>
            </w:pPr>
          </w:p>
        </w:tc>
        <w:tc>
          <w:tcPr>
            <w:tcW w:w="280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00" w:type="dxa"/>
            <w:vAlign w:val="bottom"/>
          </w:tcPr>
          <w:p>
            <w:pPr>
              <w:spacing w:after="0"/>
              <w:rPr>
                <w:sz w:val="8"/>
                <w:szCs w:val="8"/>
                <w:color w:val="auto"/>
              </w:rPr>
            </w:pPr>
          </w:p>
        </w:tc>
        <w:tc>
          <w:tcPr>
            <w:tcW w:w="52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00" w:type="dxa"/>
            <w:vAlign w:val="bottom"/>
          </w:tcPr>
          <w:p>
            <w:pPr>
              <w:spacing w:after="0"/>
              <w:rPr>
                <w:sz w:val="8"/>
                <w:szCs w:val="8"/>
                <w:color w:val="auto"/>
              </w:rPr>
            </w:pPr>
          </w:p>
        </w:tc>
        <w:tc>
          <w:tcPr>
            <w:tcW w:w="50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00" w:type="dxa"/>
            <w:vAlign w:val="bottom"/>
          </w:tcPr>
          <w:p>
            <w:pPr>
              <w:spacing w:after="0"/>
              <w:rPr>
                <w:sz w:val="8"/>
                <w:szCs w:val="8"/>
                <w:color w:val="auto"/>
              </w:rPr>
            </w:pPr>
          </w:p>
        </w:tc>
        <w:tc>
          <w:tcPr>
            <w:tcW w:w="62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0" w:type="dxa"/>
            <w:vAlign w:val="bottom"/>
          </w:tcPr>
          <w:p>
            <w:pPr>
              <w:spacing w:after="0"/>
              <w:rPr>
                <w:sz w:val="8"/>
                <w:szCs w:val="8"/>
                <w:color w:val="auto"/>
              </w:rPr>
            </w:pPr>
          </w:p>
        </w:tc>
        <w:tc>
          <w:tcPr>
            <w:tcW w:w="5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19" w:lineRule="exact"/>
        <w:rPr>
          <w:sz w:val="20"/>
          <w:szCs w:val="20"/>
          <w:color w:val="auto"/>
        </w:rPr>
      </w:pPr>
    </w:p>
    <w:p>
      <w:pPr>
        <w:ind w:left="460" w:right="140" w:hanging="452"/>
        <w:spacing w:after="0" w:line="332" w:lineRule="auto"/>
        <w:tabs>
          <w:tab w:leader="none" w:pos="460" w:val="left"/>
        </w:tabs>
        <w:numPr>
          <w:ilvl w:val="0"/>
          <w:numId w:val="9"/>
        </w:numPr>
        <w:rPr>
          <w:rFonts w:ascii="Arial" w:cs="Arial" w:eastAsia="Arial" w:hAnsi="Arial"/>
          <w:sz w:val="16"/>
          <w:szCs w:val="16"/>
          <w:color w:val="auto"/>
        </w:rPr>
      </w:pPr>
      <w:r>
        <w:rPr>
          <w:rFonts w:ascii="Arial" w:cs="Arial" w:eastAsia="Arial" w:hAnsi="Arial"/>
          <w:sz w:val="16"/>
          <w:szCs w:val="16"/>
          <w:color w:val="auto"/>
        </w:rPr>
        <w:t>Includes SGM (49%) in the three and nine months ended September 30, 2010 and (50%) in the periods July 10, 2009 through September 30, 2009, July 1, 2009 through July 9, 2009 and January 1, 2009 through July 9, 2009 and SAIC-GM-Wuling Automobile Co., Ltd. (SGMW) (34%).</w:t>
      </w:r>
    </w:p>
    <w:p>
      <w:pPr>
        <w:spacing w:after="0" w:line="4" w:lineRule="exact"/>
        <w:rPr>
          <w:rFonts w:ascii="Arial" w:cs="Arial" w:eastAsia="Arial" w:hAnsi="Arial"/>
          <w:sz w:val="16"/>
          <w:szCs w:val="16"/>
          <w:color w:val="auto"/>
        </w:rPr>
      </w:pPr>
    </w:p>
    <w:p>
      <w:pPr>
        <w:ind w:left="460" w:right="60" w:hanging="452"/>
        <w:spacing w:after="0" w:line="254" w:lineRule="auto"/>
        <w:tabs>
          <w:tab w:leader="none" w:pos="460" w:val="left"/>
        </w:tabs>
        <w:numPr>
          <w:ilvl w:val="0"/>
          <w:numId w:val="9"/>
        </w:numPr>
        <w:rPr>
          <w:rFonts w:ascii="Arial" w:cs="Arial" w:eastAsia="Arial" w:hAnsi="Arial"/>
          <w:sz w:val="18"/>
          <w:szCs w:val="18"/>
          <w:color w:val="auto"/>
        </w:rPr>
      </w:pPr>
      <w:r>
        <w:rPr>
          <w:rFonts w:ascii="Arial" w:cs="Arial" w:eastAsia="Arial" w:hAnsi="Arial"/>
          <w:sz w:val="18"/>
          <w:szCs w:val="18"/>
          <w:color w:val="auto"/>
        </w:rPr>
        <w:t>Ally Financial converted its status to a C corporation effective June 30, 2009. At that date, Old GM began to account for its investment in Ally Financial using the cost method rather than the equity method as Old GM could not exercise significant influence over Ally Financial. Prior to converting to a C corporation, Old GM’s investment in Ally Financial was accounted for in a manner similar to an investment in a limited partnership and the equity method was applied because Old GM’s influence was more than minor. In connection with Ally Financial’s conversion into a C corporation, each unit of each class of Ally Financial Membership Interests was converted into shares of capital stock of Ally Financial with substantially the same rights and preferences as such Membership Interests.</w:t>
      </w:r>
    </w:p>
    <w:p>
      <w:pPr>
        <w:spacing w:after="0" w:line="63" w:lineRule="exact"/>
        <w:rPr>
          <w:rFonts w:ascii="Arial" w:cs="Arial" w:eastAsia="Arial" w:hAnsi="Arial"/>
          <w:sz w:val="18"/>
          <w:szCs w:val="18"/>
          <w:color w:val="auto"/>
        </w:rPr>
      </w:pPr>
    </w:p>
    <w:p>
      <w:pPr>
        <w:ind w:left="460" w:right="140" w:hanging="452"/>
        <w:spacing w:after="0" w:line="268" w:lineRule="auto"/>
        <w:tabs>
          <w:tab w:leader="none" w:pos="460" w:val="left"/>
        </w:tabs>
        <w:numPr>
          <w:ilvl w:val="0"/>
          <w:numId w:val="9"/>
        </w:numPr>
        <w:rPr>
          <w:rFonts w:ascii="Arial" w:cs="Arial" w:eastAsia="Arial" w:hAnsi="Arial"/>
          <w:sz w:val="18"/>
          <w:szCs w:val="18"/>
          <w:color w:val="auto"/>
        </w:rPr>
      </w:pPr>
      <w:r>
        <w:rPr>
          <w:rFonts w:ascii="Arial" w:cs="Arial" w:eastAsia="Arial" w:hAnsi="Arial"/>
          <w:sz w:val="18"/>
          <w:szCs w:val="18"/>
          <w:color w:val="auto"/>
        </w:rPr>
        <w:t>In May 2009 the UST exercised its option to convert the outstanding amounts owed on the UST Ally Financial Loan (as subsequently defined) into shares of Ally Financial’s Class B Common Membership Interests.</w:t>
      </w:r>
    </w:p>
    <w:p>
      <w:pPr>
        <w:spacing w:after="0" w:line="50" w:lineRule="exact"/>
        <w:rPr>
          <w:rFonts w:ascii="Arial" w:cs="Arial" w:eastAsia="Arial" w:hAnsi="Arial"/>
          <w:sz w:val="18"/>
          <w:szCs w:val="18"/>
          <w:color w:val="auto"/>
        </w:rPr>
      </w:pPr>
    </w:p>
    <w:p>
      <w:pPr>
        <w:ind w:left="460" w:hanging="452"/>
        <w:spacing w:after="0"/>
        <w:tabs>
          <w:tab w:leader="none" w:pos="460" w:val="left"/>
        </w:tabs>
        <w:numPr>
          <w:ilvl w:val="0"/>
          <w:numId w:val="9"/>
        </w:numPr>
        <w:rPr>
          <w:rFonts w:ascii="Arial" w:cs="Arial" w:eastAsia="Arial" w:hAnsi="Arial"/>
          <w:sz w:val="18"/>
          <w:szCs w:val="18"/>
          <w:color w:val="auto"/>
        </w:rPr>
      </w:pPr>
      <w:r>
        <w:rPr>
          <w:rFonts w:ascii="Arial" w:cs="Arial" w:eastAsia="Arial" w:hAnsi="Arial"/>
          <w:sz w:val="18"/>
          <w:szCs w:val="18"/>
          <w:color w:val="auto"/>
        </w:rPr>
        <w:t>New United Motor Manufacturing, Inc. (NUMMI) (50%) was retained by MLC as a part of the 363 Sale.</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Investment in Chinese Joint Ventures</w:t>
      </w:r>
    </w:p>
    <w:p>
      <w:pPr>
        <w:spacing w:after="0" w:line="177" w:lineRule="exact"/>
        <w:rPr>
          <w:sz w:val="20"/>
          <w:szCs w:val="20"/>
          <w:color w:val="auto"/>
        </w:rPr>
      </w:pPr>
    </w:p>
    <w:p>
      <w:pPr>
        <w:ind w:right="180" w:firstLine="228"/>
        <w:spacing w:after="0" w:line="259" w:lineRule="auto"/>
        <w:rPr>
          <w:sz w:val="20"/>
          <w:szCs w:val="20"/>
          <w:color w:val="auto"/>
        </w:rPr>
      </w:pPr>
      <w:r>
        <w:rPr>
          <w:rFonts w:ascii="Arial" w:cs="Arial" w:eastAsia="Arial" w:hAnsi="Arial"/>
          <w:sz w:val="18"/>
          <w:szCs w:val="18"/>
          <w:color w:val="auto"/>
        </w:rPr>
        <w:t>Our Chinese operations, which we established beginning in 1997, are primarily composed of three joint ventures: SGM, SGMW and FAW-GM. Sales and income of these joint ventures are not consolidated into our financial statements; rather, our proportionate share of the earnings of each joint venture is reflected as Equity in income of nonconsolidated affiliates.</w:t>
      </w:r>
    </w:p>
    <w:p>
      <w:pPr>
        <w:spacing w:after="0" w:line="140" w:lineRule="exact"/>
        <w:rPr>
          <w:sz w:val="20"/>
          <w:szCs w:val="20"/>
          <w:color w:val="auto"/>
        </w:rPr>
      </w:pPr>
    </w:p>
    <w:p>
      <w:pPr>
        <w:ind w:right="540" w:firstLine="228"/>
        <w:spacing w:after="0" w:line="298" w:lineRule="auto"/>
        <w:rPr>
          <w:sz w:val="20"/>
          <w:szCs w:val="20"/>
          <w:color w:val="auto"/>
        </w:rPr>
      </w:pPr>
      <w:r>
        <w:rPr>
          <w:rFonts w:ascii="Arial" w:cs="Arial" w:eastAsia="Arial" w:hAnsi="Arial"/>
          <w:sz w:val="16"/>
          <w:szCs w:val="16"/>
          <w:color w:val="auto"/>
        </w:rPr>
        <w:t>SGM is a joint venture established by SAIC (51%) and us (49%) in 1997. SGM has interests in three other joint ventures in China — Shanghai GM (Shenyang) Norsom Motor Co., Ltd (SGM Norsom), Shanghai GM Dong Yue Motors Co., Ltd (SGM DY) and Shanghai GM Dong Yue Powertrain (SGM DYPT). These three joint ventures are jointly held by SGM (50%), SAIC (25%) and us (25%). The four joint ventures (SGM Group) are engaged in the production, import, and sale of a comprehensive range of products under the brands of Buick, Chevrolet, and Cadillac.</w:t>
      </w:r>
    </w:p>
    <w:p>
      <w:pPr>
        <w:spacing w:after="0" w:line="113" w:lineRule="exact"/>
        <w:rPr>
          <w:sz w:val="20"/>
          <w:szCs w:val="20"/>
          <w:color w:val="auto"/>
        </w:rPr>
      </w:pPr>
    </w:p>
    <w:p>
      <w:pPr>
        <w:ind w:right="700" w:firstLine="228"/>
        <w:spacing w:after="0" w:line="268" w:lineRule="auto"/>
        <w:rPr>
          <w:sz w:val="20"/>
          <w:szCs w:val="20"/>
          <w:color w:val="auto"/>
        </w:rPr>
      </w:pPr>
      <w:r>
        <w:rPr>
          <w:rFonts w:ascii="Arial" w:cs="Arial" w:eastAsia="Arial" w:hAnsi="Arial"/>
          <w:sz w:val="18"/>
          <w:szCs w:val="18"/>
          <w:color w:val="auto"/>
        </w:rPr>
        <w:t>SGMW, of which we own 34%, SAIC owns 50% and Liuzhou Wuling Motors Co., Ltd (Wuling) owns 16%, produces mini-commercial vehicles and passenger cars utilizing local architectures under the Wuling and Chevrolet brands. FAW-GM, of which we</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20"/>
          </w:cols>
          <w:pgMar w:left="240" w:top="459" w:right="23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164" w:lineRule="exact"/>
        <w:rPr>
          <w:sz w:val="20"/>
          <w:szCs w:val="20"/>
          <w:color w:val="auto"/>
        </w:rPr>
      </w:pPr>
    </w:p>
    <w:p>
      <w:pPr>
        <w:ind w:right="220"/>
        <w:spacing w:after="0" w:line="268" w:lineRule="auto"/>
        <w:rPr>
          <w:sz w:val="20"/>
          <w:szCs w:val="20"/>
          <w:color w:val="auto"/>
        </w:rPr>
      </w:pPr>
      <w:r>
        <w:rPr>
          <w:rFonts w:ascii="Arial" w:cs="Arial" w:eastAsia="Arial" w:hAnsi="Arial"/>
          <w:sz w:val="18"/>
          <w:szCs w:val="18"/>
          <w:color w:val="auto"/>
        </w:rPr>
        <w:t>own 50% and China FAW Group Corporation (FAW) owns 50%, produces light commercial vehicles under the Jiefang brand and medium vans under the FAW brand. Our joint venture agreements allow for significant rights as a member.</w:t>
      </w:r>
    </w:p>
    <w:p>
      <w:pPr>
        <w:spacing w:after="0" w:line="132" w:lineRule="exact"/>
        <w:rPr>
          <w:sz w:val="20"/>
          <w:szCs w:val="20"/>
          <w:color w:val="auto"/>
        </w:rPr>
      </w:pPr>
    </w:p>
    <w:p>
      <w:pPr>
        <w:ind w:right="20" w:firstLine="228"/>
        <w:spacing w:after="0" w:line="259" w:lineRule="auto"/>
        <w:rPr>
          <w:sz w:val="20"/>
          <w:szCs w:val="20"/>
          <w:color w:val="auto"/>
        </w:rPr>
      </w:pPr>
      <w:r>
        <w:rPr>
          <w:rFonts w:ascii="Arial" w:cs="Arial" w:eastAsia="Arial" w:hAnsi="Arial"/>
          <w:sz w:val="18"/>
          <w:szCs w:val="18"/>
          <w:color w:val="auto"/>
        </w:rPr>
        <w:t>In the three months ended September 30, 2010 we entered into an equity transfer agreement to purchase an additional 10% interest in SGMW from the Wuling Group for $51 million in cash plus an agreement to provide technical services to the Wuling Group through 2013. The transaction is subject to regulatory approval in China. After completing this transaction, we will own 44% of the outstanding stock of SGMW.</w:t>
      </w:r>
    </w:p>
    <w:p>
      <w:pPr>
        <w:spacing w:after="0" w:line="140" w:lineRule="exact"/>
        <w:rPr>
          <w:sz w:val="20"/>
          <w:szCs w:val="20"/>
          <w:color w:val="auto"/>
        </w:rPr>
      </w:pPr>
    </w:p>
    <w:p>
      <w:pPr>
        <w:ind w:left="240"/>
        <w:spacing w:after="0"/>
        <w:rPr>
          <w:sz w:val="20"/>
          <w:szCs w:val="20"/>
          <w:color w:val="auto"/>
        </w:rPr>
      </w:pPr>
      <w:r>
        <w:rPr>
          <w:rFonts w:ascii="Arial" w:cs="Arial" w:eastAsia="Arial" w:hAnsi="Arial"/>
          <w:sz w:val="18"/>
          <w:szCs w:val="18"/>
          <w:color w:val="auto"/>
        </w:rPr>
        <w:t>The following tables summarize certain key financial data for the SGM Group, which excludes SGMW and FAW-GM (dollars in millions):</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3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780" w:type="dxa"/>
            <w:vAlign w:val="bottom"/>
            <w:gridSpan w:val="2"/>
          </w:tcPr>
          <w:p>
            <w:pPr>
              <w:jc w:val="center"/>
              <w:ind w:right="880"/>
              <w:spacing w:after="0"/>
              <w:rPr>
                <w:sz w:val="20"/>
                <w:szCs w:val="20"/>
                <w:color w:val="auto"/>
              </w:rPr>
            </w:pPr>
            <w:r>
              <w:rPr>
                <w:rFonts w:ascii="Arial" w:cs="Arial" w:eastAsia="Arial" w:hAnsi="Arial"/>
                <w:sz w:val="14"/>
                <w:szCs w:val="14"/>
                <w:b w:val="1"/>
                <w:bCs w:val="1"/>
                <w:color w:val="auto"/>
                <w:w w:val="89"/>
              </w:rPr>
              <w:t>Three Months</w:t>
            </w:r>
          </w:p>
        </w:tc>
        <w:tc>
          <w:tcPr>
            <w:tcW w:w="140" w:type="dxa"/>
            <w:vAlign w:val="bottom"/>
          </w:tcPr>
          <w:p>
            <w:pPr>
              <w:spacing w:after="0"/>
              <w:rPr>
                <w:sz w:val="14"/>
                <w:szCs w:val="14"/>
                <w:color w:val="auto"/>
              </w:rPr>
            </w:pPr>
          </w:p>
        </w:tc>
        <w:tc>
          <w:tcPr>
            <w:tcW w:w="1000" w:type="dxa"/>
            <w:vAlign w:val="bottom"/>
          </w:tcPr>
          <w:p>
            <w:pPr>
              <w:jc w:val="right"/>
              <w:ind w:right="122"/>
              <w:spacing w:after="0"/>
              <w:rPr>
                <w:sz w:val="20"/>
                <w:szCs w:val="20"/>
                <w:color w:val="auto"/>
              </w:rPr>
            </w:pPr>
            <w:r>
              <w:rPr>
                <w:rFonts w:ascii="Arial" w:cs="Arial" w:eastAsia="Arial" w:hAnsi="Arial"/>
                <w:sz w:val="14"/>
                <w:szCs w:val="14"/>
                <w:b w:val="1"/>
                <w:bCs w:val="1"/>
                <w:color w:val="auto"/>
                <w:w w:val="92"/>
              </w:rPr>
              <w:t>Nine Months</w:t>
            </w:r>
          </w:p>
        </w:tc>
        <w:tc>
          <w:tcPr>
            <w:tcW w:w="8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0" w:type="dxa"/>
            <w:vAlign w:val="bottom"/>
            <w:gridSpan w:val="2"/>
          </w:tcPr>
          <w:p>
            <w:pPr>
              <w:jc w:val="right"/>
              <w:ind w:right="940"/>
              <w:spacing w:after="0"/>
              <w:rPr>
                <w:sz w:val="20"/>
                <w:szCs w:val="20"/>
                <w:color w:val="auto"/>
              </w:rPr>
            </w:pPr>
            <w:r>
              <w:rPr>
                <w:rFonts w:ascii="Arial" w:cs="Arial" w:eastAsia="Arial" w:hAnsi="Arial"/>
                <w:sz w:val="14"/>
                <w:szCs w:val="14"/>
                <w:b w:val="1"/>
                <w:bCs w:val="1"/>
                <w:color w:val="auto"/>
                <w:w w:val="91"/>
              </w:rPr>
              <w:t>Three Months</w:t>
            </w:r>
          </w:p>
        </w:tc>
        <w:tc>
          <w:tcPr>
            <w:tcW w:w="140" w:type="dxa"/>
            <w:vAlign w:val="bottom"/>
          </w:tcPr>
          <w:p>
            <w:pPr>
              <w:spacing w:after="0"/>
              <w:rPr>
                <w:sz w:val="14"/>
                <w:szCs w:val="14"/>
                <w:color w:val="auto"/>
              </w:rPr>
            </w:pPr>
          </w:p>
        </w:tc>
        <w:tc>
          <w:tcPr>
            <w:tcW w:w="108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0"/>
              </w:rPr>
              <w:t>Nine Months</w:t>
            </w:r>
          </w:p>
        </w:tc>
      </w:tr>
      <w:tr>
        <w:trPr>
          <w:trHeight w:val="149"/>
        </w:trPr>
        <w:tc>
          <w:tcPr>
            <w:tcW w:w="43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780" w:type="dxa"/>
            <w:vAlign w:val="bottom"/>
            <w:gridSpan w:val="2"/>
          </w:tcPr>
          <w:p>
            <w:pPr>
              <w:jc w:val="center"/>
              <w:ind w:right="880"/>
              <w:spacing w:after="0" w:line="149" w:lineRule="exact"/>
              <w:rPr>
                <w:sz w:val="20"/>
                <w:szCs w:val="20"/>
                <w:color w:val="auto"/>
              </w:rPr>
            </w:pPr>
            <w:r>
              <w:rPr>
                <w:rFonts w:ascii="Arial" w:cs="Arial" w:eastAsia="Arial" w:hAnsi="Arial"/>
                <w:sz w:val="14"/>
                <w:szCs w:val="14"/>
                <w:b w:val="1"/>
                <w:bCs w:val="1"/>
                <w:color w:val="auto"/>
                <w:w w:val="88"/>
              </w:rPr>
              <w:t>Ended</w:t>
            </w:r>
          </w:p>
        </w:tc>
        <w:tc>
          <w:tcPr>
            <w:tcW w:w="140" w:type="dxa"/>
            <w:vAlign w:val="bottom"/>
          </w:tcPr>
          <w:p>
            <w:pPr>
              <w:spacing w:after="0"/>
              <w:rPr>
                <w:sz w:val="12"/>
                <w:szCs w:val="12"/>
                <w:color w:val="auto"/>
              </w:rPr>
            </w:pPr>
          </w:p>
        </w:tc>
        <w:tc>
          <w:tcPr>
            <w:tcW w:w="1000" w:type="dxa"/>
            <w:vAlign w:val="bottom"/>
          </w:tcPr>
          <w:p>
            <w:pPr>
              <w:jc w:val="right"/>
              <w:ind w:right="302"/>
              <w:spacing w:after="0" w:line="149" w:lineRule="exact"/>
              <w:rPr>
                <w:sz w:val="20"/>
                <w:szCs w:val="20"/>
                <w:color w:val="auto"/>
              </w:rPr>
            </w:pPr>
            <w:r>
              <w:rPr>
                <w:rFonts w:ascii="Arial" w:cs="Arial" w:eastAsia="Arial" w:hAnsi="Arial"/>
                <w:sz w:val="14"/>
                <w:szCs w:val="14"/>
                <w:b w:val="1"/>
                <w:bCs w:val="1"/>
                <w:color w:val="auto"/>
              </w:rPr>
              <w:t>Ended</w:t>
            </w:r>
          </w:p>
        </w:tc>
        <w:tc>
          <w:tcPr>
            <w:tcW w:w="8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0" w:type="dxa"/>
            <w:vAlign w:val="bottom"/>
            <w:gridSpan w:val="2"/>
          </w:tcPr>
          <w:p>
            <w:pPr>
              <w:jc w:val="right"/>
              <w:ind w:right="1160"/>
              <w:spacing w:after="0" w:line="149" w:lineRule="exact"/>
              <w:rPr>
                <w:sz w:val="20"/>
                <w:szCs w:val="20"/>
                <w:color w:val="auto"/>
              </w:rPr>
            </w:pPr>
            <w:r>
              <w:rPr>
                <w:rFonts w:ascii="Arial" w:cs="Arial" w:eastAsia="Arial" w:hAnsi="Arial"/>
                <w:sz w:val="14"/>
                <w:szCs w:val="14"/>
                <w:b w:val="1"/>
                <w:bCs w:val="1"/>
                <w:color w:val="auto"/>
              </w:rPr>
              <w:t>Ended</w:t>
            </w:r>
          </w:p>
        </w:tc>
        <w:tc>
          <w:tcPr>
            <w:tcW w:w="140" w:type="dxa"/>
            <w:vAlign w:val="bottom"/>
          </w:tcPr>
          <w:p>
            <w:pPr>
              <w:spacing w:after="0"/>
              <w:rPr>
                <w:sz w:val="12"/>
                <w:szCs w:val="12"/>
                <w:color w:val="auto"/>
              </w:rPr>
            </w:pPr>
          </w:p>
        </w:tc>
        <w:tc>
          <w:tcPr>
            <w:tcW w:w="108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84"/>
              </w:rPr>
              <w:t>Ended</w:t>
            </w:r>
          </w:p>
        </w:tc>
      </w:tr>
      <w:tr>
        <w:trPr>
          <w:trHeight w:val="161"/>
        </w:trPr>
        <w:tc>
          <w:tcPr>
            <w:tcW w:w="4360" w:type="dxa"/>
            <w:vAlign w:val="bottom"/>
          </w:tcPr>
          <w:p>
            <w:pPr>
              <w:spacing w:after="0"/>
              <w:rPr>
                <w:sz w:val="14"/>
                <w:szCs w:val="14"/>
                <w:color w:val="auto"/>
              </w:rPr>
            </w:pPr>
          </w:p>
        </w:tc>
        <w:tc>
          <w:tcPr>
            <w:tcW w:w="1140" w:type="dxa"/>
            <w:vAlign w:val="bottom"/>
            <w:gridSpan w:val="2"/>
          </w:tcPr>
          <w:p>
            <w:pPr>
              <w:spacing w:after="0"/>
              <w:rPr>
                <w:sz w:val="20"/>
                <w:szCs w:val="20"/>
                <w:color w:val="auto"/>
              </w:rPr>
            </w:pPr>
            <w:r>
              <w:rPr>
                <w:rFonts w:ascii="Arial" w:cs="Arial" w:eastAsia="Arial" w:hAnsi="Arial"/>
                <w:sz w:val="14"/>
                <w:szCs w:val="14"/>
                <w:b w:val="1"/>
                <w:bCs w:val="1"/>
                <w:color w:val="auto"/>
                <w:w w:val="85"/>
              </w:rPr>
              <w:t>September 30, 2010</w:t>
            </w:r>
          </w:p>
        </w:tc>
        <w:tc>
          <w:tcPr>
            <w:tcW w:w="760" w:type="dxa"/>
            <w:vAlign w:val="bottom"/>
          </w:tcPr>
          <w:p>
            <w:pPr>
              <w:spacing w:after="0"/>
              <w:rPr>
                <w:sz w:val="14"/>
                <w:szCs w:val="14"/>
                <w:color w:val="auto"/>
              </w:rPr>
            </w:pPr>
          </w:p>
        </w:tc>
        <w:tc>
          <w:tcPr>
            <w:tcW w:w="1140" w:type="dxa"/>
            <w:vAlign w:val="bottom"/>
            <w:gridSpan w:val="2"/>
          </w:tcPr>
          <w:p>
            <w:pPr>
              <w:spacing w:after="0"/>
              <w:rPr>
                <w:sz w:val="20"/>
                <w:szCs w:val="20"/>
                <w:color w:val="auto"/>
              </w:rPr>
            </w:pPr>
            <w:r>
              <w:rPr>
                <w:rFonts w:ascii="Arial" w:cs="Arial" w:eastAsia="Arial" w:hAnsi="Arial"/>
                <w:sz w:val="14"/>
                <w:szCs w:val="14"/>
                <w:b w:val="1"/>
                <w:bCs w:val="1"/>
                <w:color w:val="auto"/>
                <w:w w:val="85"/>
              </w:rPr>
              <w:t>September 30, 2010</w:t>
            </w:r>
          </w:p>
        </w:tc>
        <w:tc>
          <w:tcPr>
            <w:tcW w:w="880" w:type="dxa"/>
            <w:vAlign w:val="bottom"/>
          </w:tcPr>
          <w:p>
            <w:pPr>
              <w:spacing w:after="0"/>
              <w:rPr>
                <w:sz w:val="14"/>
                <w:szCs w:val="14"/>
                <w:color w:val="auto"/>
              </w:rPr>
            </w:pPr>
          </w:p>
        </w:tc>
        <w:tc>
          <w:tcPr>
            <w:tcW w:w="1140" w:type="dxa"/>
            <w:vAlign w:val="bottom"/>
            <w:gridSpan w:val="2"/>
          </w:tcPr>
          <w:p>
            <w:pPr>
              <w:ind w:left="20"/>
              <w:spacing w:after="0"/>
              <w:rPr>
                <w:sz w:val="20"/>
                <w:szCs w:val="20"/>
                <w:color w:val="auto"/>
              </w:rPr>
            </w:pPr>
            <w:r>
              <w:rPr>
                <w:rFonts w:ascii="Arial" w:cs="Arial" w:eastAsia="Arial" w:hAnsi="Arial"/>
                <w:sz w:val="14"/>
                <w:szCs w:val="14"/>
                <w:b w:val="1"/>
                <w:bCs w:val="1"/>
                <w:color w:val="auto"/>
                <w:w w:val="84"/>
              </w:rPr>
              <w:t>September 30, 2009</w:t>
            </w:r>
          </w:p>
        </w:tc>
        <w:tc>
          <w:tcPr>
            <w:tcW w:w="780" w:type="dxa"/>
            <w:vAlign w:val="bottom"/>
          </w:tcPr>
          <w:p>
            <w:pPr>
              <w:spacing w:after="0"/>
              <w:rPr>
                <w:sz w:val="14"/>
                <w:szCs w:val="14"/>
                <w:color w:val="auto"/>
              </w:rPr>
            </w:pPr>
          </w:p>
        </w:tc>
        <w:tc>
          <w:tcPr>
            <w:tcW w:w="1220" w:type="dxa"/>
            <w:vAlign w:val="bottom"/>
            <w:gridSpan w:val="3"/>
          </w:tcPr>
          <w:p>
            <w:pPr>
              <w:spacing w:after="0"/>
              <w:rPr>
                <w:sz w:val="20"/>
                <w:szCs w:val="20"/>
                <w:color w:val="auto"/>
              </w:rPr>
            </w:pPr>
            <w:r>
              <w:rPr>
                <w:rFonts w:ascii="Arial" w:cs="Arial" w:eastAsia="Arial" w:hAnsi="Arial"/>
                <w:sz w:val="14"/>
                <w:szCs w:val="14"/>
                <w:b w:val="1"/>
                <w:bCs w:val="1"/>
                <w:color w:val="auto"/>
                <w:w w:val="91"/>
              </w:rPr>
              <w:t>September 30, 2009</w:t>
            </w:r>
          </w:p>
        </w:tc>
      </w:tr>
      <w:tr>
        <w:trPr>
          <w:trHeight w:val="20"/>
        </w:trPr>
        <w:tc>
          <w:tcPr>
            <w:tcW w:w="43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4360" w:type="dxa"/>
            <w:vAlign w:val="bottom"/>
            <w:shd w:val="clear" w:color="auto" w:fill="CCEEFF"/>
          </w:tcPr>
          <w:p>
            <w:pPr>
              <w:spacing w:after="0"/>
              <w:rPr>
                <w:sz w:val="20"/>
                <w:szCs w:val="20"/>
                <w:color w:val="auto"/>
              </w:rPr>
            </w:pPr>
            <w:r>
              <w:rPr>
                <w:rFonts w:ascii="Arial" w:cs="Arial" w:eastAsia="Arial" w:hAnsi="Arial"/>
                <w:sz w:val="18"/>
                <w:szCs w:val="18"/>
                <w:color w:val="auto"/>
              </w:rPr>
              <w:t>Total net sales and revenue</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4,788</w:t>
            </w:r>
          </w:p>
        </w:tc>
        <w:tc>
          <w:tcPr>
            <w:tcW w:w="7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13,881</w:t>
            </w:r>
          </w:p>
        </w:tc>
        <w:tc>
          <w:tcPr>
            <w:tcW w:w="8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1800" w:type="dxa"/>
            <w:vAlign w:val="bottom"/>
            <w:gridSpan w:val="2"/>
            <w:shd w:val="clear" w:color="auto" w:fill="CCEEFF"/>
          </w:tcPr>
          <w:p>
            <w:pPr>
              <w:jc w:val="right"/>
              <w:ind w:right="780"/>
              <w:spacing w:after="0"/>
              <w:rPr>
                <w:sz w:val="20"/>
                <w:szCs w:val="20"/>
                <w:color w:val="auto"/>
              </w:rPr>
            </w:pPr>
            <w:r>
              <w:rPr>
                <w:rFonts w:ascii="Arial" w:cs="Arial" w:eastAsia="Arial" w:hAnsi="Arial"/>
                <w:sz w:val="18"/>
                <w:szCs w:val="18"/>
                <w:color w:val="auto"/>
              </w:rPr>
              <w:t>3,590</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8,657</w:t>
            </w:r>
          </w:p>
        </w:tc>
        <w:tc>
          <w:tcPr>
            <w:tcW w:w="100" w:type="dxa"/>
            <w:vAlign w:val="bottom"/>
            <w:shd w:val="clear" w:color="auto" w:fill="CCEEFF"/>
          </w:tcPr>
          <w:p>
            <w:pPr>
              <w:spacing w:after="0"/>
              <w:rPr>
                <w:sz w:val="18"/>
                <w:szCs w:val="18"/>
                <w:color w:val="auto"/>
              </w:rPr>
            </w:pPr>
          </w:p>
        </w:tc>
      </w:tr>
      <w:tr>
        <w:trPr>
          <w:trHeight w:val="222"/>
        </w:trPr>
        <w:tc>
          <w:tcPr>
            <w:tcW w:w="4360" w:type="dxa"/>
            <w:vAlign w:val="bottom"/>
          </w:tcPr>
          <w:p>
            <w:pPr>
              <w:spacing w:after="0"/>
              <w:rPr>
                <w:sz w:val="20"/>
                <w:szCs w:val="20"/>
                <w:color w:val="auto"/>
              </w:rPr>
            </w:pPr>
            <w:r>
              <w:rPr>
                <w:rFonts w:ascii="Arial" w:cs="Arial" w:eastAsia="Arial" w:hAnsi="Arial"/>
                <w:sz w:val="18"/>
                <w:szCs w:val="18"/>
                <w:color w:val="auto"/>
              </w:rPr>
              <w:t>Net income</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1780" w:type="dxa"/>
            <w:vAlign w:val="bottom"/>
            <w:gridSpan w:val="2"/>
          </w:tcPr>
          <w:p>
            <w:pPr>
              <w:jc w:val="right"/>
              <w:ind w:right="760"/>
              <w:spacing w:after="0"/>
              <w:rPr>
                <w:sz w:val="20"/>
                <w:szCs w:val="20"/>
                <w:color w:val="auto"/>
              </w:rPr>
            </w:pPr>
            <w:r>
              <w:rPr>
                <w:rFonts w:ascii="Arial" w:cs="Arial" w:eastAsia="Arial" w:hAnsi="Arial"/>
                <w:sz w:val="18"/>
                <w:szCs w:val="18"/>
                <w:color w:val="auto"/>
              </w:rPr>
              <w:t>611</w:t>
            </w: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1,915</w:t>
            </w:r>
          </w:p>
        </w:tc>
        <w:tc>
          <w:tcPr>
            <w:tcW w:w="1000" w:type="dxa"/>
            <w:vAlign w:val="bottom"/>
            <w:gridSpan w:val="2"/>
          </w:tcPr>
          <w:p>
            <w:pPr>
              <w:ind w:left="880"/>
              <w:spacing w:after="0"/>
              <w:rPr>
                <w:sz w:val="20"/>
                <w:szCs w:val="20"/>
                <w:color w:val="auto"/>
              </w:rPr>
            </w:pPr>
            <w:r>
              <w:rPr>
                <w:rFonts w:ascii="Arial" w:cs="Arial" w:eastAsia="Arial" w:hAnsi="Arial"/>
                <w:sz w:val="18"/>
                <w:szCs w:val="18"/>
                <w:color w:val="auto"/>
                <w:w w:val="99"/>
              </w:rPr>
              <w:t>$</w:t>
            </w:r>
          </w:p>
        </w:tc>
        <w:tc>
          <w:tcPr>
            <w:tcW w:w="1800" w:type="dxa"/>
            <w:vAlign w:val="bottom"/>
            <w:gridSpan w:val="2"/>
          </w:tcPr>
          <w:p>
            <w:pPr>
              <w:jc w:val="right"/>
              <w:ind w:right="780"/>
              <w:spacing w:after="0"/>
              <w:rPr>
                <w:sz w:val="20"/>
                <w:szCs w:val="20"/>
                <w:color w:val="auto"/>
              </w:rPr>
            </w:pPr>
            <w:r>
              <w:rPr>
                <w:rFonts w:ascii="Arial" w:cs="Arial" w:eastAsia="Arial" w:hAnsi="Arial"/>
                <w:sz w:val="18"/>
                <w:szCs w:val="18"/>
                <w:color w:val="auto"/>
              </w:rPr>
              <w:t>382</w:t>
            </w: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838</w:t>
            </w:r>
          </w:p>
        </w:tc>
        <w:tc>
          <w:tcPr>
            <w:tcW w:w="100" w:type="dxa"/>
            <w:vAlign w:val="bottom"/>
          </w:tcPr>
          <w:p>
            <w:pPr>
              <w:spacing w:after="0"/>
              <w:rPr>
                <w:sz w:val="19"/>
                <w:szCs w:val="19"/>
                <w:color w:val="auto"/>
              </w:rPr>
            </w:pPr>
          </w:p>
        </w:tc>
      </w:tr>
      <w:tr>
        <w:trPr>
          <w:trHeight w:val="358"/>
        </w:trPr>
        <w:tc>
          <w:tcPr>
            <w:tcW w:w="4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14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b w:val="1"/>
                <w:bCs w:val="1"/>
                <w:color w:val="auto"/>
                <w:w w:val="84"/>
              </w:rPr>
              <w:t>September 30, 2010</w:t>
            </w:r>
          </w:p>
        </w:tc>
        <w:tc>
          <w:tcPr>
            <w:tcW w:w="780" w:type="dxa"/>
            <w:vAlign w:val="bottom"/>
          </w:tcPr>
          <w:p>
            <w:pPr>
              <w:spacing w:after="0"/>
              <w:rPr>
                <w:sz w:val="24"/>
                <w:szCs w:val="24"/>
                <w:color w:val="auto"/>
              </w:rPr>
            </w:pPr>
          </w:p>
        </w:tc>
        <w:tc>
          <w:tcPr>
            <w:tcW w:w="112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b w:val="1"/>
                <w:bCs w:val="1"/>
                <w:color w:val="auto"/>
                <w:w w:val="85"/>
              </w:rPr>
              <w:t>December 31, 2009</w:t>
            </w:r>
          </w:p>
        </w:tc>
        <w:tc>
          <w:tcPr>
            <w:tcW w:w="100" w:type="dxa"/>
            <w:vAlign w:val="bottom"/>
          </w:tcPr>
          <w:p>
            <w:pPr>
              <w:spacing w:after="0"/>
              <w:rPr>
                <w:sz w:val="24"/>
                <w:szCs w:val="24"/>
                <w:color w:val="auto"/>
              </w:rPr>
            </w:pPr>
          </w:p>
        </w:tc>
      </w:tr>
      <w:tr>
        <w:trPr>
          <w:trHeight w:val="210"/>
        </w:trPr>
        <w:tc>
          <w:tcPr>
            <w:tcW w:w="436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w:t>
            </w: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ind w:left="880"/>
              <w:spacing w:after="0"/>
              <w:rPr>
                <w:sz w:val="20"/>
                <w:szCs w:val="20"/>
                <w:color w:val="auto"/>
              </w:rPr>
            </w:pPr>
            <w:r>
              <w:rPr>
                <w:rFonts w:ascii="Arial" w:cs="Arial" w:eastAsia="Arial" w:hAnsi="Arial"/>
                <w:sz w:val="18"/>
                <w:szCs w:val="18"/>
                <w:color w:val="auto"/>
                <w:w w:val="99"/>
              </w:rPr>
              <w:t>$</w:t>
            </w:r>
          </w:p>
        </w:tc>
        <w:tc>
          <w:tcPr>
            <w:tcW w:w="1800" w:type="dxa"/>
            <w:vAlign w:val="bottom"/>
            <w:gridSpan w:val="2"/>
            <w:shd w:val="clear" w:color="auto" w:fill="CCEEFF"/>
          </w:tcPr>
          <w:p>
            <w:pPr>
              <w:jc w:val="right"/>
              <w:ind w:right="780"/>
              <w:spacing w:after="0"/>
              <w:rPr>
                <w:sz w:val="20"/>
                <w:szCs w:val="20"/>
                <w:color w:val="auto"/>
              </w:rPr>
            </w:pPr>
            <w:r>
              <w:rPr>
                <w:rFonts w:ascii="Arial" w:cs="Arial" w:eastAsia="Arial" w:hAnsi="Arial"/>
                <w:sz w:val="18"/>
                <w:szCs w:val="18"/>
                <w:color w:val="auto"/>
              </w:rPr>
              <w:t>3,601</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2,995</w:t>
            </w:r>
          </w:p>
        </w:tc>
        <w:tc>
          <w:tcPr>
            <w:tcW w:w="100" w:type="dxa"/>
            <w:vAlign w:val="bottom"/>
            <w:shd w:val="clear" w:color="auto" w:fill="CCEEFF"/>
          </w:tcPr>
          <w:p>
            <w:pPr>
              <w:spacing w:after="0"/>
              <w:rPr>
                <w:sz w:val="18"/>
                <w:szCs w:val="18"/>
                <w:color w:val="auto"/>
              </w:rPr>
            </w:pPr>
          </w:p>
        </w:tc>
      </w:tr>
      <w:tr>
        <w:trPr>
          <w:trHeight w:val="222"/>
        </w:trPr>
        <w:tc>
          <w:tcPr>
            <w:tcW w:w="4360" w:type="dxa"/>
            <w:vAlign w:val="bottom"/>
          </w:tcPr>
          <w:p>
            <w:pPr>
              <w:spacing w:after="0"/>
              <w:rPr>
                <w:sz w:val="20"/>
                <w:szCs w:val="20"/>
                <w:color w:val="auto"/>
              </w:rPr>
            </w:pPr>
            <w:r>
              <w:rPr>
                <w:rFonts w:ascii="Arial" w:cs="Arial" w:eastAsia="Arial" w:hAnsi="Arial"/>
                <w:sz w:val="18"/>
                <w:szCs w:val="18"/>
                <w:color w:val="auto"/>
              </w:rPr>
              <w:t>Debt</w:t>
            </w:r>
          </w:p>
        </w:tc>
        <w:tc>
          <w:tcPr>
            <w:tcW w:w="1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0" w:type="dxa"/>
            <w:vAlign w:val="bottom"/>
            <w:gridSpan w:val="2"/>
          </w:tcPr>
          <w:p>
            <w:pPr>
              <w:ind w:left="880"/>
              <w:spacing w:after="0"/>
              <w:rPr>
                <w:sz w:val="20"/>
                <w:szCs w:val="20"/>
                <w:color w:val="auto"/>
              </w:rPr>
            </w:pPr>
            <w:r>
              <w:rPr>
                <w:rFonts w:ascii="Arial" w:cs="Arial" w:eastAsia="Arial" w:hAnsi="Arial"/>
                <w:sz w:val="18"/>
                <w:szCs w:val="18"/>
                <w:color w:val="auto"/>
                <w:w w:val="99"/>
              </w:rPr>
              <w:t>$</w:t>
            </w:r>
          </w:p>
        </w:tc>
        <w:tc>
          <w:tcPr>
            <w:tcW w:w="1800" w:type="dxa"/>
            <w:vAlign w:val="bottom"/>
            <w:gridSpan w:val="2"/>
          </w:tcPr>
          <w:p>
            <w:pPr>
              <w:jc w:val="right"/>
              <w:ind w:right="780"/>
              <w:spacing w:after="0"/>
              <w:rPr>
                <w:sz w:val="20"/>
                <w:szCs w:val="20"/>
                <w:color w:val="auto"/>
              </w:rPr>
            </w:pPr>
            <w:r>
              <w:rPr>
                <w:rFonts w:ascii="Arial" w:cs="Arial" w:eastAsia="Arial" w:hAnsi="Arial"/>
                <w:sz w:val="18"/>
                <w:szCs w:val="18"/>
                <w:color w:val="auto"/>
              </w:rPr>
              <w:t>7</w:t>
            </w: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7</w:t>
            </w:r>
          </w:p>
        </w:tc>
        <w:tc>
          <w:tcPr>
            <w:tcW w:w="100" w:type="dxa"/>
            <w:vAlign w:val="bottom"/>
          </w:tcPr>
          <w:p>
            <w:pPr>
              <w:spacing w:after="0"/>
              <w:rPr>
                <w:sz w:val="19"/>
                <w:szCs w:val="19"/>
                <w:color w:val="auto"/>
              </w:rPr>
            </w:pPr>
          </w:p>
        </w:tc>
      </w:tr>
    </w:tbl>
    <w:p>
      <w:pPr>
        <w:spacing w:after="0" w:line="1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Investment in Ally Financial</w:t>
      </w:r>
    </w:p>
    <w:p>
      <w:pPr>
        <w:spacing w:after="0" w:line="177" w:lineRule="exact"/>
        <w:rPr>
          <w:sz w:val="20"/>
          <w:szCs w:val="20"/>
          <w:color w:val="auto"/>
        </w:rPr>
      </w:pPr>
    </w:p>
    <w:p>
      <w:pPr>
        <w:jc w:val="both"/>
        <w:ind w:right="80" w:firstLine="228"/>
        <w:spacing w:after="0" w:line="259" w:lineRule="auto"/>
        <w:rPr>
          <w:sz w:val="20"/>
          <w:szCs w:val="20"/>
          <w:color w:val="auto"/>
        </w:rPr>
      </w:pPr>
      <w:r>
        <w:rPr>
          <w:rFonts w:ascii="Arial" w:cs="Arial" w:eastAsia="Arial" w:hAnsi="Arial"/>
          <w:sz w:val="18"/>
          <w:szCs w:val="18"/>
          <w:color w:val="auto"/>
        </w:rPr>
        <w:t>As part of the approval process for Ally Financial to obtain Bank Holding Company status in December 2008, Old GM agreed to reduce its ownership in Ally Financial to less than 10% of the voting and total equity of Ally Financial by December 24, 2011. At September 30, 2010 our equity ownership in Ally Financial was 16.6% as subsequently discussed.</w:t>
      </w:r>
    </w:p>
    <w:p>
      <w:pPr>
        <w:spacing w:after="0" w:line="140" w:lineRule="exact"/>
        <w:rPr>
          <w:sz w:val="20"/>
          <w:szCs w:val="20"/>
          <w:color w:val="auto"/>
        </w:rPr>
      </w:pPr>
    </w:p>
    <w:p>
      <w:pPr>
        <w:ind w:right="140" w:firstLine="228"/>
        <w:spacing w:after="0" w:line="289" w:lineRule="auto"/>
        <w:rPr>
          <w:sz w:val="20"/>
          <w:szCs w:val="20"/>
          <w:color w:val="auto"/>
        </w:rPr>
      </w:pPr>
      <w:r>
        <w:rPr>
          <w:rFonts w:ascii="Arial" w:cs="Arial" w:eastAsia="Arial" w:hAnsi="Arial"/>
          <w:sz w:val="16"/>
          <w:szCs w:val="16"/>
          <w:color w:val="auto"/>
        </w:rPr>
        <w:t>In December 2008 Old GM and FIM Holdings, an assignee of Cerberus ResCap Financing LLC, entered into a subscription agreement with Ally Financial under which each agreed to purchase additional Common Membership Interests in Ally Financial, and the UST committed to provide Old GM with additional funding in order to purchase the additional interests. In January 2009 Old GM entered into the UST Ally Financial Loan Agreement pursuant to which Old GM borrowed $884 million (UST Ally Financial Loan) and utilized those funds to purchase 190,921 Class B Common Membership Interests in Ally Financial. The UST Ally Financial Loan was scheduled to mature in January 2012 and bore interest, payable quarterly, at the same rate of interest as the UST Loans (as subsequently defined in Note 13). The UST Ally Financial Loan Agreement was secured by Old GM’s Common and Preferred Membership Interests in Ally Financial. As part of this loan agreement, the UST had the option to convert outstanding amounts into a maximum of 190,921 shares of Ally Financial’s Class B Common Membership Interests on a pro rata basis.</w:t>
      </w:r>
    </w:p>
    <w:p>
      <w:pPr>
        <w:spacing w:after="0" w:line="118" w:lineRule="exact"/>
        <w:rPr>
          <w:sz w:val="20"/>
          <w:szCs w:val="20"/>
          <w:color w:val="auto"/>
        </w:rPr>
      </w:pPr>
    </w:p>
    <w:p>
      <w:pPr>
        <w:ind w:right="20" w:firstLine="228"/>
        <w:spacing w:after="0" w:line="298" w:lineRule="auto"/>
        <w:rPr>
          <w:sz w:val="20"/>
          <w:szCs w:val="20"/>
          <w:color w:val="auto"/>
        </w:rPr>
      </w:pPr>
      <w:r>
        <w:rPr>
          <w:rFonts w:ascii="Arial" w:cs="Arial" w:eastAsia="Arial" w:hAnsi="Arial"/>
          <w:sz w:val="16"/>
          <w:szCs w:val="16"/>
          <w:color w:val="auto"/>
        </w:rPr>
        <w:t>In May 2009 the UST exercised this option, the outstanding principal and interest under the UST Ally Financial Loan was extinguished, and Old GM recorded a net gain of $483 million. The net gain was comprised of a gain on the disposition of Ally Financial Common Membership Interests of $2.5 billion recorded in Equity in income of and disposition of interest in Ally Financial and a loss on extinguishment of the UST Ally Financial Loan of $2.0 billion recorded in Loss on extinguishment of debt. After the exchange, Old GM’s ownership was reduced to 24.5% of Ally Financial’s Common Membership Interests.</w:t>
      </w:r>
    </w:p>
    <w:p>
      <w:pPr>
        <w:spacing w:after="0" w:line="113" w:lineRule="exact"/>
        <w:rPr>
          <w:sz w:val="20"/>
          <w:szCs w:val="20"/>
          <w:color w:val="auto"/>
        </w:rPr>
      </w:pPr>
    </w:p>
    <w:p>
      <w:pPr>
        <w:ind w:right="40" w:firstLine="228"/>
        <w:spacing w:after="0" w:line="294" w:lineRule="auto"/>
        <w:rPr>
          <w:sz w:val="20"/>
          <w:szCs w:val="20"/>
          <w:color w:val="auto"/>
        </w:rPr>
      </w:pPr>
      <w:r>
        <w:rPr>
          <w:rFonts w:ascii="Arial" w:cs="Arial" w:eastAsia="Arial" w:hAnsi="Arial"/>
          <w:sz w:val="16"/>
          <w:szCs w:val="16"/>
          <w:color w:val="auto"/>
        </w:rPr>
        <w:t>Ally Financial converted its status to a C corporation effective June 30, 2009. At that date, Old GM began to account for its investment in Ally Financial using the cost method rather than the equity method as Old GM could not exercise significant influence over Ally Financial. Prior to converting to a C corporation, Old GM’s investment in Ally Financial was accounted for in a manner similar to an investment in a limited liability partnership and the equity method was applied because Old GM’s influence was more than minor. In connection with Ally Financial’s conversion into a C corporation, each unit of each class of Ally Financial Membership Interests was converted into shares of capital stock of Ally Financial with substantially the same rights and preferences as such</w:t>
      </w:r>
    </w:p>
    <w:p>
      <w:pPr>
        <w:spacing w:after="0" w:line="1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20"/>
          </w:cols>
          <w:pgMar w:left="240" w:top="459" w:right="23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3540"/>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171" w:lineRule="exact"/>
        <w:rPr>
          <w:sz w:val="20"/>
          <w:szCs w:val="20"/>
          <w:color w:val="auto"/>
        </w:rPr>
      </w:pPr>
    </w:p>
    <w:p>
      <w:pPr>
        <w:ind w:left="2260"/>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164" w:lineRule="exact"/>
        <w:rPr>
          <w:sz w:val="20"/>
          <w:szCs w:val="20"/>
          <w:color w:val="auto"/>
        </w:rPr>
      </w:pPr>
    </w:p>
    <w:p>
      <w:pPr>
        <w:spacing w:after="0"/>
        <w:rPr>
          <w:sz w:val="20"/>
          <w:szCs w:val="20"/>
          <w:color w:val="auto"/>
        </w:rPr>
      </w:pPr>
      <w:r>
        <w:rPr>
          <w:rFonts w:ascii="Arial" w:cs="Arial" w:eastAsia="Arial" w:hAnsi="Arial"/>
          <w:sz w:val="16"/>
          <w:szCs w:val="16"/>
          <w:color w:val="auto"/>
        </w:rPr>
        <w:t>Membership Interests. On July 10, 2009 we acquired the investment in Ally Financial’s common and preferred stocks in connection with the 363 Sale.</w:t>
      </w:r>
    </w:p>
    <w:p>
      <w:pPr>
        <w:spacing w:after="0" w:line="194" w:lineRule="exact"/>
        <w:rPr>
          <w:sz w:val="20"/>
          <w:szCs w:val="20"/>
          <w:color w:val="auto"/>
        </w:rPr>
      </w:pPr>
    </w:p>
    <w:p>
      <w:pPr>
        <w:ind w:right="20" w:firstLine="228"/>
        <w:spacing w:after="0" w:line="253" w:lineRule="auto"/>
        <w:rPr>
          <w:sz w:val="20"/>
          <w:szCs w:val="20"/>
          <w:color w:val="auto"/>
        </w:rPr>
      </w:pPr>
      <w:r>
        <w:rPr>
          <w:rFonts w:ascii="Arial" w:cs="Arial" w:eastAsia="Arial" w:hAnsi="Arial"/>
          <w:sz w:val="18"/>
          <w:szCs w:val="18"/>
          <w:color w:val="auto"/>
        </w:rPr>
        <w:t>In December 2009 the UST made a capital contribution to Ally Financial of $3.8 billion consisting of the purchase of trust preferred securities of $2.5 billion and mandatory convertible preferred securities of $1.3 billion. The UST also exchanged all of its existing Ally Financial non-convertible preferred stock for newly issued mandatory convertible preferred securities valued at $5.3 billion. In addition the UST converted mandatory convertible preferred securities valued at $3.0 billion into Ally Financial common stock. These actions resulted in the dilution of our investment in Ally Financial common stock from 24.5% to 16.6%, of which 6.7% is held directly and 9.9% is held in an independent trust. Pursuant to previous commitments to reduce influence over and ownership in Ally Financial, the trustee, who is independent of us, has the sole authority to vote and is required to dispose of our 9.9% ownership in Ally Financial common stock held in the trust by December 24, 2011.</w:t>
      </w:r>
    </w:p>
    <w:p>
      <w:pPr>
        <w:spacing w:after="0" w:line="147" w:lineRule="exact"/>
        <w:rPr>
          <w:sz w:val="20"/>
          <w:szCs w:val="20"/>
          <w:color w:val="auto"/>
        </w:rPr>
      </w:pPr>
    </w:p>
    <w:p>
      <w:pPr>
        <w:ind w:right="100" w:firstLine="228"/>
        <w:spacing w:after="0" w:line="268" w:lineRule="auto"/>
        <w:rPr>
          <w:sz w:val="20"/>
          <w:szCs w:val="20"/>
          <w:color w:val="auto"/>
        </w:rPr>
      </w:pPr>
      <w:r>
        <w:rPr>
          <w:rFonts w:ascii="Arial" w:cs="Arial" w:eastAsia="Arial" w:hAnsi="Arial"/>
          <w:sz w:val="18"/>
          <w:szCs w:val="18"/>
          <w:color w:val="auto"/>
        </w:rPr>
        <w:t>The following tables summarize financial information of Ally Financial for the period Ally Financial was accounted for as a nonconsolidated affiliate (dollars in millions):</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920" w:type="dxa"/>
            <w:vAlign w:val="bottom"/>
          </w:tcPr>
          <w:p>
            <w:pPr>
              <w:spacing w:after="0"/>
              <w:rPr>
                <w:sz w:val="14"/>
                <w:szCs w:val="14"/>
                <w:color w:val="auto"/>
              </w:rPr>
            </w:pPr>
          </w:p>
        </w:tc>
        <w:tc>
          <w:tcPr>
            <w:tcW w:w="5600" w:type="dxa"/>
            <w:vAlign w:val="bottom"/>
          </w:tcPr>
          <w:p>
            <w:pPr>
              <w:spacing w:after="0"/>
              <w:rPr>
                <w:sz w:val="14"/>
                <w:szCs w:val="14"/>
                <w:color w:val="auto"/>
              </w:rPr>
            </w:pPr>
          </w:p>
        </w:tc>
        <w:tc>
          <w:tcPr>
            <w:tcW w:w="900" w:type="dxa"/>
            <w:vAlign w:val="bottom"/>
            <w:gridSpan w:val="3"/>
          </w:tcPr>
          <w:p>
            <w:pPr>
              <w:jc w:val="right"/>
              <w:ind w:right="180"/>
              <w:spacing w:after="0"/>
              <w:rPr>
                <w:sz w:val="20"/>
                <w:szCs w:val="20"/>
                <w:color w:val="auto"/>
              </w:rPr>
            </w:pPr>
            <w:r>
              <w:rPr>
                <w:rFonts w:ascii="Arial" w:cs="Arial" w:eastAsia="Arial" w:hAnsi="Arial"/>
                <w:sz w:val="14"/>
                <w:szCs w:val="14"/>
                <w:b w:val="1"/>
                <w:bCs w:val="1"/>
                <w:color w:val="auto"/>
                <w:w w:val="93"/>
              </w:rPr>
              <w:t>Six Months</w:t>
            </w:r>
          </w:p>
        </w:tc>
      </w:tr>
      <w:tr>
        <w:trPr>
          <w:trHeight w:val="149"/>
        </w:trPr>
        <w:tc>
          <w:tcPr>
            <w:tcW w:w="4920" w:type="dxa"/>
            <w:vAlign w:val="bottom"/>
          </w:tcPr>
          <w:p>
            <w:pPr>
              <w:spacing w:after="0"/>
              <w:rPr>
                <w:sz w:val="12"/>
                <w:szCs w:val="12"/>
                <w:color w:val="auto"/>
              </w:rPr>
            </w:pPr>
          </w:p>
        </w:tc>
        <w:tc>
          <w:tcPr>
            <w:tcW w:w="56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gridSpan w:val="2"/>
          </w:tcPr>
          <w:p>
            <w:pPr>
              <w:jc w:val="right"/>
              <w:ind w:right="320"/>
              <w:spacing w:after="0" w:line="149" w:lineRule="exact"/>
              <w:rPr>
                <w:sz w:val="20"/>
                <w:szCs w:val="20"/>
                <w:color w:val="auto"/>
              </w:rPr>
            </w:pPr>
            <w:r>
              <w:rPr>
                <w:rFonts w:ascii="Arial" w:cs="Arial" w:eastAsia="Arial" w:hAnsi="Arial"/>
                <w:sz w:val="14"/>
                <w:szCs w:val="14"/>
                <w:b w:val="1"/>
                <w:bCs w:val="1"/>
                <w:color w:val="auto"/>
                <w:w w:val="98"/>
              </w:rPr>
              <w:t>Ended</w:t>
            </w:r>
          </w:p>
        </w:tc>
      </w:tr>
      <w:tr>
        <w:trPr>
          <w:trHeight w:val="161"/>
        </w:trPr>
        <w:tc>
          <w:tcPr>
            <w:tcW w:w="4920" w:type="dxa"/>
            <w:vAlign w:val="bottom"/>
          </w:tcPr>
          <w:p>
            <w:pPr>
              <w:spacing w:after="0"/>
              <w:rPr>
                <w:sz w:val="14"/>
                <w:szCs w:val="14"/>
                <w:color w:val="auto"/>
              </w:rPr>
            </w:pPr>
          </w:p>
        </w:tc>
        <w:tc>
          <w:tcPr>
            <w:tcW w:w="5600" w:type="dxa"/>
            <w:vAlign w:val="bottom"/>
          </w:tcPr>
          <w:p>
            <w:pPr>
              <w:spacing w:after="0"/>
              <w:rPr>
                <w:sz w:val="14"/>
                <w:szCs w:val="14"/>
                <w:color w:val="auto"/>
              </w:rPr>
            </w:pPr>
          </w:p>
        </w:tc>
        <w:tc>
          <w:tcPr>
            <w:tcW w:w="900" w:type="dxa"/>
            <w:vAlign w:val="bottom"/>
            <w:gridSpan w:val="3"/>
          </w:tcPr>
          <w:p>
            <w:pPr>
              <w:spacing w:after="0"/>
              <w:rPr>
                <w:sz w:val="20"/>
                <w:szCs w:val="20"/>
                <w:color w:val="auto"/>
              </w:rPr>
            </w:pPr>
            <w:r>
              <w:rPr>
                <w:rFonts w:ascii="Arial" w:cs="Arial" w:eastAsia="Arial" w:hAnsi="Arial"/>
                <w:sz w:val="14"/>
                <w:szCs w:val="14"/>
                <w:b w:val="1"/>
                <w:bCs w:val="1"/>
                <w:color w:val="auto"/>
                <w:w w:val="96"/>
              </w:rPr>
              <w:t>June 30, 2009</w:t>
            </w:r>
          </w:p>
        </w:tc>
      </w:tr>
      <w:tr>
        <w:trPr>
          <w:trHeight w:val="210"/>
        </w:trPr>
        <w:tc>
          <w:tcPr>
            <w:tcW w:w="49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Consolidated Statement of Loss</w:t>
            </w:r>
          </w:p>
        </w:tc>
        <w:tc>
          <w:tcPr>
            <w:tcW w:w="560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4920" w:type="dxa"/>
            <w:vAlign w:val="bottom"/>
          </w:tcPr>
          <w:p>
            <w:pPr>
              <w:spacing w:after="0"/>
              <w:rPr>
                <w:sz w:val="20"/>
                <w:szCs w:val="20"/>
                <w:color w:val="auto"/>
              </w:rPr>
            </w:pPr>
            <w:r>
              <w:rPr>
                <w:rFonts w:ascii="Arial" w:cs="Arial" w:eastAsia="Arial" w:hAnsi="Arial"/>
                <w:sz w:val="18"/>
                <w:szCs w:val="18"/>
                <w:color w:val="auto"/>
              </w:rPr>
              <w:t>Total financing revenue and other interest income</w:t>
            </w:r>
          </w:p>
        </w:tc>
        <w:tc>
          <w:tcPr>
            <w:tcW w:w="5740" w:type="dxa"/>
            <w:vAlign w:val="bottom"/>
            <w:gridSpan w:val="2"/>
          </w:tcPr>
          <w:p>
            <w:pPr>
              <w:ind w:left="5600"/>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6,916</w:t>
            </w:r>
          </w:p>
        </w:tc>
      </w:tr>
      <w:tr>
        <w:trPr>
          <w:trHeight w:val="216"/>
        </w:trPr>
        <w:tc>
          <w:tcPr>
            <w:tcW w:w="4920" w:type="dxa"/>
            <w:vAlign w:val="bottom"/>
            <w:shd w:val="clear" w:color="auto" w:fill="CCEEFF"/>
          </w:tcPr>
          <w:p>
            <w:pPr>
              <w:spacing w:after="0"/>
              <w:rPr>
                <w:sz w:val="20"/>
                <w:szCs w:val="20"/>
                <w:color w:val="auto"/>
              </w:rPr>
            </w:pPr>
            <w:r>
              <w:rPr>
                <w:rFonts w:ascii="Arial" w:cs="Arial" w:eastAsia="Arial" w:hAnsi="Arial"/>
                <w:sz w:val="18"/>
                <w:szCs w:val="18"/>
                <w:color w:val="auto"/>
              </w:rPr>
              <w:t>Total interest expense</w:t>
            </w:r>
          </w:p>
        </w:tc>
        <w:tc>
          <w:tcPr>
            <w:tcW w:w="5740" w:type="dxa"/>
            <w:vAlign w:val="bottom"/>
            <w:gridSpan w:val="2"/>
            <w:shd w:val="clear" w:color="auto" w:fill="CCEEFF"/>
          </w:tcPr>
          <w:p>
            <w:pPr>
              <w:ind w:left="5600"/>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3,936</w:t>
            </w:r>
          </w:p>
        </w:tc>
      </w:tr>
      <w:tr>
        <w:trPr>
          <w:trHeight w:val="216"/>
        </w:trPr>
        <w:tc>
          <w:tcPr>
            <w:tcW w:w="4920" w:type="dxa"/>
            <w:vAlign w:val="bottom"/>
          </w:tcPr>
          <w:p>
            <w:pPr>
              <w:spacing w:after="0"/>
              <w:rPr>
                <w:sz w:val="20"/>
                <w:szCs w:val="20"/>
                <w:color w:val="auto"/>
              </w:rPr>
            </w:pPr>
            <w:r>
              <w:rPr>
                <w:rFonts w:ascii="Arial" w:cs="Arial" w:eastAsia="Arial" w:hAnsi="Arial"/>
                <w:sz w:val="18"/>
                <w:szCs w:val="18"/>
                <w:color w:val="auto"/>
              </w:rPr>
              <w:t>Depreciation expense on operating lease assets</w:t>
            </w:r>
          </w:p>
        </w:tc>
        <w:tc>
          <w:tcPr>
            <w:tcW w:w="5740" w:type="dxa"/>
            <w:vAlign w:val="bottom"/>
            <w:gridSpan w:val="2"/>
          </w:tcPr>
          <w:p>
            <w:pPr>
              <w:ind w:left="5600"/>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2,113</w:t>
            </w:r>
          </w:p>
        </w:tc>
      </w:tr>
      <w:tr>
        <w:trPr>
          <w:trHeight w:val="216"/>
        </w:trPr>
        <w:tc>
          <w:tcPr>
            <w:tcW w:w="4920" w:type="dxa"/>
            <w:vAlign w:val="bottom"/>
            <w:shd w:val="clear" w:color="auto" w:fill="CCEEFF"/>
          </w:tcPr>
          <w:p>
            <w:pPr>
              <w:spacing w:after="0"/>
              <w:rPr>
                <w:sz w:val="20"/>
                <w:szCs w:val="20"/>
                <w:color w:val="auto"/>
              </w:rPr>
            </w:pPr>
            <w:r>
              <w:rPr>
                <w:rFonts w:ascii="Arial" w:cs="Arial" w:eastAsia="Arial" w:hAnsi="Arial"/>
                <w:sz w:val="18"/>
                <w:szCs w:val="18"/>
                <w:color w:val="auto"/>
              </w:rPr>
              <w:t>Gain on extinguishment of debt</w:t>
            </w:r>
          </w:p>
        </w:tc>
        <w:tc>
          <w:tcPr>
            <w:tcW w:w="5740" w:type="dxa"/>
            <w:vAlign w:val="bottom"/>
            <w:gridSpan w:val="2"/>
            <w:shd w:val="clear" w:color="auto" w:fill="CCEEFF"/>
          </w:tcPr>
          <w:p>
            <w:pPr>
              <w:ind w:left="5600"/>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657</w:t>
            </w:r>
          </w:p>
        </w:tc>
      </w:tr>
      <w:tr>
        <w:trPr>
          <w:trHeight w:val="216"/>
        </w:trPr>
        <w:tc>
          <w:tcPr>
            <w:tcW w:w="4920" w:type="dxa"/>
            <w:vAlign w:val="bottom"/>
          </w:tcPr>
          <w:p>
            <w:pPr>
              <w:spacing w:after="0"/>
              <w:rPr>
                <w:sz w:val="20"/>
                <w:szCs w:val="20"/>
                <w:color w:val="auto"/>
              </w:rPr>
            </w:pPr>
            <w:r>
              <w:rPr>
                <w:rFonts w:ascii="Arial" w:cs="Arial" w:eastAsia="Arial" w:hAnsi="Arial"/>
                <w:sz w:val="18"/>
                <w:szCs w:val="18"/>
                <w:color w:val="auto"/>
              </w:rPr>
              <w:t>Total other revenue</w:t>
            </w:r>
          </w:p>
        </w:tc>
        <w:tc>
          <w:tcPr>
            <w:tcW w:w="5740" w:type="dxa"/>
            <w:vAlign w:val="bottom"/>
            <w:gridSpan w:val="2"/>
          </w:tcPr>
          <w:p>
            <w:pPr>
              <w:ind w:left="5600"/>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2,117</w:t>
            </w:r>
          </w:p>
        </w:tc>
      </w:tr>
      <w:tr>
        <w:trPr>
          <w:trHeight w:val="216"/>
        </w:trPr>
        <w:tc>
          <w:tcPr>
            <w:tcW w:w="4920" w:type="dxa"/>
            <w:vAlign w:val="bottom"/>
            <w:shd w:val="clear" w:color="auto" w:fill="CCEEFF"/>
          </w:tcPr>
          <w:p>
            <w:pPr>
              <w:spacing w:after="0"/>
              <w:rPr>
                <w:sz w:val="20"/>
                <w:szCs w:val="20"/>
                <w:color w:val="auto"/>
              </w:rPr>
            </w:pPr>
            <w:r>
              <w:rPr>
                <w:rFonts w:ascii="Arial" w:cs="Arial" w:eastAsia="Arial" w:hAnsi="Arial"/>
                <w:sz w:val="18"/>
                <w:szCs w:val="18"/>
                <w:color w:val="auto"/>
              </w:rPr>
              <w:t>Total noninterest expense</w:t>
            </w:r>
          </w:p>
        </w:tc>
        <w:tc>
          <w:tcPr>
            <w:tcW w:w="5740" w:type="dxa"/>
            <w:vAlign w:val="bottom"/>
            <w:gridSpan w:val="2"/>
            <w:shd w:val="clear" w:color="auto" w:fill="CCEEFF"/>
          </w:tcPr>
          <w:p>
            <w:pPr>
              <w:ind w:left="5600"/>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3,381</w:t>
            </w:r>
          </w:p>
        </w:tc>
      </w:tr>
      <w:tr>
        <w:trPr>
          <w:trHeight w:val="216"/>
        </w:trPr>
        <w:tc>
          <w:tcPr>
            <w:tcW w:w="4920" w:type="dxa"/>
            <w:vAlign w:val="bottom"/>
          </w:tcPr>
          <w:p>
            <w:pPr>
              <w:spacing w:after="0"/>
              <w:rPr>
                <w:sz w:val="20"/>
                <w:szCs w:val="20"/>
                <w:color w:val="auto"/>
              </w:rPr>
            </w:pPr>
            <w:r>
              <w:rPr>
                <w:rFonts w:ascii="Arial" w:cs="Arial" w:eastAsia="Arial" w:hAnsi="Arial"/>
                <w:sz w:val="18"/>
                <w:szCs w:val="18"/>
                <w:color w:val="auto"/>
              </w:rPr>
              <w:t>Loss from continuing operations before income tax expense</w:t>
            </w:r>
          </w:p>
        </w:tc>
        <w:tc>
          <w:tcPr>
            <w:tcW w:w="5740" w:type="dxa"/>
            <w:vAlign w:val="bottom"/>
            <w:gridSpan w:val="2"/>
          </w:tcPr>
          <w:p>
            <w:pPr>
              <w:ind w:left="5600"/>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(2,260)</w:t>
            </w:r>
          </w:p>
        </w:tc>
      </w:tr>
      <w:tr>
        <w:trPr>
          <w:trHeight w:val="216"/>
        </w:trPr>
        <w:tc>
          <w:tcPr>
            <w:tcW w:w="4920" w:type="dxa"/>
            <w:vAlign w:val="bottom"/>
            <w:shd w:val="clear" w:color="auto" w:fill="CCEEFF"/>
          </w:tcPr>
          <w:p>
            <w:pPr>
              <w:spacing w:after="0"/>
              <w:rPr>
                <w:sz w:val="20"/>
                <w:szCs w:val="20"/>
                <w:color w:val="auto"/>
              </w:rPr>
            </w:pPr>
            <w:r>
              <w:rPr>
                <w:rFonts w:ascii="Arial" w:cs="Arial" w:eastAsia="Arial" w:hAnsi="Arial"/>
                <w:sz w:val="18"/>
                <w:szCs w:val="18"/>
                <w:color w:val="auto"/>
              </w:rPr>
              <w:t>Income tax expense from continuing operations</w:t>
            </w:r>
          </w:p>
        </w:tc>
        <w:tc>
          <w:tcPr>
            <w:tcW w:w="5740" w:type="dxa"/>
            <w:vAlign w:val="bottom"/>
            <w:gridSpan w:val="2"/>
            <w:shd w:val="clear" w:color="auto" w:fill="CCEEFF"/>
          </w:tcPr>
          <w:p>
            <w:pPr>
              <w:ind w:left="5600"/>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972</w:t>
            </w:r>
          </w:p>
        </w:tc>
      </w:tr>
      <w:tr>
        <w:trPr>
          <w:trHeight w:val="216"/>
        </w:trPr>
        <w:tc>
          <w:tcPr>
            <w:tcW w:w="4920" w:type="dxa"/>
            <w:vAlign w:val="bottom"/>
          </w:tcPr>
          <w:p>
            <w:pPr>
              <w:spacing w:after="0"/>
              <w:rPr>
                <w:sz w:val="20"/>
                <w:szCs w:val="20"/>
                <w:color w:val="auto"/>
              </w:rPr>
            </w:pPr>
            <w:r>
              <w:rPr>
                <w:rFonts w:ascii="Arial" w:cs="Arial" w:eastAsia="Arial" w:hAnsi="Arial"/>
                <w:sz w:val="18"/>
                <w:szCs w:val="18"/>
                <w:color w:val="auto"/>
              </w:rPr>
              <w:t>Net loss from continuing operations</w:t>
            </w:r>
          </w:p>
        </w:tc>
        <w:tc>
          <w:tcPr>
            <w:tcW w:w="5740" w:type="dxa"/>
            <w:vAlign w:val="bottom"/>
            <w:gridSpan w:val="2"/>
          </w:tcPr>
          <w:p>
            <w:pPr>
              <w:ind w:left="5600"/>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(3,232)</w:t>
            </w:r>
          </w:p>
        </w:tc>
      </w:tr>
      <w:tr>
        <w:trPr>
          <w:trHeight w:val="216"/>
        </w:trPr>
        <w:tc>
          <w:tcPr>
            <w:tcW w:w="4920" w:type="dxa"/>
            <w:vAlign w:val="bottom"/>
            <w:shd w:val="clear" w:color="auto" w:fill="CCEEFF"/>
          </w:tcPr>
          <w:p>
            <w:pPr>
              <w:spacing w:after="0"/>
              <w:rPr>
                <w:sz w:val="20"/>
                <w:szCs w:val="20"/>
                <w:color w:val="auto"/>
              </w:rPr>
            </w:pPr>
            <w:r>
              <w:rPr>
                <w:rFonts w:ascii="Arial" w:cs="Arial" w:eastAsia="Arial" w:hAnsi="Arial"/>
                <w:sz w:val="18"/>
                <w:szCs w:val="18"/>
                <w:color w:val="auto"/>
              </w:rPr>
              <w:t>Loss from discontinued operations, net of tax</w:t>
            </w:r>
          </w:p>
        </w:tc>
        <w:tc>
          <w:tcPr>
            <w:tcW w:w="5740" w:type="dxa"/>
            <w:vAlign w:val="bottom"/>
            <w:gridSpan w:val="2"/>
            <w:shd w:val="clear" w:color="auto" w:fill="CCEEFF"/>
          </w:tcPr>
          <w:p>
            <w:pPr>
              <w:ind w:left="5600"/>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(1,346)</w:t>
            </w:r>
          </w:p>
        </w:tc>
      </w:tr>
      <w:tr>
        <w:trPr>
          <w:trHeight w:val="222"/>
        </w:trPr>
        <w:tc>
          <w:tcPr>
            <w:tcW w:w="4920" w:type="dxa"/>
            <w:vAlign w:val="bottom"/>
          </w:tcPr>
          <w:p>
            <w:pPr>
              <w:spacing w:after="0"/>
              <w:rPr>
                <w:sz w:val="20"/>
                <w:szCs w:val="20"/>
                <w:color w:val="auto"/>
              </w:rPr>
            </w:pPr>
            <w:r>
              <w:rPr>
                <w:rFonts w:ascii="Arial" w:cs="Arial" w:eastAsia="Arial" w:hAnsi="Arial"/>
                <w:sz w:val="18"/>
                <w:szCs w:val="18"/>
                <w:color w:val="auto"/>
              </w:rPr>
              <w:t>Net loss</w:t>
            </w:r>
          </w:p>
        </w:tc>
        <w:tc>
          <w:tcPr>
            <w:tcW w:w="5740" w:type="dxa"/>
            <w:vAlign w:val="bottom"/>
            <w:gridSpan w:val="2"/>
          </w:tcPr>
          <w:p>
            <w:pPr>
              <w:ind w:left="5600"/>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(4,578)</w:t>
            </w:r>
          </w:p>
        </w:tc>
      </w:tr>
      <w:tr>
        <w:trPr>
          <w:trHeight w:val="358"/>
        </w:trPr>
        <w:tc>
          <w:tcPr>
            <w:tcW w:w="4920" w:type="dxa"/>
            <w:vAlign w:val="bottom"/>
          </w:tcPr>
          <w:p>
            <w:pPr>
              <w:spacing w:after="0"/>
              <w:rPr>
                <w:sz w:val="24"/>
                <w:szCs w:val="24"/>
                <w:color w:val="auto"/>
              </w:rPr>
            </w:pPr>
          </w:p>
        </w:tc>
        <w:tc>
          <w:tcPr>
            <w:tcW w:w="5600" w:type="dxa"/>
            <w:vAlign w:val="bottom"/>
          </w:tcPr>
          <w:p>
            <w:pPr>
              <w:spacing w:after="0"/>
              <w:rPr>
                <w:sz w:val="24"/>
                <w:szCs w:val="24"/>
                <w:color w:val="auto"/>
              </w:rPr>
            </w:pPr>
          </w:p>
        </w:tc>
        <w:tc>
          <w:tcPr>
            <w:tcW w:w="900" w:type="dxa"/>
            <w:vAlign w:val="bottom"/>
            <w:gridSpan w:val="3"/>
          </w:tcPr>
          <w:p>
            <w:pPr>
              <w:spacing w:after="0"/>
              <w:rPr>
                <w:sz w:val="20"/>
                <w:szCs w:val="20"/>
                <w:color w:val="auto"/>
              </w:rPr>
            </w:pPr>
            <w:r>
              <w:rPr>
                <w:rFonts w:ascii="Arial" w:cs="Arial" w:eastAsia="Arial" w:hAnsi="Arial"/>
                <w:sz w:val="14"/>
                <w:szCs w:val="14"/>
                <w:b w:val="1"/>
                <w:bCs w:val="1"/>
                <w:color w:val="auto"/>
                <w:w w:val="96"/>
              </w:rPr>
              <w:t>June 30, 2009</w:t>
            </w:r>
          </w:p>
        </w:tc>
      </w:tr>
      <w:tr>
        <w:trPr>
          <w:trHeight w:val="210"/>
        </w:trPr>
        <w:tc>
          <w:tcPr>
            <w:tcW w:w="49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Condensed Consolidated Balance Sheet</w:t>
            </w:r>
          </w:p>
        </w:tc>
        <w:tc>
          <w:tcPr>
            <w:tcW w:w="560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4920" w:type="dxa"/>
            <w:vAlign w:val="bottom"/>
          </w:tcPr>
          <w:p>
            <w:pPr>
              <w:spacing w:after="0"/>
              <w:rPr>
                <w:sz w:val="20"/>
                <w:szCs w:val="20"/>
                <w:color w:val="auto"/>
              </w:rPr>
            </w:pPr>
            <w:r>
              <w:rPr>
                <w:rFonts w:ascii="Arial" w:cs="Arial" w:eastAsia="Arial" w:hAnsi="Arial"/>
                <w:sz w:val="18"/>
                <w:szCs w:val="18"/>
                <w:color w:val="auto"/>
              </w:rPr>
              <w:t>Loans held for sale</w:t>
            </w:r>
          </w:p>
        </w:tc>
        <w:tc>
          <w:tcPr>
            <w:tcW w:w="5740" w:type="dxa"/>
            <w:vAlign w:val="bottom"/>
            <w:gridSpan w:val="2"/>
          </w:tcPr>
          <w:p>
            <w:pPr>
              <w:ind w:left="5600"/>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11,440</w:t>
            </w:r>
          </w:p>
        </w:tc>
      </w:tr>
      <w:tr>
        <w:trPr>
          <w:trHeight w:val="216"/>
        </w:trPr>
        <w:tc>
          <w:tcPr>
            <w:tcW w:w="4920" w:type="dxa"/>
            <w:vAlign w:val="bottom"/>
            <w:shd w:val="clear" w:color="auto" w:fill="CCEEFF"/>
          </w:tcPr>
          <w:p>
            <w:pPr>
              <w:spacing w:after="0"/>
              <w:rPr>
                <w:sz w:val="20"/>
                <w:szCs w:val="20"/>
                <w:color w:val="auto"/>
              </w:rPr>
            </w:pPr>
            <w:r>
              <w:rPr>
                <w:rFonts w:ascii="Arial" w:cs="Arial" w:eastAsia="Arial" w:hAnsi="Arial"/>
                <w:sz w:val="18"/>
                <w:szCs w:val="18"/>
                <w:color w:val="auto"/>
              </w:rPr>
              <w:t>Total finance receivables and loans, net</w:t>
            </w:r>
          </w:p>
        </w:tc>
        <w:tc>
          <w:tcPr>
            <w:tcW w:w="5740" w:type="dxa"/>
            <w:vAlign w:val="bottom"/>
            <w:gridSpan w:val="2"/>
            <w:shd w:val="clear" w:color="auto" w:fill="CCEEFF"/>
          </w:tcPr>
          <w:p>
            <w:pPr>
              <w:ind w:left="5600"/>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87,520</w:t>
            </w:r>
          </w:p>
        </w:tc>
      </w:tr>
      <w:tr>
        <w:trPr>
          <w:trHeight w:val="216"/>
        </w:trPr>
        <w:tc>
          <w:tcPr>
            <w:tcW w:w="4920" w:type="dxa"/>
            <w:vAlign w:val="bottom"/>
          </w:tcPr>
          <w:p>
            <w:pPr>
              <w:spacing w:after="0"/>
              <w:rPr>
                <w:sz w:val="20"/>
                <w:szCs w:val="20"/>
                <w:color w:val="auto"/>
              </w:rPr>
            </w:pPr>
            <w:r>
              <w:rPr>
                <w:rFonts w:ascii="Arial" w:cs="Arial" w:eastAsia="Arial" w:hAnsi="Arial"/>
                <w:sz w:val="18"/>
                <w:szCs w:val="18"/>
                <w:color w:val="auto"/>
              </w:rPr>
              <w:t>Investment in operating leases, net</w:t>
            </w:r>
          </w:p>
        </w:tc>
        <w:tc>
          <w:tcPr>
            <w:tcW w:w="5740" w:type="dxa"/>
            <w:vAlign w:val="bottom"/>
            <w:gridSpan w:val="2"/>
          </w:tcPr>
          <w:p>
            <w:pPr>
              <w:ind w:left="5600"/>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21,597</w:t>
            </w:r>
          </w:p>
        </w:tc>
      </w:tr>
      <w:tr>
        <w:trPr>
          <w:trHeight w:val="216"/>
        </w:trPr>
        <w:tc>
          <w:tcPr>
            <w:tcW w:w="4920" w:type="dxa"/>
            <w:vAlign w:val="bottom"/>
            <w:shd w:val="clear" w:color="auto" w:fill="CCEEFF"/>
          </w:tcPr>
          <w:p>
            <w:pPr>
              <w:spacing w:after="0"/>
              <w:rPr>
                <w:sz w:val="20"/>
                <w:szCs w:val="20"/>
                <w:color w:val="auto"/>
              </w:rPr>
            </w:pPr>
            <w:r>
              <w:rPr>
                <w:rFonts w:ascii="Arial" w:cs="Arial" w:eastAsia="Arial" w:hAnsi="Arial"/>
                <w:sz w:val="18"/>
                <w:szCs w:val="18"/>
                <w:color w:val="auto"/>
              </w:rPr>
              <w:t>Other assets</w:t>
            </w:r>
          </w:p>
        </w:tc>
        <w:tc>
          <w:tcPr>
            <w:tcW w:w="5740" w:type="dxa"/>
            <w:vAlign w:val="bottom"/>
            <w:gridSpan w:val="2"/>
            <w:shd w:val="clear" w:color="auto" w:fill="CCEEFF"/>
          </w:tcPr>
          <w:p>
            <w:pPr>
              <w:ind w:left="5600"/>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22,932</w:t>
            </w:r>
          </w:p>
        </w:tc>
      </w:tr>
      <w:tr>
        <w:trPr>
          <w:trHeight w:val="216"/>
        </w:trPr>
        <w:tc>
          <w:tcPr>
            <w:tcW w:w="4920" w:type="dxa"/>
            <w:vAlign w:val="bottom"/>
          </w:tcPr>
          <w:p>
            <w:pPr>
              <w:spacing w:after="0"/>
              <w:rPr>
                <w:sz w:val="20"/>
                <w:szCs w:val="20"/>
                <w:color w:val="auto"/>
              </w:rPr>
            </w:pPr>
            <w:r>
              <w:rPr>
                <w:rFonts w:ascii="Arial" w:cs="Arial" w:eastAsia="Arial" w:hAnsi="Arial"/>
                <w:sz w:val="18"/>
                <w:szCs w:val="18"/>
                <w:color w:val="auto"/>
              </w:rPr>
              <w:t>Total assets</w:t>
            </w:r>
          </w:p>
        </w:tc>
        <w:tc>
          <w:tcPr>
            <w:tcW w:w="5740" w:type="dxa"/>
            <w:vAlign w:val="bottom"/>
            <w:gridSpan w:val="2"/>
          </w:tcPr>
          <w:p>
            <w:pPr>
              <w:ind w:left="5600"/>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w w:val="98"/>
              </w:rPr>
              <w:t>181,248</w:t>
            </w:r>
          </w:p>
        </w:tc>
      </w:tr>
      <w:tr>
        <w:trPr>
          <w:trHeight w:val="216"/>
        </w:trPr>
        <w:tc>
          <w:tcPr>
            <w:tcW w:w="4920" w:type="dxa"/>
            <w:vAlign w:val="bottom"/>
            <w:shd w:val="clear" w:color="auto" w:fill="CCEEFF"/>
          </w:tcPr>
          <w:p>
            <w:pPr>
              <w:spacing w:after="0"/>
              <w:rPr>
                <w:sz w:val="20"/>
                <w:szCs w:val="20"/>
                <w:color w:val="auto"/>
              </w:rPr>
            </w:pPr>
            <w:r>
              <w:rPr>
                <w:rFonts w:ascii="Arial" w:cs="Arial" w:eastAsia="Arial" w:hAnsi="Arial"/>
                <w:sz w:val="18"/>
                <w:szCs w:val="18"/>
                <w:color w:val="auto"/>
              </w:rPr>
              <w:t>Total debt</w:t>
            </w:r>
          </w:p>
        </w:tc>
        <w:tc>
          <w:tcPr>
            <w:tcW w:w="5740" w:type="dxa"/>
            <w:vAlign w:val="bottom"/>
            <w:gridSpan w:val="2"/>
            <w:shd w:val="clear" w:color="auto" w:fill="CCEEFF"/>
          </w:tcPr>
          <w:p>
            <w:pPr>
              <w:ind w:left="5600"/>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8"/>
              </w:rPr>
              <w:t>105,175</w:t>
            </w:r>
          </w:p>
        </w:tc>
      </w:tr>
      <w:tr>
        <w:trPr>
          <w:trHeight w:val="216"/>
        </w:trPr>
        <w:tc>
          <w:tcPr>
            <w:tcW w:w="4920" w:type="dxa"/>
            <w:vAlign w:val="bottom"/>
          </w:tcPr>
          <w:p>
            <w:pPr>
              <w:spacing w:after="0"/>
              <w:rPr>
                <w:sz w:val="20"/>
                <w:szCs w:val="20"/>
                <w:color w:val="auto"/>
              </w:rPr>
            </w:pPr>
            <w:r>
              <w:rPr>
                <w:rFonts w:ascii="Arial" w:cs="Arial" w:eastAsia="Arial" w:hAnsi="Arial"/>
                <w:sz w:val="18"/>
                <w:szCs w:val="18"/>
                <w:color w:val="auto"/>
              </w:rPr>
              <w:t>Accrued expenses and other liabilities</w:t>
            </w:r>
          </w:p>
        </w:tc>
        <w:tc>
          <w:tcPr>
            <w:tcW w:w="5740" w:type="dxa"/>
            <w:vAlign w:val="bottom"/>
            <w:gridSpan w:val="2"/>
          </w:tcPr>
          <w:p>
            <w:pPr>
              <w:ind w:left="5600"/>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41,363</w:t>
            </w:r>
          </w:p>
        </w:tc>
      </w:tr>
      <w:tr>
        <w:trPr>
          <w:trHeight w:val="216"/>
        </w:trPr>
        <w:tc>
          <w:tcPr>
            <w:tcW w:w="4920" w:type="dxa"/>
            <w:vAlign w:val="bottom"/>
            <w:shd w:val="clear" w:color="auto" w:fill="CCEEFF"/>
          </w:tcPr>
          <w:p>
            <w:pPr>
              <w:spacing w:after="0"/>
              <w:rPr>
                <w:sz w:val="20"/>
                <w:szCs w:val="20"/>
                <w:color w:val="auto"/>
              </w:rPr>
            </w:pPr>
            <w:r>
              <w:rPr>
                <w:rFonts w:ascii="Arial" w:cs="Arial" w:eastAsia="Arial" w:hAnsi="Arial"/>
                <w:sz w:val="18"/>
                <w:szCs w:val="18"/>
                <w:color w:val="auto"/>
              </w:rPr>
              <w:t>Total liabilities</w:t>
            </w:r>
          </w:p>
        </w:tc>
        <w:tc>
          <w:tcPr>
            <w:tcW w:w="5740" w:type="dxa"/>
            <w:vAlign w:val="bottom"/>
            <w:gridSpan w:val="2"/>
            <w:shd w:val="clear" w:color="auto" w:fill="CCEEFF"/>
          </w:tcPr>
          <w:p>
            <w:pPr>
              <w:ind w:left="5600"/>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8"/>
              </w:rPr>
              <w:t>155,202</w:t>
            </w:r>
          </w:p>
        </w:tc>
      </w:tr>
      <w:tr>
        <w:trPr>
          <w:trHeight w:val="216"/>
        </w:trPr>
        <w:tc>
          <w:tcPr>
            <w:tcW w:w="4920" w:type="dxa"/>
            <w:vAlign w:val="bottom"/>
          </w:tcPr>
          <w:p>
            <w:pPr>
              <w:spacing w:after="0"/>
              <w:rPr>
                <w:sz w:val="20"/>
                <w:szCs w:val="20"/>
                <w:color w:val="auto"/>
              </w:rPr>
            </w:pPr>
            <w:r>
              <w:rPr>
                <w:rFonts w:ascii="Arial" w:cs="Arial" w:eastAsia="Arial" w:hAnsi="Arial"/>
                <w:sz w:val="18"/>
                <w:szCs w:val="18"/>
                <w:color w:val="auto"/>
              </w:rPr>
              <w:t>Preferred stock held by UST</w:t>
            </w:r>
          </w:p>
        </w:tc>
        <w:tc>
          <w:tcPr>
            <w:tcW w:w="5740" w:type="dxa"/>
            <w:vAlign w:val="bottom"/>
            <w:gridSpan w:val="2"/>
          </w:tcPr>
          <w:p>
            <w:pPr>
              <w:ind w:left="5600"/>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12,500</w:t>
            </w:r>
          </w:p>
        </w:tc>
      </w:tr>
      <w:tr>
        <w:trPr>
          <w:trHeight w:val="216"/>
        </w:trPr>
        <w:tc>
          <w:tcPr>
            <w:tcW w:w="4920" w:type="dxa"/>
            <w:vAlign w:val="bottom"/>
            <w:shd w:val="clear" w:color="auto" w:fill="CCEEFF"/>
          </w:tcPr>
          <w:p>
            <w:pPr>
              <w:spacing w:after="0"/>
              <w:rPr>
                <w:sz w:val="20"/>
                <w:szCs w:val="20"/>
                <w:color w:val="auto"/>
              </w:rPr>
            </w:pPr>
            <w:r>
              <w:rPr>
                <w:rFonts w:ascii="Arial" w:cs="Arial" w:eastAsia="Arial" w:hAnsi="Arial"/>
                <w:sz w:val="18"/>
                <w:szCs w:val="18"/>
                <w:color w:val="auto"/>
              </w:rPr>
              <w:t>Preferred stock</w:t>
            </w:r>
          </w:p>
        </w:tc>
        <w:tc>
          <w:tcPr>
            <w:tcW w:w="5740" w:type="dxa"/>
            <w:vAlign w:val="bottom"/>
            <w:gridSpan w:val="2"/>
            <w:shd w:val="clear" w:color="auto" w:fill="CCEEFF"/>
          </w:tcPr>
          <w:p>
            <w:pPr>
              <w:ind w:left="5600"/>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1,287</w:t>
            </w:r>
          </w:p>
        </w:tc>
      </w:tr>
      <w:tr>
        <w:trPr>
          <w:trHeight w:val="222"/>
        </w:trPr>
        <w:tc>
          <w:tcPr>
            <w:tcW w:w="4920" w:type="dxa"/>
            <w:vAlign w:val="bottom"/>
          </w:tcPr>
          <w:p>
            <w:pPr>
              <w:spacing w:after="0"/>
              <w:rPr>
                <w:sz w:val="20"/>
                <w:szCs w:val="20"/>
                <w:color w:val="auto"/>
              </w:rPr>
            </w:pPr>
            <w:r>
              <w:rPr>
                <w:rFonts w:ascii="Arial" w:cs="Arial" w:eastAsia="Arial" w:hAnsi="Arial"/>
                <w:sz w:val="18"/>
                <w:szCs w:val="18"/>
                <w:color w:val="auto"/>
              </w:rPr>
              <w:t>Total equity</w:t>
            </w:r>
          </w:p>
        </w:tc>
        <w:tc>
          <w:tcPr>
            <w:tcW w:w="5740" w:type="dxa"/>
            <w:vAlign w:val="bottom"/>
            <w:gridSpan w:val="2"/>
          </w:tcPr>
          <w:p>
            <w:pPr>
              <w:ind w:left="5600"/>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26,046</w:t>
            </w:r>
          </w:p>
        </w:tc>
      </w:tr>
      <w:tr>
        <w:trPr>
          <w:trHeight w:val="356"/>
        </w:trPr>
        <w:tc>
          <w:tcPr>
            <w:tcW w:w="4920" w:type="dxa"/>
            <w:vAlign w:val="bottom"/>
          </w:tcPr>
          <w:p>
            <w:pPr>
              <w:spacing w:after="0"/>
              <w:rPr>
                <w:sz w:val="24"/>
                <w:szCs w:val="24"/>
                <w:color w:val="auto"/>
              </w:rPr>
            </w:pPr>
          </w:p>
        </w:tc>
        <w:tc>
          <w:tcPr>
            <w:tcW w:w="5600" w:type="dxa"/>
            <w:vAlign w:val="bottom"/>
          </w:tcPr>
          <w:p>
            <w:pPr>
              <w:ind w:left="700"/>
              <w:spacing w:after="0"/>
              <w:rPr>
                <w:sz w:val="20"/>
                <w:szCs w:val="20"/>
                <w:color w:val="auto"/>
              </w:rPr>
            </w:pPr>
            <w:r>
              <w:rPr>
                <w:rFonts w:ascii="Arial" w:cs="Arial" w:eastAsia="Arial" w:hAnsi="Arial"/>
                <w:sz w:val="18"/>
                <w:szCs w:val="18"/>
                <w:color w:val="auto"/>
              </w:rPr>
              <w:t>18</w:t>
            </w:r>
          </w:p>
        </w:tc>
        <w:tc>
          <w:tcPr>
            <w:tcW w:w="1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r>
    </w:tbl>
    <w:p>
      <w:pPr>
        <w:sectPr>
          <w:pgSz w:w="11900" w:h="16838" w:orient="portrait"/>
          <w:cols w:equalWidth="0" w:num="1">
            <w:col w:w="11420"/>
          </w:cols>
          <w:pgMar w:left="240" w:top="459" w:right="23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339"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Ally Financial – Preferred and Common Membership Interests</w:t>
      </w:r>
    </w:p>
    <w:p>
      <w:pPr>
        <w:spacing w:after="0" w:line="171" w:lineRule="exact"/>
        <w:rPr>
          <w:sz w:val="20"/>
          <w:szCs w:val="20"/>
          <w:color w:val="auto"/>
        </w:rPr>
      </w:pPr>
    </w:p>
    <w:p>
      <w:pPr>
        <w:ind w:right="80" w:firstLine="228"/>
        <w:spacing w:after="0" w:line="268" w:lineRule="auto"/>
        <w:rPr>
          <w:sz w:val="20"/>
          <w:szCs w:val="20"/>
          <w:color w:val="auto"/>
        </w:rPr>
      </w:pPr>
      <w:r>
        <w:rPr>
          <w:rFonts w:ascii="Arial" w:cs="Arial" w:eastAsia="Arial" w:hAnsi="Arial"/>
          <w:sz w:val="18"/>
          <w:szCs w:val="18"/>
          <w:color w:val="auto"/>
        </w:rPr>
        <w:t>The following tables summarize the activity with respect to the investment in Ally Financial Common and Preferred Membership Interests for the period Ally Financial was accounted for as a nonconsolidated affiliate (dollars in millions):</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78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gridSpan w:val="2"/>
          </w:tcPr>
          <w:p>
            <w:pPr>
              <w:jc w:val="right"/>
              <w:ind w:right="92"/>
              <w:spacing w:after="0"/>
              <w:rPr>
                <w:sz w:val="20"/>
                <w:szCs w:val="20"/>
                <w:color w:val="auto"/>
              </w:rPr>
            </w:pPr>
            <w:r>
              <w:rPr>
                <w:rFonts w:ascii="Arial" w:cs="Arial" w:eastAsia="Arial" w:hAnsi="Arial"/>
                <w:sz w:val="14"/>
                <w:szCs w:val="14"/>
                <w:b w:val="1"/>
                <w:bCs w:val="1"/>
                <w:color w:val="auto"/>
                <w:w w:val="78"/>
              </w:rPr>
              <w:t>Predecessor</w:t>
            </w:r>
          </w:p>
        </w:tc>
        <w:tc>
          <w:tcPr>
            <w:tcW w:w="6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29"/>
        </w:trPr>
        <w:tc>
          <w:tcPr>
            <w:tcW w:w="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8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gridSpan w:val="2"/>
          </w:tcPr>
          <w:p>
            <w:pPr>
              <w:jc w:val="center"/>
              <w:ind w:right="180"/>
              <w:spacing w:after="0" w:line="129" w:lineRule="exact"/>
              <w:rPr>
                <w:sz w:val="20"/>
                <w:szCs w:val="20"/>
                <w:color w:val="auto"/>
              </w:rPr>
            </w:pPr>
            <w:r>
              <w:rPr>
                <w:rFonts w:ascii="Arial" w:cs="Arial" w:eastAsia="Arial" w:hAnsi="Arial"/>
                <w:sz w:val="14"/>
                <w:szCs w:val="14"/>
                <w:b w:val="1"/>
                <w:bCs w:val="1"/>
                <w:color w:val="auto"/>
                <w:w w:val="93"/>
              </w:rPr>
              <w:t>Ally</w:t>
            </w:r>
          </w:p>
        </w:tc>
        <w:tc>
          <w:tcPr>
            <w:tcW w:w="7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jc w:val="center"/>
              <w:ind w:right="18"/>
              <w:spacing w:after="0" w:line="129" w:lineRule="exact"/>
              <w:rPr>
                <w:sz w:val="20"/>
                <w:szCs w:val="20"/>
                <w:color w:val="auto"/>
              </w:rPr>
            </w:pPr>
            <w:r>
              <w:rPr>
                <w:rFonts w:ascii="Arial" w:cs="Arial" w:eastAsia="Arial" w:hAnsi="Arial"/>
                <w:sz w:val="14"/>
                <w:szCs w:val="14"/>
                <w:b w:val="1"/>
                <w:bCs w:val="1"/>
                <w:color w:val="auto"/>
                <w:w w:val="93"/>
              </w:rPr>
              <w:t>Ally</w:t>
            </w:r>
          </w:p>
        </w:tc>
        <w:tc>
          <w:tcPr>
            <w:tcW w:w="100" w:type="dxa"/>
            <w:vAlign w:val="bottom"/>
          </w:tcPr>
          <w:p>
            <w:pPr>
              <w:spacing w:after="0"/>
              <w:rPr>
                <w:sz w:val="11"/>
                <w:szCs w:val="11"/>
                <w:color w:val="auto"/>
              </w:rPr>
            </w:pPr>
          </w:p>
        </w:tc>
      </w:tr>
      <w:tr>
        <w:trPr>
          <w:trHeight w:val="149"/>
        </w:trPr>
        <w:tc>
          <w:tcPr>
            <w:tcW w:w="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78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88"/>
              </w:rPr>
              <w:t>Financial</w:t>
            </w: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88"/>
              </w:rPr>
              <w:t>Financial</w:t>
            </w:r>
          </w:p>
        </w:tc>
      </w:tr>
      <w:tr>
        <w:trPr>
          <w:trHeight w:val="149"/>
        </w:trPr>
        <w:tc>
          <w:tcPr>
            <w:tcW w:w="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78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88"/>
              </w:rPr>
              <w:t>Common</w:t>
            </w: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89"/>
              </w:rPr>
              <w:t>Preferred</w:t>
            </w:r>
          </w:p>
        </w:tc>
      </w:tr>
      <w:tr>
        <w:trPr>
          <w:trHeight w:val="149"/>
        </w:trPr>
        <w:tc>
          <w:tcPr>
            <w:tcW w:w="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7860" w:type="dxa"/>
            <w:vAlign w:val="bottom"/>
          </w:tcPr>
          <w:p>
            <w:pPr>
              <w:spacing w:after="0"/>
              <w:rPr>
                <w:sz w:val="12"/>
                <w:szCs w:val="12"/>
                <w:color w:val="auto"/>
              </w:rPr>
            </w:pPr>
          </w:p>
        </w:tc>
        <w:tc>
          <w:tcPr>
            <w:tcW w:w="800" w:type="dxa"/>
            <w:vAlign w:val="bottom"/>
            <w:gridSpan w:val="3"/>
          </w:tcPr>
          <w:p>
            <w:pPr>
              <w:jc w:val="center"/>
              <w:ind w:right="60"/>
              <w:spacing w:after="0" w:line="149" w:lineRule="exact"/>
              <w:rPr>
                <w:sz w:val="20"/>
                <w:szCs w:val="20"/>
                <w:color w:val="auto"/>
              </w:rPr>
            </w:pPr>
            <w:r>
              <w:rPr>
                <w:rFonts w:ascii="Arial" w:cs="Arial" w:eastAsia="Arial" w:hAnsi="Arial"/>
                <w:sz w:val="14"/>
                <w:szCs w:val="14"/>
                <w:b w:val="1"/>
                <w:bCs w:val="1"/>
                <w:color w:val="auto"/>
                <w:w w:val="89"/>
              </w:rPr>
              <w:t>Membership</w:t>
            </w:r>
          </w:p>
        </w:tc>
        <w:tc>
          <w:tcPr>
            <w:tcW w:w="740" w:type="dxa"/>
            <w:vAlign w:val="bottom"/>
          </w:tcPr>
          <w:p>
            <w:pPr>
              <w:spacing w:after="0"/>
              <w:rPr>
                <w:sz w:val="12"/>
                <w:szCs w:val="12"/>
                <w:color w:val="auto"/>
              </w:rPr>
            </w:pPr>
          </w:p>
        </w:tc>
        <w:tc>
          <w:tcPr>
            <w:tcW w:w="860" w:type="dxa"/>
            <w:vAlign w:val="bottom"/>
            <w:gridSpan w:val="3"/>
          </w:tcPr>
          <w:p>
            <w:pPr>
              <w:jc w:val="center"/>
              <w:ind w:right="100"/>
              <w:spacing w:after="0" w:line="149" w:lineRule="exact"/>
              <w:rPr>
                <w:sz w:val="20"/>
                <w:szCs w:val="20"/>
                <w:color w:val="auto"/>
              </w:rPr>
            </w:pPr>
            <w:r>
              <w:rPr>
                <w:rFonts w:ascii="Arial" w:cs="Arial" w:eastAsia="Arial" w:hAnsi="Arial"/>
                <w:sz w:val="14"/>
                <w:szCs w:val="14"/>
                <w:b w:val="1"/>
                <w:bCs w:val="1"/>
                <w:color w:val="auto"/>
                <w:w w:val="87"/>
              </w:rPr>
              <w:t>Membership</w:t>
            </w:r>
          </w:p>
        </w:tc>
      </w:tr>
      <w:tr>
        <w:trPr>
          <w:trHeight w:val="161"/>
        </w:trPr>
        <w:tc>
          <w:tcPr>
            <w:tcW w:w="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78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center"/>
              <w:ind w:right="18"/>
              <w:spacing w:after="0"/>
              <w:rPr>
                <w:sz w:val="20"/>
                <w:szCs w:val="20"/>
                <w:color w:val="auto"/>
              </w:rPr>
            </w:pPr>
            <w:r>
              <w:rPr>
                <w:rFonts w:ascii="Arial" w:cs="Arial" w:eastAsia="Arial" w:hAnsi="Arial"/>
                <w:sz w:val="14"/>
                <w:szCs w:val="14"/>
                <w:b w:val="1"/>
                <w:bCs w:val="1"/>
                <w:color w:val="auto"/>
                <w:w w:val="85"/>
              </w:rPr>
              <w:t>Interests</w:t>
            </w:r>
          </w:p>
        </w:tc>
        <w:tc>
          <w:tcPr>
            <w:tcW w:w="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5"/>
              </w:rPr>
              <w:t>Interests</w:t>
            </w:r>
          </w:p>
        </w:tc>
        <w:tc>
          <w:tcPr>
            <w:tcW w:w="100" w:type="dxa"/>
            <w:vAlign w:val="bottom"/>
          </w:tcPr>
          <w:p>
            <w:pPr>
              <w:spacing w:after="0"/>
              <w:rPr>
                <w:sz w:val="14"/>
                <w:szCs w:val="14"/>
                <w:color w:val="auto"/>
              </w:rPr>
            </w:pPr>
          </w:p>
        </w:tc>
      </w:tr>
      <w:tr>
        <w:trPr>
          <w:trHeight w:val="210"/>
        </w:trPr>
        <w:tc>
          <w:tcPr>
            <w:tcW w:w="20" w:type="dxa"/>
            <w:vAlign w:val="bottom"/>
          </w:tcPr>
          <w:p>
            <w:pPr>
              <w:spacing w:after="0"/>
              <w:rPr>
                <w:sz w:val="18"/>
                <w:szCs w:val="18"/>
                <w:color w:val="auto"/>
              </w:rPr>
            </w:pPr>
          </w:p>
        </w:tc>
        <w:tc>
          <w:tcPr>
            <w:tcW w:w="90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Balance at January 1, 2009</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491</w:t>
            </w:r>
          </w:p>
        </w:tc>
        <w:tc>
          <w:tcPr>
            <w:tcW w:w="6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43</w:t>
            </w:r>
          </w:p>
        </w:tc>
      </w:tr>
      <w:tr>
        <w:trPr>
          <w:trHeight w:val="216"/>
        </w:trPr>
        <w:tc>
          <w:tcPr>
            <w:tcW w:w="20" w:type="dxa"/>
            <w:vAlign w:val="bottom"/>
          </w:tcPr>
          <w:p>
            <w:pPr>
              <w:spacing w:after="0"/>
              <w:rPr>
                <w:sz w:val="18"/>
                <w:szCs w:val="18"/>
                <w:color w:val="auto"/>
              </w:rPr>
            </w:pPr>
          </w:p>
        </w:tc>
        <w:tc>
          <w:tcPr>
            <w:tcW w:w="9000" w:type="dxa"/>
            <w:vAlign w:val="bottom"/>
            <w:gridSpan w:val="2"/>
          </w:tcPr>
          <w:p>
            <w:pPr>
              <w:spacing w:after="0"/>
              <w:rPr>
                <w:sz w:val="20"/>
                <w:szCs w:val="20"/>
                <w:color w:val="auto"/>
              </w:rPr>
            </w:pPr>
            <w:r>
              <w:rPr>
                <w:rFonts w:ascii="Arial" w:cs="Arial" w:eastAsia="Arial" w:hAnsi="Arial"/>
                <w:sz w:val="18"/>
                <w:szCs w:val="18"/>
                <w:color w:val="auto"/>
              </w:rPr>
              <w:t>Old GM’s proportionate share of Ally Financial’s losses</w:t>
            </w:r>
          </w:p>
        </w:tc>
        <w:tc>
          <w:tcPr>
            <w:tcW w:w="100" w:type="dxa"/>
            <w:vAlign w:val="bottom"/>
          </w:tcPr>
          <w:p>
            <w:pPr>
              <w:spacing w:after="0"/>
              <w:rPr>
                <w:sz w:val="18"/>
                <w:szCs w:val="18"/>
                <w:color w:val="auto"/>
              </w:rPr>
            </w:pP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(500)</w:t>
            </w: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90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Investment in Ally Financial Common Membership Interests</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884</w:t>
            </w:r>
          </w:p>
        </w:tc>
        <w:tc>
          <w:tcPr>
            <w:tcW w:w="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23"/>
        </w:trPr>
        <w:tc>
          <w:tcPr>
            <w:tcW w:w="20" w:type="dxa"/>
            <w:vAlign w:val="bottom"/>
          </w:tcPr>
          <w:p>
            <w:pPr>
              <w:spacing w:after="0"/>
              <w:rPr>
                <w:sz w:val="19"/>
                <w:szCs w:val="19"/>
                <w:color w:val="auto"/>
              </w:rPr>
            </w:pPr>
          </w:p>
        </w:tc>
        <w:tc>
          <w:tcPr>
            <w:tcW w:w="9000" w:type="dxa"/>
            <w:vAlign w:val="bottom"/>
            <w:gridSpan w:val="2"/>
          </w:tcPr>
          <w:p>
            <w:pPr>
              <w:spacing w:after="0"/>
              <w:rPr>
                <w:sz w:val="20"/>
                <w:szCs w:val="20"/>
                <w:color w:val="auto"/>
              </w:rPr>
            </w:pPr>
            <w:r>
              <w:rPr>
                <w:rFonts w:ascii="Arial" w:cs="Arial" w:eastAsia="Arial" w:hAnsi="Arial"/>
                <w:sz w:val="18"/>
                <w:szCs w:val="18"/>
                <w:color w:val="auto"/>
              </w:rPr>
              <w:t>Other, primarily accumulated other comprehensive loss</w:t>
            </w:r>
          </w:p>
        </w:tc>
        <w:tc>
          <w:tcPr>
            <w:tcW w:w="100" w:type="dxa"/>
            <w:vAlign w:val="bottom"/>
          </w:tcPr>
          <w:p>
            <w:pPr>
              <w:spacing w:after="0"/>
              <w:rPr>
                <w:sz w:val="19"/>
                <w:szCs w:val="19"/>
                <w:color w:val="auto"/>
              </w:rPr>
            </w:pP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(121)</w:t>
            </w:r>
          </w:p>
        </w:tc>
        <w:tc>
          <w:tcPr>
            <w:tcW w:w="7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90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Balance at March 31, 2009</w:t>
            </w: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754</w:t>
            </w:r>
          </w:p>
        </w:tc>
        <w:tc>
          <w:tcPr>
            <w:tcW w:w="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w:t>
            </w:r>
          </w:p>
        </w:tc>
        <w:tc>
          <w:tcPr>
            <w:tcW w:w="100" w:type="dxa"/>
            <w:vAlign w:val="bottom"/>
            <w:shd w:val="clear" w:color="auto" w:fill="CCEEFF"/>
          </w:tcPr>
          <w:p>
            <w:pPr>
              <w:spacing w:after="0"/>
              <w:rPr>
                <w:sz w:val="18"/>
                <w:szCs w:val="18"/>
                <w:color w:val="auto"/>
              </w:rPr>
            </w:pPr>
          </w:p>
        </w:tc>
      </w:tr>
      <w:tr>
        <w:trPr>
          <w:trHeight w:val="221"/>
        </w:trPr>
        <w:tc>
          <w:tcPr>
            <w:tcW w:w="9020" w:type="dxa"/>
            <w:vAlign w:val="bottom"/>
            <w:gridSpan w:val="3"/>
          </w:tcPr>
          <w:p>
            <w:pPr>
              <w:spacing w:after="0"/>
              <w:rPr>
                <w:sz w:val="20"/>
                <w:szCs w:val="20"/>
                <w:color w:val="auto"/>
              </w:rPr>
            </w:pPr>
            <w:r>
              <w:rPr>
                <w:rFonts w:ascii="Arial" w:cs="Arial" w:eastAsia="Arial" w:hAnsi="Arial"/>
                <w:sz w:val="18"/>
                <w:szCs w:val="18"/>
                <w:color w:val="auto"/>
              </w:rPr>
              <w:t>Old GM’s proportionate share of Ally Financial’s losses (a)</w:t>
            </w:r>
          </w:p>
        </w:tc>
        <w:tc>
          <w:tcPr>
            <w:tcW w:w="100" w:type="dxa"/>
            <w:vAlign w:val="bottom"/>
          </w:tcPr>
          <w:p>
            <w:pPr>
              <w:spacing w:after="0"/>
              <w:rPr>
                <w:sz w:val="19"/>
                <w:szCs w:val="19"/>
                <w:color w:val="auto"/>
              </w:rPr>
            </w:pP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(630)</w:t>
            </w:r>
          </w:p>
        </w:tc>
        <w:tc>
          <w:tcPr>
            <w:tcW w:w="7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(7)</w:t>
            </w:r>
          </w:p>
        </w:tc>
      </w:tr>
      <w:tr>
        <w:trPr>
          <w:trHeight w:val="218"/>
        </w:trPr>
        <w:tc>
          <w:tcPr>
            <w:tcW w:w="20" w:type="dxa"/>
            <w:vAlign w:val="bottom"/>
          </w:tcPr>
          <w:p>
            <w:pPr>
              <w:spacing w:after="0"/>
              <w:rPr>
                <w:sz w:val="18"/>
                <w:szCs w:val="18"/>
                <w:color w:val="auto"/>
              </w:rPr>
            </w:pPr>
          </w:p>
        </w:tc>
        <w:tc>
          <w:tcPr>
            <w:tcW w:w="90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Gain on disposition of Ally Financial Common Membership Interests (b)</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2,477</w:t>
            </w:r>
          </w:p>
        </w:tc>
        <w:tc>
          <w:tcPr>
            <w:tcW w:w="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9000" w:type="dxa"/>
            <w:vAlign w:val="bottom"/>
            <w:gridSpan w:val="2"/>
          </w:tcPr>
          <w:p>
            <w:pPr>
              <w:spacing w:after="0"/>
              <w:rPr>
                <w:sz w:val="20"/>
                <w:szCs w:val="20"/>
                <w:color w:val="auto"/>
              </w:rPr>
            </w:pPr>
            <w:r>
              <w:rPr>
                <w:rFonts w:ascii="Arial" w:cs="Arial" w:eastAsia="Arial" w:hAnsi="Arial"/>
                <w:sz w:val="18"/>
                <w:szCs w:val="18"/>
                <w:color w:val="auto"/>
              </w:rPr>
              <w:t>Conversion of Ally Financial Common Membership Interests (b)</w:t>
            </w:r>
          </w:p>
        </w:tc>
        <w:tc>
          <w:tcPr>
            <w:tcW w:w="100" w:type="dxa"/>
            <w:vAlign w:val="bottom"/>
          </w:tcPr>
          <w:p>
            <w:pPr>
              <w:spacing w:after="0"/>
              <w:rPr>
                <w:sz w:val="18"/>
                <w:szCs w:val="18"/>
                <w:color w:val="auto"/>
              </w:rPr>
            </w:pP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(2,885)</w:t>
            </w: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90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 primarily accumulated other comprehensive loss</w:t>
            </w:r>
          </w:p>
        </w:tc>
        <w:tc>
          <w:tcPr>
            <w:tcW w:w="10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284</w:t>
            </w:r>
          </w:p>
        </w:tc>
        <w:tc>
          <w:tcPr>
            <w:tcW w:w="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r>
      <w:tr>
        <w:trPr>
          <w:trHeight w:val="222"/>
        </w:trPr>
        <w:tc>
          <w:tcPr>
            <w:tcW w:w="9020" w:type="dxa"/>
            <w:vAlign w:val="bottom"/>
            <w:gridSpan w:val="3"/>
          </w:tcPr>
          <w:p>
            <w:pPr>
              <w:spacing w:after="0"/>
              <w:rPr>
                <w:sz w:val="20"/>
                <w:szCs w:val="20"/>
                <w:color w:val="auto"/>
              </w:rPr>
            </w:pPr>
            <w:r>
              <w:rPr>
                <w:rFonts w:ascii="Arial" w:cs="Arial" w:eastAsia="Arial" w:hAnsi="Arial"/>
                <w:sz w:val="18"/>
                <w:szCs w:val="18"/>
                <w:color w:val="auto"/>
              </w:rPr>
              <w:t>Balance at June 30, 2009</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36</w:t>
            </w:r>
          </w:p>
        </w:tc>
      </w:tr>
      <w:tr>
        <w:trPr>
          <w:trHeight w:val="20"/>
        </w:trPr>
        <w:tc>
          <w:tcPr>
            <w:tcW w:w="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78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03"/>
        </w:trPr>
        <w:tc>
          <w:tcPr>
            <w:tcW w:w="20" w:type="dxa"/>
            <w:vAlign w:val="bottom"/>
          </w:tcPr>
          <w:p>
            <w:pPr>
              <w:spacing w:after="0"/>
              <w:rPr>
                <w:sz w:val="8"/>
                <w:szCs w:val="8"/>
                <w:color w:val="auto"/>
              </w:rPr>
            </w:pPr>
          </w:p>
        </w:tc>
        <w:tc>
          <w:tcPr>
            <w:tcW w:w="1140" w:type="dxa"/>
            <w:vAlign w:val="bottom"/>
            <w:tcBorders>
              <w:bottom w:val="single" w:sz="8" w:color="auto"/>
            </w:tcBorders>
          </w:tcPr>
          <w:p>
            <w:pPr>
              <w:spacing w:after="0"/>
              <w:rPr>
                <w:sz w:val="8"/>
                <w:szCs w:val="8"/>
                <w:color w:val="auto"/>
              </w:rPr>
            </w:pPr>
          </w:p>
        </w:tc>
        <w:tc>
          <w:tcPr>
            <w:tcW w:w="786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 w:type="dxa"/>
            <w:vAlign w:val="bottom"/>
          </w:tcPr>
          <w:p>
            <w:pPr>
              <w:spacing w:after="0"/>
              <w:rPr>
                <w:sz w:val="8"/>
                <w:szCs w:val="8"/>
                <w:color w:val="auto"/>
              </w:rPr>
            </w:pPr>
          </w:p>
        </w:tc>
        <w:tc>
          <w:tcPr>
            <w:tcW w:w="740" w:type="dxa"/>
            <w:vAlign w:val="bottom"/>
          </w:tcPr>
          <w:p>
            <w:pPr>
              <w:spacing w:after="0"/>
              <w:rPr>
                <w:sz w:val="8"/>
                <w:szCs w:val="8"/>
                <w:color w:val="auto"/>
              </w:rPr>
            </w:pPr>
          </w:p>
        </w:tc>
        <w:tc>
          <w:tcPr>
            <w:tcW w:w="100" w:type="dxa"/>
            <w:vAlign w:val="bottom"/>
          </w:tcPr>
          <w:p>
            <w:pPr>
              <w:spacing w:after="0"/>
              <w:rPr>
                <w:sz w:val="8"/>
                <w:szCs w:val="8"/>
                <w:color w:val="auto"/>
              </w:rPr>
            </w:pPr>
          </w:p>
        </w:tc>
        <w:tc>
          <w:tcPr>
            <w:tcW w:w="660" w:type="dxa"/>
            <w:vAlign w:val="bottom"/>
          </w:tcPr>
          <w:p>
            <w:pPr>
              <w:spacing w:after="0"/>
              <w:rPr>
                <w:sz w:val="8"/>
                <w:szCs w:val="8"/>
                <w:color w:val="auto"/>
              </w:rPr>
            </w:pPr>
          </w:p>
        </w:tc>
        <w:tc>
          <w:tcPr>
            <w:tcW w:w="100" w:type="dxa"/>
            <w:vAlign w:val="bottom"/>
          </w:tcPr>
          <w:p>
            <w:pPr>
              <w:spacing w:after="0"/>
              <w:rPr>
                <w:sz w:val="8"/>
                <w:szCs w:val="8"/>
                <w:color w:val="auto"/>
              </w:rPr>
            </w:pPr>
          </w:p>
        </w:tc>
      </w:tr>
    </w:tbl>
    <w:p>
      <w:pPr>
        <w:spacing w:after="0" w:line="19" w:lineRule="exact"/>
        <w:rPr>
          <w:sz w:val="20"/>
          <w:szCs w:val="20"/>
          <w:color w:val="auto"/>
        </w:rPr>
      </w:pPr>
    </w:p>
    <w:p>
      <w:pPr>
        <w:ind w:left="460" w:right="160" w:hanging="452"/>
        <w:spacing w:after="0" w:line="259" w:lineRule="auto"/>
        <w:tabs>
          <w:tab w:leader="none" w:pos="4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Due to impairment charges and Old GM’s proportionate share of Ally Financial’s losses, the carrying amount of Old GM’s investments in Ally Financial Common Membership Interests was reduced to $0. Old GM recorded its proportionate share of Ally Financial’s remaining losses to its investment in Ally Financial Preferred Membership Interests.</w:t>
      </w:r>
    </w:p>
    <w:p>
      <w:pPr>
        <w:spacing w:after="0" w:line="59" w:lineRule="exact"/>
        <w:rPr>
          <w:rFonts w:ascii="Arial" w:cs="Arial" w:eastAsia="Arial" w:hAnsi="Arial"/>
          <w:sz w:val="18"/>
          <w:szCs w:val="18"/>
          <w:color w:val="auto"/>
        </w:rPr>
      </w:pPr>
    </w:p>
    <w:p>
      <w:pPr>
        <w:ind w:left="460" w:right="40" w:hanging="452"/>
        <w:spacing w:after="0" w:line="306" w:lineRule="auto"/>
        <w:tabs>
          <w:tab w:leader="none" w:pos="460" w:val="left"/>
        </w:tabs>
        <w:numPr>
          <w:ilvl w:val="0"/>
          <w:numId w:val="10"/>
        </w:numPr>
        <w:rPr>
          <w:rFonts w:ascii="Arial" w:cs="Arial" w:eastAsia="Arial" w:hAnsi="Arial"/>
          <w:sz w:val="16"/>
          <w:szCs w:val="16"/>
          <w:color w:val="auto"/>
        </w:rPr>
      </w:pPr>
      <w:r>
        <w:rPr>
          <w:rFonts w:ascii="Arial" w:cs="Arial" w:eastAsia="Arial" w:hAnsi="Arial"/>
          <w:sz w:val="16"/>
          <w:szCs w:val="16"/>
          <w:color w:val="auto"/>
        </w:rPr>
        <w:t>Due to the exercise of the UST’s option to convert the UST Ally Financial Loan into Ally Financial Common Membership Interests, in connection with the UST Ally Financial Loan conversion, Old GM recorded a gain of $2.5 billion on disposition of Ally Financial Common Membership Interests and a $2.0 billion loss on extinguishment based on the carrying amount of the UST Ally Financial Loan and accrued interest of $0.9 billion.</w:t>
      </w:r>
    </w:p>
    <w:p>
      <w:pPr>
        <w:spacing w:after="0" w:line="1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Transactions with Nonconsolidated Affiliates</w:t>
      </w:r>
    </w:p>
    <w:p>
      <w:pPr>
        <w:spacing w:after="0" w:line="177" w:lineRule="exact"/>
        <w:rPr>
          <w:sz w:val="20"/>
          <w:szCs w:val="20"/>
          <w:color w:val="auto"/>
        </w:rPr>
      </w:pPr>
    </w:p>
    <w:p>
      <w:pPr>
        <w:ind w:right="40" w:firstLine="228"/>
        <w:spacing w:after="0" w:line="306" w:lineRule="auto"/>
        <w:rPr>
          <w:sz w:val="20"/>
          <w:szCs w:val="20"/>
          <w:color w:val="auto"/>
        </w:rPr>
      </w:pPr>
      <w:r>
        <w:rPr>
          <w:rFonts w:ascii="Arial" w:cs="Arial" w:eastAsia="Arial" w:hAnsi="Arial"/>
          <w:sz w:val="16"/>
          <w:szCs w:val="16"/>
          <w:color w:val="auto"/>
        </w:rPr>
        <w:t>Nonconsolidated affiliates are involved in various aspects of the development, production and marketing of cars, trucks and parts, and we purchase component parts and vehicles from certain nonconsolidated affiliates for resale to dealers. The following tables summarize the effects of transactions with nonconsolidated affiliates, excluding transactions with Ally Financial which are disclosed in Note 23, which are not eliminated in consolidation (dollars in millions):</w:t>
      </w:r>
    </w:p>
    <w:p>
      <w:pPr>
        <w:spacing w:after="0" w:line="14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74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580" w:type="dxa"/>
            <w:vAlign w:val="bottom"/>
            <w:tcBorders>
              <w:bottom w:val="single" w:sz="8" w:color="auto"/>
            </w:tcBorders>
            <w:gridSpan w:val="2"/>
          </w:tcPr>
          <w:p>
            <w:pPr>
              <w:jc w:val="center"/>
              <w:ind w:right="740"/>
              <w:spacing w:after="0"/>
              <w:rPr>
                <w:sz w:val="20"/>
                <w:szCs w:val="20"/>
                <w:color w:val="auto"/>
              </w:rPr>
            </w:pPr>
            <w:r>
              <w:rPr>
                <w:rFonts w:ascii="Arial" w:cs="Arial" w:eastAsia="Arial" w:hAnsi="Arial"/>
                <w:sz w:val="14"/>
                <w:szCs w:val="14"/>
                <w:b w:val="1"/>
                <w:bCs w:val="1"/>
                <w:color w:val="auto"/>
                <w:w w:val="79"/>
              </w:rPr>
              <w:t>Successor</w:t>
            </w:r>
          </w:p>
        </w:tc>
        <w:tc>
          <w:tcPr>
            <w:tcW w:w="14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spacing w:after="0"/>
              <w:rPr>
                <w:sz w:val="14"/>
                <w:szCs w:val="14"/>
                <w:color w:val="auto"/>
              </w:rPr>
            </w:pPr>
          </w:p>
        </w:tc>
        <w:tc>
          <w:tcPr>
            <w:tcW w:w="720" w:type="dxa"/>
            <w:vAlign w:val="bottom"/>
            <w:tcBorders>
              <w:right w:val="single" w:sz="8" w:color="auto"/>
            </w:tcBorders>
          </w:tcPr>
          <w:p>
            <w:pPr>
              <w:spacing w:after="0"/>
              <w:rPr>
                <w:sz w:val="14"/>
                <w:szCs w:val="14"/>
                <w:color w:val="auto"/>
              </w:rPr>
            </w:pPr>
          </w:p>
        </w:tc>
        <w:tc>
          <w:tcPr>
            <w:tcW w:w="4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b w:val="1"/>
                <w:bCs w:val="1"/>
                <w:color w:val="auto"/>
                <w:w w:val="80"/>
              </w:rPr>
              <w:t>Predecessor</w:t>
            </w:r>
          </w:p>
        </w:tc>
        <w:tc>
          <w:tcPr>
            <w:tcW w:w="5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29"/>
        </w:trPr>
        <w:tc>
          <w:tcPr>
            <w:tcW w:w="37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720" w:type="dxa"/>
            <w:vAlign w:val="bottom"/>
            <w:tcBorders>
              <w:right w:val="single" w:sz="8" w:color="auto"/>
            </w:tcBorders>
          </w:tcPr>
          <w:p>
            <w:pPr>
              <w:spacing w:after="0"/>
              <w:rPr>
                <w:sz w:val="11"/>
                <w:szCs w:val="11"/>
                <w:color w:val="auto"/>
              </w:rPr>
            </w:pPr>
          </w:p>
        </w:tc>
        <w:tc>
          <w:tcPr>
            <w:tcW w:w="480" w:type="dxa"/>
            <w:vAlign w:val="bottom"/>
          </w:tcPr>
          <w:p>
            <w:pPr>
              <w:spacing w:after="0"/>
              <w:rPr>
                <w:sz w:val="11"/>
                <w:szCs w:val="11"/>
                <w:color w:val="auto"/>
              </w:rPr>
            </w:pPr>
          </w:p>
        </w:tc>
        <w:tc>
          <w:tcPr>
            <w:tcW w:w="520" w:type="dxa"/>
            <w:vAlign w:val="bottom"/>
            <w:gridSpan w:val="2"/>
          </w:tcPr>
          <w:p>
            <w:pPr>
              <w:jc w:val="center"/>
              <w:spacing w:after="0" w:line="129" w:lineRule="exact"/>
              <w:rPr>
                <w:sz w:val="20"/>
                <w:szCs w:val="20"/>
                <w:color w:val="auto"/>
              </w:rPr>
            </w:pPr>
            <w:r>
              <w:rPr>
                <w:rFonts w:ascii="Arial" w:cs="Arial" w:eastAsia="Arial" w:hAnsi="Arial"/>
                <w:sz w:val="14"/>
                <w:szCs w:val="14"/>
                <w:b w:val="1"/>
                <w:bCs w:val="1"/>
                <w:color w:val="auto"/>
                <w:w w:val="87"/>
              </w:rPr>
              <w:t>July 1,</w:t>
            </w:r>
          </w:p>
        </w:tc>
        <w:tc>
          <w:tcPr>
            <w:tcW w:w="600" w:type="dxa"/>
            <w:vAlign w:val="bottom"/>
          </w:tcPr>
          <w:p>
            <w:pPr>
              <w:spacing w:after="0"/>
              <w:rPr>
                <w:sz w:val="11"/>
                <w:szCs w:val="11"/>
                <w:color w:val="auto"/>
              </w:rPr>
            </w:pPr>
          </w:p>
        </w:tc>
        <w:tc>
          <w:tcPr>
            <w:tcW w:w="660" w:type="dxa"/>
            <w:vAlign w:val="bottom"/>
            <w:gridSpan w:val="2"/>
          </w:tcPr>
          <w:p>
            <w:pPr>
              <w:spacing w:after="0" w:line="129" w:lineRule="exact"/>
              <w:rPr>
                <w:sz w:val="20"/>
                <w:szCs w:val="20"/>
                <w:color w:val="auto"/>
              </w:rPr>
            </w:pPr>
            <w:r>
              <w:rPr>
                <w:rFonts w:ascii="Arial" w:cs="Arial" w:eastAsia="Arial" w:hAnsi="Arial"/>
                <w:sz w:val="14"/>
                <w:szCs w:val="14"/>
                <w:b w:val="1"/>
                <w:bCs w:val="1"/>
                <w:color w:val="auto"/>
                <w:w w:val="92"/>
              </w:rPr>
              <w:t>January 1,</w:t>
            </w:r>
          </w:p>
        </w:tc>
        <w:tc>
          <w:tcPr>
            <w:tcW w:w="100" w:type="dxa"/>
            <w:vAlign w:val="bottom"/>
          </w:tcPr>
          <w:p>
            <w:pPr>
              <w:spacing w:after="0"/>
              <w:rPr>
                <w:sz w:val="11"/>
                <w:szCs w:val="11"/>
                <w:color w:val="auto"/>
              </w:rPr>
            </w:pPr>
          </w:p>
        </w:tc>
      </w:tr>
      <w:tr>
        <w:trPr>
          <w:trHeight w:val="149"/>
        </w:trPr>
        <w:tc>
          <w:tcPr>
            <w:tcW w:w="37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720" w:type="dxa"/>
            <w:vAlign w:val="bottom"/>
            <w:tcBorders>
              <w:right w:val="single" w:sz="8" w:color="auto"/>
            </w:tcBorders>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20" w:type="dxa"/>
            <w:vAlign w:val="bottom"/>
          </w:tcPr>
          <w:p>
            <w:pPr>
              <w:jc w:val="center"/>
              <w:ind w:right="19"/>
              <w:spacing w:after="0" w:line="149" w:lineRule="exact"/>
              <w:rPr>
                <w:sz w:val="20"/>
                <w:szCs w:val="20"/>
                <w:color w:val="auto"/>
              </w:rPr>
            </w:pPr>
            <w:r>
              <w:rPr>
                <w:rFonts w:ascii="Arial" w:cs="Arial" w:eastAsia="Arial" w:hAnsi="Arial"/>
                <w:sz w:val="14"/>
                <w:szCs w:val="14"/>
                <w:b w:val="1"/>
                <w:bCs w:val="1"/>
                <w:color w:val="auto"/>
                <w:w w:val="89"/>
              </w:rPr>
              <w:t>2009</w:t>
            </w:r>
          </w:p>
        </w:tc>
        <w:tc>
          <w:tcPr>
            <w:tcW w:w="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jc w:val="center"/>
              <w:ind w:right="61"/>
              <w:spacing w:after="0" w:line="149" w:lineRule="exact"/>
              <w:rPr>
                <w:sz w:val="20"/>
                <w:szCs w:val="20"/>
                <w:color w:val="auto"/>
              </w:rPr>
            </w:pPr>
            <w:r>
              <w:rPr>
                <w:rFonts w:ascii="Arial" w:cs="Arial" w:eastAsia="Arial" w:hAnsi="Arial"/>
                <w:sz w:val="14"/>
                <w:szCs w:val="14"/>
                <w:b w:val="1"/>
                <w:bCs w:val="1"/>
                <w:color w:val="auto"/>
                <w:w w:val="89"/>
              </w:rPr>
              <w:t>2009</w:t>
            </w:r>
          </w:p>
        </w:tc>
        <w:tc>
          <w:tcPr>
            <w:tcW w:w="100" w:type="dxa"/>
            <w:vAlign w:val="bottom"/>
          </w:tcPr>
          <w:p>
            <w:pPr>
              <w:spacing w:after="0"/>
              <w:rPr>
                <w:sz w:val="12"/>
                <w:szCs w:val="12"/>
                <w:color w:val="auto"/>
              </w:rPr>
            </w:pPr>
          </w:p>
        </w:tc>
      </w:tr>
      <w:tr>
        <w:trPr>
          <w:trHeight w:val="149"/>
        </w:trPr>
        <w:tc>
          <w:tcPr>
            <w:tcW w:w="37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0" w:type="dxa"/>
            <w:vAlign w:val="bottom"/>
          </w:tcPr>
          <w:p>
            <w:pPr>
              <w:jc w:val="right"/>
              <w:ind w:right="79"/>
              <w:spacing w:after="0" w:line="149" w:lineRule="exact"/>
              <w:rPr>
                <w:sz w:val="20"/>
                <w:szCs w:val="20"/>
                <w:color w:val="auto"/>
              </w:rPr>
            </w:pPr>
            <w:r>
              <w:rPr>
                <w:rFonts w:ascii="Arial" w:cs="Arial" w:eastAsia="Arial" w:hAnsi="Arial"/>
                <w:sz w:val="14"/>
                <w:szCs w:val="14"/>
                <w:b w:val="1"/>
                <w:bCs w:val="1"/>
                <w:color w:val="auto"/>
                <w:w w:val="89"/>
              </w:rPr>
              <w:t>Three Months</w:t>
            </w:r>
          </w:p>
        </w:tc>
        <w:tc>
          <w:tcPr>
            <w:tcW w:w="6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580" w:type="dxa"/>
            <w:vAlign w:val="bottom"/>
            <w:gridSpan w:val="2"/>
          </w:tcPr>
          <w:p>
            <w:pPr>
              <w:jc w:val="center"/>
              <w:ind w:right="720"/>
              <w:spacing w:after="0" w:line="149" w:lineRule="exact"/>
              <w:rPr>
                <w:sz w:val="20"/>
                <w:szCs w:val="20"/>
                <w:color w:val="auto"/>
              </w:rPr>
            </w:pPr>
            <w:r>
              <w:rPr>
                <w:rFonts w:ascii="Arial" w:cs="Arial" w:eastAsia="Arial" w:hAnsi="Arial"/>
                <w:sz w:val="14"/>
                <w:szCs w:val="14"/>
                <w:b w:val="1"/>
                <w:bCs w:val="1"/>
                <w:color w:val="auto"/>
                <w:w w:val="88"/>
              </w:rPr>
              <w:t>Nine Months</w:t>
            </w:r>
          </w:p>
        </w:tc>
        <w:tc>
          <w:tcPr>
            <w:tcW w:w="140" w:type="dxa"/>
            <w:vAlign w:val="bottom"/>
          </w:tcPr>
          <w:p>
            <w:pPr>
              <w:spacing w:after="0"/>
              <w:rPr>
                <w:sz w:val="12"/>
                <w:szCs w:val="12"/>
                <w:color w:val="auto"/>
              </w:rPr>
            </w:pPr>
          </w:p>
        </w:tc>
        <w:tc>
          <w:tcPr>
            <w:tcW w:w="1720" w:type="dxa"/>
            <w:vAlign w:val="bottom"/>
            <w:tcBorders>
              <w:right w:val="single" w:sz="8" w:color="auto"/>
            </w:tcBorders>
            <w:gridSpan w:val="2"/>
          </w:tcPr>
          <w:p>
            <w:pPr>
              <w:jc w:val="right"/>
              <w:ind w:right="900"/>
              <w:spacing w:after="0" w:line="149" w:lineRule="exact"/>
              <w:rPr>
                <w:sz w:val="20"/>
                <w:szCs w:val="20"/>
                <w:color w:val="auto"/>
              </w:rPr>
            </w:pPr>
            <w:r>
              <w:rPr>
                <w:rFonts w:ascii="Arial" w:cs="Arial" w:eastAsia="Arial" w:hAnsi="Arial"/>
                <w:sz w:val="14"/>
                <w:szCs w:val="14"/>
                <w:b w:val="1"/>
                <w:bCs w:val="1"/>
                <w:color w:val="auto"/>
                <w:w w:val="92"/>
              </w:rPr>
              <w:t>July 10, 2009</w:t>
            </w:r>
          </w:p>
        </w:tc>
        <w:tc>
          <w:tcPr>
            <w:tcW w:w="480" w:type="dxa"/>
            <w:vAlign w:val="bottom"/>
          </w:tcPr>
          <w:p>
            <w:pPr>
              <w:spacing w:after="0"/>
              <w:rPr>
                <w:sz w:val="12"/>
                <w:szCs w:val="12"/>
                <w:color w:val="auto"/>
              </w:rPr>
            </w:pPr>
          </w:p>
        </w:tc>
        <w:tc>
          <w:tcPr>
            <w:tcW w:w="52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w w:val="87"/>
              </w:rPr>
              <w:t>Through</w:t>
            </w:r>
          </w:p>
        </w:tc>
        <w:tc>
          <w:tcPr>
            <w:tcW w:w="600" w:type="dxa"/>
            <w:vAlign w:val="bottom"/>
          </w:tcPr>
          <w:p>
            <w:pPr>
              <w:spacing w:after="0"/>
              <w:rPr>
                <w:sz w:val="12"/>
                <w:szCs w:val="12"/>
                <w:color w:val="auto"/>
              </w:rPr>
            </w:pPr>
          </w:p>
        </w:tc>
        <w:tc>
          <w:tcPr>
            <w:tcW w:w="760" w:type="dxa"/>
            <w:vAlign w:val="bottom"/>
            <w:gridSpan w:val="3"/>
          </w:tcPr>
          <w:p>
            <w:pPr>
              <w:jc w:val="center"/>
              <w:ind w:right="120"/>
              <w:spacing w:after="0" w:line="149" w:lineRule="exact"/>
              <w:rPr>
                <w:sz w:val="20"/>
                <w:szCs w:val="20"/>
                <w:color w:val="auto"/>
              </w:rPr>
            </w:pPr>
            <w:r>
              <w:rPr>
                <w:rFonts w:ascii="Arial" w:cs="Arial" w:eastAsia="Arial" w:hAnsi="Arial"/>
                <w:sz w:val="14"/>
                <w:szCs w:val="14"/>
                <w:b w:val="1"/>
                <w:bCs w:val="1"/>
                <w:color w:val="auto"/>
                <w:w w:val="91"/>
              </w:rPr>
              <w:t>Through</w:t>
            </w:r>
          </w:p>
        </w:tc>
      </w:tr>
      <w:tr>
        <w:trPr>
          <w:trHeight w:val="149"/>
        </w:trPr>
        <w:tc>
          <w:tcPr>
            <w:tcW w:w="37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0" w:type="dxa"/>
            <w:vAlign w:val="bottom"/>
          </w:tcPr>
          <w:p>
            <w:pPr>
              <w:jc w:val="right"/>
              <w:ind w:right="299"/>
              <w:spacing w:after="0" w:line="149" w:lineRule="exact"/>
              <w:rPr>
                <w:sz w:val="20"/>
                <w:szCs w:val="20"/>
                <w:color w:val="auto"/>
              </w:rPr>
            </w:pPr>
            <w:r>
              <w:rPr>
                <w:rFonts w:ascii="Arial" w:cs="Arial" w:eastAsia="Arial" w:hAnsi="Arial"/>
                <w:sz w:val="14"/>
                <w:szCs w:val="14"/>
                <w:b w:val="1"/>
                <w:bCs w:val="1"/>
                <w:color w:val="auto"/>
              </w:rPr>
              <w:t>Ended</w:t>
            </w:r>
          </w:p>
        </w:tc>
        <w:tc>
          <w:tcPr>
            <w:tcW w:w="6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580" w:type="dxa"/>
            <w:vAlign w:val="bottom"/>
            <w:gridSpan w:val="2"/>
          </w:tcPr>
          <w:p>
            <w:pPr>
              <w:jc w:val="center"/>
              <w:ind w:right="720"/>
              <w:spacing w:after="0" w:line="149" w:lineRule="exact"/>
              <w:rPr>
                <w:sz w:val="20"/>
                <w:szCs w:val="20"/>
                <w:color w:val="auto"/>
              </w:rPr>
            </w:pPr>
            <w:r>
              <w:rPr>
                <w:rFonts w:ascii="Arial" w:cs="Arial" w:eastAsia="Arial" w:hAnsi="Arial"/>
                <w:sz w:val="14"/>
                <w:szCs w:val="14"/>
                <w:b w:val="1"/>
                <w:bCs w:val="1"/>
                <w:color w:val="auto"/>
                <w:w w:val="88"/>
              </w:rPr>
              <w:t>Ended</w:t>
            </w:r>
          </w:p>
        </w:tc>
        <w:tc>
          <w:tcPr>
            <w:tcW w:w="140" w:type="dxa"/>
            <w:vAlign w:val="bottom"/>
          </w:tcPr>
          <w:p>
            <w:pPr>
              <w:spacing w:after="0"/>
              <w:rPr>
                <w:sz w:val="12"/>
                <w:szCs w:val="12"/>
                <w:color w:val="auto"/>
              </w:rPr>
            </w:pPr>
          </w:p>
        </w:tc>
        <w:tc>
          <w:tcPr>
            <w:tcW w:w="1720" w:type="dxa"/>
            <w:vAlign w:val="bottom"/>
            <w:tcBorders>
              <w:right w:val="single" w:sz="8" w:color="auto"/>
            </w:tcBorders>
            <w:gridSpan w:val="2"/>
          </w:tcPr>
          <w:p>
            <w:pPr>
              <w:jc w:val="right"/>
              <w:ind w:right="1040"/>
              <w:spacing w:after="0" w:line="149" w:lineRule="exact"/>
              <w:rPr>
                <w:sz w:val="20"/>
                <w:szCs w:val="20"/>
                <w:color w:val="auto"/>
              </w:rPr>
            </w:pPr>
            <w:r>
              <w:rPr>
                <w:rFonts w:ascii="Arial" w:cs="Arial" w:eastAsia="Arial" w:hAnsi="Arial"/>
                <w:sz w:val="14"/>
                <w:szCs w:val="14"/>
                <w:b w:val="1"/>
                <w:bCs w:val="1"/>
                <w:color w:val="auto"/>
              </w:rPr>
              <w:t>Through</w:t>
            </w:r>
          </w:p>
        </w:tc>
        <w:tc>
          <w:tcPr>
            <w:tcW w:w="480" w:type="dxa"/>
            <w:vAlign w:val="bottom"/>
          </w:tcPr>
          <w:p>
            <w:pPr>
              <w:spacing w:after="0"/>
              <w:rPr>
                <w:sz w:val="12"/>
                <w:szCs w:val="12"/>
                <w:color w:val="auto"/>
              </w:rPr>
            </w:pPr>
          </w:p>
        </w:tc>
        <w:tc>
          <w:tcPr>
            <w:tcW w:w="52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1"/>
              </w:rPr>
              <w:t>July 9,</w:t>
            </w:r>
          </w:p>
        </w:tc>
        <w:tc>
          <w:tcPr>
            <w:tcW w:w="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1"/>
              </w:rPr>
              <w:t>July 9,</w:t>
            </w:r>
          </w:p>
        </w:tc>
      </w:tr>
      <w:tr>
        <w:trPr>
          <w:trHeight w:val="161"/>
        </w:trPr>
        <w:tc>
          <w:tcPr>
            <w:tcW w:w="3740" w:type="dxa"/>
            <w:vAlign w:val="bottom"/>
          </w:tcPr>
          <w:p>
            <w:pPr>
              <w:spacing w:after="0"/>
              <w:rPr>
                <w:sz w:val="14"/>
                <w:szCs w:val="14"/>
                <w:color w:val="auto"/>
              </w:rPr>
            </w:pPr>
          </w:p>
        </w:tc>
        <w:tc>
          <w:tcPr>
            <w:tcW w:w="1140" w:type="dxa"/>
            <w:vAlign w:val="bottom"/>
            <w:gridSpan w:val="2"/>
          </w:tcPr>
          <w:p>
            <w:pPr>
              <w:ind w:left="20"/>
              <w:spacing w:after="0"/>
              <w:rPr>
                <w:sz w:val="20"/>
                <w:szCs w:val="20"/>
                <w:color w:val="auto"/>
              </w:rPr>
            </w:pPr>
            <w:r>
              <w:rPr>
                <w:rFonts w:ascii="Arial" w:cs="Arial" w:eastAsia="Arial" w:hAnsi="Arial"/>
                <w:sz w:val="14"/>
                <w:szCs w:val="14"/>
                <w:b w:val="1"/>
                <w:bCs w:val="1"/>
                <w:color w:val="auto"/>
                <w:w w:val="84"/>
              </w:rPr>
              <w:t>September 30, 2010</w:t>
            </w:r>
          </w:p>
        </w:tc>
        <w:tc>
          <w:tcPr>
            <w:tcW w:w="600" w:type="dxa"/>
            <w:vAlign w:val="bottom"/>
          </w:tcPr>
          <w:p>
            <w:pPr>
              <w:spacing w:after="0"/>
              <w:rPr>
                <w:sz w:val="14"/>
                <w:szCs w:val="14"/>
                <w:color w:val="auto"/>
              </w:rPr>
            </w:pPr>
          </w:p>
        </w:tc>
        <w:tc>
          <w:tcPr>
            <w:tcW w:w="1720" w:type="dxa"/>
            <w:vAlign w:val="bottom"/>
            <w:gridSpan w:val="3"/>
          </w:tcPr>
          <w:p>
            <w:pPr>
              <w:spacing w:after="0"/>
              <w:rPr>
                <w:sz w:val="20"/>
                <w:szCs w:val="20"/>
                <w:color w:val="auto"/>
              </w:rPr>
            </w:pPr>
            <w:r>
              <w:rPr>
                <w:rFonts w:ascii="Arial" w:cs="Arial" w:eastAsia="Arial" w:hAnsi="Arial"/>
                <w:sz w:val="14"/>
                <w:szCs w:val="14"/>
                <w:b w:val="1"/>
                <w:bCs w:val="1"/>
                <w:color w:val="auto"/>
              </w:rPr>
              <w:t>September 30, 2010</w:t>
            </w:r>
          </w:p>
        </w:tc>
        <w:tc>
          <w:tcPr>
            <w:tcW w:w="1860" w:type="dxa"/>
            <w:vAlign w:val="bottom"/>
            <w:tcBorders>
              <w:right w:val="single" w:sz="8" w:color="auto"/>
            </w:tcBorders>
            <w:gridSpan w:val="3"/>
          </w:tcPr>
          <w:p>
            <w:pPr>
              <w:ind w:left="20"/>
              <w:spacing w:after="0"/>
              <w:rPr>
                <w:sz w:val="20"/>
                <w:szCs w:val="20"/>
                <w:color w:val="auto"/>
              </w:rPr>
            </w:pPr>
            <w:r>
              <w:rPr>
                <w:rFonts w:ascii="Arial" w:cs="Arial" w:eastAsia="Arial" w:hAnsi="Arial"/>
                <w:sz w:val="14"/>
                <w:szCs w:val="14"/>
                <w:b w:val="1"/>
                <w:bCs w:val="1"/>
                <w:color w:val="auto"/>
              </w:rPr>
              <w:t>September 30, 2009</w:t>
            </w:r>
          </w:p>
        </w:tc>
        <w:tc>
          <w:tcPr>
            <w:tcW w:w="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20" w:type="dxa"/>
            <w:vAlign w:val="bottom"/>
          </w:tcPr>
          <w:p>
            <w:pPr>
              <w:jc w:val="center"/>
              <w:ind w:right="19"/>
              <w:spacing w:after="0"/>
              <w:rPr>
                <w:sz w:val="20"/>
                <w:szCs w:val="20"/>
                <w:color w:val="auto"/>
              </w:rPr>
            </w:pPr>
            <w:r>
              <w:rPr>
                <w:rFonts w:ascii="Arial" w:cs="Arial" w:eastAsia="Arial" w:hAnsi="Arial"/>
                <w:sz w:val="14"/>
                <w:szCs w:val="14"/>
                <w:b w:val="1"/>
                <w:bCs w:val="1"/>
                <w:color w:val="auto"/>
                <w:w w:val="89"/>
              </w:rPr>
              <w:t>2009</w:t>
            </w:r>
          </w:p>
        </w:tc>
        <w:tc>
          <w:tcPr>
            <w:tcW w:w="6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40" w:type="dxa"/>
            <w:vAlign w:val="bottom"/>
          </w:tcPr>
          <w:p>
            <w:pPr>
              <w:jc w:val="center"/>
              <w:ind w:right="61"/>
              <w:spacing w:after="0"/>
              <w:rPr>
                <w:sz w:val="20"/>
                <w:szCs w:val="20"/>
                <w:color w:val="auto"/>
              </w:rPr>
            </w:pPr>
            <w:r>
              <w:rPr>
                <w:rFonts w:ascii="Arial" w:cs="Arial" w:eastAsia="Arial" w:hAnsi="Arial"/>
                <w:sz w:val="14"/>
                <w:szCs w:val="14"/>
                <w:b w:val="1"/>
                <w:bCs w:val="1"/>
                <w:color w:val="auto"/>
                <w:w w:val="89"/>
              </w:rPr>
              <w:t>2009</w:t>
            </w:r>
          </w:p>
        </w:tc>
        <w:tc>
          <w:tcPr>
            <w:tcW w:w="100" w:type="dxa"/>
            <w:vAlign w:val="bottom"/>
          </w:tcPr>
          <w:p>
            <w:pPr>
              <w:spacing w:after="0"/>
              <w:rPr>
                <w:sz w:val="14"/>
                <w:szCs w:val="14"/>
                <w:color w:val="auto"/>
              </w:rPr>
            </w:pPr>
          </w:p>
        </w:tc>
      </w:tr>
      <w:tr>
        <w:trPr>
          <w:trHeight w:val="210"/>
        </w:trPr>
        <w:tc>
          <w:tcPr>
            <w:tcW w:w="37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Results of Operations</w:t>
            </w:r>
          </w:p>
        </w:tc>
        <w:tc>
          <w:tcPr>
            <w:tcW w:w="14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720" w:type="dxa"/>
            <w:vAlign w:val="bottom"/>
            <w:tcBorders>
              <w:right w:val="single" w:sz="8" w:color="auto"/>
            </w:tcBorders>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3740" w:type="dxa"/>
            <w:vAlign w:val="bottom"/>
          </w:tcPr>
          <w:p>
            <w:pPr>
              <w:spacing w:after="0"/>
              <w:rPr>
                <w:sz w:val="20"/>
                <w:szCs w:val="20"/>
                <w:color w:val="auto"/>
              </w:rPr>
            </w:pPr>
            <w:r>
              <w:rPr>
                <w:rFonts w:ascii="Arial" w:cs="Arial" w:eastAsia="Arial" w:hAnsi="Arial"/>
                <w:sz w:val="18"/>
                <w:szCs w:val="18"/>
                <w:color w:val="auto"/>
              </w:rPr>
              <w:t>Net sales and revenue</w:t>
            </w: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672</w:t>
            </w:r>
          </w:p>
        </w:tc>
        <w:tc>
          <w:tcPr>
            <w:tcW w:w="740" w:type="dxa"/>
            <w:vAlign w:val="bottom"/>
            <w:gridSpan w:val="2"/>
          </w:tcPr>
          <w:p>
            <w:pPr>
              <w:ind w:left="600"/>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2,093</w:t>
            </w:r>
          </w:p>
        </w:tc>
        <w:tc>
          <w:tcPr>
            <w:tcW w:w="580" w:type="dxa"/>
            <w:vAlign w:val="bottom"/>
          </w:tcPr>
          <w:p>
            <w:pPr>
              <w:spacing w:after="0"/>
              <w:rPr>
                <w:sz w:val="18"/>
                <w:szCs w:val="18"/>
                <w:color w:val="auto"/>
              </w:rPr>
            </w:pP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1720" w:type="dxa"/>
            <w:vAlign w:val="bottom"/>
            <w:tcBorders>
              <w:right w:val="single" w:sz="8" w:color="auto"/>
            </w:tcBorders>
            <w:gridSpan w:val="2"/>
          </w:tcPr>
          <w:p>
            <w:pPr>
              <w:jc w:val="right"/>
              <w:ind w:right="640"/>
              <w:spacing w:after="0"/>
              <w:rPr>
                <w:sz w:val="20"/>
                <w:szCs w:val="20"/>
                <w:color w:val="auto"/>
              </w:rPr>
            </w:pPr>
            <w:r>
              <w:rPr>
                <w:rFonts w:ascii="Arial" w:cs="Arial" w:eastAsia="Arial" w:hAnsi="Arial"/>
                <w:sz w:val="18"/>
                <w:szCs w:val="18"/>
                <w:color w:val="auto"/>
              </w:rPr>
              <w:t>401*</w:t>
            </w:r>
          </w:p>
        </w:tc>
        <w:tc>
          <w:tcPr>
            <w:tcW w:w="480" w:type="dxa"/>
            <w:vAlign w:val="bottom"/>
          </w:tcPr>
          <w:p>
            <w:pPr>
              <w:spacing w:after="0"/>
              <w:rPr>
                <w:sz w:val="18"/>
                <w:szCs w:val="18"/>
                <w:color w:val="auto"/>
              </w:rPr>
            </w:pP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420" w:type="dxa"/>
            <w:vAlign w:val="bottom"/>
          </w:tcPr>
          <w:p>
            <w:pPr>
              <w:jc w:val="right"/>
              <w:spacing w:after="0"/>
              <w:rPr>
                <w:sz w:val="20"/>
                <w:szCs w:val="20"/>
                <w:color w:val="auto"/>
              </w:rPr>
            </w:pPr>
            <w:r>
              <w:rPr>
                <w:rFonts w:ascii="Arial" w:cs="Arial" w:eastAsia="Arial" w:hAnsi="Arial"/>
                <w:sz w:val="18"/>
                <w:szCs w:val="18"/>
                <w:color w:val="auto"/>
              </w:rPr>
              <w:t>29</w:t>
            </w:r>
          </w:p>
        </w:tc>
        <w:tc>
          <w:tcPr>
            <w:tcW w:w="720" w:type="dxa"/>
            <w:vAlign w:val="bottom"/>
            <w:gridSpan w:val="2"/>
          </w:tcPr>
          <w:p>
            <w:pPr>
              <w:ind w:left="600"/>
              <w:spacing w:after="0"/>
              <w:rPr>
                <w:sz w:val="20"/>
                <w:szCs w:val="20"/>
                <w:color w:val="auto"/>
              </w:rPr>
            </w:pPr>
            <w:r>
              <w:rPr>
                <w:rFonts w:ascii="Arial" w:cs="Arial" w:eastAsia="Arial" w:hAnsi="Arial"/>
                <w:sz w:val="18"/>
                <w:szCs w:val="18"/>
                <w:color w:val="auto"/>
                <w:w w:val="99"/>
              </w:rPr>
              <w:t>$</w:t>
            </w: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596</w:t>
            </w:r>
          </w:p>
        </w:tc>
      </w:tr>
      <w:tr>
        <w:trPr>
          <w:trHeight w:val="216"/>
        </w:trPr>
        <w:tc>
          <w:tcPr>
            <w:tcW w:w="3740" w:type="dxa"/>
            <w:vAlign w:val="bottom"/>
            <w:shd w:val="clear" w:color="auto" w:fill="CCEEFF"/>
          </w:tcPr>
          <w:p>
            <w:pPr>
              <w:spacing w:after="0"/>
              <w:rPr>
                <w:sz w:val="20"/>
                <w:szCs w:val="20"/>
                <w:color w:val="auto"/>
              </w:rPr>
            </w:pPr>
            <w:r>
              <w:rPr>
                <w:rFonts w:ascii="Arial" w:cs="Arial" w:eastAsia="Arial" w:hAnsi="Arial"/>
                <w:sz w:val="18"/>
                <w:szCs w:val="18"/>
                <w:color w:val="auto"/>
              </w:rPr>
              <w:t>Cost of sales</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782</w:t>
            </w:r>
          </w:p>
        </w:tc>
        <w:tc>
          <w:tcPr>
            <w:tcW w:w="740" w:type="dxa"/>
            <w:vAlign w:val="bottom"/>
            <w:gridSpan w:val="2"/>
            <w:shd w:val="clear" w:color="auto" w:fill="CCEEFF"/>
          </w:tcPr>
          <w:p>
            <w:pPr>
              <w:ind w:left="600"/>
              <w:spacing w:after="0"/>
              <w:rPr>
                <w:sz w:val="20"/>
                <w:szCs w:val="20"/>
                <w:color w:val="auto"/>
              </w:rPr>
            </w:pPr>
            <w:r>
              <w:rPr>
                <w:rFonts w:ascii="Arial" w:cs="Arial" w:eastAsia="Arial" w:hAnsi="Arial"/>
                <w:sz w:val="18"/>
                <w:szCs w:val="18"/>
                <w:color w:val="auto"/>
              </w:rPr>
              <w:t>$</w:t>
            </w:r>
          </w:p>
        </w:tc>
        <w:tc>
          <w:tcPr>
            <w:tcW w:w="158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2,411</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720" w:type="dxa"/>
            <w:vAlign w:val="bottom"/>
            <w:tcBorders>
              <w:right w:val="single" w:sz="8" w:color="auto"/>
            </w:tcBorders>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297*</w:t>
            </w: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w:t>
            </w:r>
          </w:p>
        </w:tc>
        <w:tc>
          <w:tcPr>
            <w:tcW w:w="720" w:type="dxa"/>
            <w:vAlign w:val="bottom"/>
            <w:gridSpan w:val="2"/>
            <w:shd w:val="clear" w:color="auto" w:fill="CCEEFF"/>
          </w:tcPr>
          <w:p>
            <w:pPr>
              <w:ind w:left="600"/>
              <w:spacing w:after="0"/>
              <w:rPr>
                <w:sz w:val="20"/>
                <w:szCs w:val="20"/>
                <w:color w:val="auto"/>
              </w:rPr>
            </w:pPr>
            <w:r>
              <w:rPr>
                <w:rFonts w:ascii="Arial" w:cs="Arial" w:eastAsia="Arial" w:hAnsi="Arial"/>
                <w:sz w:val="18"/>
                <w:szCs w:val="18"/>
                <w:color w:val="auto"/>
                <w:w w:val="99"/>
              </w:rPr>
              <w:t>$</w:t>
            </w: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737</w:t>
            </w:r>
          </w:p>
        </w:tc>
      </w:tr>
      <w:tr>
        <w:trPr>
          <w:trHeight w:val="216"/>
        </w:trPr>
        <w:tc>
          <w:tcPr>
            <w:tcW w:w="3740" w:type="dxa"/>
            <w:vAlign w:val="bottom"/>
          </w:tcPr>
          <w:p>
            <w:pPr>
              <w:spacing w:after="0"/>
              <w:rPr>
                <w:sz w:val="20"/>
                <w:szCs w:val="20"/>
                <w:color w:val="auto"/>
              </w:rPr>
            </w:pPr>
            <w:r>
              <w:rPr>
                <w:rFonts w:ascii="Arial" w:cs="Arial" w:eastAsia="Arial" w:hAnsi="Arial"/>
                <w:sz w:val="18"/>
                <w:szCs w:val="18"/>
                <w:color w:val="auto"/>
              </w:rPr>
              <w:t>Selling, general and administrative expense</w:t>
            </w: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1</w:t>
            </w:r>
          </w:p>
        </w:tc>
        <w:tc>
          <w:tcPr>
            <w:tcW w:w="740" w:type="dxa"/>
            <w:vAlign w:val="bottom"/>
            <w:gridSpan w:val="2"/>
          </w:tcPr>
          <w:p>
            <w:pPr>
              <w:ind w:left="600"/>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3</w:t>
            </w:r>
          </w:p>
        </w:tc>
        <w:tc>
          <w:tcPr>
            <w:tcW w:w="580" w:type="dxa"/>
            <w:vAlign w:val="bottom"/>
          </w:tcPr>
          <w:p>
            <w:pPr>
              <w:spacing w:after="0"/>
              <w:rPr>
                <w:sz w:val="18"/>
                <w:szCs w:val="18"/>
                <w:color w:val="auto"/>
              </w:rPr>
            </w:pP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1720" w:type="dxa"/>
            <w:vAlign w:val="bottom"/>
            <w:tcBorders>
              <w:right w:val="single" w:sz="8" w:color="auto"/>
            </w:tcBorders>
            <w:gridSpan w:val="2"/>
          </w:tcPr>
          <w:p>
            <w:pPr>
              <w:jc w:val="right"/>
              <w:ind w:right="660"/>
              <w:spacing w:after="0"/>
              <w:rPr>
                <w:sz w:val="20"/>
                <w:szCs w:val="20"/>
                <w:color w:val="auto"/>
              </w:rPr>
            </w:pPr>
            <w:r>
              <w:rPr>
                <w:rFonts w:ascii="Arial" w:cs="Arial" w:eastAsia="Arial" w:hAnsi="Arial"/>
                <w:sz w:val="18"/>
                <w:szCs w:val="18"/>
                <w:color w:val="auto"/>
              </w:rPr>
              <w:t>(9)</w:t>
            </w:r>
          </w:p>
        </w:tc>
        <w:tc>
          <w:tcPr>
            <w:tcW w:w="480" w:type="dxa"/>
            <w:vAlign w:val="bottom"/>
          </w:tcPr>
          <w:p>
            <w:pPr>
              <w:spacing w:after="0"/>
              <w:rPr>
                <w:sz w:val="18"/>
                <w:szCs w:val="18"/>
                <w:color w:val="auto"/>
              </w:rPr>
            </w:pP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420" w:type="dxa"/>
            <w:vAlign w:val="bottom"/>
          </w:tcPr>
          <w:p>
            <w:pPr>
              <w:jc w:val="right"/>
              <w:spacing w:after="0"/>
              <w:rPr>
                <w:sz w:val="20"/>
                <w:szCs w:val="20"/>
                <w:color w:val="auto"/>
              </w:rPr>
            </w:pPr>
            <w:r>
              <w:rPr>
                <w:rFonts w:ascii="Arial" w:cs="Arial" w:eastAsia="Arial" w:hAnsi="Arial"/>
                <w:sz w:val="18"/>
                <w:szCs w:val="18"/>
                <w:color w:val="auto"/>
              </w:rPr>
              <w:t>—</w:t>
            </w:r>
          </w:p>
        </w:tc>
        <w:tc>
          <w:tcPr>
            <w:tcW w:w="720" w:type="dxa"/>
            <w:vAlign w:val="bottom"/>
            <w:gridSpan w:val="2"/>
          </w:tcPr>
          <w:p>
            <w:pPr>
              <w:ind w:left="600"/>
              <w:spacing w:after="0"/>
              <w:rPr>
                <w:sz w:val="20"/>
                <w:szCs w:val="20"/>
                <w:color w:val="auto"/>
              </w:rPr>
            </w:pPr>
            <w:r>
              <w:rPr>
                <w:rFonts w:ascii="Arial" w:cs="Arial" w:eastAsia="Arial" w:hAnsi="Arial"/>
                <w:sz w:val="18"/>
                <w:szCs w:val="18"/>
                <w:color w:val="auto"/>
                <w:w w:val="99"/>
              </w:rPr>
              <w:t>$</w:t>
            </w:r>
          </w:p>
        </w:tc>
        <w:tc>
          <w:tcPr>
            <w:tcW w:w="640" w:type="dxa"/>
            <w:vAlign w:val="bottom"/>
            <w:gridSpan w:val="2"/>
          </w:tcPr>
          <w:p>
            <w:pPr>
              <w:jc w:val="right"/>
              <w:ind w:right="40"/>
              <w:spacing w:after="0"/>
              <w:rPr>
                <w:sz w:val="20"/>
                <w:szCs w:val="20"/>
                <w:color w:val="auto"/>
              </w:rPr>
            </w:pPr>
            <w:r>
              <w:rPr>
                <w:rFonts w:ascii="Arial" w:cs="Arial" w:eastAsia="Arial" w:hAnsi="Arial"/>
                <w:sz w:val="18"/>
                <w:szCs w:val="18"/>
                <w:color w:val="auto"/>
              </w:rPr>
              <w:t>(19)</w:t>
            </w:r>
          </w:p>
        </w:tc>
      </w:tr>
      <w:tr>
        <w:trPr>
          <w:trHeight w:val="208"/>
        </w:trPr>
        <w:tc>
          <w:tcPr>
            <w:tcW w:w="3740" w:type="dxa"/>
            <w:vAlign w:val="bottom"/>
            <w:shd w:val="clear" w:color="auto" w:fill="CCEEFF"/>
          </w:tcPr>
          <w:p>
            <w:pPr>
              <w:spacing w:after="0"/>
              <w:rPr>
                <w:sz w:val="20"/>
                <w:szCs w:val="20"/>
                <w:color w:val="auto"/>
              </w:rPr>
            </w:pPr>
            <w:r>
              <w:rPr>
                <w:rFonts w:ascii="Arial" w:cs="Arial" w:eastAsia="Arial" w:hAnsi="Arial"/>
                <w:sz w:val="18"/>
                <w:szCs w:val="18"/>
                <w:color w:val="auto"/>
              </w:rPr>
              <w:t>Interest income and other non-operating</w:t>
            </w: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720" w:type="dxa"/>
            <w:vAlign w:val="bottom"/>
            <w:tcBorders>
              <w:right w:val="single" w:sz="8" w:color="auto"/>
            </w:tcBorders>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24"/>
        </w:trPr>
        <w:tc>
          <w:tcPr>
            <w:tcW w:w="37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income (expense), net</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740" w:type="dxa"/>
            <w:vAlign w:val="bottom"/>
            <w:gridSpan w:val="2"/>
            <w:shd w:val="clear" w:color="auto" w:fill="CCEEFF"/>
          </w:tcPr>
          <w:p>
            <w:pPr>
              <w:ind w:left="60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5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720" w:type="dxa"/>
            <w:vAlign w:val="bottom"/>
            <w:tcBorders>
              <w:right w:val="single" w:sz="8" w:color="auto"/>
            </w:tcBorders>
            <w:gridSpan w:val="2"/>
            <w:shd w:val="clear" w:color="auto" w:fill="CCEEFF"/>
          </w:tcPr>
          <w:p>
            <w:pPr>
              <w:jc w:val="right"/>
              <w:ind w:right="720"/>
              <w:spacing w:after="0"/>
              <w:rPr>
                <w:sz w:val="20"/>
                <w:szCs w:val="20"/>
                <w:color w:val="auto"/>
              </w:rPr>
            </w:pPr>
            <w:r>
              <w:rPr>
                <w:rFonts w:ascii="Arial" w:cs="Arial" w:eastAsia="Arial" w:hAnsi="Arial"/>
                <w:sz w:val="18"/>
                <w:szCs w:val="18"/>
                <w:color w:val="auto"/>
              </w:rPr>
              <w:t>2</w:t>
            </w:r>
          </w:p>
        </w:tc>
        <w:tc>
          <w:tcPr>
            <w:tcW w:w="4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ind w:left="600"/>
              <w:spacing w:after="0"/>
              <w:rPr>
                <w:sz w:val="20"/>
                <w:szCs w:val="20"/>
                <w:color w:val="auto"/>
              </w:rPr>
            </w:pPr>
            <w:r>
              <w:rPr>
                <w:rFonts w:ascii="Arial" w:cs="Arial" w:eastAsia="Arial" w:hAnsi="Arial"/>
                <w:sz w:val="18"/>
                <w:szCs w:val="18"/>
                <w:color w:val="auto"/>
                <w:w w:val="99"/>
              </w:rPr>
              <w:t>$</w:t>
            </w: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72898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20" w:lineRule="exact"/>
        <w:rPr>
          <w:sz w:val="20"/>
          <w:szCs w:val="20"/>
          <w:color w:val="auto"/>
        </w:rPr>
      </w:pPr>
    </w:p>
    <w:p>
      <w:pPr>
        <w:ind w:left="5620" w:right="4780" w:hanging="5612"/>
        <w:spacing w:after="0" w:line="525" w:lineRule="auto"/>
        <w:tabs>
          <w:tab w:leader="none" w:pos="448" w:val="left"/>
        </w:tabs>
        <w:numPr>
          <w:ilvl w:val="0"/>
          <w:numId w:val="11"/>
        </w:numPr>
        <w:rPr>
          <w:rFonts w:ascii="Arial" w:cs="Arial" w:eastAsia="Arial" w:hAnsi="Arial"/>
          <w:sz w:val="16"/>
          <w:szCs w:val="16"/>
          <w:color w:val="auto"/>
        </w:rPr>
      </w:pPr>
      <w:r>
        <w:rPr>
          <w:rFonts w:ascii="Arial" w:cs="Arial" w:eastAsia="Arial" w:hAnsi="Arial"/>
          <w:sz w:val="16"/>
          <w:szCs w:val="16"/>
          <w:color w:val="auto"/>
        </w:rPr>
        <w:t>Amounts originally reported as $289 and $276 in our 2009 Form 10-Q. Refer to Note 3. 19</w:t>
      </w:r>
    </w:p>
    <w:p>
      <w:pPr>
        <w:sectPr>
          <w:pgSz w:w="11900" w:h="16838" w:orient="portrait"/>
          <w:cols w:equalWidth="0" w:num="1">
            <w:col w:w="11420"/>
          </w:cols>
          <w:pgMar w:left="240" w:top="459" w:right="23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33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9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gridSpan w:val="4"/>
          </w:tcPr>
          <w:p>
            <w:pPr>
              <w:jc w:val="right"/>
              <w:ind w:right="140"/>
              <w:spacing w:after="0"/>
              <w:rPr>
                <w:sz w:val="20"/>
                <w:szCs w:val="20"/>
                <w:color w:val="auto"/>
              </w:rPr>
            </w:pPr>
            <w:r>
              <w:rPr>
                <w:rFonts w:ascii="Arial" w:cs="Arial" w:eastAsia="Arial" w:hAnsi="Arial"/>
                <w:sz w:val="14"/>
                <w:szCs w:val="14"/>
                <w:b w:val="1"/>
                <w:bCs w:val="1"/>
                <w:color w:val="auto"/>
                <w:w w:val="98"/>
              </w:rPr>
              <w:t>Successor</w:t>
            </w:r>
          </w:p>
        </w:tc>
        <w:tc>
          <w:tcPr>
            <w:tcW w:w="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16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49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20" w:type="dxa"/>
            <w:vAlign w:val="bottom"/>
            <w:gridSpan w:val="6"/>
          </w:tcPr>
          <w:p>
            <w:pPr>
              <w:jc w:val="right"/>
              <w:spacing w:after="0" w:line="129" w:lineRule="exact"/>
              <w:rPr>
                <w:sz w:val="20"/>
                <w:szCs w:val="20"/>
                <w:color w:val="auto"/>
              </w:rPr>
            </w:pPr>
            <w:r>
              <w:rPr>
                <w:rFonts w:ascii="Arial" w:cs="Arial" w:eastAsia="Arial" w:hAnsi="Arial"/>
                <w:sz w:val="14"/>
                <w:szCs w:val="14"/>
                <w:b w:val="1"/>
                <w:bCs w:val="1"/>
                <w:color w:val="auto"/>
                <w:w w:val="83"/>
              </w:rPr>
              <w:t>September 30,</w:t>
            </w:r>
          </w:p>
        </w:tc>
        <w:tc>
          <w:tcPr>
            <w:tcW w:w="2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20" w:type="dxa"/>
            <w:vAlign w:val="bottom"/>
            <w:gridSpan w:val="5"/>
          </w:tcPr>
          <w:p>
            <w:pPr>
              <w:ind w:left="20"/>
              <w:spacing w:after="0" w:line="129" w:lineRule="exact"/>
              <w:rPr>
                <w:sz w:val="20"/>
                <w:szCs w:val="20"/>
                <w:color w:val="auto"/>
              </w:rPr>
            </w:pPr>
            <w:r>
              <w:rPr>
                <w:rFonts w:ascii="Arial" w:cs="Arial" w:eastAsia="Arial" w:hAnsi="Arial"/>
                <w:sz w:val="14"/>
                <w:szCs w:val="14"/>
                <w:b w:val="1"/>
                <w:bCs w:val="1"/>
                <w:color w:val="auto"/>
                <w:w w:val="85"/>
              </w:rPr>
              <w:t>December 31,</w:t>
            </w: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1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9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gridSpan w:val="4"/>
          </w:tcPr>
          <w:p>
            <w:pPr>
              <w:ind w:left="160"/>
              <w:spacing w:after="0"/>
              <w:rPr>
                <w:sz w:val="20"/>
                <w:szCs w:val="20"/>
                <w:color w:val="auto"/>
              </w:rPr>
            </w:pPr>
            <w:r>
              <w:rPr>
                <w:rFonts w:ascii="Arial" w:cs="Arial" w:eastAsia="Arial" w:hAnsi="Arial"/>
                <w:sz w:val="14"/>
                <w:szCs w:val="14"/>
                <w:b w:val="1"/>
                <w:bCs w:val="1"/>
                <w:color w:val="auto"/>
              </w:rPr>
              <w:t>2010</w:t>
            </w:r>
          </w:p>
        </w:tc>
        <w:tc>
          <w:tcPr>
            <w:tcW w:w="40" w:type="dxa"/>
            <w:vAlign w:val="bottom"/>
            <w:tcBorders>
              <w:bottom w:val="single" w:sz="8" w:color="auto"/>
            </w:tcBorders>
          </w:tcPr>
          <w:p>
            <w:pPr>
              <w:spacing w:after="0"/>
              <w:rPr>
                <w:sz w:val="14"/>
                <w:szCs w:val="14"/>
                <w:color w:val="auto"/>
              </w:rPr>
            </w:pPr>
          </w:p>
        </w:tc>
        <w:tc>
          <w:tcPr>
            <w:tcW w:w="2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gridSpan w:val="2"/>
          </w:tcPr>
          <w:p>
            <w:pPr>
              <w:jc w:val="right"/>
              <w:ind w:right="177"/>
              <w:spacing w:after="0"/>
              <w:rPr>
                <w:sz w:val="20"/>
                <w:szCs w:val="20"/>
                <w:color w:val="auto"/>
              </w:rPr>
            </w:pPr>
            <w:r>
              <w:rPr>
                <w:rFonts w:ascii="Arial" w:cs="Arial" w:eastAsia="Arial" w:hAnsi="Arial"/>
                <w:sz w:val="14"/>
                <w:szCs w:val="14"/>
                <w:b w:val="1"/>
                <w:bCs w:val="1"/>
                <w:color w:val="auto"/>
              </w:rPr>
              <w:t>2009</w:t>
            </w:r>
          </w:p>
        </w:tc>
        <w:tc>
          <w:tcPr>
            <w:tcW w:w="2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6060" w:type="dxa"/>
            <w:vAlign w:val="bottom"/>
            <w:gridSpan w:val="3"/>
            <w:shd w:val="clear" w:color="auto" w:fill="CCEEFF"/>
          </w:tcPr>
          <w:p>
            <w:pPr>
              <w:spacing w:after="0"/>
              <w:rPr>
                <w:sz w:val="20"/>
                <w:szCs w:val="20"/>
                <w:color w:val="auto"/>
              </w:rPr>
            </w:pPr>
            <w:r>
              <w:rPr>
                <w:rFonts w:ascii="Arial" w:cs="Arial" w:eastAsia="Arial" w:hAnsi="Arial"/>
                <w:sz w:val="18"/>
                <w:szCs w:val="18"/>
                <w:b w:val="1"/>
                <w:bCs w:val="1"/>
                <w:color w:val="auto"/>
              </w:rPr>
              <w:t>Financial Position</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0" w:type="dxa"/>
            <w:vAlign w:val="bottom"/>
            <w:tcBorders>
              <w:right w:val="single" w:sz="8" w:color="CCEEFF"/>
            </w:tcBorders>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60" w:type="dxa"/>
            <w:vAlign w:val="bottom"/>
            <w:gridSpan w:val="3"/>
          </w:tcPr>
          <w:p>
            <w:pPr>
              <w:spacing w:after="0"/>
              <w:rPr>
                <w:sz w:val="20"/>
                <w:szCs w:val="20"/>
                <w:color w:val="auto"/>
              </w:rPr>
            </w:pPr>
            <w:r>
              <w:rPr>
                <w:rFonts w:ascii="Arial" w:cs="Arial" w:eastAsia="Arial" w:hAnsi="Arial"/>
                <w:sz w:val="18"/>
                <w:szCs w:val="18"/>
                <w:color w:val="auto"/>
              </w:rPr>
              <w:t>Accounts and notes receivable, net</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500" w:type="dxa"/>
            <w:vAlign w:val="bottom"/>
            <w:gridSpan w:val="5"/>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gridSpan w:val="3"/>
          </w:tcPr>
          <w:p>
            <w:pPr>
              <w:jc w:val="right"/>
              <w:spacing w:after="0"/>
              <w:rPr>
                <w:sz w:val="20"/>
                <w:szCs w:val="20"/>
                <w:color w:val="auto"/>
              </w:rPr>
            </w:pPr>
            <w:r>
              <w:rPr>
                <w:rFonts w:ascii="Arial" w:cs="Arial" w:eastAsia="Arial" w:hAnsi="Arial"/>
                <w:sz w:val="18"/>
                <w:szCs w:val="18"/>
                <w:color w:val="auto"/>
              </w:rPr>
              <w:t>411</w:t>
            </w: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gridSpan w:val="2"/>
          </w:tcPr>
          <w:p>
            <w:pPr>
              <w:ind w:left="20"/>
              <w:spacing w:after="0"/>
              <w:rPr>
                <w:sz w:val="20"/>
                <w:szCs w:val="20"/>
                <w:color w:val="auto"/>
              </w:rPr>
            </w:pPr>
            <w:r>
              <w:rPr>
                <w:rFonts w:ascii="Arial" w:cs="Arial" w:eastAsia="Arial" w:hAnsi="Arial"/>
                <w:sz w:val="18"/>
                <w:szCs w:val="18"/>
                <w:color w:val="auto"/>
                <w:w w:val="99"/>
              </w:rPr>
              <w:t>$</w:t>
            </w:r>
          </w:p>
        </w:tc>
        <w:tc>
          <w:tcPr>
            <w:tcW w:w="80" w:type="dxa"/>
            <w:vAlign w:val="bottom"/>
          </w:tcPr>
          <w:p>
            <w:pPr>
              <w:spacing w:after="0"/>
              <w:rPr>
                <w:sz w:val="18"/>
                <w:szCs w:val="18"/>
                <w:color w:val="auto"/>
              </w:rPr>
            </w:pPr>
          </w:p>
        </w:tc>
        <w:tc>
          <w:tcPr>
            <w:tcW w:w="620" w:type="dxa"/>
            <w:vAlign w:val="bottom"/>
            <w:gridSpan w:val="3"/>
          </w:tcPr>
          <w:p>
            <w:pPr>
              <w:jc w:val="right"/>
              <w:ind w:right="20"/>
              <w:spacing w:after="0"/>
              <w:rPr>
                <w:sz w:val="20"/>
                <w:szCs w:val="20"/>
                <w:color w:val="auto"/>
              </w:rPr>
            </w:pPr>
            <w:r>
              <w:rPr>
                <w:rFonts w:ascii="Arial" w:cs="Arial" w:eastAsia="Arial" w:hAnsi="Arial"/>
                <w:sz w:val="18"/>
                <w:szCs w:val="18"/>
                <w:color w:val="auto"/>
              </w:rPr>
              <w:t>771</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Accounts payable (principally trade)</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500" w:type="dxa"/>
            <w:vAlign w:val="bottom"/>
            <w:gridSpan w:val="5"/>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616</w:t>
            </w:r>
          </w:p>
        </w:tc>
        <w:tc>
          <w:tcPr>
            <w:tcW w:w="260" w:type="dxa"/>
            <w:vAlign w:val="bottom"/>
            <w:shd w:val="clear" w:color="auto" w:fill="CCEEFF"/>
          </w:tcPr>
          <w:p>
            <w:pPr>
              <w:spacing w:after="0"/>
              <w:rPr>
                <w:sz w:val="18"/>
                <w:szCs w:val="18"/>
                <w:color w:val="auto"/>
              </w:rPr>
            </w:pPr>
          </w:p>
        </w:tc>
        <w:tc>
          <w:tcPr>
            <w:tcW w:w="140" w:type="dxa"/>
            <w:vAlign w:val="bottom"/>
            <w:tcBorders>
              <w:right w:val="single" w:sz="8" w:color="CCEEFF"/>
            </w:tcBorders>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w w:val="99"/>
              </w:rPr>
              <w:t>$</w:t>
            </w:r>
          </w:p>
        </w:tc>
        <w:tc>
          <w:tcPr>
            <w:tcW w:w="80" w:type="dxa"/>
            <w:vAlign w:val="bottom"/>
            <w:shd w:val="clear" w:color="auto" w:fill="CCEEFF"/>
          </w:tcPr>
          <w:p>
            <w:pPr>
              <w:spacing w:after="0"/>
              <w:rPr>
                <w:sz w:val="18"/>
                <w:szCs w:val="18"/>
                <w:color w:val="auto"/>
              </w:rPr>
            </w:pPr>
          </w:p>
        </w:tc>
        <w:tc>
          <w:tcPr>
            <w:tcW w:w="62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579</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1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49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500" w:type="dxa"/>
            <w:vAlign w:val="bottom"/>
            <w:gridSpan w:val="5"/>
            <w:vMerge w:val="restart"/>
          </w:tcPr>
          <w:p>
            <w:pPr>
              <w:jc w:val="right"/>
              <w:ind w:right="852"/>
              <w:spacing w:after="0"/>
              <w:rPr>
                <w:sz w:val="20"/>
                <w:szCs w:val="20"/>
                <w:color w:val="auto"/>
              </w:rPr>
            </w:pPr>
            <w:r>
              <w:rPr>
                <w:rFonts w:ascii="Arial" w:cs="Arial" w:eastAsia="Arial" w:hAnsi="Arial"/>
                <w:sz w:val="14"/>
                <w:szCs w:val="14"/>
                <w:b w:val="1"/>
                <w:bCs w:val="1"/>
                <w:color w:val="auto"/>
                <w:w w:val="79"/>
              </w:rPr>
              <w:t>Successor</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gridSpan w:val="5"/>
            <w:vMerge w:val="restart"/>
          </w:tcPr>
          <w:p>
            <w:pPr>
              <w:spacing w:after="0"/>
              <w:rPr>
                <w:sz w:val="20"/>
                <w:szCs w:val="20"/>
                <w:color w:val="auto"/>
              </w:rPr>
            </w:pPr>
            <w:r>
              <w:rPr>
                <w:rFonts w:ascii="Arial" w:cs="Arial" w:eastAsia="Arial" w:hAnsi="Arial"/>
                <w:sz w:val="14"/>
                <w:szCs w:val="14"/>
                <w:b w:val="1"/>
                <w:bCs w:val="1"/>
                <w:color w:val="auto"/>
                <w:w w:val="90"/>
              </w:rPr>
              <w:t>Predecessor</w:t>
            </w:r>
          </w:p>
        </w:tc>
        <w:tc>
          <w:tcPr>
            <w:tcW w:w="0" w:type="dxa"/>
            <w:vAlign w:val="bottom"/>
          </w:tcPr>
          <w:p>
            <w:pPr>
              <w:spacing w:after="0"/>
              <w:rPr>
                <w:sz w:val="1"/>
                <w:szCs w:val="1"/>
                <w:color w:val="auto"/>
              </w:rPr>
            </w:pPr>
          </w:p>
        </w:tc>
      </w:tr>
      <w:tr>
        <w:trPr>
          <w:trHeight w:val="149"/>
        </w:trPr>
        <w:tc>
          <w:tcPr>
            <w:tcW w:w="16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49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500" w:type="dxa"/>
            <w:vAlign w:val="bottom"/>
            <w:gridSpan w:val="5"/>
            <w:vMerge w:val="continue"/>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40" w:type="dxa"/>
            <w:vAlign w:val="bottom"/>
            <w:tcBorders>
              <w:right w:val="single" w:sz="8" w:color="auto"/>
            </w:tcBorders>
          </w:tcPr>
          <w:p>
            <w:pPr>
              <w:spacing w:after="0"/>
              <w:rPr>
                <w:sz w:val="12"/>
                <w:szCs w:val="12"/>
                <w:color w:val="auto"/>
              </w:rPr>
            </w:pPr>
          </w:p>
        </w:tc>
        <w:tc>
          <w:tcPr>
            <w:tcW w:w="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gridSpan w:val="5"/>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29"/>
        </w:trPr>
        <w:tc>
          <w:tcPr>
            <w:tcW w:w="16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49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1000" w:type="dxa"/>
            <w:vAlign w:val="bottom"/>
            <w:tcBorders>
              <w:top w:val="single" w:sz="8" w:color="auto"/>
            </w:tcBorders>
          </w:tcPr>
          <w:p>
            <w:pPr>
              <w:spacing w:after="0"/>
              <w:rPr>
                <w:sz w:val="11"/>
                <w:szCs w:val="11"/>
                <w:color w:val="auto"/>
              </w:rPr>
            </w:pPr>
          </w:p>
        </w:tc>
        <w:tc>
          <w:tcPr>
            <w:tcW w:w="60" w:type="dxa"/>
            <w:vAlign w:val="bottom"/>
            <w:tcBorders>
              <w:top w:val="single" w:sz="8" w:color="auto"/>
            </w:tcBorders>
          </w:tcPr>
          <w:p>
            <w:pPr>
              <w:spacing w:after="0"/>
              <w:rPr>
                <w:sz w:val="11"/>
                <w:szCs w:val="11"/>
                <w:color w:val="auto"/>
              </w:rPr>
            </w:pPr>
          </w:p>
        </w:tc>
        <w:tc>
          <w:tcPr>
            <w:tcW w:w="640" w:type="dxa"/>
            <w:vAlign w:val="bottom"/>
            <w:tcBorders>
              <w:top w:val="single" w:sz="8" w:color="auto"/>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580" w:type="dxa"/>
            <w:vAlign w:val="bottom"/>
            <w:tcBorders>
              <w:top w:val="single" w:sz="8" w:color="auto"/>
            </w:tcBorders>
          </w:tcPr>
          <w:p>
            <w:pPr>
              <w:spacing w:after="0"/>
              <w:rPr>
                <w:sz w:val="11"/>
                <w:szCs w:val="11"/>
                <w:color w:val="auto"/>
              </w:rPr>
            </w:pPr>
          </w:p>
        </w:tc>
        <w:tc>
          <w:tcPr>
            <w:tcW w:w="40" w:type="dxa"/>
            <w:vAlign w:val="bottom"/>
            <w:tcBorders>
              <w:top w:val="single" w:sz="8" w:color="auto"/>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20" w:type="dxa"/>
            <w:vAlign w:val="bottom"/>
            <w:tcBorders>
              <w:top w:val="single" w:sz="8" w:color="auto"/>
            </w:tcBorders>
          </w:tcPr>
          <w:p>
            <w:pPr>
              <w:spacing w:after="0"/>
              <w:rPr>
                <w:sz w:val="11"/>
                <w:szCs w:val="11"/>
                <w:color w:val="auto"/>
              </w:rPr>
            </w:pPr>
          </w:p>
        </w:tc>
        <w:tc>
          <w:tcPr>
            <w:tcW w:w="3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40" w:type="dxa"/>
            <w:vAlign w:val="bottom"/>
            <w:tcBorders>
              <w:right w:val="single" w:sz="8" w:color="auto"/>
            </w:tcBorders>
          </w:tcPr>
          <w:p>
            <w:pPr>
              <w:spacing w:after="0"/>
              <w:rPr>
                <w:sz w:val="11"/>
                <w:szCs w:val="11"/>
                <w:color w:val="auto"/>
              </w:rPr>
            </w:pPr>
          </w:p>
        </w:tc>
        <w:tc>
          <w:tcPr>
            <w:tcW w:w="3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tcBorders>
              <w:top w:val="single" w:sz="8" w:color="auto"/>
            </w:tcBorders>
            <w:gridSpan w:val="4"/>
          </w:tcPr>
          <w:p>
            <w:pPr>
              <w:ind w:left="20"/>
              <w:spacing w:after="0" w:line="129" w:lineRule="exact"/>
              <w:rPr>
                <w:sz w:val="20"/>
                <w:szCs w:val="20"/>
                <w:color w:val="auto"/>
              </w:rPr>
            </w:pPr>
            <w:r>
              <w:rPr>
                <w:rFonts w:ascii="Arial" w:cs="Arial" w:eastAsia="Arial" w:hAnsi="Arial"/>
                <w:sz w:val="14"/>
                <w:szCs w:val="14"/>
                <w:b w:val="1"/>
                <w:bCs w:val="1"/>
                <w:color w:val="auto"/>
                <w:w w:val="95"/>
              </w:rPr>
              <w:t>January 1,</w:t>
            </w: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16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49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60" w:type="dxa"/>
            <w:vAlign w:val="bottom"/>
            <w:gridSpan w:val="2"/>
          </w:tcPr>
          <w:p>
            <w:pPr>
              <w:jc w:val="right"/>
              <w:ind w:right="260"/>
              <w:spacing w:after="0" w:line="149" w:lineRule="exact"/>
              <w:rPr>
                <w:sz w:val="20"/>
                <w:szCs w:val="20"/>
                <w:color w:val="auto"/>
              </w:rPr>
            </w:pPr>
            <w:r>
              <w:rPr>
                <w:rFonts w:ascii="Arial" w:cs="Arial" w:eastAsia="Arial" w:hAnsi="Arial"/>
                <w:sz w:val="14"/>
                <w:szCs w:val="14"/>
                <w:b w:val="1"/>
                <w:bCs w:val="1"/>
                <w:color w:val="auto"/>
                <w:w w:val="92"/>
              </w:rPr>
              <w:t>Nine Months</w:t>
            </w: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gridSpan w:val="5"/>
          </w:tcPr>
          <w:p>
            <w:pPr>
              <w:ind w:left="80"/>
              <w:spacing w:after="0" w:line="149" w:lineRule="exact"/>
              <w:rPr>
                <w:sz w:val="20"/>
                <w:szCs w:val="20"/>
                <w:color w:val="auto"/>
              </w:rPr>
            </w:pPr>
            <w:r>
              <w:rPr>
                <w:rFonts w:ascii="Arial" w:cs="Arial" w:eastAsia="Arial" w:hAnsi="Arial"/>
                <w:sz w:val="14"/>
                <w:szCs w:val="14"/>
                <w:b w:val="1"/>
                <w:bCs w:val="1"/>
                <w:color w:val="auto"/>
              </w:rPr>
              <w:t>July 10, 2009</w:t>
            </w:r>
          </w:p>
        </w:tc>
        <w:tc>
          <w:tcPr>
            <w:tcW w:w="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40" w:type="dxa"/>
            <w:vAlign w:val="bottom"/>
            <w:tcBorders>
              <w:right w:val="single" w:sz="8" w:color="auto"/>
            </w:tcBorders>
          </w:tcPr>
          <w:p>
            <w:pPr>
              <w:spacing w:after="0"/>
              <w:rPr>
                <w:sz w:val="12"/>
                <w:szCs w:val="12"/>
                <w:color w:val="auto"/>
              </w:rPr>
            </w:pPr>
          </w:p>
        </w:tc>
        <w:tc>
          <w:tcPr>
            <w:tcW w:w="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gridSpan w:val="2"/>
          </w:tcPr>
          <w:p>
            <w:pPr>
              <w:jc w:val="right"/>
              <w:ind w:right="117"/>
              <w:spacing w:after="0" w:line="149" w:lineRule="exact"/>
              <w:rPr>
                <w:sz w:val="20"/>
                <w:szCs w:val="20"/>
                <w:color w:val="auto"/>
              </w:rPr>
            </w:pPr>
            <w:r>
              <w:rPr>
                <w:rFonts w:ascii="Arial" w:cs="Arial" w:eastAsia="Arial" w:hAnsi="Arial"/>
                <w:sz w:val="14"/>
                <w:szCs w:val="14"/>
                <w:b w:val="1"/>
                <w:bCs w:val="1"/>
                <w:color w:val="auto"/>
              </w:rPr>
              <w:t>2009</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6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49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60" w:type="dxa"/>
            <w:vAlign w:val="bottom"/>
            <w:gridSpan w:val="2"/>
          </w:tcPr>
          <w:p>
            <w:pPr>
              <w:jc w:val="right"/>
              <w:ind w:right="440"/>
              <w:spacing w:after="0" w:line="149" w:lineRule="exact"/>
              <w:rPr>
                <w:sz w:val="20"/>
                <w:szCs w:val="20"/>
                <w:color w:val="auto"/>
              </w:rPr>
            </w:pPr>
            <w:r>
              <w:rPr>
                <w:rFonts w:ascii="Arial" w:cs="Arial" w:eastAsia="Arial" w:hAnsi="Arial"/>
                <w:sz w:val="14"/>
                <w:szCs w:val="14"/>
                <w:b w:val="1"/>
                <w:bCs w:val="1"/>
                <w:color w:val="auto"/>
              </w:rPr>
              <w:t>Ended</w:t>
            </w: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gridSpan w:val="3"/>
          </w:tcPr>
          <w:p>
            <w:pPr>
              <w:jc w:val="right"/>
              <w:spacing w:after="0" w:line="149" w:lineRule="exact"/>
              <w:rPr>
                <w:sz w:val="20"/>
                <w:szCs w:val="20"/>
                <w:color w:val="auto"/>
              </w:rPr>
            </w:pPr>
            <w:r>
              <w:rPr>
                <w:rFonts w:ascii="Arial" w:cs="Arial" w:eastAsia="Arial" w:hAnsi="Arial"/>
                <w:sz w:val="14"/>
                <w:szCs w:val="14"/>
                <w:b w:val="1"/>
                <w:bCs w:val="1"/>
                <w:color w:val="auto"/>
              </w:rPr>
              <w:t>Through</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40" w:type="dxa"/>
            <w:vAlign w:val="bottom"/>
            <w:tcBorders>
              <w:right w:val="single" w:sz="8" w:color="auto"/>
            </w:tcBorders>
          </w:tcPr>
          <w:p>
            <w:pPr>
              <w:spacing w:after="0"/>
              <w:rPr>
                <w:sz w:val="12"/>
                <w:szCs w:val="12"/>
                <w:color w:val="auto"/>
              </w:rPr>
            </w:pPr>
          </w:p>
        </w:tc>
        <w:tc>
          <w:tcPr>
            <w:tcW w:w="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gridSpan w:val="4"/>
          </w:tcPr>
          <w:p>
            <w:pPr>
              <w:jc w:val="right"/>
              <w:ind w:right="180"/>
              <w:spacing w:after="0" w:line="149" w:lineRule="exact"/>
              <w:rPr>
                <w:sz w:val="20"/>
                <w:szCs w:val="20"/>
                <w:color w:val="auto"/>
              </w:rPr>
            </w:pPr>
            <w:r>
              <w:rPr>
                <w:rFonts w:ascii="Arial" w:cs="Arial" w:eastAsia="Arial" w:hAnsi="Arial"/>
                <w:sz w:val="14"/>
                <w:szCs w:val="14"/>
                <w:b w:val="1"/>
                <w:bCs w:val="1"/>
                <w:color w:val="auto"/>
                <w:w w:val="87"/>
              </w:rPr>
              <w:t>Through</w:t>
            </w:r>
          </w:p>
        </w:tc>
        <w:tc>
          <w:tcPr>
            <w:tcW w:w="0" w:type="dxa"/>
            <w:vAlign w:val="bottom"/>
          </w:tcPr>
          <w:p>
            <w:pPr>
              <w:spacing w:after="0"/>
              <w:rPr>
                <w:sz w:val="1"/>
                <w:szCs w:val="1"/>
                <w:color w:val="auto"/>
              </w:rPr>
            </w:pPr>
          </w:p>
        </w:tc>
      </w:tr>
      <w:tr>
        <w:trPr>
          <w:trHeight w:val="161"/>
        </w:trPr>
        <w:tc>
          <w:tcPr>
            <w:tcW w:w="1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9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0" w:type="dxa"/>
            <w:vAlign w:val="bottom"/>
            <w:gridSpan w:val="3"/>
          </w:tcPr>
          <w:p>
            <w:pPr>
              <w:ind w:left="20"/>
              <w:spacing w:after="0"/>
              <w:rPr>
                <w:sz w:val="20"/>
                <w:szCs w:val="20"/>
                <w:color w:val="auto"/>
              </w:rPr>
            </w:pPr>
            <w:r>
              <w:rPr>
                <w:rFonts w:ascii="Arial" w:cs="Arial" w:eastAsia="Arial" w:hAnsi="Arial"/>
                <w:sz w:val="14"/>
                <w:szCs w:val="14"/>
                <w:b w:val="1"/>
                <w:bCs w:val="1"/>
                <w:color w:val="auto"/>
                <w:w w:val="88"/>
              </w:rPr>
              <w:t>September 30, 2010</w:t>
            </w:r>
          </w:p>
        </w:tc>
        <w:tc>
          <w:tcPr>
            <w:tcW w:w="640" w:type="dxa"/>
            <w:vAlign w:val="bottom"/>
          </w:tcPr>
          <w:p>
            <w:pPr>
              <w:spacing w:after="0"/>
              <w:rPr>
                <w:sz w:val="14"/>
                <w:szCs w:val="14"/>
                <w:color w:val="auto"/>
              </w:rPr>
            </w:pPr>
          </w:p>
        </w:tc>
        <w:tc>
          <w:tcPr>
            <w:tcW w:w="1560" w:type="dxa"/>
            <w:vAlign w:val="bottom"/>
            <w:gridSpan w:val="9"/>
          </w:tcPr>
          <w:p>
            <w:pPr>
              <w:spacing w:after="0"/>
              <w:rPr>
                <w:sz w:val="20"/>
                <w:szCs w:val="20"/>
                <w:color w:val="auto"/>
              </w:rPr>
            </w:pPr>
            <w:r>
              <w:rPr>
                <w:rFonts w:ascii="Arial" w:cs="Arial" w:eastAsia="Arial" w:hAnsi="Arial"/>
                <w:sz w:val="14"/>
                <w:szCs w:val="14"/>
                <w:b w:val="1"/>
                <w:bCs w:val="1"/>
                <w:color w:val="auto"/>
              </w:rPr>
              <w:t>September 30, 2009</w:t>
            </w:r>
          </w:p>
        </w:tc>
        <w:tc>
          <w:tcPr>
            <w:tcW w:w="260" w:type="dxa"/>
            <w:vAlign w:val="bottom"/>
          </w:tcPr>
          <w:p>
            <w:pPr>
              <w:spacing w:after="0"/>
              <w:rPr>
                <w:sz w:val="14"/>
                <w:szCs w:val="14"/>
                <w:color w:val="auto"/>
              </w:rPr>
            </w:pPr>
          </w:p>
        </w:tc>
        <w:tc>
          <w:tcPr>
            <w:tcW w:w="140" w:type="dxa"/>
            <w:vAlign w:val="bottom"/>
            <w:tcBorders>
              <w:right w:val="single" w:sz="8" w:color="auto"/>
            </w:tcBorders>
          </w:tcPr>
          <w:p>
            <w:pPr>
              <w:spacing w:after="0"/>
              <w:rPr>
                <w:sz w:val="14"/>
                <w:szCs w:val="14"/>
                <w:color w:val="auto"/>
              </w:rPr>
            </w:pPr>
          </w:p>
        </w:tc>
        <w:tc>
          <w:tcPr>
            <w:tcW w:w="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gridSpan w:val="5"/>
          </w:tcPr>
          <w:p>
            <w:pPr>
              <w:spacing w:after="0"/>
              <w:rPr>
                <w:sz w:val="20"/>
                <w:szCs w:val="20"/>
                <w:color w:val="auto"/>
              </w:rPr>
            </w:pPr>
            <w:r>
              <w:rPr>
                <w:rFonts w:ascii="Arial" w:cs="Arial" w:eastAsia="Arial" w:hAnsi="Arial"/>
                <w:sz w:val="14"/>
                <w:szCs w:val="14"/>
                <w:b w:val="1"/>
                <w:bCs w:val="1"/>
                <w:color w:val="auto"/>
                <w:w w:val="96"/>
              </w:rPr>
              <w:t>July 9, 2009</w:t>
            </w:r>
          </w:p>
        </w:tc>
        <w:tc>
          <w:tcPr>
            <w:tcW w:w="0" w:type="dxa"/>
            <w:vAlign w:val="bottom"/>
          </w:tcPr>
          <w:p>
            <w:pPr>
              <w:spacing w:after="0"/>
              <w:rPr>
                <w:sz w:val="1"/>
                <w:szCs w:val="1"/>
                <w:color w:val="auto"/>
              </w:rPr>
            </w:pPr>
          </w:p>
        </w:tc>
      </w:tr>
      <w:tr>
        <w:trPr>
          <w:trHeight w:val="210"/>
        </w:trPr>
        <w:tc>
          <w:tcPr>
            <w:tcW w:w="6060" w:type="dxa"/>
            <w:vAlign w:val="bottom"/>
            <w:gridSpan w:val="3"/>
            <w:shd w:val="clear" w:color="auto" w:fill="CCEEFF"/>
          </w:tcPr>
          <w:p>
            <w:pPr>
              <w:spacing w:after="0"/>
              <w:rPr>
                <w:sz w:val="20"/>
                <w:szCs w:val="20"/>
                <w:color w:val="auto"/>
              </w:rPr>
            </w:pPr>
            <w:r>
              <w:rPr>
                <w:rFonts w:ascii="Arial" w:cs="Arial" w:eastAsia="Arial" w:hAnsi="Arial"/>
                <w:sz w:val="18"/>
                <w:szCs w:val="18"/>
                <w:b w:val="1"/>
                <w:bCs w:val="1"/>
                <w:color w:val="auto"/>
              </w:rPr>
              <w:t>Cash Flows</w:t>
            </w:r>
          </w:p>
        </w:tc>
        <w:tc>
          <w:tcPr>
            <w:tcW w:w="18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4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0" w:type="dxa"/>
            <w:vAlign w:val="bottom"/>
            <w:tcBorders>
              <w:right w:val="single" w:sz="8" w:color="auto"/>
            </w:tcBorders>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60" w:type="dxa"/>
            <w:vAlign w:val="bottom"/>
            <w:gridSpan w:val="3"/>
          </w:tcPr>
          <w:p>
            <w:pPr>
              <w:spacing w:after="0"/>
              <w:rPr>
                <w:sz w:val="20"/>
                <w:szCs w:val="20"/>
                <w:color w:val="auto"/>
              </w:rPr>
            </w:pPr>
            <w:r>
              <w:rPr>
                <w:rFonts w:ascii="Arial" w:cs="Arial" w:eastAsia="Arial" w:hAnsi="Arial"/>
                <w:sz w:val="18"/>
                <w:szCs w:val="18"/>
                <w:color w:val="auto"/>
              </w:rPr>
              <w:t>Operating</w:t>
            </w:r>
          </w:p>
        </w:tc>
        <w:tc>
          <w:tcPr>
            <w:tcW w:w="320" w:type="dxa"/>
            <w:vAlign w:val="bottom"/>
            <w:gridSpan w:val="2"/>
          </w:tcPr>
          <w:p>
            <w:pPr>
              <w:ind w:left="180"/>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547</w:t>
            </w:r>
          </w:p>
        </w:tc>
        <w:tc>
          <w:tcPr>
            <w:tcW w:w="60" w:type="dxa"/>
            <w:vAlign w:val="bottom"/>
          </w:tcPr>
          <w:p>
            <w:pPr>
              <w:spacing w:after="0"/>
              <w:rPr>
                <w:sz w:val="18"/>
                <w:szCs w:val="18"/>
                <w:color w:val="auto"/>
              </w:rPr>
            </w:pPr>
          </w:p>
        </w:tc>
        <w:tc>
          <w:tcPr>
            <w:tcW w:w="760" w:type="dxa"/>
            <w:vAlign w:val="bottom"/>
            <w:gridSpan w:val="2"/>
          </w:tcPr>
          <w:p>
            <w:pPr>
              <w:ind w:left="640"/>
              <w:spacing w:after="0"/>
              <w:rPr>
                <w:sz w:val="20"/>
                <w:szCs w:val="20"/>
                <w:color w:val="auto"/>
              </w:rPr>
            </w:pPr>
            <w:r>
              <w:rPr>
                <w:rFonts w:ascii="Arial" w:cs="Arial" w:eastAsia="Arial" w:hAnsi="Arial"/>
                <w:sz w:val="18"/>
                <w:szCs w:val="18"/>
                <w:color w:val="auto"/>
                <w:w w:val="99"/>
              </w:rPr>
              <w:t>$</w:t>
            </w:r>
          </w:p>
        </w:tc>
        <w:tc>
          <w:tcPr>
            <w:tcW w:w="5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gridSpan w:val="4"/>
          </w:tcPr>
          <w:p>
            <w:pPr>
              <w:jc w:val="right"/>
              <w:ind w:right="232"/>
              <w:spacing w:after="0"/>
              <w:rPr>
                <w:sz w:val="20"/>
                <w:szCs w:val="20"/>
                <w:color w:val="auto"/>
              </w:rPr>
            </w:pPr>
            <w:r>
              <w:rPr>
                <w:rFonts w:ascii="Arial" w:cs="Arial" w:eastAsia="Arial" w:hAnsi="Arial"/>
                <w:sz w:val="18"/>
                <w:szCs w:val="18"/>
                <w:color w:val="auto"/>
                <w:w w:val="91"/>
              </w:rPr>
              <w:t>421*</w:t>
            </w:r>
          </w:p>
        </w:tc>
        <w:tc>
          <w:tcPr>
            <w:tcW w:w="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Borders>
              <w:right w:val="single" w:sz="8" w:color="auto"/>
            </w:tcBorders>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gridSpan w:val="3"/>
          </w:tcPr>
          <w:p>
            <w:pPr>
              <w:ind w:left="140"/>
              <w:spacing w:after="0"/>
              <w:rPr>
                <w:sz w:val="20"/>
                <w:szCs w:val="20"/>
                <w:color w:val="auto"/>
              </w:rPr>
            </w:pPr>
            <w:r>
              <w:rPr>
                <w:rFonts w:ascii="Arial" w:cs="Arial" w:eastAsia="Arial" w:hAnsi="Arial"/>
                <w:sz w:val="15"/>
                <w:szCs w:val="15"/>
                <w:color w:val="auto"/>
                <w:w w:val="71"/>
              </w:rPr>
              <w:t>$</w:t>
            </w:r>
          </w:p>
        </w:tc>
        <w:tc>
          <w:tcPr>
            <w:tcW w:w="620" w:type="dxa"/>
            <w:vAlign w:val="bottom"/>
            <w:gridSpan w:val="3"/>
          </w:tcPr>
          <w:p>
            <w:pPr>
              <w:jc w:val="right"/>
              <w:ind w:right="20"/>
              <w:spacing w:after="0"/>
              <w:rPr>
                <w:sz w:val="20"/>
                <w:szCs w:val="20"/>
                <w:color w:val="auto"/>
              </w:rPr>
            </w:pPr>
            <w:r>
              <w:rPr>
                <w:rFonts w:ascii="Arial" w:cs="Arial" w:eastAsia="Arial" w:hAnsi="Arial"/>
                <w:sz w:val="18"/>
                <w:szCs w:val="18"/>
                <w:color w:val="auto"/>
              </w:rPr>
              <w:t>546</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Investing</w:t>
            </w:r>
          </w:p>
        </w:tc>
        <w:tc>
          <w:tcPr>
            <w:tcW w:w="3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760" w:type="dxa"/>
            <w:vAlign w:val="bottom"/>
            <w:gridSpan w:val="2"/>
            <w:shd w:val="clear" w:color="auto" w:fill="CCEEFF"/>
          </w:tcPr>
          <w:p>
            <w:pPr>
              <w:ind w:left="640"/>
              <w:spacing w:after="0"/>
              <w:rPr>
                <w:sz w:val="20"/>
                <w:szCs w:val="20"/>
                <w:color w:val="auto"/>
              </w:rPr>
            </w:pPr>
            <w:r>
              <w:rPr>
                <w:rFonts w:ascii="Arial" w:cs="Arial" w:eastAsia="Arial" w:hAnsi="Arial"/>
                <w:sz w:val="18"/>
                <w:szCs w:val="18"/>
                <w:color w:val="auto"/>
                <w:w w:val="99"/>
              </w:rPr>
              <w:t>$</w:t>
            </w:r>
          </w:p>
        </w:tc>
        <w:tc>
          <w:tcPr>
            <w:tcW w:w="5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gridSpan w:val="4"/>
            <w:shd w:val="clear" w:color="auto" w:fill="CCEEFF"/>
          </w:tcPr>
          <w:p>
            <w:pPr>
              <w:jc w:val="right"/>
              <w:ind w:right="252"/>
              <w:spacing w:after="0"/>
              <w:rPr>
                <w:sz w:val="20"/>
                <w:szCs w:val="20"/>
                <w:color w:val="auto"/>
              </w:rPr>
            </w:pPr>
            <w:r>
              <w:rPr>
                <w:rFonts w:ascii="Arial" w:cs="Arial" w:eastAsia="Arial" w:hAnsi="Arial"/>
                <w:sz w:val="18"/>
                <w:szCs w:val="18"/>
                <w:color w:val="auto"/>
              </w:rPr>
              <w:t>(1)</w:t>
            </w:r>
          </w:p>
        </w:tc>
        <w:tc>
          <w:tcPr>
            <w:tcW w:w="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0" w:type="dxa"/>
            <w:vAlign w:val="bottom"/>
            <w:tcBorders>
              <w:right w:val="single" w:sz="8" w:color="auto"/>
            </w:tcBorders>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gridSpan w:val="3"/>
            <w:shd w:val="clear" w:color="auto" w:fill="CCEEFF"/>
          </w:tcPr>
          <w:p>
            <w:pPr>
              <w:ind w:left="140"/>
              <w:spacing w:after="0"/>
              <w:rPr>
                <w:sz w:val="20"/>
                <w:szCs w:val="20"/>
                <w:color w:val="auto"/>
              </w:rPr>
            </w:pPr>
            <w:r>
              <w:rPr>
                <w:rFonts w:ascii="Arial" w:cs="Arial" w:eastAsia="Arial" w:hAnsi="Arial"/>
                <w:sz w:val="15"/>
                <w:szCs w:val="15"/>
                <w:color w:val="auto"/>
                <w:w w:val="71"/>
              </w:rPr>
              <w:t>$</w:t>
            </w:r>
          </w:p>
        </w:tc>
        <w:tc>
          <w:tcPr>
            <w:tcW w:w="20" w:type="dxa"/>
            <w:vAlign w:val="bottom"/>
            <w:shd w:val="clear" w:color="auto" w:fill="CCEEFF"/>
          </w:tcPr>
          <w:p>
            <w:pPr>
              <w:spacing w:after="0"/>
              <w:rPr>
                <w:sz w:val="18"/>
                <w:szCs w:val="18"/>
                <w:color w:val="auto"/>
              </w:rPr>
            </w:pPr>
          </w:p>
        </w:tc>
        <w:tc>
          <w:tcPr>
            <w:tcW w:w="6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060" w:type="dxa"/>
            <w:vAlign w:val="bottom"/>
            <w:gridSpan w:val="3"/>
          </w:tcPr>
          <w:p>
            <w:pPr>
              <w:spacing w:after="0"/>
              <w:rPr>
                <w:sz w:val="20"/>
                <w:szCs w:val="20"/>
                <w:color w:val="auto"/>
              </w:rPr>
            </w:pPr>
            <w:r>
              <w:rPr>
                <w:rFonts w:ascii="Arial" w:cs="Arial" w:eastAsia="Arial" w:hAnsi="Arial"/>
                <w:sz w:val="18"/>
                <w:szCs w:val="18"/>
                <w:color w:val="auto"/>
              </w:rPr>
              <w:t>Financing</w:t>
            </w:r>
          </w:p>
        </w:tc>
        <w:tc>
          <w:tcPr>
            <w:tcW w:w="320" w:type="dxa"/>
            <w:vAlign w:val="bottom"/>
            <w:gridSpan w:val="2"/>
          </w:tcPr>
          <w:p>
            <w:pPr>
              <w:ind w:left="18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760" w:type="dxa"/>
            <w:vAlign w:val="bottom"/>
            <w:gridSpan w:val="2"/>
          </w:tcPr>
          <w:p>
            <w:pPr>
              <w:ind w:left="640"/>
              <w:spacing w:after="0"/>
              <w:rPr>
                <w:sz w:val="20"/>
                <w:szCs w:val="20"/>
                <w:color w:val="auto"/>
              </w:rPr>
            </w:pPr>
            <w:r>
              <w:rPr>
                <w:rFonts w:ascii="Arial" w:cs="Arial" w:eastAsia="Arial" w:hAnsi="Arial"/>
                <w:sz w:val="18"/>
                <w:szCs w:val="18"/>
                <w:color w:val="auto"/>
                <w:w w:val="99"/>
              </w:rPr>
              <w:t>$</w:t>
            </w:r>
          </w:p>
        </w:tc>
        <w:tc>
          <w:tcPr>
            <w:tcW w:w="5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gridSpan w:val="5"/>
          </w:tcPr>
          <w:p>
            <w:pPr>
              <w:jc w:val="right"/>
              <w:ind w:right="4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140" w:type="dxa"/>
            <w:vAlign w:val="bottom"/>
            <w:tcBorders>
              <w:right w:val="single" w:sz="8" w:color="auto"/>
            </w:tcBorders>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gridSpan w:val="3"/>
          </w:tcPr>
          <w:p>
            <w:pPr>
              <w:ind w:left="140"/>
              <w:spacing w:after="0"/>
              <w:rPr>
                <w:sz w:val="20"/>
                <w:szCs w:val="20"/>
                <w:color w:val="auto"/>
              </w:rPr>
            </w:pPr>
            <w:r>
              <w:rPr>
                <w:rFonts w:ascii="Arial" w:cs="Arial" w:eastAsia="Arial" w:hAnsi="Arial"/>
                <w:sz w:val="15"/>
                <w:szCs w:val="15"/>
                <w:color w:val="auto"/>
                <w:w w:val="71"/>
              </w:rPr>
              <w:t>$</w:t>
            </w:r>
          </w:p>
        </w:tc>
        <w:tc>
          <w:tcPr>
            <w:tcW w:w="20" w:type="dxa"/>
            <w:vAlign w:val="bottom"/>
          </w:tcPr>
          <w:p>
            <w:pPr>
              <w:spacing w:after="0"/>
              <w:rPr>
                <w:sz w:val="18"/>
                <w:szCs w:val="18"/>
                <w:color w:val="auto"/>
              </w:rPr>
            </w:pPr>
          </w:p>
        </w:tc>
        <w:tc>
          <w:tcPr>
            <w:tcW w:w="680" w:type="dxa"/>
            <w:vAlign w:val="bottom"/>
            <w:gridSpan w:val="3"/>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08"/>
        </w:trPr>
        <w:tc>
          <w:tcPr>
            <w:tcW w:w="160" w:type="dxa"/>
            <w:vAlign w:val="bottom"/>
            <w:tcBorders>
              <w:bottom w:val="single" w:sz="8" w:color="auto"/>
            </w:tcBorders>
          </w:tcPr>
          <w:p>
            <w:pPr>
              <w:spacing w:after="0"/>
              <w:rPr>
                <w:sz w:val="9"/>
                <w:szCs w:val="9"/>
                <w:color w:val="auto"/>
              </w:rPr>
            </w:pPr>
          </w:p>
        </w:tc>
        <w:tc>
          <w:tcPr>
            <w:tcW w:w="1000" w:type="dxa"/>
            <w:vAlign w:val="bottom"/>
            <w:tcBorders>
              <w:bottom w:val="single" w:sz="8" w:color="auto"/>
            </w:tcBorders>
          </w:tcPr>
          <w:p>
            <w:pPr>
              <w:spacing w:after="0"/>
              <w:rPr>
                <w:sz w:val="9"/>
                <w:szCs w:val="9"/>
                <w:color w:val="auto"/>
              </w:rPr>
            </w:pPr>
          </w:p>
        </w:tc>
        <w:tc>
          <w:tcPr>
            <w:tcW w:w="4900" w:type="dxa"/>
            <w:vAlign w:val="bottom"/>
          </w:tcPr>
          <w:p>
            <w:pPr>
              <w:spacing w:after="0"/>
              <w:rPr>
                <w:sz w:val="9"/>
                <w:szCs w:val="9"/>
                <w:color w:val="auto"/>
              </w:rPr>
            </w:pPr>
          </w:p>
        </w:tc>
        <w:tc>
          <w:tcPr>
            <w:tcW w:w="18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00" w:type="dxa"/>
            <w:vAlign w:val="bottom"/>
          </w:tcPr>
          <w:p>
            <w:pPr>
              <w:spacing w:after="0"/>
              <w:rPr>
                <w:sz w:val="9"/>
                <w:szCs w:val="9"/>
                <w:color w:val="auto"/>
              </w:rPr>
            </w:pPr>
          </w:p>
        </w:tc>
        <w:tc>
          <w:tcPr>
            <w:tcW w:w="60" w:type="dxa"/>
            <w:vAlign w:val="bottom"/>
          </w:tcPr>
          <w:p>
            <w:pPr>
              <w:spacing w:after="0"/>
              <w:rPr>
                <w:sz w:val="9"/>
                <w:szCs w:val="9"/>
                <w:color w:val="auto"/>
              </w:rPr>
            </w:pPr>
          </w:p>
        </w:tc>
        <w:tc>
          <w:tcPr>
            <w:tcW w:w="640" w:type="dxa"/>
            <w:vAlign w:val="bottom"/>
          </w:tcPr>
          <w:p>
            <w:pPr>
              <w:spacing w:after="0"/>
              <w:rPr>
                <w:sz w:val="9"/>
                <w:szCs w:val="9"/>
                <w:color w:val="auto"/>
              </w:rPr>
            </w:pPr>
          </w:p>
        </w:tc>
        <w:tc>
          <w:tcPr>
            <w:tcW w:w="120" w:type="dxa"/>
            <w:vAlign w:val="bottom"/>
          </w:tcPr>
          <w:p>
            <w:pPr>
              <w:spacing w:after="0"/>
              <w:rPr>
                <w:sz w:val="9"/>
                <w:szCs w:val="9"/>
                <w:color w:val="auto"/>
              </w:rPr>
            </w:pPr>
          </w:p>
        </w:tc>
        <w:tc>
          <w:tcPr>
            <w:tcW w:w="580" w:type="dxa"/>
            <w:vAlign w:val="bottom"/>
          </w:tcPr>
          <w:p>
            <w:pPr>
              <w:spacing w:after="0"/>
              <w:rPr>
                <w:sz w:val="9"/>
                <w:szCs w:val="9"/>
                <w:color w:val="auto"/>
              </w:rPr>
            </w:pPr>
          </w:p>
        </w:tc>
        <w:tc>
          <w:tcPr>
            <w:tcW w:w="40" w:type="dxa"/>
            <w:vAlign w:val="bottom"/>
          </w:tcPr>
          <w:p>
            <w:pPr>
              <w:spacing w:after="0"/>
              <w:rPr>
                <w:sz w:val="9"/>
                <w:szCs w:val="9"/>
                <w:color w:val="auto"/>
              </w:rPr>
            </w:pPr>
          </w:p>
        </w:tc>
        <w:tc>
          <w:tcPr>
            <w:tcW w:w="12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380" w:type="dxa"/>
            <w:vAlign w:val="bottom"/>
          </w:tcPr>
          <w:p>
            <w:pPr>
              <w:spacing w:after="0"/>
              <w:rPr>
                <w:sz w:val="9"/>
                <w:szCs w:val="9"/>
                <w:color w:val="auto"/>
              </w:rPr>
            </w:pPr>
          </w:p>
        </w:tc>
        <w:tc>
          <w:tcPr>
            <w:tcW w:w="40" w:type="dxa"/>
            <w:vAlign w:val="bottom"/>
          </w:tcPr>
          <w:p>
            <w:pPr>
              <w:spacing w:after="0"/>
              <w:rPr>
                <w:sz w:val="9"/>
                <w:szCs w:val="9"/>
                <w:color w:val="auto"/>
              </w:rPr>
            </w:pPr>
          </w:p>
        </w:tc>
        <w:tc>
          <w:tcPr>
            <w:tcW w:w="260" w:type="dxa"/>
            <w:vAlign w:val="bottom"/>
          </w:tcPr>
          <w:p>
            <w:pPr>
              <w:spacing w:after="0"/>
              <w:rPr>
                <w:sz w:val="9"/>
                <w:szCs w:val="9"/>
                <w:color w:val="auto"/>
              </w:rPr>
            </w:pPr>
          </w:p>
        </w:tc>
        <w:tc>
          <w:tcPr>
            <w:tcW w:w="140" w:type="dxa"/>
            <w:vAlign w:val="bottom"/>
          </w:tcPr>
          <w:p>
            <w:pPr>
              <w:spacing w:after="0"/>
              <w:rPr>
                <w:sz w:val="9"/>
                <w:szCs w:val="9"/>
                <w:color w:val="auto"/>
              </w:rPr>
            </w:pPr>
          </w:p>
        </w:tc>
        <w:tc>
          <w:tcPr>
            <w:tcW w:w="36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58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35"/>
        </w:trPr>
        <w:tc>
          <w:tcPr>
            <w:tcW w:w="160" w:type="dxa"/>
            <w:vAlign w:val="bottom"/>
          </w:tcPr>
          <w:p>
            <w:pPr>
              <w:spacing w:after="0"/>
              <w:rPr>
                <w:sz w:val="20"/>
                <w:szCs w:val="20"/>
                <w:color w:val="auto"/>
              </w:rPr>
            </w:pPr>
            <w:r>
              <w:rPr>
                <w:rFonts w:ascii="Arial" w:cs="Arial" w:eastAsia="Arial" w:hAnsi="Arial"/>
                <w:sz w:val="18"/>
                <w:szCs w:val="18"/>
                <w:color w:val="auto"/>
              </w:rPr>
              <w:t>*</w:t>
            </w:r>
          </w:p>
        </w:tc>
        <w:tc>
          <w:tcPr>
            <w:tcW w:w="5900" w:type="dxa"/>
            <w:vAlign w:val="bottom"/>
            <w:gridSpan w:val="2"/>
          </w:tcPr>
          <w:p>
            <w:pPr>
              <w:ind w:left="300"/>
              <w:spacing w:after="0"/>
              <w:rPr>
                <w:sz w:val="20"/>
                <w:szCs w:val="20"/>
                <w:color w:val="auto"/>
              </w:rPr>
            </w:pPr>
            <w:r>
              <w:rPr>
                <w:rFonts w:ascii="Arial" w:cs="Arial" w:eastAsia="Arial" w:hAnsi="Arial"/>
                <w:sz w:val="18"/>
                <w:szCs w:val="18"/>
                <w:color w:val="auto"/>
                <w:w w:val="92"/>
              </w:rPr>
              <w:t>Amount originally reported as $297 in our 2009 Form 10-Q. Refer to Note 3.</w:t>
            </w: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78"/>
        </w:trPr>
        <w:tc>
          <w:tcPr>
            <w:tcW w:w="6060" w:type="dxa"/>
            <w:vAlign w:val="bottom"/>
            <w:gridSpan w:val="3"/>
          </w:tcPr>
          <w:p>
            <w:pPr>
              <w:spacing w:after="0"/>
              <w:rPr>
                <w:sz w:val="20"/>
                <w:szCs w:val="20"/>
                <w:color w:val="auto"/>
              </w:rPr>
            </w:pPr>
            <w:r>
              <w:rPr>
                <w:rFonts w:ascii="Arial" w:cs="Arial" w:eastAsia="Arial" w:hAnsi="Arial"/>
                <w:sz w:val="18"/>
                <w:szCs w:val="18"/>
                <w:b w:val="1"/>
                <w:bCs w:val="1"/>
                <w:color w:val="auto"/>
              </w:rPr>
              <w:t>Note 8. Goodwill</w:t>
            </w: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160" w:type="dxa"/>
            <w:vAlign w:val="bottom"/>
          </w:tcPr>
          <w:p>
            <w:pPr>
              <w:spacing w:after="0"/>
              <w:rPr>
                <w:sz w:val="24"/>
                <w:szCs w:val="24"/>
                <w:color w:val="auto"/>
              </w:rPr>
            </w:pPr>
          </w:p>
        </w:tc>
        <w:tc>
          <w:tcPr>
            <w:tcW w:w="7280" w:type="dxa"/>
            <w:vAlign w:val="bottom"/>
            <w:gridSpan w:val="6"/>
          </w:tcPr>
          <w:p>
            <w:pPr>
              <w:jc w:val="right"/>
              <w:ind w:right="40"/>
              <w:spacing w:after="0"/>
              <w:rPr>
                <w:sz w:val="20"/>
                <w:szCs w:val="20"/>
                <w:color w:val="auto"/>
              </w:rPr>
            </w:pPr>
            <w:r>
              <w:rPr>
                <w:rFonts w:ascii="Arial" w:cs="Arial" w:eastAsia="Arial" w:hAnsi="Arial"/>
                <w:sz w:val="18"/>
                <w:szCs w:val="18"/>
                <w:color w:val="auto"/>
                <w:w w:val="91"/>
              </w:rPr>
              <w:t>The following table summarizes the changes in the carrying amount of Goodwill (dollars in millions):</w:t>
            </w:r>
          </w:p>
        </w:tc>
        <w:tc>
          <w:tcPr>
            <w:tcW w:w="6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3"/>
        </w:trPr>
        <w:tc>
          <w:tcPr>
            <w:tcW w:w="1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49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gridSpan w:val="6"/>
          </w:tcPr>
          <w:p>
            <w:pPr>
              <w:jc w:val="right"/>
              <w:ind w:right="460"/>
              <w:spacing w:after="0"/>
              <w:rPr>
                <w:sz w:val="20"/>
                <w:szCs w:val="20"/>
                <w:color w:val="auto"/>
              </w:rPr>
            </w:pPr>
            <w:r>
              <w:rPr>
                <w:rFonts w:ascii="Arial" w:cs="Arial" w:eastAsia="Arial" w:hAnsi="Arial"/>
                <w:sz w:val="14"/>
                <w:szCs w:val="14"/>
                <w:b w:val="1"/>
                <w:bCs w:val="1"/>
                <w:color w:val="auto"/>
              </w:rPr>
              <w:t>Successor</w:t>
            </w:r>
          </w:p>
        </w:tc>
        <w:tc>
          <w:tcPr>
            <w:tcW w:w="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16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49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Borders>
              <w:bottom w:val="single" w:sz="8" w:color="auto"/>
            </w:tcBorders>
          </w:tcPr>
          <w:p>
            <w:pPr>
              <w:jc w:val="right"/>
              <w:ind w:right="2"/>
              <w:spacing w:after="0" w:line="142" w:lineRule="exact"/>
              <w:rPr>
                <w:sz w:val="20"/>
                <w:szCs w:val="20"/>
                <w:color w:val="auto"/>
              </w:rPr>
            </w:pPr>
            <w:r>
              <w:rPr>
                <w:rFonts w:ascii="Arial" w:cs="Arial" w:eastAsia="Arial" w:hAnsi="Arial"/>
                <w:sz w:val="14"/>
                <w:szCs w:val="14"/>
                <w:b w:val="1"/>
                <w:bCs w:val="1"/>
                <w:color w:val="auto"/>
              </w:rPr>
              <w:t>GMNA</w:t>
            </w:r>
          </w:p>
        </w:tc>
        <w:tc>
          <w:tcPr>
            <w:tcW w:w="160" w:type="dxa"/>
            <w:vAlign w:val="bottom"/>
            <w:gridSpan w:val="2"/>
          </w:tcPr>
          <w:p>
            <w:pPr>
              <w:spacing w:after="0"/>
              <w:rPr>
                <w:sz w:val="12"/>
                <w:szCs w:val="12"/>
                <w:color w:val="auto"/>
              </w:rPr>
            </w:pPr>
          </w:p>
        </w:tc>
        <w:tc>
          <w:tcPr>
            <w:tcW w:w="160" w:type="dxa"/>
            <w:vAlign w:val="bottom"/>
          </w:tcPr>
          <w:p>
            <w:pPr>
              <w:spacing w:after="0"/>
              <w:rPr>
                <w:sz w:val="12"/>
                <w:szCs w:val="12"/>
                <w:color w:val="auto"/>
              </w:rPr>
            </w:pPr>
          </w:p>
        </w:tc>
        <w:tc>
          <w:tcPr>
            <w:tcW w:w="500" w:type="dxa"/>
            <w:vAlign w:val="bottom"/>
            <w:tcBorders>
              <w:bottom w:val="single" w:sz="8" w:color="auto"/>
            </w:tcBorders>
            <w:gridSpan w:val="3"/>
          </w:tcPr>
          <w:p>
            <w:pPr>
              <w:jc w:val="right"/>
              <w:spacing w:after="0" w:line="142" w:lineRule="exact"/>
              <w:rPr>
                <w:sz w:val="20"/>
                <w:szCs w:val="20"/>
                <w:color w:val="auto"/>
              </w:rPr>
            </w:pPr>
            <w:r>
              <w:rPr>
                <w:rFonts w:ascii="Arial" w:cs="Arial" w:eastAsia="Arial" w:hAnsi="Arial"/>
                <w:sz w:val="14"/>
                <w:szCs w:val="14"/>
                <w:b w:val="1"/>
                <w:bCs w:val="1"/>
                <w:color w:val="auto"/>
              </w:rPr>
              <w:t>GMIO</w:t>
            </w:r>
          </w:p>
        </w:tc>
        <w:tc>
          <w:tcPr>
            <w:tcW w:w="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500" w:type="dxa"/>
            <w:vAlign w:val="bottom"/>
            <w:tcBorders>
              <w:bottom w:val="single" w:sz="8" w:color="auto"/>
            </w:tcBorders>
            <w:gridSpan w:val="2"/>
          </w:tcPr>
          <w:p>
            <w:pPr>
              <w:jc w:val="center"/>
              <w:spacing w:after="0" w:line="142" w:lineRule="exact"/>
              <w:rPr>
                <w:sz w:val="20"/>
                <w:szCs w:val="20"/>
                <w:color w:val="auto"/>
              </w:rPr>
            </w:pPr>
            <w:r>
              <w:rPr>
                <w:rFonts w:ascii="Arial" w:cs="Arial" w:eastAsia="Arial" w:hAnsi="Arial"/>
                <w:sz w:val="14"/>
                <w:szCs w:val="14"/>
                <w:b w:val="1"/>
                <w:bCs w:val="1"/>
                <w:color w:val="auto"/>
              </w:rPr>
              <w:t>GME</w:t>
            </w: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80" w:type="dxa"/>
            <w:vAlign w:val="bottom"/>
            <w:tcBorders>
              <w:bottom w:val="single" w:sz="8" w:color="auto"/>
            </w:tcBorders>
          </w:tcPr>
          <w:p>
            <w:pPr>
              <w:jc w:val="right"/>
              <w:ind w:right="77"/>
              <w:spacing w:after="0" w:line="142" w:lineRule="exact"/>
              <w:rPr>
                <w:sz w:val="20"/>
                <w:szCs w:val="20"/>
                <w:color w:val="auto"/>
              </w:rPr>
            </w:pPr>
            <w:r>
              <w:rPr>
                <w:rFonts w:ascii="Arial" w:cs="Arial" w:eastAsia="Arial" w:hAnsi="Arial"/>
                <w:sz w:val="14"/>
                <w:szCs w:val="14"/>
                <w:b w:val="1"/>
                <w:bCs w:val="1"/>
                <w:color w:val="auto"/>
              </w:rPr>
              <w:t>Total</w:t>
            </w:r>
          </w:p>
        </w:tc>
        <w:tc>
          <w:tcPr>
            <w:tcW w:w="100" w:type="dxa"/>
            <w:vAlign w:val="bottom"/>
            <w:gridSpan w:val="2"/>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60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Balance at January 1, 2010</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3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$26,409</w:t>
            </w: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w w:val="79"/>
              </w:rPr>
              <w:t>$</w:t>
            </w:r>
          </w:p>
        </w:tc>
        <w:tc>
          <w:tcPr>
            <w:tcW w:w="44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928</w:t>
            </w:r>
          </w:p>
        </w:tc>
        <w:tc>
          <w:tcPr>
            <w:tcW w:w="760" w:type="dxa"/>
            <w:vAlign w:val="bottom"/>
            <w:gridSpan w:val="3"/>
            <w:shd w:val="clear" w:color="auto" w:fill="CCEEFF"/>
          </w:tcPr>
          <w:p>
            <w:pPr>
              <w:jc w:val="center"/>
              <w:ind w:left="177"/>
              <w:spacing w:after="0"/>
              <w:rPr>
                <w:sz w:val="20"/>
                <w:szCs w:val="20"/>
                <w:color w:val="auto"/>
              </w:rPr>
            </w:pPr>
            <w:r>
              <w:rPr>
                <w:rFonts w:ascii="Arial" w:cs="Arial" w:eastAsia="Arial" w:hAnsi="Arial"/>
                <w:sz w:val="18"/>
                <w:szCs w:val="18"/>
                <w:color w:val="auto"/>
                <w:w w:val="90"/>
              </w:rPr>
              <w:t>$3,335</w:t>
            </w: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2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w w:val="89"/>
              </w:rPr>
              <w:t>$30,672</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60" w:type="dxa"/>
            <w:vAlign w:val="bottom"/>
            <w:gridSpan w:val="3"/>
          </w:tcPr>
          <w:p>
            <w:pPr>
              <w:spacing w:after="0"/>
              <w:rPr>
                <w:sz w:val="20"/>
                <w:szCs w:val="20"/>
                <w:color w:val="auto"/>
              </w:rPr>
            </w:pPr>
            <w:r>
              <w:rPr>
                <w:rFonts w:ascii="Arial" w:cs="Arial" w:eastAsia="Arial" w:hAnsi="Arial"/>
                <w:sz w:val="18"/>
                <w:szCs w:val="18"/>
                <w:color w:val="auto"/>
              </w:rPr>
              <w:t>Reporting unit reorganization</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gridSpan w:val="3"/>
          </w:tcPr>
          <w:p>
            <w:pPr>
              <w:jc w:val="right"/>
              <w:ind w:right="92"/>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gridSpan w:val="3"/>
          </w:tcPr>
          <w:p>
            <w:pPr>
              <w:jc w:val="right"/>
              <w:ind w:right="40"/>
              <w:spacing w:after="0"/>
              <w:rPr>
                <w:sz w:val="20"/>
                <w:szCs w:val="20"/>
                <w:color w:val="auto"/>
              </w:rPr>
            </w:pPr>
            <w:r>
              <w:rPr>
                <w:rFonts w:ascii="Arial" w:cs="Arial" w:eastAsia="Arial" w:hAnsi="Arial"/>
                <w:sz w:val="18"/>
                <w:szCs w:val="18"/>
                <w:color w:val="auto"/>
              </w:rPr>
              <w:t>82</w:t>
            </w:r>
          </w:p>
        </w:tc>
        <w:tc>
          <w:tcPr>
            <w:tcW w:w="860" w:type="dxa"/>
            <w:vAlign w:val="bottom"/>
            <w:gridSpan w:val="4"/>
          </w:tcPr>
          <w:p>
            <w:pPr>
              <w:jc w:val="right"/>
              <w:ind w:right="40"/>
              <w:spacing w:after="0"/>
              <w:rPr>
                <w:sz w:val="20"/>
                <w:szCs w:val="20"/>
                <w:color w:val="auto"/>
              </w:rPr>
            </w:pPr>
            <w:r>
              <w:rPr>
                <w:rFonts w:ascii="Arial" w:cs="Arial" w:eastAsia="Arial" w:hAnsi="Arial"/>
                <w:sz w:val="18"/>
                <w:szCs w:val="18"/>
                <w:color w:val="auto"/>
              </w:rPr>
              <w:t>(82)</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80" w:type="dxa"/>
            <w:vAlign w:val="bottom"/>
            <w:gridSpan w:val="3"/>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0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Effect of foreign currency translation and other</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40</w:t>
            </w:r>
          </w:p>
        </w:tc>
        <w:tc>
          <w:tcPr>
            <w:tcW w:w="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0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(157)</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gridSpan w:val="4"/>
            <w:shd w:val="clear" w:color="auto" w:fill="CCEEFF"/>
          </w:tcPr>
          <w:p>
            <w:pPr>
              <w:jc w:val="right"/>
              <w:ind w:right="40"/>
              <w:spacing w:after="0"/>
              <w:rPr>
                <w:sz w:val="20"/>
                <w:szCs w:val="20"/>
                <w:color w:val="auto"/>
              </w:rPr>
            </w:pPr>
            <w:r>
              <w:rPr>
                <w:rFonts w:ascii="Arial" w:cs="Arial" w:eastAsia="Arial" w:hAnsi="Arial"/>
                <w:sz w:val="18"/>
                <w:szCs w:val="18"/>
                <w:color w:val="auto"/>
              </w:rPr>
              <w:t>(116)</w:t>
            </w:r>
          </w:p>
        </w:tc>
        <w:tc>
          <w:tcPr>
            <w:tcW w:w="0" w:type="dxa"/>
            <w:vAlign w:val="bottom"/>
          </w:tcPr>
          <w:p>
            <w:pPr>
              <w:spacing w:after="0"/>
              <w:rPr>
                <w:sz w:val="1"/>
                <w:szCs w:val="1"/>
                <w:color w:val="auto"/>
              </w:rPr>
            </w:pPr>
          </w:p>
        </w:tc>
      </w:tr>
      <w:tr>
        <w:trPr>
          <w:trHeight w:val="20"/>
        </w:trPr>
        <w:tc>
          <w:tcPr>
            <w:tcW w:w="6060" w:type="dxa"/>
            <w:vAlign w:val="bottom"/>
            <w:gridSpan w:val="3"/>
            <w:vMerge w:val="restart"/>
          </w:tcPr>
          <w:p>
            <w:pPr>
              <w:spacing w:after="0"/>
              <w:rPr>
                <w:sz w:val="20"/>
                <w:szCs w:val="20"/>
                <w:color w:val="auto"/>
              </w:rPr>
            </w:pPr>
            <w:r>
              <w:rPr>
                <w:rFonts w:ascii="Arial" w:cs="Arial" w:eastAsia="Arial" w:hAnsi="Arial"/>
                <w:sz w:val="18"/>
                <w:szCs w:val="18"/>
                <w:color w:val="auto"/>
              </w:rPr>
              <w:t>Balance at September 30, 2010</w:t>
            </w: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0" w:type="dxa"/>
            <w:vAlign w:val="bottom"/>
            <w:gridSpan w:val="2"/>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00" w:type="dxa"/>
            <w:vAlign w:val="bottom"/>
            <w:gridSpan w:val="2"/>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6060" w:type="dxa"/>
            <w:vAlign w:val="bottom"/>
            <w:gridSpan w:val="3"/>
            <w:vMerge w:val="continue"/>
          </w:tcPr>
          <w:p>
            <w:pPr>
              <w:spacing w:after="0"/>
              <w:rPr>
                <w:sz w:val="19"/>
                <w:szCs w:val="19"/>
                <w:color w:val="auto"/>
              </w:rPr>
            </w:pP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760" w:type="dxa"/>
            <w:vAlign w:val="bottom"/>
            <w:gridSpan w:val="2"/>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u w:val="single" w:color="auto"/>
                <w:color w:val="auto"/>
                <w:w w:val="86"/>
              </w:rPr>
              <w:t>$</w:t>
            </w:r>
            <w:r>
              <w:rPr>
                <w:rFonts w:ascii="Arial" w:cs="Arial" w:eastAsia="Arial" w:hAnsi="Arial"/>
                <w:sz w:val="18"/>
                <w:szCs w:val="18"/>
                <w:color w:val="auto"/>
                <w:w w:val="86"/>
              </w:rPr>
              <w:t>26,410</w:t>
            </w: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gridSpan w:val="2"/>
          </w:tcPr>
          <w:p>
            <w:pPr>
              <w:ind w:left="160"/>
              <w:spacing w:after="0"/>
              <w:rPr>
                <w:sz w:val="20"/>
                <w:szCs w:val="20"/>
                <w:color w:val="auto"/>
              </w:rPr>
            </w:pPr>
            <w:r>
              <w:rPr>
                <w:rFonts w:ascii="Arial" w:cs="Arial" w:eastAsia="Arial" w:hAnsi="Arial"/>
                <w:sz w:val="18"/>
                <w:szCs w:val="18"/>
                <w:u w:val="single" w:color="auto"/>
                <w:color w:val="auto"/>
                <w:w w:val="79"/>
              </w:rPr>
              <w:t>$</w:t>
            </w:r>
          </w:p>
        </w:tc>
        <w:tc>
          <w:tcPr>
            <w:tcW w:w="440" w:type="dxa"/>
            <w:vAlign w:val="bottom"/>
            <w:gridSpan w:val="3"/>
          </w:tcPr>
          <w:p>
            <w:pPr>
              <w:jc w:val="right"/>
              <w:ind w:right="40"/>
              <w:spacing w:after="0"/>
              <w:rPr>
                <w:sz w:val="20"/>
                <w:szCs w:val="20"/>
                <w:color w:val="auto"/>
              </w:rPr>
            </w:pPr>
            <w:r>
              <w:rPr>
                <w:rFonts w:ascii="Arial" w:cs="Arial" w:eastAsia="Arial" w:hAnsi="Arial"/>
                <w:sz w:val="18"/>
                <w:szCs w:val="18"/>
                <w:color w:val="auto"/>
                <w:w w:val="84"/>
              </w:rPr>
              <w:t>1,050</w:t>
            </w:r>
          </w:p>
        </w:tc>
        <w:tc>
          <w:tcPr>
            <w:tcW w:w="760" w:type="dxa"/>
            <w:vAlign w:val="bottom"/>
            <w:gridSpan w:val="3"/>
          </w:tcPr>
          <w:p>
            <w:pPr>
              <w:jc w:val="center"/>
              <w:ind w:left="177"/>
              <w:spacing w:after="0"/>
              <w:rPr>
                <w:sz w:val="20"/>
                <w:szCs w:val="20"/>
                <w:color w:val="auto"/>
              </w:rPr>
            </w:pPr>
            <w:r>
              <w:rPr>
                <w:rFonts w:ascii="Arial" w:cs="Arial" w:eastAsia="Arial" w:hAnsi="Arial"/>
                <w:sz w:val="18"/>
                <w:szCs w:val="18"/>
                <w:u w:val="single" w:color="auto"/>
                <w:color w:val="auto"/>
                <w:w w:val="90"/>
              </w:rPr>
              <w:t>$</w:t>
            </w:r>
            <w:r>
              <w:rPr>
                <w:rFonts w:ascii="Arial" w:cs="Arial" w:eastAsia="Arial" w:hAnsi="Arial"/>
                <w:sz w:val="18"/>
                <w:szCs w:val="18"/>
                <w:color w:val="auto"/>
                <w:w w:val="90"/>
              </w:rPr>
              <w:t>3,096</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20" w:type="dxa"/>
            <w:vAlign w:val="bottom"/>
            <w:gridSpan w:val="3"/>
          </w:tcPr>
          <w:p>
            <w:pPr>
              <w:jc w:val="right"/>
              <w:ind w:right="20"/>
              <w:spacing w:after="0"/>
              <w:rPr>
                <w:sz w:val="20"/>
                <w:szCs w:val="20"/>
                <w:color w:val="auto"/>
              </w:rPr>
            </w:pPr>
            <w:r>
              <w:rPr>
                <w:rFonts w:ascii="Arial" w:cs="Arial" w:eastAsia="Arial" w:hAnsi="Arial"/>
                <w:sz w:val="18"/>
                <w:szCs w:val="18"/>
                <w:u w:val="single" w:color="auto"/>
                <w:color w:val="auto"/>
                <w:w w:val="89"/>
              </w:rPr>
              <w:t>$</w:t>
            </w:r>
            <w:r>
              <w:rPr>
                <w:rFonts w:ascii="Arial" w:cs="Arial" w:eastAsia="Arial" w:hAnsi="Arial"/>
                <w:sz w:val="18"/>
                <w:szCs w:val="18"/>
                <w:color w:val="auto"/>
                <w:w w:val="89"/>
              </w:rPr>
              <w:t>30,556</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49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right="60" w:firstLine="228"/>
        <w:spacing w:after="0" w:line="286" w:lineRule="auto"/>
        <w:rPr>
          <w:sz w:val="20"/>
          <w:szCs w:val="20"/>
          <w:color w:val="auto"/>
        </w:rPr>
      </w:pPr>
      <w:r>
        <w:rPr>
          <w:rFonts w:ascii="Arial" w:cs="Arial" w:eastAsia="Arial" w:hAnsi="Arial"/>
          <w:sz w:val="16"/>
          <w:szCs w:val="16"/>
          <w:color w:val="auto"/>
        </w:rPr>
        <w:t>We recorded Goodwill of $30.5 billion upon application of fresh-start reporting. If all identifiable assets and liabilities had been recorded at fair value upon application of fresh-start reporting, no goodwill would have resulted. However, when applying fresh-start reporting, certain accounts, primarily employee benefit plan and income tax related, were recorded at amounts determined under specific U.S. GAAP rather than fair value and the difference between the U.S. GAAP and fair value amounts gave rise to goodwill, which is a residual. Our employee benefit related accounts were recorded in accordance with ASC 712, “Compensation — Nonretirement Postemployment Benefits” and ASC 715, “Compensation — Retirement Benefits” and deferred income taxes were recorded in accordance with ASC 740, “Income Taxes.” Further, we recorded valuation allowances against certain of our deferred tax assets, which under ASC 852 also resulted in Goodwill. These valuation allowances were due in part to Old GM’s history of recurring operating losses, and our projections at the 363 Sale date of continued near-term operating losses in certain jurisdictions. While the 363 Sale constituted a significant restructuring that eliminated many operating and financing costs, Old GM had undertaken significant restructurings in the past that failed to return certain jurisdictions to profitability. At the 363 Sale date, we concluded that there was significant uncertainty as to whether the restructuring actions would return these jurisdictions to sustained profitability, thereby necessitating the establishment of a valuation allowance against certain deferred tax assets. None of the goodwill from this transaction is deductible for tax purposes.</w:t>
      </w:r>
    </w:p>
    <w:p>
      <w:pPr>
        <w:spacing w:after="0" w:line="124" w:lineRule="exact"/>
        <w:rPr>
          <w:sz w:val="20"/>
          <w:szCs w:val="20"/>
          <w:color w:val="auto"/>
        </w:rPr>
      </w:pPr>
    </w:p>
    <w:p>
      <w:pPr>
        <w:ind w:right="140" w:firstLine="228"/>
        <w:spacing w:after="0" w:line="294" w:lineRule="auto"/>
        <w:rPr>
          <w:sz w:val="20"/>
          <w:szCs w:val="20"/>
          <w:color w:val="auto"/>
        </w:rPr>
      </w:pPr>
      <w:r>
        <w:rPr>
          <w:rFonts w:ascii="Arial" w:cs="Arial" w:eastAsia="Arial" w:hAnsi="Arial"/>
          <w:sz w:val="16"/>
          <w:szCs w:val="16"/>
          <w:color w:val="auto"/>
        </w:rPr>
        <w:t>In the three months ended June 30, 2010 there were event-driven changes in circumstances within our GME reporting unit that warranted the testing of goodwill for impairment. Anticipated competitive pressure on our margins in the near- and medium-term led us to believe that the goodwill associated with our GME reporting unit may be impaired. Utilizing the best available information at June 30, 2010 we performed a step one goodwill impairment test for our GME reporting unit, and concluded that goodwill was not impaired. The fair value of our GME reporting unit was estimated to be approximately $325 million over its carrying amount. If we had not passed step one, we believe the amount of any goodwill impairment would approximate $140 million representing the net</w:t>
      </w:r>
    </w:p>
    <w:p>
      <w:pPr>
        <w:spacing w:after="0" w:line="1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20"/>
          </w:cols>
          <w:pgMar w:left="240" w:top="459" w:right="23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164" w:lineRule="exact"/>
        <w:rPr>
          <w:sz w:val="20"/>
          <w:szCs w:val="20"/>
          <w:color w:val="auto"/>
        </w:rPr>
      </w:pPr>
    </w:p>
    <w:p>
      <w:pPr>
        <w:ind w:right="700"/>
        <w:spacing w:after="0" w:line="268" w:lineRule="auto"/>
        <w:rPr>
          <w:sz w:val="20"/>
          <w:szCs w:val="20"/>
          <w:color w:val="auto"/>
        </w:rPr>
      </w:pPr>
      <w:r>
        <w:rPr>
          <w:rFonts w:ascii="Arial" w:cs="Arial" w:eastAsia="Arial" w:hAnsi="Arial"/>
          <w:sz w:val="18"/>
          <w:szCs w:val="18"/>
          <w:color w:val="auto"/>
        </w:rPr>
        <w:t>decrease, from July 9, 2009 through June 30, 2010, in the fair value-to-U.S. GAAP differences attributable to those assets and liabilities that gave rise to goodwill.</w:t>
      </w:r>
    </w:p>
    <w:p>
      <w:pPr>
        <w:spacing w:after="0" w:line="132" w:lineRule="exact"/>
        <w:rPr>
          <w:sz w:val="20"/>
          <w:szCs w:val="20"/>
          <w:color w:val="auto"/>
        </w:rPr>
      </w:pPr>
    </w:p>
    <w:p>
      <w:pPr>
        <w:ind w:right="180" w:firstLine="228"/>
        <w:spacing w:after="0" w:line="298" w:lineRule="auto"/>
        <w:rPr>
          <w:sz w:val="20"/>
          <w:szCs w:val="20"/>
          <w:color w:val="auto"/>
        </w:rPr>
      </w:pPr>
      <w:r>
        <w:rPr>
          <w:rFonts w:ascii="Arial" w:cs="Arial" w:eastAsia="Arial" w:hAnsi="Arial"/>
          <w:sz w:val="16"/>
          <w:szCs w:val="16"/>
          <w:color w:val="auto"/>
        </w:rPr>
        <w:t>We utilized a discounted cash flow methodology to estimate the fair value of our GME reporting unit. The valuation methodologies utilized were consistent with those used in our application of fresh-start reporting on July 10, 2009, as discussed in Note 2 to our consolidated financial statements included in our Form S-1, and in our 2009 annual and event driven GME impairment tests and result in Level 3 measures within the valuation hierarchy. Assumptions used in our discounted cash flow analysis that had the most significant effect on the estimated fair value of our GME reporting unit include:</w:t>
      </w:r>
    </w:p>
    <w:p>
      <w:pPr>
        <w:spacing w:after="0" w:line="153" w:lineRule="exact"/>
        <w:rPr>
          <w:sz w:val="20"/>
          <w:szCs w:val="20"/>
          <w:color w:val="auto"/>
        </w:rPr>
      </w:pPr>
    </w:p>
    <w:p>
      <w:pPr>
        <w:ind w:left="660" w:hanging="436"/>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Our estimated weighted-average cost of capital (WACC);</w:t>
      </w:r>
    </w:p>
    <w:p>
      <w:pPr>
        <w:spacing w:after="0" w:line="90" w:lineRule="exact"/>
        <w:rPr>
          <w:rFonts w:ascii="Arial" w:cs="Arial" w:eastAsia="Arial" w:hAnsi="Arial"/>
          <w:sz w:val="18"/>
          <w:szCs w:val="18"/>
          <w:color w:val="auto"/>
        </w:rPr>
      </w:pPr>
    </w:p>
    <w:p>
      <w:pPr>
        <w:ind w:left="660" w:hanging="436"/>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Our estimated long-term growth rates; and</w:t>
      </w:r>
    </w:p>
    <w:p>
      <w:pPr>
        <w:spacing w:after="0" w:line="90" w:lineRule="exact"/>
        <w:rPr>
          <w:rFonts w:ascii="Arial" w:cs="Arial" w:eastAsia="Arial" w:hAnsi="Arial"/>
          <w:sz w:val="18"/>
          <w:szCs w:val="18"/>
          <w:color w:val="auto"/>
        </w:rPr>
      </w:pPr>
    </w:p>
    <w:p>
      <w:pPr>
        <w:ind w:left="660" w:hanging="436"/>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Our estimate of industry sales and our market share.</w:t>
      </w:r>
    </w:p>
    <w:p>
      <w:pPr>
        <w:spacing w:after="0" w:line="171" w:lineRule="exact"/>
        <w:rPr>
          <w:sz w:val="20"/>
          <w:szCs w:val="20"/>
          <w:color w:val="auto"/>
        </w:rPr>
      </w:pPr>
    </w:p>
    <w:p>
      <w:pPr>
        <w:ind w:right="60" w:firstLine="228"/>
        <w:spacing w:after="0" w:line="335" w:lineRule="auto"/>
        <w:rPr>
          <w:sz w:val="20"/>
          <w:szCs w:val="20"/>
          <w:color w:val="auto"/>
        </w:rPr>
      </w:pPr>
      <w:r>
        <w:rPr>
          <w:rFonts w:ascii="Arial" w:cs="Arial" w:eastAsia="Arial" w:hAnsi="Arial"/>
          <w:sz w:val="15"/>
          <w:szCs w:val="15"/>
          <w:color w:val="auto"/>
        </w:rPr>
        <w:t>We used a WACC of 22.0% that considered various factors including bond yields, risk premiums, and tax rates; a terminal value that was determined using a growth model that applied a long-term growth rate of 0.5% to our projected cash flows beyond 2015; and industry sales of 18.4 million vehicles and a market share for Opel/Vauxhall of 6.45% based on vehicle sales volume in 2010 increasing to industry sales of 22.0 million vehicles and a market share of 7.4% in 2015.</w:t>
      </w:r>
    </w:p>
    <w:p>
      <w:pPr>
        <w:spacing w:after="0" w:line="88" w:lineRule="exact"/>
        <w:rPr>
          <w:sz w:val="20"/>
          <w:szCs w:val="20"/>
          <w:color w:val="auto"/>
        </w:rPr>
      </w:pPr>
    </w:p>
    <w:p>
      <w:pPr>
        <w:ind w:right="180" w:firstLine="228"/>
        <w:spacing w:after="0" w:line="259" w:lineRule="auto"/>
        <w:rPr>
          <w:sz w:val="20"/>
          <w:szCs w:val="20"/>
          <w:color w:val="auto"/>
        </w:rPr>
      </w:pPr>
      <w:r>
        <w:rPr>
          <w:rFonts w:ascii="Arial" w:cs="Arial" w:eastAsia="Arial" w:hAnsi="Arial"/>
          <w:sz w:val="18"/>
          <w:szCs w:val="18"/>
          <w:color w:val="auto"/>
        </w:rPr>
        <w:t>Our fair value estimate assumes the achievement of the future financial results contemplated in our forecasted cash flows, and there can be no assurance that we will realize that value. The estimates and assumptions used are subject to significant uncertainties, many of which are beyond our control, and there is no assurance that anticipated financial results will be achieved.</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9. Intangible Assets, net</w:t>
      </w:r>
    </w:p>
    <w:p>
      <w:pPr>
        <w:spacing w:after="0" w:line="177" w:lineRule="exact"/>
        <w:rPr>
          <w:sz w:val="20"/>
          <w:szCs w:val="20"/>
          <w:color w:val="auto"/>
        </w:rPr>
      </w:pPr>
    </w:p>
    <w:p>
      <w:pPr>
        <w:ind w:left="240"/>
        <w:spacing w:after="0"/>
        <w:rPr>
          <w:sz w:val="20"/>
          <w:szCs w:val="20"/>
          <w:color w:val="auto"/>
        </w:rPr>
      </w:pPr>
      <w:r>
        <w:rPr>
          <w:rFonts w:ascii="Arial" w:cs="Arial" w:eastAsia="Arial" w:hAnsi="Arial"/>
          <w:sz w:val="18"/>
          <w:szCs w:val="18"/>
          <w:color w:val="auto"/>
        </w:rPr>
        <w:t>The following table summarizes the components of Intangible assets, net (dollars in millions):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8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460" w:type="dxa"/>
            <w:vAlign w:val="bottom"/>
            <w:tcBorders>
              <w:bottom w:val="single" w:sz="8" w:color="auto"/>
            </w:tcBorders>
            <w:gridSpan w:val="5"/>
          </w:tcPr>
          <w:p>
            <w:pPr>
              <w:jc w:val="right"/>
              <w:ind w:right="520"/>
              <w:spacing w:after="0"/>
              <w:rPr>
                <w:sz w:val="20"/>
                <w:szCs w:val="20"/>
                <w:color w:val="auto"/>
              </w:rPr>
            </w:pPr>
            <w:r>
              <w:rPr>
                <w:rFonts w:ascii="Arial" w:cs="Arial" w:eastAsia="Arial" w:hAnsi="Arial"/>
                <w:sz w:val="14"/>
                <w:szCs w:val="14"/>
                <w:b w:val="1"/>
                <w:bCs w:val="1"/>
                <w:color w:val="auto"/>
              </w:rPr>
              <w:t>Successor</w:t>
            </w:r>
          </w:p>
        </w:tc>
        <w:tc>
          <w:tcPr>
            <w:tcW w:w="24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82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1240" w:type="dxa"/>
            <w:vAlign w:val="bottom"/>
            <w:tcBorders>
              <w:bottom w:val="single" w:sz="8" w:color="auto"/>
            </w:tcBorders>
            <w:gridSpan w:val="4"/>
          </w:tcPr>
          <w:p>
            <w:pPr>
              <w:ind w:left="60"/>
              <w:spacing w:after="0" w:line="142" w:lineRule="exact"/>
              <w:rPr>
                <w:sz w:val="20"/>
                <w:szCs w:val="20"/>
                <w:color w:val="auto"/>
              </w:rPr>
            </w:pPr>
            <w:r>
              <w:rPr>
                <w:rFonts w:ascii="Arial" w:cs="Arial" w:eastAsia="Arial" w:hAnsi="Arial"/>
                <w:sz w:val="14"/>
                <w:szCs w:val="14"/>
                <w:b w:val="1"/>
                <w:bCs w:val="1"/>
                <w:color w:val="auto"/>
                <w:w w:val="88"/>
              </w:rPr>
              <w:t>September 30, 2010</w:t>
            </w:r>
          </w:p>
        </w:tc>
        <w:tc>
          <w:tcPr>
            <w:tcW w:w="6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480" w:type="dxa"/>
            <w:vAlign w:val="bottom"/>
            <w:tcBorders>
              <w:bottom w:val="single" w:sz="8" w:color="auto"/>
            </w:tcBorders>
          </w:tcPr>
          <w:p>
            <w:pPr>
              <w:spacing w:after="0"/>
              <w:rPr>
                <w:sz w:val="12"/>
                <w:szCs w:val="12"/>
                <w:color w:val="auto"/>
              </w:rPr>
            </w:pPr>
          </w:p>
        </w:tc>
        <w:tc>
          <w:tcPr>
            <w:tcW w:w="32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48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1240" w:type="dxa"/>
            <w:vAlign w:val="bottom"/>
            <w:tcBorders>
              <w:bottom w:val="single" w:sz="8" w:color="auto"/>
            </w:tcBorders>
            <w:gridSpan w:val="4"/>
          </w:tcPr>
          <w:p>
            <w:pPr>
              <w:ind w:left="80"/>
              <w:spacing w:after="0" w:line="142" w:lineRule="exact"/>
              <w:rPr>
                <w:sz w:val="20"/>
                <w:szCs w:val="20"/>
                <w:color w:val="auto"/>
              </w:rPr>
            </w:pPr>
            <w:r>
              <w:rPr>
                <w:rFonts w:ascii="Arial" w:cs="Arial" w:eastAsia="Arial" w:hAnsi="Arial"/>
                <w:sz w:val="14"/>
                <w:szCs w:val="14"/>
                <w:b w:val="1"/>
                <w:bCs w:val="1"/>
                <w:color w:val="auto"/>
                <w:w w:val="90"/>
              </w:rPr>
              <w:t>December 31, 2009</w:t>
            </w:r>
          </w:p>
        </w:tc>
        <w:tc>
          <w:tcPr>
            <w:tcW w:w="8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48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482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gridSpan w:val="2"/>
          </w:tcPr>
          <w:p>
            <w:pPr>
              <w:jc w:val="center"/>
              <w:ind w:right="160"/>
              <w:spacing w:after="0" w:line="129" w:lineRule="exact"/>
              <w:rPr>
                <w:sz w:val="20"/>
                <w:szCs w:val="20"/>
                <w:color w:val="auto"/>
              </w:rPr>
            </w:pPr>
            <w:r>
              <w:rPr>
                <w:rFonts w:ascii="Arial" w:cs="Arial" w:eastAsia="Arial" w:hAnsi="Arial"/>
                <w:sz w:val="14"/>
                <w:szCs w:val="14"/>
                <w:b w:val="1"/>
                <w:bCs w:val="1"/>
                <w:color w:val="auto"/>
                <w:w w:val="78"/>
              </w:rPr>
              <w:t>Gross</w:t>
            </w:r>
          </w:p>
        </w:tc>
        <w:tc>
          <w:tcPr>
            <w:tcW w:w="2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80" w:type="dxa"/>
            <w:vAlign w:val="bottom"/>
          </w:tcPr>
          <w:p>
            <w:pPr>
              <w:jc w:val="center"/>
              <w:spacing w:after="0" w:line="129" w:lineRule="exact"/>
              <w:rPr>
                <w:sz w:val="20"/>
                <w:szCs w:val="20"/>
                <w:color w:val="auto"/>
              </w:rPr>
            </w:pPr>
            <w:r>
              <w:rPr>
                <w:rFonts w:ascii="Arial" w:cs="Arial" w:eastAsia="Arial" w:hAnsi="Arial"/>
                <w:sz w:val="14"/>
                <w:szCs w:val="14"/>
                <w:b w:val="1"/>
                <w:bCs w:val="1"/>
                <w:color w:val="auto"/>
                <w:w w:val="88"/>
              </w:rPr>
              <w:t>Net</w:t>
            </w:r>
          </w:p>
        </w:tc>
        <w:tc>
          <w:tcPr>
            <w:tcW w:w="3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gridSpan w:val="2"/>
          </w:tcPr>
          <w:p>
            <w:pPr>
              <w:jc w:val="center"/>
              <w:ind w:right="180"/>
              <w:spacing w:after="0" w:line="129" w:lineRule="exact"/>
              <w:rPr>
                <w:sz w:val="20"/>
                <w:szCs w:val="20"/>
                <w:color w:val="auto"/>
              </w:rPr>
            </w:pPr>
            <w:r>
              <w:rPr>
                <w:rFonts w:ascii="Arial" w:cs="Arial" w:eastAsia="Arial" w:hAnsi="Arial"/>
                <w:sz w:val="14"/>
                <w:szCs w:val="14"/>
                <w:b w:val="1"/>
                <w:bCs w:val="1"/>
                <w:color w:val="auto"/>
                <w:w w:val="83"/>
              </w:rPr>
              <w:t>Gross</w:t>
            </w:r>
          </w:p>
        </w:tc>
        <w:tc>
          <w:tcPr>
            <w:tcW w:w="2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80" w:type="dxa"/>
            <w:vAlign w:val="bottom"/>
          </w:tcPr>
          <w:p>
            <w:pPr>
              <w:jc w:val="center"/>
              <w:spacing w:after="0" w:line="129" w:lineRule="exact"/>
              <w:rPr>
                <w:sz w:val="20"/>
                <w:szCs w:val="20"/>
                <w:color w:val="auto"/>
              </w:rPr>
            </w:pPr>
            <w:r>
              <w:rPr>
                <w:rFonts w:ascii="Arial" w:cs="Arial" w:eastAsia="Arial" w:hAnsi="Arial"/>
                <w:sz w:val="14"/>
                <w:szCs w:val="14"/>
                <w:b w:val="1"/>
                <w:bCs w:val="1"/>
                <w:color w:val="auto"/>
                <w:w w:val="88"/>
              </w:rPr>
              <w:t>Net</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82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660" w:type="dxa"/>
            <w:vAlign w:val="bottom"/>
            <w:gridSpan w:val="3"/>
          </w:tcPr>
          <w:p>
            <w:pPr>
              <w:jc w:val="center"/>
              <w:ind w:right="60"/>
              <w:spacing w:after="0" w:line="149" w:lineRule="exact"/>
              <w:rPr>
                <w:sz w:val="20"/>
                <w:szCs w:val="20"/>
                <w:color w:val="auto"/>
              </w:rPr>
            </w:pPr>
            <w:r>
              <w:rPr>
                <w:rFonts w:ascii="Arial" w:cs="Arial" w:eastAsia="Arial" w:hAnsi="Arial"/>
                <w:sz w:val="14"/>
                <w:szCs w:val="14"/>
                <w:b w:val="1"/>
                <w:bCs w:val="1"/>
                <w:color w:val="auto"/>
                <w:w w:val="90"/>
              </w:rPr>
              <w:t>Carrying</w:t>
            </w:r>
          </w:p>
        </w:tc>
        <w:tc>
          <w:tcPr>
            <w:tcW w:w="220" w:type="dxa"/>
            <w:vAlign w:val="bottom"/>
          </w:tcPr>
          <w:p>
            <w:pPr>
              <w:spacing w:after="0"/>
              <w:rPr>
                <w:sz w:val="12"/>
                <w:szCs w:val="12"/>
                <w:color w:val="auto"/>
              </w:rPr>
            </w:pPr>
          </w:p>
        </w:tc>
        <w:tc>
          <w:tcPr>
            <w:tcW w:w="1020" w:type="dxa"/>
            <w:vAlign w:val="bottom"/>
            <w:gridSpan w:val="3"/>
          </w:tcPr>
          <w:p>
            <w:pPr>
              <w:ind w:left="20"/>
              <w:spacing w:after="0" w:line="149" w:lineRule="exact"/>
              <w:rPr>
                <w:sz w:val="20"/>
                <w:szCs w:val="20"/>
                <w:color w:val="auto"/>
              </w:rPr>
            </w:pPr>
            <w:r>
              <w:rPr>
                <w:rFonts w:ascii="Arial" w:cs="Arial" w:eastAsia="Arial" w:hAnsi="Arial"/>
                <w:sz w:val="14"/>
                <w:szCs w:val="14"/>
                <w:b w:val="1"/>
                <w:bCs w:val="1"/>
                <w:color w:val="auto"/>
              </w:rPr>
              <w:t>Accumulated</w:t>
            </w:r>
          </w:p>
        </w:tc>
        <w:tc>
          <w:tcPr>
            <w:tcW w:w="60" w:type="dxa"/>
            <w:vAlign w:val="bottom"/>
          </w:tcPr>
          <w:p>
            <w:pPr>
              <w:spacing w:after="0"/>
              <w:rPr>
                <w:sz w:val="12"/>
                <w:szCs w:val="12"/>
                <w:color w:val="auto"/>
              </w:rPr>
            </w:pPr>
          </w:p>
        </w:tc>
        <w:tc>
          <w:tcPr>
            <w:tcW w:w="58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0"/>
              </w:rPr>
              <w:t>Carrying</w:t>
            </w:r>
          </w:p>
        </w:tc>
        <w:tc>
          <w:tcPr>
            <w:tcW w:w="320" w:type="dxa"/>
            <w:vAlign w:val="bottom"/>
          </w:tcPr>
          <w:p>
            <w:pPr>
              <w:spacing w:after="0"/>
              <w:rPr>
                <w:sz w:val="12"/>
                <w:szCs w:val="12"/>
                <w:color w:val="auto"/>
              </w:rPr>
            </w:pPr>
          </w:p>
        </w:tc>
        <w:tc>
          <w:tcPr>
            <w:tcW w:w="660" w:type="dxa"/>
            <w:vAlign w:val="bottom"/>
            <w:gridSpan w:val="3"/>
          </w:tcPr>
          <w:p>
            <w:pPr>
              <w:jc w:val="center"/>
              <w:ind w:right="80"/>
              <w:spacing w:after="0" w:line="149" w:lineRule="exact"/>
              <w:rPr>
                <w:sz w:val="20"/>
                <w:szCs w:val="20"/>
                <w:color w:val="auto"/>
              </w:rPr>
            </w:pPr>
            <w:r>
              <w:rPr>
                <w:rFonts w:ascii="Arial" w:cs="Arial" w:eastAsia="Arial" w:hAnsi="Arial"/>
                <w:sz w:val="14"/>
                <w:szCs w:val="14"/>
                <w:b w:val="1"/>
                <w:bCs w:val="1"/>
                <w:color w:val="auto"/>
                <w:w w:val="93"/>
              </w:rPr>
              <w:t>Carrying</w:t>
            </w:r>
          </w:p>
        </w:tc>
        <w:tc>
          <w:tcPr>
            <w:tcW w:w="240" w:type="dxa"/>
            <w:vAlign w:val="bottom"/>
          </w:tcPr>
          <w:p>
            <w:pPr>
              <w:spacing w:after="0"/>
              <w:rPr>
                <w:sz w:val="12"/>
                <w:szCs w:val="12"/>
                <w:color w:val="auto"/>
              </w:rPr>
            </w:pPr>
          </w:p>
        </w:tc>
        <w:tc>
          <w:tcPr>
            <w:tcW w:w="100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Accumulated</w:t>
            </w:r>
          </w:p>
        </w:tc>
        <w:tc>
          <w:tcPr>
            <w:tcW w:w="80" w:type="dxa"/>
            <w:vAlign w:val="bottom"/>
          </w:tcPr>
          <w:p>
            <w:pPr>
              <w:spacing w:after="0"/>
              <w:rPr>
                <w:sz w:val="12"/>
                <w:szCs w:val="12"/>
                <w:color w:val="auto"/>
              </w:rPr>
            </w:pPr>
          </w:p>
        </w:tc>
        <w:tc>
          <w:tcPr>
            <w:tcW w:w="680" w:type="dxa"/>
            <w:vAlign w:val="bottom"/>
            <w:gridSpan w:val="3"/>
          </w:tcPr>
          <w:p>
            <w:pPr>
              <w:jc w:val="center"/>
              <w:ind w:right="100"/>
              <w:spacing w:after="0" w:line="149" w:lineRule="exact"/>
              <w:rPr>
                <w:sz w:val="20"/>
                <w:szCs w:val="20"/>
                <w:color w:val="auto"/>
              </w:rPr>
            </w:pPr>
            <w:r>
              <w:rPr>
                <w:rFonts w:ascii="Arial" w:cs="Arial" w:eastAsia="Arial" w:hAnsi="Arial"/>
                <w:sz w:val="14"/>
                <w:szCs w:val="14"/>
                <w:b w:val="1"/>
                <w:bCs w:val="1"/>
                <w:color w:val="auto"/>
                <w:w w:val="93"/>
              </w:rPr>
              <w:t>Carrying</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48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660" w:type="dxa"/>
            <w:vAlign w:val="bottom"/>
            <w:gridSpan w:val="3"/>
          </w:tcPr>
          <w:p>
            <w:pPr>
              <w:jc w:val="center"/>
              <w:ind w:right="60"/>
              <w:spacing w:after="0"/>
              <w:rPr>
                <w:sz w:val="20"/>
                <w:szCs w:val="20"/>
                <w:color w:val="auto"/>
              </w:rPr>
            </w:pPr>
            <w:r>
              <w:rPr>
                <w:rFonts w:ascii="Arial" w:cs="Arial" w:eastAsia="Arial" w:hAnsi="Arial"/>
                <w:sz w:val="14"/>
                <w:szCs w:val="14"/>
                <w:b w:val="1"/>
                <w:bCs w:val="1"/>
                <w:color w:val="auto"/>
                <w:w w:val="90"/>
              </w:rPr>
              <w:t>Amount</w:t>
            </w:r>
          </w:p>
        </w:tc>
        <w:tc>
          <w:tcPr>
            <w:tcW w:w="220" w:type="dxa"/>
            <w:vAlign w:val="bottom"/>
          </w:tcPr>
          <w:p>
            <w:pPr>
              <w:spacing w:after="0"/>
              <w:rPr>
                <w:sz w:val="14"/>
                <w:szCs w:val="14"/>
                <w:color w:val="auto"/>
              </w:rPr>
            </w:pPr>
          </w:p>
        </w:tc>
        <w:tc>
          <w:tcPr>
            <w:tcW w:w="1020" w:type="dxa"/>
            <w:vAlign w:val="bottom"/>
            <w:gridSpan w:val="3"/>
          </w:tcPr>
          <w:p>
            <w:pPr>
              <w:ind w:left="20"/>
              <w:spacing w:after="0"/>
              <w:rPr>
                <w:sz w:val="20"/>
                <w:szCs w:val="20"/>
                <w:color w:val="auto"/>
              </w:rPr>
            </w:pPr>
            <w:r>
              <w:rPr>
                <w:rFonts w:ascii="Arial" w:cs="Arial" w:eastAsia="Arial" w:hAnsi="Arial"/>
                <w:sz w:val="14"/>
                <w:szCs w:val="14"/>
                <w:b w:val="1"/>
                <w:bCs w:val="1"/>
                <w:color w:val="auto"/>
              </w:rPr>
              <w:t>Amortization</w:t>
            </w:r>
          </w:p>
        </w:tc>
        <w:tc>
          <w:tcPr>
            <w:tcW w:w="60" w:type="dxa"/>
            <w:vAlign w:val="bottom"/>
          </w:tcPr>
          <w:p>
            <w:pPr>
              <w:spacing w:after="0"/>
              <w:rPr>
                <w:sz w:val="14"/>
                <w:szCs w:val="14"/>
                <w:color w:val="auto"/>
              </w:rPr>
            </w:pPr>
          </w:p>
        </w:tc>
        <w:tc>
          <w:tcPr>
            <w:tcW w:w="580" w:type="dxa"/>
            <w:vAlign w:val="bottom"/>
            <w:gridSpan w:val="2"/>
          </w:tcPr>
          <w:p>
            <w:pPr>
              <w:jc w:val="center"/>
              <w:spacing w:after="0"/>
              <w:rPr>
                <w:sz w:val="20"/>
                <w:szCs w:val="20"/>
                <w:color w:val="auto"/>
              </w:rPr>
            </w:pPr>
            <w:r>
              <w:rPr>
                <w:rFonts w:ascii="Arial" w:cs="Arial" w:eastAsia="Arial" w:hAnsi="Arial"/>
                <w:sz w:val="14"/>
                <w:szCs w:val="14"/>
                <w:b w:val="1"/>
                <w:bCs w:val="1"/>
                <w:color w:val="auto"/>
                <w:w w:val="90"/>
              </w:rPr>
              <w:t>Amount</w:t>
            </w:r>
          </w:p>
        </w:tc>
        <w:tc>
          <w:tcPr>
            <w:tcW w:w="320" w:type="dxa"/>
            <w:vAlign w:val="bottom"/>
          </w:tcPr>
          <w:p>
            <w:pPr>
              <w:spacing w:after="0"/>
              <w:rPr>
                <w:sz w:val="14"/>
                <w:szCs w:val="14"/>
                <w:color w:val="auto"/>
              </w:rPr>
            </w:pPr>
          </w:p>
        </w:tc>
        <w:tc>
          <w:tcPr>
            <w:tcW w:w="660" w:type="dxa"/>
            <w:vAlign w:val="bottom"/>
            <w:gridSpan w:val="3"/>
          </w:tcPr>
          <w:p>
            <w:pPr>
              <w:jc w:val="center"/>
              <w:ind w:right="80"/>
              <w:spacing w:after="0"/>
              <w:rPr>
                <w:sz w:val="20"/>
                <w:szCs w:val="20"/>
                <w:color w:val="auto"/>
              </w:rPr>
            </w:pPr>
            <w:r>
              <w:rPr>
                <w:rFonts w:ascii="Arial" w:cs="Arial" w:eastAsia="Arial" w:hAnsi="Arial"/>
                <w:sz w:val="14"/>
                <w:szCs w:val="14"/>
                <w:b w:val="1"/>
                <w:bCs w:val="1"/>
                <w:color w:val="auto"/>
                <w:w w:val="86"/>
              </w:rPr>
              <w:t>Amount</w:t>
            </w:r>
          </w:p>
        </w:tc>
        <w:tc>
          <w:tcPr>
            <w:tcW w:w="240" w:type="dxa"/>
            <w:vAlign w:val="bottom"/>
          </w:tcPr>
          <w:p>
            <w:pPr>
              <w:spacing w:after="0"/>
              <w:rPr>
                <w:sz w:val="14"/>
                <w:szCs w:val="14"/>
                <w:color w:val="auto"/>
              </w:rPr>
            </w:pPr>
          </w:p>
        </w:tc>
        <w:tc>
          <w:tcPr>
            <w:tcW w:w="1000" w:type="dxa"/>
            <w:vAlign w:val="bottom"/>
            <w:gridSpan w:val="3"/>
          </w:tcPr>
          <w:p>
            <w:pPr>
              <w:spacing w:after="0"/>
              <w:rPr>
                <w:sz w:val="20"/>
                <w:szCs w:val="20"/>
                <w:color w:val="auto"/>
              </w:rPr>
            </w:pPr>
            <w:r>
              <w:rPr>
                <w:rFonts w:ascii="Arial" w:cs="Arial" w:eastAsia="Arial" w:hAnsi="Arial"/>
                <w:sz w:val="14"/>
                <w:szCs w:val="14"/>
                <w:b w:val="1"/>
                <w:bCs w:val="1"/>
                <w:color w:val="auto"/>
              </w:rPr>
              <w:t>Amortization</w:t>
            </w:r>
          </w:p>
        </w:tc>
        <w:tc>
          <w:tcPr>
            <w:tcW w:w="80" w:type="dxa"/>
            <w:vAlign w:val="bottom"/>
          </w:tcPr>
          <w:p>
            <w:pPr>
              <w:spacing w:after="0"/>
              <w:rPr>
                <w:sz w:val="14"/>
                <w:szCs w:val="14"/>
                <w:color w:val="auto"/>
              </w:rPr>
            </w:pPr>
          </w:p>
        </w:tc>
        <w:tc>
          <w:tcPr>
            <w:tcW w:w="680" w:type="dxa"/>
            <w:vAlign w:val="bottom"/>
            <w:gridSpan w:val="3"/>
          </w:tcPr>
          <w:p>
            <w:pPr>
              <w:jc w:val="center"/>
              <w:ind w:right="80"/>
              <w:spacing w:after="0"/>
              <w:rPr>
                <w:sz w:val="20"/>
                <w:szCs w:val="20"/>
                <w:color w:val="auto"/>
              </w:rPr>
            </w:pPr>
            <w:r>
              <w:rPr>
                <w:rFonts w:ascii="Arial" w:cs="Arial" w:eastAsia="Arial" w:hAnsi="Arial"/>
                <w:sz w:val="14"/>
                <w:szCs w:val="14"/>
                <w:b w:val="1"/>
                <w:bCs w:val="1"/>
                <w:color w:val="auto"/>
                <w:w w:val="90"/>
              </w:rPr>
              <w:t>Amount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820" w:type="dxa"/>
            <w:vAlign w:val="bottom"/>
            <w:shd w:val="clear" w:color="auto" w:fill="CCEEFF"/>
          </w:tcPr>
          <w:p>
            <w:pPr>
              <w:spacing w:after="0"/>
              <w:rPr>
                <w:sz w:val="20"/>
                <w:szCs w:val="20"/>
                <w:color w:val="auto"/>
              </w:rPr>
            </w:pPr>
            <w:r>
              <w:rPr>
                <w:rFonts w:ascii="Arial" w:cs="Arial" w:eastAsia="Arial" w:hAnsi="Arial"/>
                <w:sz w:val="18"/>
                <w:szCs w:val="18"/>
                <w:color w:val="auto"/>
              </w:rPr>
              <w:t>Amortizing intangible assets</w:t>
            </w:r>
          </w:p>
        </w:tc>
        <w:tc>
          <w:tcPr>
            <w:tcW w:w="106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20" w:type="dxa"/>
            <w:vAlign w:val="bottom"/>
          </w:tcPr>
          <w:p>
            <w:pPr>
              <w:spacing w:after="0"/>
              <w:rPr>
                <w:sz w:val="20"/>
                <w:szCs w:val="20"/>
                <w:color w:val="auto"/>
              </w:rPr>
            </w:pPr>
            <w:r>
              <w:rPr>
                <w:rFonts w:ascii="Arial" w:cs="Arial" w:eastAsia="Arial" w:hAnsi="Arial"/>
                <w:sz w:val="18"/>
                <w:szCs w:val="18"/>
                <w:color w:val="auto"/>
              </w:rPr>
              <w:t>Technology and intellectual property</w:t>
            </w: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60" w:type="dxa"/>
            <w:vAlign w:val="bottom"/>
            <w:gridSpan w:val="2"/>
          </w:tcPr>
          <w:p>
            <w:pPr>
              <w:jc w:val="right"/>
              <w:ind w:right="60"/>
              <w:spacing w:after="0"/>
              <w:rPr>
                <w:sz w:val="20"/>
                <w:szCs w:val="20"/>
                <w:color w:val="auto"/>
              </w:rPr>
            </w:pPr>
            <w:r>
              <w:rPr>
                <w:rFonts w:ascii="Arial" w:cs="Arial" w:eastAsia="Arial" w:hAnsi="Arial"/>
                <w:sz w:val="18"/>
                <w:szCs w:val="18"/>
                <w:color w:val="auto"/>
              </w:rPr>
              <w:t>7,747</w:t>
            </w:r>
          </w:p>
        </w:tc>
        <w:tc>
          <w:tcPr>
            <w:tcW w:w="46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220"/>
              <w:spacing w:after="0"/>
              <w:rPr>
                <w:sz w:val="20"/>
                <w:szCs w:val="20"/>
                <w:color w:val="auto"/>
              </w:rPr>
            </w:pPr>
            <w:r>
              <w:rPr>
                <w:rFonts w:ascii="Arial" w:cs="Arial" w:eastAsia="Arial" w:hAnsi="Arial"/>
                <w:sz w:val="18"/>
                <w:szCs w:val="18"/>
                <w:color w:val="auto"/>
              </w:rPr>
              <w:t>3,191</w:t>
            </w:r>
          </w:p>
        </w:tc>
        <w:tc>
          <w:tcPr>
            <w:tcW w:w="1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4,556</w:t>
            </w:r>
          </w:p>
        </w:tc>
        <w:tc>
          <w:tcPr>
            <w:tcW w:w="4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60" w:type="dxa"/>
            <w:vAlign w:val="bottom"/>
            <w:gridSpan w:val="2"/>
          </w:tcPr>
          <w:p>
            <w:pPr>
              <w:jc w:val="right"/>
              <w:ind w:right="80"/>
              <w:spacing w:after="0"/>
              <w:rPr>
                <w:sz w:val="20"/>
                <w:szCs w:val="20"/>
                <w:color w:val="auto"/>
              </w:rPr>
            </w:pPr>
            <w:r>
              <w:rPr>
                <w:rFonts w:ascii="Arial" w:cs="Arial" w:eastAsia="Arial" w:hAnsi="Arial"/>
                <w:sz w:val="18"/>
                <w:szCs w:val="18"/>
                <w:color w:val="auto"/>
              </w:rPr>
              <w:t>7,741</w:t>
            </w:r>
          </w:p>
        </w:tc>
        <w:tc>
          <w:tcPr>
            <w:tcW w:w="460" w:type="dxa"/>
            <w:vAlign w:val="bottom"/>
            <w:gridSpan w:val="2"/>
          </w:tcPr>
          <w:p>
            <w:pPr>
              <w:ind w:left="240"/>
              <w:spacing w:after="0"/>
              <w:rPr>
                <w:sz w:val="20"/>
                <w:szCs w:val="20"/>
                <w:color w:val="auto"/>
              </w:rPr>
            </w:pPr>
            <w:r>
              <w:rPr>
                <w:rFonts w:ascii="Arial" w:cs="Arial" w:eastAsia="Arial" w:hAnsi="Arial"/>
                <w:sz w:val="18"/>
                <w:szCs w:val="18"/>
                <w:color w:val="auto"/>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1,460</w:t>
            </w:r>
          </w:p>
        </w:tc>
        <w:tc>
          <w:tcPr>
            <w:tcW w:w="220" w:type="dxa"/>
            <w:vAlign w:val="bottom"/>
          </w:tcPr>
          <w:p>
            <w:pPr>
              <w:spacing w:after="0"/>
              <w:rPr>
                <w:sz w:val="18"/>
                <w:szCs w:val="18"/>
                <w:color w:val="auto"/>
              </w:rPr>
            </w:pP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6,281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20" w:type="dxa"/>
            <w:vAlign w:val="bottom"/>
            <w:shd w:val="clear" w:color="auto" w:fill="CCEEFF"/>
          </w:tcPr>
          <w:p>
            <w:pPr>
              <w:spacing w:after="0"/>
              <w:rPr>
                <w:sz w:val="20"/>
                <w:szCs w:val="20"/>
                <w:color w:val="auto"/>
              </w:rPr>
            </w:pPr>
            <w:r>
              <w:rPr>
                <w:rFonts w:ascii="Arial" w:cs="Arial" w:eastAsia="Arial" w:hAnsi="Arial"/>
                <w:sz w:val="18"/>
                <w:szCs w:val="18"/>
                <w:color w:val="auto"/>
              </w:rPr>
              <w:t>Brands</w:t>
            </w: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5,454</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184</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5,270</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5,508</w:t>
            </w:r>
          </w:p>
        </w:tc>
        <w:tc>
          <w:tcPr>
            <w:tcW w:w="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5,436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20" w:type="dxa"/>
            <w:vAlign w:val="bottom"/>
          </w:tcPr>
          <w:p>
            <w:pPr>
              <w:spacing w:after="0"/>
              <w:rPr>
                <w:sz w:val="20"/>
                <w:szCs w:val="20"/>
                <w:color w:val="auto"/>
              </w:rPr>
            </w:pPr>
            <w:r>
              <w:rPr>
                <w:rFonts w:ascii="Arial" w:cs="Arial" w:eastAsia="Arial" w:hAnsi="Arial"/>
                <w:sz w:val="18"/>
                <w:szCs w:val="18"/>
                <w:color w:val="auto"/>
              </w:rPr>
              <w:t>Dealer network and customer relationships</w:t>
            </w: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gridSpan w:val="2"/>
          </w:tcPr>
          <w:p>
            <w:pPr>
              <w:jc w:val="right"/>
              <w:ind w:right="60"/>
              <w:spacing w:after="0"/>
              <w:rPr>
                <w:sz w:val="20"/>
                <w:szCs w:val="20"/>
                <w:color w:val="auto"/>
              </w:rPr>
            </w:pPr>
            <w:r>
              <w:rPr>
                <w:rFonts w:ascii="Arial" w:cs="Arial" w:eastAsia="Arial" w:hAnsi="Arial"/>
                <w:sz w:val="18"/>
                <w:szCs w:val="18"/>
                <w:color w:val="auto"/>
              </w:rPr>
              <w:t>2,179</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8"/>
                <w:szCs w:val="18"/>
                <w:color w:val="auto"/>
              </w:rPr>
              <w:t>167</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2,012</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gridSpan w:val="2"/>
          </w:tcPr>
          <w:p>
            <w:pPr>
              <w:jc w:val="right"/>
              <w:ind w:right="80"/>
              <w:spacing w:after="0"/>
              <w:rPr>
                <w:sz w:val="20"/>
                <w:szCs w:val="20"/>
                <w:color w:val="auto"/>
              </w:rPr>
            </w:pPr>
            <w:r>
              <w:rPr>
                <w:rFonts w:ascii="Arial" w:cs="Arial" w:eastAsia="Arial" w:hAnsi="Arial"/>
                <w:sz w:val="18"/>
                <w:szCs w:val="18"/>
                <w:color w:val="auto"/>
              </w:rPr>
              <w:t>2,205</w:t>
            </w: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67</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2,138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20" w:type="dxa"/>
            <w:vAlign w:val="bottom"/>
            <w:shd w:val="clear" w:color="auto" w:fill="CCEEFF"/>
          </w:tcPr>
          <w:p>
            <w:pPr>
              <w:spacing w:after="0"/>
              <w:rPr>
                <w:sz w:val="20"/>
                <w:szCs w:val="20"/>
                <w:color w:val="auto"/>
              </w:rPr>
            </w:pPr>
            <w:r>
              <w:rPr>
                <w:rFonts w:ascii="Arial" w:cs="Arial" w:eastAsia="Arial" w:hAnsi="Arial"/>
                <w:sz w:val="18"/>
                <w:szCs w:val="18"/>
                <w:color w:val="auto"/>
              </w:rPr>
              <w:t>Favorable contracts</w:t>
            </w: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529</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100</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429</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542</w:t>
            </w:r>
          </w:p>
        </w:tc>
        <w:tc>
          <w:tcPr>
            <w:tcW w:w="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20" w:type="dxa"/>
            <w:vAlign w:val="bottom"/>
          </w:tcPr>
          <w:p>
            <w:pPr>
              <w:spacing w:after="0"/>
              <w:rPr>
                <w:sz w:val="20"/>
                <w:szCs w:val="20"/>
                <w:color w:val="auto"/>
              </w:rPr>
            </w:pPr>
            <w:r>
              <w:rPr>
                <w:rFonts w:ascii="Arial" w:cs="Arial" w:eastAsia="Arial" w:hAnsi="Arial"/>
                <w:sz w:val="18"/>
                <w:szCs w:val="18"/>
                <w:color w:val="auto"/>
              </w:rPr>
              <w:t>Other</w:t>
            </w: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19</w:t>
            </w: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7</w:t>
            </w: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12</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gridSpan w:val="2"/>
          </w:tcPr>
          <w:p>
            <w:pPr>
              <w:jc w:val="right"/>
              <w:ind w:right="80"/>
              <w:spacing w:after="0"/>
              <w:rPr>
                <w:sz w:val="20"/>
                <w:szCs w:val="20"/>
                <w:color w:val="auto"/>
              </w:rPr>
            </w:pPr>
            <w:r>
              <w:rPr>
                <w:rFonts w:ascii="Arial" w:cs="Arial" w:eastAsia="Arial" w:hAnsi="Arial"/>
                <w:sz w:val="18"/>
                <w:szCs w:val="18"/>
                <w:color w:val="auto"/>
              </w:rPr>
              <w:t>17</w:t>
            </w: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3</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14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8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22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820" w:type="dxa"/>
            <w:vAlign w:val="bottom"/>
            <w:shd w:val="clear" w:color="auto" w:fill="CCEEFF"/>
          </w:tcPr>
          <w:p>
            <w:pPr>
              <w:spacing w:after="0"/>
              <w:rPr>
                <w:sz w:val="20"/>
                <w:szCs w:val="20"/>
                <w:color w:val="auto"/>
              </w:rPr>
            </w:pPr>
            <w:r>
              <w:rPr>
                <w:rFonts w:ascii="Arial" w:cs="Arial" w:eastAsia="Arial" w:hAnsi="Arial"/>
                <w:sz w:val="18"/>
                <w:szCs w:val="18"/>
                <w:color w:val="auto"/>
              </w:rPr>
              <w:t>Total amortizing intangible assets</w:t>
            </w: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15,928</w:t>
            </w: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3,649</w:t>
            </w:r>
          </w:p>
        </w:tc>
        <w:tc>
          <w:tcPr>
            <w:tcW w:w="2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12,279</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83"/>
              </w:rPr>
              <w:t>16,013</w:t>
            </w:r>
          </w:p>
        </w:tc>
        <w:tc>
          <w:tcPr>
            <w:tcW w:w="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1,641</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14,372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20" w:type="dxa"/>
            <w:vAlign w:val="bottom"/>
          </w:tcPr>
          <w:p>
            <w:pPr>
              <w:spacing w:after="0"/>
              <w:rPr>
                <w:sz w:val="20"/>
                <w:szCs w:val="20"/>
                <w:color w:val="auto"/>
              </w:rPr>
            </w:pPr>
            <w:r>
              <w:rPr>
                <w:rFonts w:ascii="Arial" w:cs="Arial" w:eastAsia="Arial" w:hAnsi="Arial"/>
                <w:sz w:val="18"/>
                <w:szCs w:val="18"/>
                <w:color w:val="auto"/>
              </w:rPr>
              <w:t>Non amortizing in-process research and development</w:t>
            </w: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175</w:t>
            </w: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175</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gridSpan w:val="2"/>
          </w:tcPr>
          <w:p>
            <w:pPr>
              <w:jc w:val="right"/>
              <w:ind w:right="80"/>
              <w:spacing w:after="0"/>
              <w:rPr>
                <w:sz w:val="20"/>
                <w:szCs w:val="20"/>
                <w:color w:val="auto"/>
              </w:rPr>
            </w:pPr>
            <w:r>
              <w:rPr>
                <w:rFonts w:ascii="Arial" w:cs="Arial" w:eastAsia="Arial" w:hAnsi="Arial"/>
                <w:sz w:val="18"/>
                <w:szCs w:val="18"/>
                <w:color w:val="auto"/>
              </w:rPr>
              <w:t>175</w:t>
            </w: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175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8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22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820" w:type="dxa"/>
            <w:vAlign w:val="bottom"/>
            <w:shd w:val="clear" w:color="auto" w:fill="CCEEFF"/>
          </w:tcPr>
          <w:p>
            <w:pPr>
              <w:spacing w:after="0"/>
              <w:rPr>
                <w:sz w:val="20"/>
                <w:szCs w:val="20"/>
                <w:color w:val="auto"/>
              </w:rPr>
            </w:pPr>
            <w:r>
              <w:rPr>
                <w:rFonts w:ascii="Arial" w:cs="Arial" w:eastAsia="Arial" w:hAnsi="Arial"/>
                <w:sz w:val="18"/>
                <w:szCs w:val="18"/>
                <w:color w:val="auto"/>
              </w:rPr>
              <w:t>Total intangible assets</w:t>
            </w: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7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16,103</w:t>
            </w: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3,649</w:t>
            </w:r>
          </w:p>
        </w:tc>
        <w:tc>
          <w:tcPr>
            <w:tcW w:w="2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7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12,454</w:t>
            </w: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5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83"/>
              </w:rPr>
              <w:t>16,188</w:t>
            </w:r>
          </w:p>
        </w:tc>
        <w:tc>
          <w:tcPr>
            <w:tcW w:w="46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1,641</w:t>
            </w:r>
          </w:p>
        </w:tc>
        <w:tc>
          <w:tcPr>
            <w:tcW w:w="220" w:type="dxa"/>
            <w:vAlign w:val="bottom"/>
            <w:shd w:val="clear" w:color="auto" w:fill="CCEEFF"/>
          </w:tcPr>
          <w:p>
            <w:pPr>
              <w:spacing w:after="0"/>
              <w:rPr>
                <w:sz w:val="18"/>
                <w:szCs w:val="18"/>
                <w:color w:val="auto"/>
              </w:rPr>
            </w:pP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14,547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8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left="240"/>
        <w:spacing w:after="0"/>
        <w:rPr>
          <w:sz w:val="20"/>
          <w:szCs w:val="20"/>
          <w:color w:val="auto"/>
        </w:rPr>
      </w:pPr>
      <w:r>
        <w:rPr>
          <w:rFonts w:ascii="Arial" w:cs="Arial" w:eastAsia="Arial" w:hAnsi="Arial"/>
          <w:sz w:val="18"/>
          <w:szCs w:val="18"/>
          <w:color w:val="auto"/>
        </w:rPr>
        <w:t>The following table summarizes amortization expense related to Intangible assets, net (dollars in millions):</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78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center"/>
              <w:ind w:right="44"/>
              <w:spacing w:after="0"/>
              <w:rPr>
                <w:sz w:val="20"/>
                <w:szCs w:val="20"/>
                <w:color w:val="auto"/>
              </w:rPr>
            </w:pPr>
            <w:r>
              <w:rPr>
                <w:rFonts w:ascii="Arial" w:cs="Arial" w:eastAsia="Arial" w:hAnsi="Arial"/>
                <w:sz w:val="14"/>
                <w:szCs w:val="14"/>
                <w:b w:val="1"/>
                <w:bCs w:val="1"/>
                <w:color w:val="auto"/>
                <w:w w:val="79"/>
              </w:rPr>
              <w:t>Successor</w:t>
            </w:r>
          </w:p>
        </w:tc>
        <w:tc>
          <w:tcPr>
            <w:tcW w:w="58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spacing w:after="0"/>
              <w:rPr>
                <w:sz w:val="14"/>
                <w:szCs w:val="14"/>
                <w:color w:val="auto"/>
              </w:rPr>
            </w:pPr>
          </w:p>
        </w:tc>
        <w:tc>
          <w:tcPr>
            <w:tcW w:w="680" w:type="dxa"/>
            <w:vAlign w:val="bottom"/>
            <w:tcBorders>
              <w:right w:val="single" w:sz="8" w:color="auto"/>
            </w:tcBorders>
          </w:tcPr>
          <w:p>
            <w:pPr>
              <w:spacing w:after="0"/>
              <w:rPr>
                <w:sz w:val="14"/>
                <w:szCs w:val="14"/>
                <w:color w:val="auto"/>
              </w:rPr>
            </w:pPr>
          </w:p>
        </w:tc>
        <w:tc>
          <w:tcPr>
            <w:tcW w:w="5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w w:val="83"/>
              </w:rPr>
              <w:t>Predecessor</w:t>
            </w:r>
          </w:p>
        </w:tc>
        <w:tc>
          <w:tcPr>
            <w:tcW w:w="5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29"/>
        </w:trPr>
        <w:tc>
          <w:tcPr>
            <w:tcW w:w="37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680" w:type="dxa"/>
            <w:vAlign w:val="bottom"/>
            <w:tcBorders>
              <w:right w:val="single" w:sz="8" w:color="auto"/>
            </w:tcBorders>
          </w:tcPr>
          <w:p>
            <w:pPr>
              <w:spacing w:after="0"/>
              <w:rPr>
                <w:sz w:val="11"/>
                <w:szCs w:val="11"/>
                <w:color w:val="auto"/>
              </w:rPr>
            </w:pPr>
          </w:p>
        </w:tc>
        <w:tc>
          <w:tcPr>
            <w:tcW w:w="500" w:type="dxa"/>
            <w:vAlign w:val="bottom"/>
          </w:tcPr>
          <w:p>
            <w:pPr>
              <w:spacing w:after="0"/>
              <w:rPr>
                <w:sz w:val="11"/>
                <w:szCs w:val="11"/>
                <w:color w:val="auto"/>
              </w:rPr>
            </w:pPr>
          </w:p>
        </w:tc>
        <w:tc>
          <w:tcPr>
            <w:tcW w:w="500" w:type="dxa"/>
            <w:vAlign w:val="bottom"/>
            <w:gridSpan w:val="2"/>
          </w:tcPr>
          <w:p>
            <w:pPr>
              <w:jc w:val="center"/>
              <w:spacing w:after="0" w:line="129" w:lineRule="exact"/>
              <w:rPr>
                <w:sz w:val="20"/>
                <w:szCs w:val="20"/>
                <w:color w:val="auto"/>
              </w:rPr>
            </w:pPr>
            <w:r>
              <w:rPr>
                <w:rFonts w:ascii="Arial" w:cs="Arial" w:eastAsia="Arial" w:hAnsi="Arial"/>
                <w:sz w:val="14"/>
                <w:szCs w:val="14"/>
                <w:b w:val="1"/>
                <w:bCs w:val="1"/>
                <w:color w:val="auto"/>
                <w:w w:val="87"/>
              </w:rPr>
              <w:t>July 1,</w:t>
            </w:r>
          </w:p>
        </w:tc>
        <w:tc>
          <w:tcPr>
            <w:tcW w:w="600" w:type="dxa"/>
            <w:vAlign w:val="bottom"/>
          </w:tcPr>
          <w:p>
            <w:pPr>
              <w:spacing w:after="0"/>
              <w:rPr>
                <w:sz w:val="11"/>
                <w:szCs w:val="11"/>
                <w:color w:val="auto"/>
              </w:rPr>
            </w:pPr>
          </w:p>
        </w:tc>
        <w:tc>
          <w:tcPr>
            <w:tcW w:w="660" w:type="dxa"/>
            <w:vAlign w:val="bottom"/>
            <w:gridSpan w:val="2"/>
          </w:tcPr>
          <w:p>
            <w:pPr>
              <w:jc w:val="center"/>
              <w:spacing w:after="0" w:line="129" w:lineRule="exact"/>
              <w:rPr>
                <w:sz w:val="20"/>
                <w:szCs w:val="20"/>
                <w:color w:val="auto"/>
              </w:rPr>
            </w:pPr>
            <w:r>
              <w:rPr>
                <w:rFonts w:ascii="Arial" w:cs="Arial" w:eastAsia="Arial" w:hAnsi="Arial"/>
                <w:sz w:val="14"/>
                <w:szCs w:val="14"/>
                <w:b w:val="1"/>
                <w:bCs w:val="1"/>
                <w:color w:val="auto"/>
                <w:w w:val="86"/>
              </w:rPr>
              <w:t>January 1,</w:t>
            </w:r>
          </w:p>
        </w:tc>
        <w:tc>
          <w:tcPr>
            <w:tcW w:w="100" w:type="dxa"/>
            <w:vAlign w:val="bottom"/>
          </w:tcPr>
          <w:p>
            <w:pPr>
              <w:spacing w:after="0"/>
              <w:rPr>
                <w:sz w:val="11"/>
                <w:szCs w:val="11"/>
                <w:color w:val="auto"/>
              </w:rPr>
            </w:pPr>
          </w:p>
        </w:tc>
      </w:tr>
      <w:tr>
        <w:trPr>
          <w:trHeight w:val="149"/>
        </w:trPr>
        <w:tc>
          <w:tcPr>
            <w:tcW w:w="37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680" w:type="dxa"/>
            <w:vAlign w:val="bottom"/>
            <w:tcBorders>
              <w:right w:val="single" w:sz="8" w:color="auto"/>
            </w:tcBorders>
          </w:tcPr>
          <w:p>
            <w:pPr>
              <w:spacing w:after="0"/>
              <w:rPr>
                <w:sz w:val="12"/>
                <w:szCs w:val="12"/>
                <w:color w:val="auto"/>
              </w:rPr>
            </w:pP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tcPr>
          <w:p>
            <w:pPr>
              <w:jc w:val="center"/>
              <w:ind w:right="26"/>
              <w:spacing w:after="0" w:line="149" w:lineRule="exact"/>
              <w:rPr>
                <w:sz w:val="20"/>
                <w:szCs w:val="20"/>
                <w:color w:val="auto"/>
              </w:rPr>
            </w:pPr>
            <w:r>
              <w:rPr>
                <w:rFonts w:ascii="Arial" w:cs="Arial" w:eastAsia="Arial" w:hAnsi="Arial"/>
                <w:sz w:val="14"/>
                <w:szCs w:val="14"/>
                <w:b w:val="1"/>
                <w:bCs w:val="1"/>
                <w:color w:val="auto"/>
                <w:w w:val="83"/>
              </w:rPr>
              <w:t>2009</w:t>
            </w:r>
          </w:p>
        </w:tc>
        <w:tc>
          <w:tcPr>
            <w:tcW w:w="6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20" w:type="dxa"/>
            <w:vAlign w:val="bottom"/>
          </w:tcPr>
          <w:p>
            <w:pPr>
              <w:jc w:val="center"/>
              <w:ind w:right="67"/>
              <w:spacing w:after="0" w:line="149" w:lineRule="exact"/>
              <w:rPr>
                <w:sz w:val="20"/>
                <w:szCs w:val="20"/>
                <w:color w:val="auto"/>
              </w:rPr>
            </w:pPr>
            <w:r>
              <w:rPr>
                <w:rFonts w:ascii="Arial" w:cs="Arial" w:eastAsia="Arial" w:hAnsi="Arial"/>
                <w:sz w:val="14"/>
                <w:szCs w:val="14"/>
                <w:b w:val="1"/>
                <w:bCs w:val="1"/>
                <w:color w:val="auto"/>
                <w:w w:val="83"/>
              </w:rPr>
              <w:t>2009</w:t>
            </w:r>
          </w:p>
        </w:tc>
        <w:tc>
          <w:tcPr>
            <w:tcW w:w="100" w:type="dxa"/>
            <w:vAlign w:val="bottom"/>
          </w:tcPr>
          <w:p>
            <w:pPr>
              <w:spacing w:after="0"/>
              <w:rPr>
                <w:sz w:val="12"/>
                <w:szCs w:val="12"/>
                <w:color w:val="auto"/>
              </w:rPr>
            </w:pPr>
          </w:p>
        </w:tc>
      </w:tr>
      <w:tr>
        <w:trPr>
          <w:trHeight w:val="149"/>
        </w:trPr>
        <w:tc>
          <w:tcPr>
            <w:tcW w:w="37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00" w:type="dxa"/>
            <w:vAlign w:val="bottom"/>
            <w:gridSpan w:val="2"/>
          </w:tcPr>
          <w:p>
            <w:pPr>
              <w:jc w:val="center"/>
              <w:ind w:right="740"/>
              <w:spacing w:after="0" w:line="149" w:lineRule="exact"/>
              <w:rPr>
                <w:sz w:val="20"/>
                <w:szCs w:val="20"/>
                <w:color w:val="auto"/>
              </w:rPr>
            </w:pPr>
            <w:r>
              <w:rPr>
                <w:rFonts w:ascii="Arial" w:cs="Arial" w:eastAsia="Arial" w:hAnsi="Arial"/>
                <w:sz w:val="14"/>
                <w:szCs w:val="14"/>
                <w:b w:val="1"/>
                <w:bCs w:val="1"/>
                <w:color w:val="auto"/>
                <w:w w:val="89"/>
              </w:rPr>
              <w:t>Three Months</w:t>
            </w:r>
          </w:p>
        </w:tc>
        <w:tc>
          <w:tcPr>
            <w:tcW w:w="100" w:type="dxa"/>
            <w:vAlign w:val="bottom"/>
          </w:tcPr>
          <w:p>
            <w:pPr>
              <w:spacing w:after="0"/>
              <w:rPr>
                <w:sz w:val="12"/>
                <w:szCs w:val="12"/>
                <w:color w:val="auto"/>
              </w:rPr>
            </w:pPr>
          </w:p>
        </w:tc>
        <w:tc>
          <w:tcPr>
            <w:tcW w:w="1040" w:type="dxa"/>
            <w:vAlign w:val="bottom"/>
          </w:tcPr>
          <w:p>
            <w:pPr>
              <w:jc w:val="center"/>
              <w:ind w:right="24"/>
              <w:spacing w:after="0" w:line="149" w:lineRule="exact"/>
              <w:rPr>
                <w:sz w:val="20"/>
                <w:szCs w:val="20"/>
                <w:color w:val="auto"/>
              </w:rPr>
            </w:pPr>
            <w:r>
              <w:rPr>
                <w:rFonts w:ascii="Arial" w:cs="Arial" w:eastAsia="Arial" w:hAnsi="Arial"/>
                <w:sz w:val="14"/>
                <w:szCs w:val="14"/>
                <w:b w:val="1"/>
                <w:bCs w:val="1"/>
                <w:color w:val="auto"/>
                <w:w w:val="88"/>
              </w:rPr>
              <w:t>Nine Months</w:t>
            </w:r>
          </w:p>
        </w:tc>
        <w:tc>
          <w:tcPr>
            <w:tcW w:w="5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0" w:type="dxa"/>
            <w:vAlign w:val="bottom"/>
          </w:tcPr>
          <w:p>
            <w:pPr>
              <w:jc w:val="center"/>
              <w:ind w:right="46"/>
              <w:spacing w:after="0" w:line="149" w:lineRule="exact"/>
              <w:rPr>
                <w:sz w:val="20"/>
                <w:szCs w:val="20"/>
                <w:color w:val="auto"/>
              </w:rPr>
            </w:pPr>
            <w:r>
              <w:rPr>
                <w:rFonts w:ascii="Arial" w:cs="Arial" w:eastAsia="Arial" w:hAnsi="Arial"/>
                <w:sz w:val="14"/>
                <w:szCs w:val="14"/>
                <w:b w:val="1"/>
                <w:bCs w:val="1"/>
                <w:color w:val="auto"/>
                <w:w w:val="87"/>
              </w:rPr>
              <w:t>July 10, 2009</w:t>
            </w:r>
          </w:p>
        </w:tc>
        <w:tc>
          <w:tcPr>
            <w:tcW w:w="680" w:type="dxa"/>
            <w:vAlign w:val="bottom"/>
            <w:tcBorders>
              <w:right w:val="single" w:sz="8" w:color="auto"/>
            </w:tcBorders>
          </w:tcPr>
          <w:p>
            <w:pPr>
              <w:spacing w:after="0"/>
              <w:rPr>
                <w:sz w:val="12"/>
                <w:szCs w:val="12"/>
                <w:color w:val="auto"/>
              </w:rPr>
            </w:pPr>
          </w:p>
        </w:tc>
        <w:tc>
          <w:tcPr>
            <w:tcW w:w="500" w:type="dxa"/>
            <w:vAlign w:val="bottom"/>
          </w:tcPr>
          <w:p>
            <w:pPr>
              <w:spacing w:after="0"/>
              <w:rPr>
                <w:sz w:val="12"/>
                <w:szCs w:val="12"/>
                <w:color w:val="auto"/>
              </w:rPr>
            </w:pPr>
          </w:p>
        </w:tc>
        <w:tc>
          <w:tcPr>
            <w:tcW w:w="50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7"/>
              </w:rPr>
              <w:t>Through</w:t>
            </w:r>
          </w:p>
        </w:tc>
        <w:tc>
          <w:tcPr>
            <w:tcW w:w="600" w:type="dxa"/>
            <w:vAlign w:val="bottom"/>
          </w:tcPr>
          <w:p>
            <w:pPr>
              <w:spacing w:after="0"/>
              <w:rPr>
                <w:sz w:val="12"/>
                <w:szCs w:val="12"/>
                <w:color w:val="auto"/>
              </w:rPr>
            </w:pPr>
          </w:p>
        </w:tc>
        <w:tc>
          <w:tcPr>
            <w:tcW w:w="760" w:type="dxa"/>
            <w:vAlign w:val="bottom"/>
            <w:gridSpan w:val="3"/>
          </w:tcPr>
          <w:p>
            <w:pPr>
              <w:jc w:val="center"/>
              <w:ind w:right="100"/>
              <w:spacing w:after="0" w:line="149" w:lineRule="exact"/>
              <w:rPr>
                <w:sz w:val="20"/>
                <w:szCs w:val="20"/>
                <w:color w:val="auto"/>
              </w:rPr>
            </w:pPr>
            <w:r>
              <w:rPr>
                <w:rFonts w:ascii="Arial" w:cs="Arial" w:eastAsia="Arial" w:hAnsi="Arial"/>
                <w:sz w:val="14"/>
                <w:szCs w:val="14"/>
                <w:b w:val="1"/>
                <w:bCs w:val="1"/>
                <w:color w:val="auto"/>
                <w:w w:val="87"/>
              </w:rPr>
              <w:t>Through</w:t>
            </w:r>
          </w:p>
        </w:tc>
      </w:tr>
      <w:tr>
        <w:trPr>
          <w:trHeight w:val="149"/>
        </w:trPr>
        <w:tc>
          <w:tcPr>
            <w:tcW w:w="37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00" w:type="dxa"/>
            <w:vAlign w:val="bottom"/>
            <w:gridSpan w:val="2"/>
          </w:tcPr>
          <w:p>
            <w:pPr>
              <w:jc w:val="center"/>
              <w:ind w:right="740"/>
              <w:spacing w:after="0" w:line="149" w:lineRule="exact"/>
              <w:rPr>
                <w:sz w:val="20"/>
                <w:szCs w:val="20"/>
                <w:color w:val="auto"/>
              </w:rPr>
            </w:pPr>
            <w:r>
              <w:rPr>
                <w:rFonts w:ascii="Arial" w:cs="Arial" w:eastAsia="Arial" w:hAnsi="Arial"/>
                <w:sz w:val="14"/>
                <w:szCs w:val="14"/>
                <w:b w:val="1"/>
                <w:bCs w:val="1"/>
                <w:color w:val="auto"/>
                <w:w w:val="88"/>
              </w:rPr>
              <w:t>Ended</w:t>
            </w:r>
          </w:p>
        </w:tc>
        <w:tc>
          <w:tcPr>
            <w:tcW w:w="100" w:type="dxa"/>
            <w:vAlign w:val="bottom"/>
          </w:tcPr>
          <w:p>
            <w:pPr>
              <w:spacing w:after="0"/>
              <w:rPr>
                <w:sz w:val="12"/>
                <w:szCs w:val="12"/>
                <w:color w:val="auto"/>
              </w:rPr>
            </w:pPr>
          </w:p>
        </w:tc>
        <w:tc>
          <w:tcPr>
            <w:tcW w:w="1040" w:type="dxa"/>
            <w:vAlign w:val="bottom"/>
          </w:tcPr>
          <w:p>
            <w:pPr>
              <w:jc w:val="center"/>
              <w:ind w:right="24"/>
              <w:spacing w:after="0" w:line="149" w:lineRule="exact"/>
              <w:rPr>
                <w:sz w:val="20"/>
                <w:szCs w:val="20"/>
                <w:color w:val="auto"/>
              </w:rPr>
            </w:pPr>
            <w:r>
              <w:rPr>
                <w:rFonts w:ascii="Arial" w:cs="Arial" w:eastAsia="Arial" w:hAnsi="Arial"/>
                <w:sz w:val="14"/>
                <w:szCs w:val="14"/>
                <w:b w:val="1"/>
                <w:bCs w:val="1"/>
                <w:color w:val="auto"/>
                <w:w w:val="88"/>
              </w:rPr>
              <w:t>Ended</w:t>
            </w:r>
          </w:p>
        </w:tc>
        <w:tc>
          <w:tcPr>
            <w:tcW w:w="5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0" w:type="dxa"/>
            <w:vAlign w:val="bottom"/>
          </w:tcPr>
          <w:p>
            <w:pPr>
              <w:jc w:val="center"/>
              <w:ind w:right="66"/>
              <w:spacing w:after="0" w:line="149" w:lineRule="exact"/>
              <w:rPr>
                <w:sz w:val="20"/>
                <w:szCs w:val="20"/>
                <w:color w:val="auto"/>
              </w:rPr>
            </w:pPr>
            <w:r>
              <w:rPr>
                <w:rFonts w:ascii="Arial" w:cs="Arial" w:eastAsia="Arial" w:hAnsi="Arial"/>
                <w:sz w:val="14"/>
                <w:szCs w:val="14"/>
                <w:b w:val="1"/>
                <w:bCs w:val="1"/>
                <w:color w:val="auto"/>
                <w:w w:val="87"/>
              </w:rPr>
              <w:t>Through</w:t>
            </w:r>
          </w:p>
        </w:tc>
        <w:tc>
          <w:tcPr>
            <w:tcW w:w="680" w:type="dxa"/>
            <w:vAlign w:val="bottom"/>
            <w:tcBorders>
              <w:right w:val="single" w:sz="8" w:color="auto"/>
            </w:tcBorders>
          </w:tcPr>
          <w:p>
            <w:pPr>
              <w:spacing w:after="0"/>
              <w:rPr>
                <w:sz w:val="12"/>
                <w:szCs w:val="12"/>
                <w:color w:val="auto"/>
              </w:rPr>
            </w:pPr>
          </w:p>
        </w:tc>
        <w:tc>
          <w:tcPr>
            <w:tcW w:w="500" w:type="dxa"/>
            <w:vAlign w:val="bottom"/>
          </w:tcPr>
          <w:p>
            <w:pPr>
              <w:spacing w:after="0"/>
              <w:rPr>
                <w:sz w:val="12"/>
                <w:szCs w:val="12"/>
                <w:color w:val="auto"/>
              </w:rPr>
            </w:pPr>
          </w:p>
        </w:tc>
        <w:tc>
          <w:tcPr>
            <w:tcW w:w="50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7"/>
              </w:rPr>
              <w:t>July 9,</w:t>
            </w:r>
          </w:p>
        </w:tc>
        <w:tc>
          <w:tcPr>
            <w:tcW w:w="6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87"/>
              </w:rPr>
              <w:t>July 9,</w:t>
            </w:r>
          </w:p>
        </w:tc>
      </w:tr>
      <w:tr>
        <w:trPr>
          <w:trHeight w:val="161"/>
        </w:trPr>
        <w:tc>
          <w:tcPr>
            <w:tcW w:w="3780" w:type="dxa"/>
            <w:vAlign w:val="bottom"/>
          </w:tcPr>
          <w:p>
            <w:pPr>
              <w:spacing w:after="0"/>
              <w:rPr>
                <w:sz w:val="14"/>
                <w:szCs w:val="14"/>
                <w:color w:val="auto"/>
              </w:rPr>
            </w:pPr>
          </w:p>
        </w:tc>
        <w:tc>
          <w:tcPr>
            <w:tcW w:w="1740" w:type="dxa"/>
            <w:vAlign w:val="bottom"/>
            <w:gridSpan w:val="3"/>
          </w:tcPr>
          <w:p>
            <w:pPr>
              <w:jc w:val="center"/>
              <w:ind w:right="580"/>
              <w:spacing w:after="0"/>
              <w:rPr>
                <w:sz w:val="20"/>
                <w:szCs w:val="20"/>
                <w:color w:val="auto"/>
              </w:rPr>
            </w:pPr>
            <w:r>
              <w:rPr>
                <w:rFonts w:ascii="Arial" w:cs="Arial" w:eastAsia="Arial" w:hAnsi="Arial"/>
                <w:sz w:val="14"/>
                <w:szCs w:val="14"/>
                <w:b w:val="1"/>
                <w:bCs w:val="1"/>
                <w:color w:val="auto"/>
                <w:w w:val="85"/>
              </w:rPr>
              <w:t>September 30, 2010</w:t>
            </w:r>
          </w:p>
        </w:tc>
        <w:tc>
          <w:tcPr>
            <w:tcW w:w="1140" w:type="dxa"/>
            <w:vAlign w:val="bottom"/>
            <w:gridSpan w:val="2"/>
          </w:tcPr>
          <w:p>
            <w:pPr>
              <w:jc w:val="center"/>
              <w:spacing w:after="0"/>
              <w:rPr>
                <w:sz w:val="20"/>
                <w:szCs w:val="20"/>
                <w:color w:val="auto"/>
              </w:rPr>
            </w:pPr>
            <w:r>
              <w:rPr>
                <w:rFonts w:ascii="Arial" w:cs="Arial" w:eastAsia="Arial" w:hAnsi="Arial"/>
                <w:sz w:val="14"/>
                <w:szCs w:val="14"/>
                <w:b w:val="1"/>
                <w:bCs w:val="1"/>
                <w:color w:val="auto"/>
                <w:w w:val="85"/>
              </w:rPr>
              <w:t>September 30, 2010</w:t>
            </w:r>
          </w:p>
        </w:tc>
        <w:tc>
          <w:tcPr>
            <w:tcW w:w="580" w:type="dxa"/>
            <w:vAlign w:val="bottom"/>
          </w:tcPr>
          <w:p>
            <w:pPr>
              <w:spacing w:after="0"/>
              <w:rPr>
                <w:sz w:val="14"/>
                <w:szCs w:val="14"/>
                <w:color w:val="auto"/>
              </w:rPr>
            </w:pPr>
          </w:p>
        </w:tc>
        <w:tc>
          <w:tcPr>
            <w:tcW w:w="1140" w:type="dxa"/>
            <w:vAlign w:val="bottom"/>
            <w:gridSpan w:val="2"/>
          </w:tcPr>
          <w:p>
            <w:pPr>
              <w:jc w:val="center"/>
              <w:spacing w:after="0"/>
              <w:rPr>
                <w:sz w:val="20"/>
                <w:szCs w:val="20"/>
                <w:color w:val="auto"/>
              </w:rPr>
            </w:pPr>
            <w:r>
              <w:rPr>
                <w:rFonts w:ascii="Arial" w:cs="Arial" w:eastAsia="Arial" w:hAnsi="Arial"/>
                <w:sz w:val="14"/>
                <w:szCs w:val="14"/>
                <w:b w:val="1"/>
                <w:bCs w:val="1"/>
                <w:color w:val="auto"/>
                <w:w w:val="85"/>
              </w:rPr>
              <w:t>September 30, 2009</w:t>
            </w:r>
          </w:p>
        </w:tc>
        <w:tc>
          <w:tcPr>
            <w:tcW w:w="680" w:type="dxa"/>
            <w:vAlign w:val="bottom"/>
            <w:tcBorders>
              <w:right w:val="single" w:sz="8" w:color="auto"/>
            </w:tcBorders>
          </w:tcPr>
          <w:p>
            <w:pPr>
              <w:spacing w:after="0"/>
              <w:rPr>
                <w:sz w:val="14"/>
                <w:szCs w:val="14"/>
                <w:color w:val="auto"/>
              </w:rPr>
            </w:pPr>
          </w:p>
        </w:tc>
        <w:tc>
          <w:tcPr>
            <w:tcW w:w="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0" w:type="dxa"/>
            <w:vAlign w:val="bottom"/>
          </w:tcPr>
          <w:p>
            <w:pPr>
              <w:jc w:val="center"/>
              <w:ind w:right="26"/>
              <w:spacing w:after="0"/>
              <w:rPr>
                <w:sz w:val="20"/>
                <w:szCs w:val="20"/>
                <w:color w:val="auto"/>
              </w:rPr>
            </w:pPr>
            <w:r>
              <w:rPr>
                <w:rFonts w:ascii="Arial" w:cs="Arial" w:eastAsia="Arial" w:hAnsi="Arial"/>
                <w:sz w:val="14"/>
                <w:szCs w:val="14"/>
                <w:b w:val="1"/>
                <w:bCs w:val="1"/>
                <w:color w:val="auto"/>
                <w:w w:val="83"/>
              </w:rPr>
              <w:t>2009</w:t>
            </w:r>
          </w:p>
        </w:tc>
        <w:tc>
          <w:tcPr>
            <w:tcW w:w="6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20" w:type="dxa"/>
            <w:vAlign w:val="bottom"/>
          </w:tcPr>
          <w:p>
            <w:pPr>
              <w:jc w:val="center"/>
              <w:ind w:right="67"/>
              <w:spacing w:after="0"/>
              <w:rPr>
                <w:sz w:val="20"/>
                <w:szCs w:val="20"/>
                <w:color w:val="auto"/>
              </w:rPr>
            </w:pPr>
            <w:r>
              <w:rPr>
                <w:rFonts w:ascii="Arial" w:cs="Arial" w:eastAsia="Arial" w:hAnsi="Arial"/>
                <w:sz w:val="14"/>
                <w:szCs w:val="14"/>
                <w:b w:val="1"/>
                <w:bCs w:val="1"/>
                <w:color w:val="auto"/>
                <w:w w:val="83"/>
              </w:rPr>
              <w:t>2009</w:t>
            </w:r>
          </w:p>
        </w:tc>
        <w:tc>
          <w:tcPr>
            <w:tcW w:w="100" w:type="dxa"/>
            <w:vAlign w:val="bottom"/>
          </w:tcPr>
          <w:p>
            <w:pPr>
              <w:spacing w:after="0"/>
              <w:rPr>
                <w:sz w:val="14"/>
                <w:szCs w:val="14"/>
                <w:color w:val="auto"/>
              </w:rPr>
            </w:pPr>
          </w:p>
        </w:tc>
      </w:tr>
      <w:tr>
        <w:trPr>
          <w:trHeight w:val="201"/>
        </w:trPr>
        <w:tc>
          <w:tcPr>
            <w:tcW w:w="37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Amortization expense related to intangible</w:t>
            </w:r>
          </w:p>
        </w:tc>
        <w:tc>
          <w:tcPr>
            <w:tcW w:w="140" w:type="dxa"/>
            <w:vAlign w:val="bottom"/>
            <w:tcBorders>
              <w:top w:val="single" w:sz="8" w:color="auto"/>
            </w:tcBorders>
            <w:shd w:val="clear" w:color="auto" w:fill="CCEEFF"/>
          </w:tcPr>
          <w:p>
            <w:pPr>
              <w:spacing w:after="0"/>
              <w:rPr>
                <w:sz w:val="17"/>
                <w:szCs w:val="17"/>
                <w:color w:val="auto"/>
              </w:rPr>
            </w:pPr>
          </w:p>
        </w:tc>
        <w:tc>
          <w:tcPr>
            <w:tcW w:w="1000" w:type="dxa"/>
            <w:vAlign w:val="bottom"/>
            <w:tcBorders>
              <w:top w:val="single" w:sz="8" w:color="auto"/>
            </w:tcBorders>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1040" w:type="dxa"/>
            <w:vAlign w:val="bottom"/>
            <w:tcBorders>
              <w:top w:val="single" w:sz="8" w:color="auto"/>
            </w:tcBorders>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1000" w:type="dxa"/>
            <w:vAlign w:val="bottom"/>
            <w:tcBorders>
              <w:top w:val="single" w:sz="8" w:color="auto"/>
            </w:tcBorders>
            <w:shd w:val="clear" w:color="auto" w:fill="CCEEFF"/>
          </w:tcPr>
          <w:p>
            <w:pPr>
              <w:spacing w:after="0"/>
              <w:rPr>
                <w:sz w:val="17"/>
                <w:szCs w:val="17"/>
                <w:color w:val="auto"/>
              </w:rPr>
            </w:pPr>
          </w:p>
        </w:tc>
        <w:tc>
          <w:tcPr>
            <w:tcW w:w="680" w:type="dxa"/>
            <w:vAlign w:val="bottom"/>
            <w:tcBorders>
              <w:right w:val="single" w:sz="8" w:color="auto"/>
            </w:tcBorders>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400" w:type="dxa"/>
            <w:vAlign w:val="bottom"/>
            <w:tcBorders>
              <w:top w:val="single" w:sz="8" w:color="auto"/>
            </w:tcBorders>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520" w:type="dxa"/>
            <w:vAlign w:val="bottom"/>
            <w:tcBorders>
              <w:top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24"/>
        </w:trPr>
        <w:tc>
          <w:tcPr>
            <w:tcW w:w="37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assets</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60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604</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2,007</w:t>
            </w: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775</w:t>
            </w:r>
          </w:p>
        </w:tc>
        <w:tc>
          <w:tcPr>
            <w:tcW w:w="680" w:type="dxa"/>
            <w:vAlign w:val="bottom"/>
            <w:tcBorders>
              <w:right w:val="single" w:sz="8" w:color="auto"/>
            </w:tcBorders>
            <w:shd w:val="clear" w:color="auto" w:fill="CCEEFF"/>
          </w:tcPr>
          <w:p>
            <w:pPr>
              <w:spacing w:after="0"/>
              <w:rPr>
                <w:sz w:val="19"/>
                <w:szCs w:val="19"/>
                <w:color w:val="auto"/>
              </w:rPr>
            </w:pP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w:t>
            </w:r>
          </w:p>
        </w:tc>
        <w:tc>
          <w:tcPr>
            <w:tcW w:w="100" w:type="dxa"/>
            <w:vAlign w:val="bottom"/>
            <w:shd w:val="clear" w:color="auto" w:fill="CCEEFF"/>
          </w:tcPr>
          <w:p>
            <w:pPr>
              <w:spacing w:after="0"/>
              <w:rPr>
                <w:sz w:val="19"/>
                <w:szCs w:val="19"/>
                <w:color w:val="auto"/>
              </w:rPr>
            </w:pPr>
          </w:p>
        </w:tc>
      </w:tr>
      <w:tr>
        <w:trPr>
          <w:trHeight w:val="363"/>
        </w:trPr>
        <w:tc>
          <w:tcPr>
            <w:tcW w:w="37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tcPr>
          <w:p>
            <w:pPr>
              <w:jc w:val="right"/>
              <w:ind w:right="784"/>
              <w:spacing w:after="0"/>
              <w:rPr>
                <w:sz w:val="20"/>
                <w:szCs w:val="20"/>
                <w:color w:val="auto"/>
              </w:rPr>
            </w:pPr>
            <w:r>
              <w:rPr>
                <w:rFonts w:ascii="Arial" w:cs="Arial" w:eastAsia="Arial" w:hAnsi="Arial"/>
                <w:sz w:val="18"/>
                <w:szCs w:val="18"/>
                <w:color w:val="auto"/>
                <w:w w:val="79"/>
              </w:rPr>
              <w:t>21</w:t>
            </w:r>
          </w:p>
        </w:tc>
        <w:tc>
          <w:tcPr>
            <w:tcW w:w="5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r>
    </w:tbl>
    <w:p>
      <w:pPr>
        <w:sectPr>
          <w:pgSz w:w="11900" w:h="16838" w:orient="portrait"/>
          <w:cols w:equalWidth="0" w:num="1">
            <w:col w:w="11420"/>
          </w:cols>
          <w:pgMar w:left="240" w:top="459" w:right="23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339" w:lineRule="exact"/>
        <w:rPr>
          <w:sz w:val="20"/>
          <w:szCs w:val="20"/>
          <w:color w:val="auto"/>
        </w:rPr>
      </w:pPr>
    </w:p>
    <w:p>
      <w:pPr>
        <w:ind w:left="240"/>
        <w:spacing w:after="0"/>
        <w:rPr>
          <w:sz w:val="20"/>
          <w:szCs w:val="20"/>
          <w:color w:val="auto"/>
        </w:rPr>
      </w:pPr>
      <w:r>
        <w:rPr>
          <w:rFonts w:ascii="Arial" w:cs="Arial" w:eastAsia="Arial" w:hAnsi="Arial"/>
          <w:sz w:val="16"/>
          <w:szCs w:val="16"/>
          <w:color w:val="auto"/>
        </w:rPr>
        <w:t>The following table summarizes estimated amortization expense related to Intangible assets, net in each of the next five fiscal years (dollars in millions):</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0540" w:type="dxa"/>
            <w:vAlign w:val="bottom"/>
          </w:tcPr>
          <w:p>
            <w:pPr>
              <w:spacing w:after="0"/>
              <w:rPr>
                <w:sz w:val="14"/>
                <w:szCs w:val="14"/>
                <w:color w:val="auto"/>
              </w:rPr>
            </w:pPr>
          </w:p>
        </w:tc>
        <w:tc>
          <w:tcPr>
            <w:tcW w:w="880" w:type="dxa"/>
            <w:vAlign w:val="bottom"/>
            <w:gridSpan w:val="3"/>
          </w:tcPr>
          <w:p>
            <w:pPr>
              <w:jc w:val="center"/>
              <w:ind w:right="140"/>
              <w:spacing w:after="0"/>
              <w:rPr>
                <w:sz w:val="20"/>
                <w:szCs w:val="20"/>
                <w:color w:val="auto"/>
              </w:rPr>
            </w:pPr>
            <w:r>
              <w:rPr>
                <w:rFonts w:ascii="Arial" w:cs="Arial" w:eastAsia="Arial" w:hAnsi="Arial"/>
                <w:sz w:val="14"/>
                <w:szCs w:val="14"/>
                <w:b w:val="1"/>
                <w:bCs w:val="1"/>
                <w:color w:val="auto"/>
                <w:w w:val="86"/>
              </w:rPr>
              <w:t>Estimated</w:t>
            </w:r>
          </w:p>
        </w:tc>
      </w:tr>
      <w:tr>
        <w:trPr>
          <w:trHeight w:val="149"/>
        </w:trPr>
        <w:tc>
          <w:tcPr>
            <w:tcW w:w="10540" w:type="dxa"/>
            <w:vAlign w:val="bottom"/>
          </w:tcPr>
          <w:p>
            <w:pPr>
              <w:spacing w:after="0"/>
              <w:rPr>
                <w:sz w:val="12"/>
                <w:szCs w:val="12"/>
                <w:color w:val="auto"/>
              </w:rPr>
            </w:pPr>
          </w:p>
        </w:tc>
        <w:tc>
          <w:tcPr>
            <w:tcW w:w="88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Amortization</w:t>
            </w:r>
          </w:p>
        </w:tc>
      </w:tr>
      <w:tr>
        <w:trPr>
          <w:trHeight w:val="161"/>
        </w:trPr>
        <w:tc>
          <w:tcPr>
            <w:tcW w:w="105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83"/>
              </w:rPr>
              <w:t>Expense</w:t>
            </w:r>
          </w:p>
        </w:tc>
      </w:tr>
      <w:tr>
        <w:trPr>
          <w:trHeight w:val="210"/>
        </w:trPr>
        <w:tc>
          <w:tcPr>
            <w:tcW w:w="10540" w:type="dxa"/>
            <w:vAlign w:val="bottom"/>
            <w:shd w:val="clear" w:color="auto" w:fill="CCEEFF"/>
          </w:tcPr>
          <w:p>
            <w:pPr>
              <w:jc w:val="right"/>
              <w:ind w:right="10092"/>
              <w:spacing w:after="0"/>
              <w:rPr>
                <w:sz w:val="20"/>
                <w:szCs w:val="20"/>
                <w:color w:val="auto"/>
              </w:rPr>
            </w:pPr>
            <w:r>
              <w:rPr>
                <w:rFonts w:ascii="Arial" w:cs="Arial" w:eastAsia="Arial" w:hAnsi="Arial"/>
                <w:sz w:val="18"/>
                <w:szCs w:val="18"/>
                <w:color w:val="auto"/>
                <w:w w:val="84"/>
              </w:rPr>
              <w:t>2011</w:t>
            </w:r>
          </w:p>
        </w:tc>
        <w:tc>
          <w:tcPr>
            <w:tcW w:w="1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1,785</w:t>
            </w:r>
          </w:p>
        </w:tc>
        <w:tc>
          <w:tcPr>
            <w:tcW w:w="100" w:type="dxa"/>
            <w:vAlign w:val="bottom"/>
            <w:shd w:val="clear" w:color="auto" w:fill="CCEEFF"/>
          </w:tcPr>
          <w:p>
            <w:pPr>
              <w:spacing w:after="0"/>
              <w:rPr>
                <w:sz w:val="18"/>
                <w:szCs w:val="18"/>
                <w:color w:val="auto"/>
              </w:rPr>
            </w:pPr>
          </w:p>
        </w:tc>
      </w:tr>
      <w:tr>
        <w:trPr>
          <w:trHeight w:val="216"/>
        </w:trPr>
        <w:tc>
          <w:tcPr>
            <w:tcW w:w="10540" w:type="dxa"/>
            <w:vAlign w:val="bottom"/>
          </w:tcPr>
          <w:p>
            <w:pPr>
              <w:jc w:val="right"/>
              <w:ind w:right="10092"/>
              <w:spacing w:after="0"/>
              <w:rPr>
                <w:sz w:val="20"/>
                <w:szCs w:val="20"/>
                <w:color w:val="auto"/>
              </w:rPr>
            </w:pPr>
            <w:r>
              <w:rPr>
                <w:rFonts w:ascii="Arial" w:cs="Arial" w:eastAsia="Arial" w:hAnsi="Arial"/>
                <w:sz w:val="18"/>
                <w:szCs w:val="18"/>
                <w:color w:val="auto"/>
                <w:w w:val="84"/>
              </w:rPr>
              <w:t>2012</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1,560</w:t>
            </w:r>
          </w:p>
        </w:tc>
        <w:tc>
          <w:tcPr>
            <w:tcW w:w="100" w:type="dxa"/>
            <w:vAlign w:val="bottom"/>
          </w:tcPr>
          <w:p>
            <w:pPr>
              <w:spacing w:after="0"/>
              <w:rPr>
                <w:sz w:val="18"/>
                <w:szCs w:val="18"/>
                <w:color w:val="auto"/>
              </w:rPr>
            </w:pPr>
          </w:p>
        </w:tc>
      </w:tr>
      <w:tr>
        <w:trPr>
          <w:trHeight w:val="216"/>
        </w:trPr>
        <w:tc>
          <w:tcPr>
            <w:tcW w:w="10540" w:type="dxa"/>
            <w:vAlign w:val="bottom"/>
            <w:shd w:val="clear" w:color="auto" w:fill="CCEEFF"/>
          </w:tcPr>
          <w:p>
            <w:pPr>
              <w:jc w:val="right"/>
              <w:ind w:right="10092"/>
              <w:spacing w:after="0"/>
              <w:rPr>
                <w:sz w:val="20"/>
                <w:szCs w:val="20"/>
                <w:color w:val="auto"/>
              </w:rPr>
            </w:pPr>
            <w:r>
              <w:rPr>
                <w:rFonts w:ascii="Arial" w:cs="Arial" w:eastAsia="Arial" w:hAnsi="Arial"/>
                <w:sz w:val="18"/>
                <w:szCs w:val="18"/>
                <w:color w:val="auto"/>
                <w:w w:val="84"/>
              </w:rPr>
              <w:t>2013</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1,227</w:t>
            </w:r>
          </w:p>
        </w:tc>
        <w:tc>
          <w:tcPr>
            <w:tcW w:w="100" w:type="dxa"/>
            <w:vAlign w:val="bottom"/>
            <w:shd w:val="clear" w:color="auto" w:fill="CCEEFF"/>
          </w:tcPr>
          <w:p>
            <w:pPr>
              <w:spacing w:after="0"/>
              <w:rPr>
                <w:sz w:val="18"/>
                <w:szCs w:val="18"/>
                <w:color w:val="auto"/>
              </w:rPr>
            </w:pPr>
          </w:p>
        </w:tc>
      </w:tr>
      <w:tr>
        <w:trPr>
          <w:trHeight w:val="216"/>
        </w:trPr>
        <w:tc>
          <w:tcPr>
            <w:tcW w:w="10540" w:type="dxa"/>
            <w:vAlign w:val="bottom"/>
          </w:tcPr>
          <w:p>
            <w:pPr>
              <w:jc w:val="right"/>
              <w:ind w:right="10092"/>
              <w:spacing w:after="0"/>
              <w:rPr>
                <w:sz w:val="20"/>
                <w:szCs w:val="20"/>
                <w:color w:val="auto"/>
              </w:rPr>
            </w:pPr>
            <w:r>
              <w:rPr>
                <w:rFonts w:ascii="Arial" w:cs="Arial" w:eastAsia="Arial" w:hAnsi="Arial"/>
                <w:sz w:val="18"/>
                <w:szCs w:val="18"/>
                <w:color w:val="auto"/>
                <w:w w:val="84"/>
              </w:rPr>
              <w:t>2014</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611</w:t>
            </w:r>
          </w:p>
        </w:tc>
        <w:tc>
          <w:tcPr>
            <w:tcW w:w="100" w:type="dxa"/>
            <w:vAlign w:val="bottom"/>
          </w:tcPr>
          <w:p>
            <w:pPr>
              <w:spacing w:after="0"/>
              <w:rPr>
                <w:sz w:val="18"/>
                <w:szCs w:val="18"/>
                <w:color w:val="auto"/>
              </w:rPr>
            </w:pPr>
          </w:p>
        </w:tc>
      </w:tr>
      <w:tr>
        <w:trPr>
          <w:trHeight w:val="216"/>
        </w:trPr>
        <w:tc>
          <w:tcPr>
            <w:tcW w:w="10540" w:type="dxa"/>
            <w:vAlign w:val="bottom"/>
            <w:shd w:val="clear" w:color="auto" w:fill="CCEEFF"/>
          </w:tcPr>
          <w:p>
            <w:pPr>
              <w:jc w:val="right"/>
              <w:ind w:right="10092"/>
              <w:spacing w:after="0"/>
              <w:rPr>
                <w:sz w:val="20"/>
                <w:szCs w:val="20"/>
                <w:color w:val="auto"/>
              </w:rPr>
            </w:pPr>
            <w:r>
              <w:rPr>
                <w:rFonts w:ascii="Arial" w:cs="Arial" w:eastAsia="Arial" w:hAnsi="Arial"/>
                <w:sz w:val="18"/>
                <w:szCs w:val="18"/>
                <w:color w:val="auto"/>
                <w:w w:val="84"/>
              </w:rPr>
              <w:t>2015</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314</w:t>
            </w:r>
          </w:p>
        </w:tc>
        <w:tc>
          <w:tcPr>
            <w:tcW w:w="100" w:type="dxa"/>
            <w:vAlign w:val="bottom"/>
            <w:shd w:val="clear" w:color="auto" w:fill="CCEEFF"/>
          </w:tcPr>
          <w:p>
            <w:pPr>
              <w:spacing w:after="0"/>
              <w:rPr>
                <w:sz w:val="18"/>
                <w:szCs w:val="18"/>
                <w:color w:val="auto"/>
              </w:rPr>
            </w:pPr>
          </w:p>
        </w:tc>
      </w:tr>
    </w:tbl>
    <w:p>
      <w:pPr>
        <w:spacing w:after="0" w:line="1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10. Variable Interest Entities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Consolidated VIEs</w:t>
      </w:r>
    </w:p>
    <w:p>
      <w:pPr>
        <w:spacing w:after="0" w:line="177" w:lineRule="exact"/>
        <w:rPr>
          <w:sz w:val="20"/>
          <w:szCs w:val="20"/>
          <w:color w:val="auto"/>
        </w:rPr>
      </w:pPr>
    </w:p>
    <w:p>
      <w:pPr>
        <w:ind w:left="240"/>
        <w:spacing w:after="0"/>
        <w:rPr>
          <w:sz w:val="20"/>
          <w:szCs w:val="20"/>
          <w:color w:val="auto"/>
        </w:rPr>
      </w:pPr>
      <w:r>
        <w:rPr>
          <w:rFonts w:ascii="Arial" w:cs="Arial" w:eastAsia="Arial" w:hAnsi="Arial"/>
          <w:sz w:val="16"/>
          <w:szCs w:val="16"/>
          <w:color w:val="auto"/>
        </w:rPr>
        <w:t>VIEs that we do not control through a majority voting interest that are consolidated because we are or Old GM was the primary beneficiary primarily include:</w:t>
      </w:r>
    </w:p>
    <w:p>
      <w:pPr>
        <w:spacing w:after="0" w:line="38" w:lineRule="exact"/>
        <w:rPr>
          <w:sz w:val="20"/>
          <w:szCs w:val="20"/>
          <w:color w:val="auto"/>
        </w:rPr>
      </w:pPr>
    </w:p>
    <w:p>
      <w:pPr>
        <w:ind w:right="40" w:firstLine="8"/>
        <w:spacing w:after="0" w:line="253" w:lineRule="auto"/>
        <w:tabs>
          <w:tab w:leader="none" w:pos="249" w:val="left"/>
        </w:tabs>
        <w:numPr>
          <w:ilvl w:val="0"/>
          <w:numId w:val="13"/>
        </w:numPr>
        <w:rPr>
          <w:rFonts w:ascii="Arial" w:cs="Arial" w:eastAsia="Arial" w:hAnsi="Arial"/>
          <w:sz w:val="18"/>
          <w:szCs w:val="18"/>
          <w:color w:val="auto"/>
        </w:rPr>
      </w:pPr>
      <w:r>
        <w:rPr>
          <w:rFonts w:ascii="Arial" w:cs="Arial" w:eastAsia="Arial" w:hAnsi="Arial"/>
          <w:sz w:val="18"/>
          <w:szCs w:val="18"/>
          <w:color w:val="auto"/>
        </w:rPr>
        <w:t>previously divested suppliers for which we provide or Old GM provided guarantees or financial support; (2) a program announced by the UST in March 2009 to provide financial assistance to automotive suppliers (Receivables Program); (3) vehicle sales and marketing joint ventures that manufacture, market and sell vehicles in certain markets; (4) leasing special purpose entities (SPEs) which held real estate assets and related liabilities for which Old GM provided residual guarantees; and (5) an entity which manages certain private equity investments held by our and Old GM’s defined benefit plans, along with six associated general partner entities.</w:t>
      </w:r>
    </w:p>
    <w:p>
      <w:pPr>
        <w:spacing w:after="0" w:line="145" w:lineRule="exact"/>
        <w:rPr>
          <w:sz w:val="20"/>
          <w:szCs w:val="20"/>
          <w:color w:val="auto"/>
        </w:rPr>
      </w:pPr>
    </w:p>
    <w:p>
      <w:pPr>
        <w:ind w:right="20" w:firstLine="228"/>
        <w:spacing w:after="0" w:line="294" w:lineRule="auto"/>
        <w:rPr>
          <w:sz w:val="20"/>
          <w:szCs w:val="20"/>
          <w:color w:val="auto"/>
        </w:rPr>
      </w:pPr>
      <w:r>
        <w:rPr>
          <w:rFonts w:ascii="Arial" w:cs="Arial" w:eastAsia="Arial" w:hAnsi="Arial"/>
          <w:sz w:val="16"/>
          <w:szCs w:val="16"/>
          <w:color w:val="auto"/>
        </w:rPr>
        <w:t>Certain creditors and beneficial interest holders of these VIEs have or had limited, insignificant recourse to our general credit or Old GM’s general credit. In the event that creditors or beneficial interest holders were to have such recourse to our or Old GM’s general credit, we or Old GM could be held liable for certain of the VIEs’ obligations. GM Daewoo Auto &amp; Technology Co. (GM Daewoo), a non-wholly owned consolidated subsidiary that we control through a majority voting interest, is also a VIE because in the future it may require additional subordinated financial support. The creditors of GM Daewoo’s short-term debt of $1.1 billion, long-term debt of $798 million and current derivative liabilities of $217 million at September 30, 2010 do not have recourse to our general credit.</w:t>
      </w:r>
    </w:p>
    <w:p>
      <w:pPr>
        <w:spacing w:after="0" w:line="116" w:lineRule="exact"/>
        <w:rPr>
          <w:sz w:val="20"/>
          <w:szCs w:val="20"/>
          <w:color w:val="auto"/>
        </w:rPr>
      </w:pPr>
    </w:p>
    <w:p>
      <w:pPr>
        <w:ind w:left="240"/>
        <w:spacing w:after="0"/>
        <w:rPr>
          <w:sz w:val="20"/>
          <w:szCs w:val="20"/>
          <w:color w:val="auto"/>
        </w:rPr>
      </w:pPr>
      <w:r>
        <w:rPr>
          <w:rFonts w:ascii="Arial" w:cs="Arial" w:eastAsia="Arial" w:hAnsi="Arial"/>
          <w:sz w:val="16"/>
          <w:szCs w:val="16"/>
          <w:color w:val="auto"/>
        </w:rPr>
        <w:t>The following table summarizes the carrying amount of consolidated VIEs that we do not also control through a majority voting interest (dollars in millions):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680" w:type="dxa"/>
            <w:vAlign w:val="bottom"/>
          </w:tcPr>
          <w:p>
            <w:pPr>
              <w:spacing w:after="0"/>
              <w:rPr>
                <w:sz w:val="14"/>
                <w:szCs w:val="14"/>
                <w:color w:val="auto"/>
              </w:rPr>
            </w:pPr>
          </w:p>
        </w:tc>
        <w:tc>
          <w:tcPr>
            <w:tcW w:w="2540" w:type="dxa"/>
            <w:vAlign w:val="bottom"/>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spacing w:after="0"/>
              <w:rPr>
                <w:sz w:val="14"/>
                <w:szCs w:val="14"/>
                <w:color w:val="auto"/>
              </w:rPr>
            </w:pPr>
          </w:p>
        </w:tc>
        <w:tc>
          <w:tcPr>
            <w:tcW w:w="1860" w:type="dxa"/>
            <w:vAlign w:val="bottom"/>
            <w:tcBorders>
              <w:bottom w:val="single" w:sz="8" w:color="auto"/>
            </w:tcBorders>
            <w:gridSpan w:val="2"/>
          </w:tcPr>
          <w:p>
            <w:pPr>
              <w:ind w:left="260"/>
              <w:spacing w:after="0"/>
              <w:rPr>
                <w:sz w:val="20"/>
                <w:szCs w:val="20"/>
                <w:color w:val="auto"/>
              </w:rPr>
            </w:pPr>
            <w:r>
              <w:rPr>
                <w:rFonts w:ascii="Arial" w:cs="Arial" w:eastAsia="Arial" w:hAnsi="Arial"/>
                <w:sz w:val="14"/>
                <w:szCs w:val="14"/>
                <w:b w:val="1"/>
                <w:bCs w:val="1"/>
                <w:color w:val="auto"/>
              </w:rPr>
              <w:t>Successor</w:t>
            </w:r>
          </w:p>
        </w:tc>
        <w:tc>
          <w:tcPr>
            <w:tcW w:w="7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680" w:type="dxa"/>
            <w:vAlign w:val="bottom"/>
          </w:tcPr>
          <w:p>
            <w:pPr>
              <w:spacing w:after="0"/>
              <w:rPr>
                <w:sz w:val="12"/>
                <w:szCs w:val="12"/>
                <w:color w:val="auto"/>
              </w:rPr>
            </w:pPr>
          </w:p>
        </w:tc>
        <w:tc>
          <w:tcPr>
            <w:tcW w:w="2540" w:type="dxa"/>
            <w:vAlign w:val="bottom"/>
          </w:tcPr>
          <w:p>
            <w:pPr>
              <w:spacing w:after="0"/>
              <w:rPr>
                <w:sz w:val="12"/>
                <w:szCs w:val="12"/>
                <w:color w:val="auto"/>
              </w:rPr>
            </w:pPr>
          </w:p>
        </w:tc>
        <w:tc>
          <w:tcPr>
            <w:tcW w:w="1500" w:type="dxa"/>
            <w:vAlign w:val="bottom"/>
            <w:tcBorders>
              <w:bottom w:val="single" w:sz="8" w:color="auto"/>
            </w:tcBorders>
            <w:gridSpan w:val="2"/>
          </w:tcPr>
          <w:p>
            <w:pPr>
              <w:spacing w:after="0" w:line="142" w:lineRule="exact"/>
              <w:rPr>
                <w:sz w:val="20"/>
                <w:szCs w:val="20"/>
                <w:color w:val="auto"/>
              </w:rPr>
            </w:pPr>
            <w:r>
              <w:rPr>
                <w:rFonts w:ascii="Arial" w:cs="Arial" w:eastAsia="Arial" w:hAnsi="Arial"/>
                <w:sz w:val="14"/>
                <w:szCs w:val="14"/>
                <w:b w:val="1"/>
                <w:bCs w:val="1"/>
                <w:color w:val="auto"/>
                <w:w w:val="87"/>
              </w:rPr>
              <w:t>September 30, 2010 (a)(b)</w:t>
            </w:r>
          </w:p>
        </w:tc>
        <w:tc>
          <w:tcPr>
            <w:tcW w:w="1300" w:type="dxa"/>
            <w:vAlign w:val="bottom"/>
          </w:tcPr>
          <w:p>
            <w:pPr>
              <w:spacing w:after="0"/>
              <w:rPr>
                <w:sz w:val="12"/>
                <w:szCs w:val="12"/>
                <w:color w:val="auto"/>
              </w:rPr>
            </w:pPr>
          </w:p>
        </w:tc>
        <w:tc>
          <w:tcPr>
            <w:tcW w:w="1280" w:type="dxa"/>
            <w:vAlign w:val="bottom"/>
            <w:tcBorders>
              <w:bottom w:val="single" w:sz="8" w:color="auto"/>
            </w:tcBorders>
            <w:gridSpan w:val="2"/>
          </w:tcPr>
          <w:p>
            <w:pPr>
              <w:spacing w:after="0" w:line="142" w:lineRule="exact"/>
              <w:rPr>
                <w:sz w:val="20"/>
                <w:szCs w:val="20"/>
                <w:color w:val="auto"/>
              </w:rPr>
            </w:pPr>
            <w:r>
              <w:rPr>
                <w:rFonts w:ascii="Arial" w:cs="Arial" w:eastAsia="Arial" w:hAnsi="Arial"/>
                <w:sz w:val="14"/>
                <w:szCs w:val="14"/>
                <w:b w:val="1"/>
                <w:bCs w:val="1"/>
                <w:color w:val="auto"/>
                <w:w w:val="85"/>
              </w:rPr>
              <w:t>December 31, 2009 (a)</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6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25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tcPr>
          <w:p>
            <w:pPr>
              <w:spacing w:after="0"/>
              <w:rPr>
                <w:sz w:val="20"/>
                <w:szCs w:val="20"/>
                <w:color w:val="auto"/>
              </w:rPr>
            </w:pPr>
            <w:r>
              <w:rPr>
                <w:rFonts w:ascii="Arial" w:cs="Arial" w:eastAsia="Arial" w:hAnsi="Arial"/>
                <w:sz w:val="18"/>
                <w:szCs w:val="18"/>
                <w:color w:val="auto"/>
              </w:rPr>
              <w:t>Cash and cash equivalents</w:t>
            </w:r>
          </w:p>
        </w:tc>
        <w:tc>
          <w:tcPr>
            <w:tcW w:w="3200" w:type="dxa"/>
            <w:vAlign w:val="bottom"/>
            <w:gridSpan w:val="2"/>
          </w:tcPr>
          <w:p>
            <w:pPr>
              <w:ind w:left="2540"/>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119</w:t>
            </w:r>
          </w:p>
        </w:tc>
        <w:tc>
          <w:tcPr>
            <w:tcW w:w="1860" w:type="dxa"/>
            <w:vAlign w:val="bottom"/>
            <w:gridSpan w:val="2"/>
          </w:tcPr>
          <w:p>
            <w:pPr>
              <w:ind w:left="1300"/>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15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shd w:val="clear" w:color="auto" w:fill="CCEEFF"/>
          </w:tcPr>
          <w:p>
            <w:pPr>
              <w:spacing w:after="0"/>
              <w:rPr>
                <w:sz w:val="20"/>
                <w:szCs w:val="20"/>
                <w:color w:val="auto"/>
              </w:rPr>
            </w:pPr>
            <w:r>
              <w:rPr>
                <w:rFonts w:ascii="Arial" w:cs="Arial" w:eastAsia="Arial" w:hAnsi="Arial"/>
                <w:sz w:val="18"/>
                <w:szCs w:val="18"/>
                <w:color w:val="auto"/>
              </w:rPr>
              <w:t>Restricted cash</w:t>
            </w:r>
          </w:p>
        </w:tc>
        <w:tc>
          <w:tcPr>
            <w:tcW w:w="25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3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tcPr>
          <w:p>
            <w:pPr>
              <w:spacing w:after="0"/>
              <w:rPr>
                <w:sz w:val="20"/>
                <w:szCs w:val="20"/>
                <w:color w:val="auto"/>
              </w:rPr>
            </w:pPr>
            <w:r>
              <w:rPr>
                <w:rFonts w:ascii="Arial" w:cs="Arial" w:eastAsia="Arial" w:hAnsi="Arial"/>
                <w:sz w:val="18"/>
                <w:szCs w:val="18"/>
                <w:color w:val="auto"/>
              </w:rPr>
              <w:t>Accounts and notes receivable, net</w:t>
            </w:r>
          </w:p>
        </w:tc>
        <w:tc>
          <w:tcPr>
            <w:tcW w:w="25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123</w:t>
            </w:r>
          </w:p>
        </w:tc>
        <w:tc>
          <w:tcPr>
            <w:tcW w:w="13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shd w:val="clear" w:color="auto" w:fill="CCEEFF"/>
          </w:tcPr>
          <w:p>
            <w:pPr>
              <w:spacing w:after="0"/>
              <w:rPr>
                <w:sz w:val="20"/>
                <w:szCs w:val="20"/>
                <w:color w:val="auto"/>
              </w:rPr>
            </w:pPr>
            <w:r>
              <w:rPr>
                <w:rFonts w:ascii="Arial" w:cs="Arial" w:eastAsia="Arial" w:hAnsi="Arial"/>
                <w:sz w:val="18"/>
                <w:szCs w:val="18"/>
                <w:color w:val="auto"/>
              </w:rPr>
              <w:t>Inventories</w:t>
            </w:r>
          </w:p>
        </w:tc>
        <w:tc>
          <w:tcPr>
            <w:tcW w:w="25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w:t>
            </w:r>
          </w:p>
        </w:tc>
        <w:tc>
          <w:tcPr>
            <w:tcW w:w="13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tcPr>
          <w:p>
            <w:pPr>
              <w:spacing w:after="0"/>
              <w:rPr>
                <w:sz w:val="20"/>
                <w:szCs w:val="20"/>
                <w:color w:val="auto"/>
              </w:rPr>
            </w:pPr>
            <w:r>
              <w:rPr>
                <w:rFonts w:ascii="Arial" w:cs="Arial" w:eastAsia="Arial" w:hAnsi="Arial"/>
                <w:sz w:val="18"/>
                <w:szCs w:val="18"/>
                <w:color w:val="auto"/>
              </w:rPr>
              <w:t>Other current assets</w:t>
            </w:r>
          </w:p>
        </w:tc>
        <w:tc>
          <w:tcPr>
            <w:tcW w:w="25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20</w:t>
            </w:r>
          </w:p>
        </w:tc>
        <w:tc>
          <w:tcPr>
            <w:tcW w:w="13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shd w:val="clear" w:color="auto" w:fill="CCEEFF"/>
          </w:tcPr>
          <w:p>
            <w:pPr>
              <w:spacing w:after="0"/>
              <w:rPr>
                <w:sz w:val="20"/>
                <w:szCs w:val="20"/>
                <w:color w:val="auto"/>
              </w:rPr>
            </w:pPr>
            <w:r>
              <w:rPr>
                <w:rFonts w:ascii="Arial" w:cs="Arial" w:eastAsia="Arial" w:hAnsi="Arial"/>
                <w:sz w:val="18"/>
                <w:szCs w:val="18"/>
                <w:color w:val="auto"/>
              </w:rPr>
              <w:t>Property, net</w:t>
            </w:r>
          </w:p>
        </w:tc>
        <w:tc>
          <w:tcPr>
            <w:tcW w:w="25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w:t>
            </w:r>
          </w:p>
        </w:tc>
        <w:tc>
          <w:tcPr>
            <w:tcW w:w="13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680" w:type="dxa"/>
            <w:vAlign w:val="bottom"/>
          </w:tcPr>
          <w:p>
            <w:pPr>
              <w:spacing w:after="0"/>
              <w:rPr>
                <w:sz w:val="20"/>
                <w:szCs w:val="20"/>
                <w:color w:val="auto"/>
              </w:rPr>
            </w:pPr>
            <w:r>
              <w:rPr>
                <w:rFonts w:ascii="Arial" w:cs="Arial" w:eastAsia="Arial" w:hAnsi="Arial"/>
                <w:sz w:val="18"/>
                <w:szCs w:val="18"/>
                <w:color w:val="auto"/>
              </w:rPr>
              <w:t>Other assets</w:t>
            </w:r>
          </w:p>
        </w:tc>
        <w:tc>
          <w:tcPr>
            <w:tcW w:w="2540" w:type="dxa"/>
            <w:vAlign w:val="bottom"/>
          </w:tcPr>
          <w:p>
            <w:pPr>
              <w:spacing w:after="0"/>
              <w:rPr>
                <w:sz w:val="19"/>
                <w:szCs w:val="19"/>
                <w:color w:val="auto"/>
              </w:rPr>
            </w:pPr>
          </w:p>
        </w:tc>
        <w:tc>
          <w:tcPr>
            <w:tcW w:w="66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w:t>
            </w:r>
          </w:p>
        </w:tc>
        <w:tc>
          <w:tcPr>
            <w:tcW w:w="1300" w:type="dxa"/>
            <w:vAlign w:val="bottom"/>
          </w:tcPr>
          <w:p>
            <w:pPr>
              <w:spacing w:after="0"/>
              <w:rPr>
                <w:sz w:val="19"/>
                <w:szCs w:val="19"/>
                <w:color w:val="auto"/>
              </w:rPr>
            </w:pPr>
          </w:p>
        </w:tc>
        <w:tc>
          <w:tcPr>
            <w:tcW w:w="56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shd w:val="clear" w:color="auto" w:fill="CCEEFF"/>
          </w:tcPr>
          <w:p>
            <w:pPr>
              <w:spacing w:after="0"/>
              <w:rPr>
                <w:sz w:val="20"/>
                <w:szCs w:val="20"/>
                <w:color w:val="auto"/>
              </w:rPr>
            </w:pPr>
            <w:r>
              <w:rPr>
                <w:rFonts w:ascii="Arial" w:cs="Arial" w:eastAsia="Arial" w:hAnsi="Arial"/>
                <w:sz w:val="18"/>
                <w:szCs w:val="18"/>
                <w:color w:val="auto"/>
              </w:rPr>
              <w:t>Total assets</w:t>
            </w:r>
          </w:p>
        </w:tc>
        <w:tc>
          <w:tcPr>
            <w:tcW w:w="3200" w:type="dxa"/>
            <w:vAlign w:val="bottom"/>
            <w:gridSpan w:val="2"/>
            <w:shd w:val="clear" w:color="auto" w:fill="CCEEFF"/>
          </w:tcPr>
          <w:p>
            <w:pPr>
              <w:ind w:left="2540"/>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443</w:t>
            </w:r>
          </w:p>
        </w:tc>
        <w:tc>
          <w:tcPr>
            <w:tcW w:w="1860" w:type="dxa"/>
            <w:vAlign w:val="bottom"/>
            <w:gridSpan w:val="2"/>
            <w:shd w:val="clear" w:color="auto" w:fill="CCEEFF"/>
          </w:tcPr>
          <w:p>
            <w:pPr>
              <w:ind w:left="1300"/>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70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Liabilities</w:t>
            </w:r>
          </w:p>
        </w:tc>
        <w:tc>
          <w:tcPr>
            <w:tcW w:w="254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4700" w:type="dxa"/>
            <w:vAlign w:val="bottom"/>
            <w:gridSpan w:val="2"/>
            <w:vMerge w:val="continue"/>
          </w:tcPr>
          <w:p>
            <w:pPr>
              <w:spacing w:after="0"/>
              <w:rPr>
                <w:sz w:val="18"/>
                <w:szCs w:val="18"/>
                <w:color w:val="auto"/>
              </w:rPr>
            </w:pPr>
          </w:p>
        </w:tc>
        <w:tc>
          <w:tcPr>
            <w:tcW w:w="25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4680" w:type="dxa"/>
            <w:vAlign w:val="bottom"/>
            <w:shd w:val="clear" w:color="auto" w:fill="CCEEFF"/>
          </w:tcPr>
          <w:p>
            <w:pPr>
              <w:spacing w:after="0"/>
              <w:rPr>
                <w:sz w:val="20"/>
                <w:szCs w:val="20"/>
                <w:color w:val="auto"/>
              </w:rPr>
            </w:pPr>
            <w:r>
              <w:rPr>
                <w:rFonts w:ascii="Arial" w:cs="Arial" w:eastAsia="Arial" w:hAnsi="Arial"/>
                <w:sz w:val="18"/>
                <w:szCs w:val="18"/>
                <w:color w:val="auto"/>
              </w:rPr>
              <w:t>Accounts payable (principally trade)</w:t>
            </w:r>
          </w:p>
        </w:tc>
        <w:tc>
          <w:tcPr>
            <w:tcW w:w="3200" w:type="dxa"/>
            <w:vAlign w:val="bottom"/>
            <w:gridSpan w:val="2"/>
            <w:shd w:val="clear" w:color="auto" w:fill="CCEEFF"/>
          </w:tcPr>
          <w:p>
            <w:pPr>
              <w:ind w:left="2540"/>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232</w:t>
            </w:r>
          </w:p>
        </w:tc>
        <w:tc>
          <w:tcPr>
            <w:tcW w:w="1860" w:type="dxa"/>
            <w:vAlign w:val="bottom"/>
            <w:gridSpan w:val="2"/>
            <w:shd w:val="clear" w:color="auto" w:fill="CCEEFF"/>
          </w:tcPr>
          <w:p>
            <w:pPr>
              <w:ind w:left="1300"/>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tcPr>
          <w:p>
            <w:pPr>
              <w:spacing w:after="0"/>
              <w:rPr>
                <w:sz w:val="20"/>
                <w:szCs w:val="20"/>
                <w:color w:val="auto"/>
              </w:rPr>
            </w:pPr>
            <w:r>
              <w:rPr>
                <w:rFonts w:ascii="Arial" w:cs="Arial" w:eastAsia="Arial" w:hAnsi="Arial"/>
                <w:sz w:val="18"/>
                <w:szCs w:val="18"/>
                <w:color w:val="auto"/>
              </w:rPr>
              <w:t>Short-term debt and current portion of long-term debt</w:t>
            </w:r>
          </w:p>
        </w:tc>
        <w:tc>
          <w:tcPr>
            <w:tcW w:w="25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w:t>
            </w:r>
          </w:p>
        </w:tc>
        <w:tc>
          <w:tcPr>
            <w:tcW w:w="13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205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shd w:val="clear" w:color="auto" w:fill="CCEEFF"/>
          </w:tcPr>
          <w:p>
            <w:pPr>
              <w:spacing w:after="0"/>
              <w:rPr>
                <w:sz w:val="20"/>
                <w:szCs w:val="20"/>
                <w:color w:val="auto"/>
              </w:rPr>
            </w:pPr>
            <w:r>
              <w:rPr>
                <w:rFonts w:ascii="Arial" w:cs="Arial" w:eastAsia="Arial" w:hAnsi="Arial"/>
                <w:sz w:val="18"/>
                <w:szCs w:val="18"/>
                <w:color w:val="auto"/>
              </w:rPr>
              <w:t>Accrued expenses</w:t>
            </w:r>
          </w:p>
        </w:tc>
        <w:tc>
          <w:tcPr>
            <w:tcW w:w="25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13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680" w:type="dxa"/>
            <w:vAlign w:val="bottom"/>
          </w:tcPr>
          <w:p>
            <w:pPr>
              <w:spacing w:after="0"/>
              <w:rPr>
                <w:sz w:val="20"/>
                <w:szCs w:val="20"/>
                <w:color w:val="auto"/>
              </w:rPr>
            </w:pPr>
            <w:r>
              <w:rPr>
                <w:rFonts w:ascii="Arial" w:cs="Arial" w:eastAsia="Arial" w:hAnsi="Arial"/>
                <w:sz w:val="18"/>
                <w:szCs w:val="18"/>
                <w:color w:val="auto"/>
              </w:rPr>
              <w:t>Other liabilities and deferred income taxes</w:t>
            </w:r>
          </w:p>
        </w:tc>
        <w:tc>
          <w:tcPr>
            <w:tcW w:w="2540" w:type="dxa"/>
            <w:vAlign w:val="bottom"/>
          </w:tcPr>
          <w:p>
            <w:pPr>
              <w:spacing w:after="0"/>
              <w:rPr>
                <w:sz w:val="19"/>
                <w:szCs w:val="19"/>
                <w:color w:val="auto"/>
              </w:rPr>
            </w:pPr>
          </w:p>
        </w:tc>
        <w:tc>
          <w:tcPr>
            <w:tcW w:w="66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w:t>
            </w:r>
          </w:p>
        </w:tc>
        <w:tc>
          <w:tcPr>
            <w:tcW w:w="1300" w:type="dxa"/>
            <w:vAlign w:val="bottom"/>
          </w:tcPr>
          <w:p>
            <w:pPr>
              <w:spacing w:after="0"/>
              <w:rPr>
                <w:sz w:val="19"/>
                <w:szCs w:val="19"/>
                <w:color w:val="auto"/>
              </w:rPr>
            </w:pPr>
          </w:p>
        </w:tc>
        <w:tc>
          <w:tcPr>
            <w:tcW w:w="56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shd w:val="clear" w:color="auto" w:fill="CCEEFF"/>
          </w:tcPr>
          <w:p>
            <w:pPr>
              <w:spacing w:after="0"/>
              <w:rPr>
                <w:sz w:val="20"/>
                <w:szCs w:val="20"/>
                <w:color w:val="auto"/>
              </w:rPr>
            </w:pPr>
            <w:r>
              <w:rPr>
                <w:rFonts w:ascii="Arial" w:cs="Arial" w:eastAsia="Arial" w:hAnsi="Arial"/>
                <w:sz w:val="18"/>
                <w:szCs w:val="18"/>
                <w:color w:val="auto"/>
              </w:rPr>
              <w:t>Total liabilities</w:t>
            </w:r>
          </w:p>
        </w:tc>
        <w:tc>
          <w:tcPr>
            <w:tcW w:w="3200" w:type="dxa"/>
            <w:vAlign w:val="bottom"/>
            <w:gridSpan w:val="2"/>
            <w:shd w:val="clear" w:color="auto" w:fill="CCEEFF"/>
          </w:tcPr>
          <w:p>
            <w:pPr>
              <w:ind w:left="2540"/>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296</w:t>
            </w:r>
          </w:p>
        </w:tc>
        <w:tc>
          <w:tcPr>
            <w:tcW w:w="1860" w:type="dxa"/>
            <w:vAlign w:val="bottom"/>
            <w:gridSpan w:val="2"/>
            <w:shd w:val="clear" w:color="auto" w:fill="CCEEFF"/>
          </w:tcPr>
          <w:p>
            <w:pPr>
              <w:ind w:left="1300"/>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680" w:type="dxa"/>
            <w:vAlign w:val="bottom"/>
          </w:tcPr>
          <w:p>
            <w:pPr>
              <w:spacing w:after="0" w:line="20" w:lineRule="exact"/>
              <w:rPr>
                <w:sz w:val="1"/>
                <w:szCs w:val="1"/>
                <w:color w:val="auto"/>
              </w:rPr>
            </w:pPr>
          </w:p>
        </w:tc>
        <w:tc>
          <w:tcPr>
            <w:tcW w:w="2540" w:type="dxa"/>
            <w:vAlign w:val="bottom"/>
            <w:vMerge w:val="restart"/>
          </w:tcPr>
          <w:p>
            <w:pPr>
              <w:jc w:val="right"/>
              <w:ind w:right="1352"/>
              <w:spacing w:after="0"/>
              <w:rPr>
                <w:sz w:val="20"/>
                <w:szCs w:val="20"/>
                <w:color w:val="auto"/>
              </w:rPr>
            </w:pPr>
            <w:r>
              <w:rPr>
                <w:rFonts w:ascii="Arial" w:cs="Arial" w:eastAsia="Arial" w:hAnsi="Arial"/>
                <w:sz w:val="18"/>
                <w:szCs w:val="18"/>
                <w:color w:val="auto"/>
              </w:rPr>
              <w:t>22</w:t>
            </w:r>
          </w:p>
        </w:tc>
        <w:tc>
          <w:tcPr>
            <w:tcW w:w="6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7"/>
        </w:trPr>
        <w:tc>
          <w:tcPr>
            <w:tcW w:w="20" w:type="dxa"/>
            <w:vAlign w:val="bottom"/>
          </w:tcPr>
          <w:p>
            <w:pPr>
              <w:spacing w:after="0"/>
              <w:rPr>
                <w:sz w:val="24"/>
                <w:szCs w:val="24"/>
                <w:color w:val="auto"/>
              </w:rPr>
            </w:pPr>
          </w:p>
        </w:tc>
        <w:tc>
          <w:tcPr>
            <w:tcW w:w="4680" w:type="dxa"/>
            <w:vAlign w:val="bottom"/>
          </w:tcPr>
          <w:p>
            <w:pPr>
              <w:spacing w:after="0"/>
              <w:rPr>
                <w:sz w:val="24"/>
                <w:szCs w:val="24"/>
                <w:color w:val="auto"/>
              </w:rPr>
            </w:pPr>
          </w:p>
        </w:tc>
        <w:tc>
          <w:tcPr>
            <w:tcW w:w="2540" w:type="dxa"/>
            <w:vAlign w:val="bottom"/>
            <w:vMerge w:val="continue"/>
          </w:tcPr>
          <w:p>
            <w:pPr>
              <w:spacing w:after="0"/>
              <w:rPr>
                <w:sz w:val="24"/>
                <w:szCs w:val="24"/>
                <w:color w:val="auto"/>
              </w:rPr>
            </w:pPr>
          </w:p>
        </w:tc>
        <w:tc>
          <w:tcPr>
            <w:tcW w:w="6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177800</wp:posOffset>
            </wp:positionV>
            <wp:extent cx="728980"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292" w:lineRule="exact"/>
        <w:rPr>
          <w:sz w:val="20"/>
          <w:szCs w:val="20"/>
          <w:color w:val="auto"/>
        </w:rPr>
      </w:pPr>
    </w:p>
    <w:p>
      <w:pPr>
        <w:ind w:left="460" w:hanging="452"/>
        <w:spacing w:after="0"/>
        <w:tabs>
          <w:tab w:leader="none" w:pos="4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Amounts exclude GM Daewoo.</w:t>
      </w:r>
    </w:p>
    <w:p>
      <w:pPr>
        <w:spacing w:after="0" w:line="90" w:lineRule="exact"/>
        <w:rPr>
          <w:rFonts w:ascii="Arial" w:cs="Arial" w:eastAsia="Arial" w:hAnsi="Arial"/>
          <w:sz w:val="18"/>
          <w:szCs w:val="18"/>
          <w:color w:val="auto"/>
        </w:rPr>
      </w:pPr>
    </w:p>
    <w:p>
      <w:pPr>
        <w:ind w:left="460" w:right="260" w:hanging="452"/>
        <w:spacing w:after="0" w:line="268" w:lineRule="auto"/>
        <w:tabs>
          <w:tab w:leader="none" w:pos="4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Amounts at September 30, 2010 reflect the effect of our adoption of amendments to ASC 810-10 in January 2010, which resulted in the consolidation of GM Egypt. At September 30, 2010 GM Egypt had Total assets of $383 million and Total liabilities of $264 million.</w:t>
      </w:r>
    </w:p>
    <w:p>
      <w:pPr>
        <w:spacing w:after="0" w:line="132" w:lineRule="exact"/>
        <w:rPr>
          <w:sz w:val="20"/>
          <w:szCs w:val="20"/>
          <w:color w:val="auto"/>
        </w:rPr>
      </w:pPr>
    </w:p>
    <w:p>
      <w:pPr>
        <w:ind w:right="180" w:firstLine="228"/>
        <w:spacing w:after="0" w:line="268" w:lineRule="auto"/>
        <w:rPr>
          <w:sz w:val="20"/>
          <w:szCs w:val="20"/>
          <w:color w:val="auto"/>
        </w:rPr>
      </w:pPr>
      <w:r>
        <w:rPr>
          <w:rFonts w:ascii="Arial" w:cs="Arial" w:eastAsia="Arial" w:hAnsi="Arial"/>
          <w:sz w:val="18"/>
          <w:szCs w:val="18"/>
          <w:color w:val="auto"/>
        </w:rPr>
        <w:t>The following table summarizes the amounts recorded in earnings related to consolidated VIEs that we do not also control through a majority voting interest (dollars in millions):</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26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540" w:type="dxa"/>
            <w:vAlign w:val="bottom"/>
            <w:tcBorders>
              <w:bottom w:val="single" w:sz="8" w:color="auto"/>
            </w:tcBorders>
            <w:gridSpan w:val="2"/>
          </w:tcPr>
          <w:p>
            <w:pPr>
              <w:jc w:val="right"/>
              <w:ind w:right="820"/>
              <w:spacing w:after="0"/>
              <w:rPr>
                <w:sz w:val="20"/>
                <w:szCs w:val="20"/>
                <w:color w:val="auto"/>
              </w:rPr>
            </w:pPr>
            <w:r>
              <w:rPr>
                <w:rFonts w:ascii="Arial" w:cs="Arial" w:eastAsia="Arial" w:hAnsi="Arial"/>
                <w:sz w:val="14"/>
                <w:szCs w:val="14"/>
                <w:b w:val="1"/>
                <w:bCs w:val="1"/>
                <w:color w:val="auto"/>
                <w:w w:val="98"/>
              </w:rPr>
              <w:t>Successor</w:t>
            </w:r>
          </w:p>
        </w:tc>
        <w:tc>
          <w:tcPr>
            <w:tcW w:w="20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spacing w:after="0"/>
              <w:rPr>
                <w:sz w:val="14"/>
                <w:szCs w:val="14"/>
                <w:color w:val="auto"/>
              </w:rPr>
            </w:pPr>
          </w:p>
        </w:tc>
        <w:tc>
          <w:tcPr>
            <w:tcW w:w="580" w:type="dxa"/>
            <w:vAlign w:val="bottom"/>
            <w:tcBorders>
              <w:right w:val="single" w:sz="8" w:color="auto"/>
            </w:tcBorders>
          </w:tcPr>
          <w:p>
            <w:pPr>
              <w:spacing w:after="0"/>
              <w:rPr>
                <w:sz w:val="14"/>
                <w:szCs w:val="14"/>
                <w:color w:val="auto"/>
              </w:rPr>
            </w:pPr>
          </w:p>
        </w:tc>
        <w:tc>
          <w:tcPr>
            <w:tcW w:w="36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420" w:type="dxa"/>
            <w:vAlign w:val="bottom"/>
            <w:tcBorders>
              <w:bottom w:val="single" w:sz="8" w:color="auto"/>
            </w:tcBorders>
            <w:gridSpan w:val="4"/>
          </w:tcPr>
          <w:p>
            <w:pPr>
              <w:ind w:left="680"/>
              <w:spacing w:after="0"/>
              <w:rPr>
                <w:sz w:val="20"/>
                <w:szCs w:val="20"/>
                <w:color w:val="auto"/>
              </w:rPr>
            </w:pPr>
            <w:r>
              <w:rPr>
                <w:rFonts w:ascii="Arial" w:cs="Arial" w:eastAsia="Arial" w:hAnsi="Arial"/>
                <w:sz w:val="14"/>
                <w:szCs w:val="14"/>
                <w:b w:val="1"/>
                <w:bCs w:val="1"/>
                <w:color w:val="auto"/>
                <w:w w:val="85"/>
              </w:rPr>
              <w:t>Predecessor</w:t>
            </w:r>
          </w:p>
        </w:tc>
        <w:tc>
          <w:tcPr>
            <w:tcW w:w="7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540" w:type="dxa"/>
            <w:vAlign w:val="bottom"/>
            <w:gridSpan w:val="2"/>
          </w:tcPr>
          <w:p>
            <w:pPr>
              <w:jc w:val="right"/>
              <w:ind w:right="600"/>
              <w:spacing w:after="0" w:line="129" w:lineRule="exact"/>
              <w:rPr>
                <w:sz w:val="20"/>
                <w:szCs w:val="20"/>
                <w:color w:val="auto"/>
              </w:rPr>
            </w:pPr>
            <w:r>
              <w:rPr>
                <w:rFonts w:ascii="Arial" w:cs="Arial" w:eastAsia="Arial" w:hAnsi="Arial"/>
                <w:sz w:val="14"/>
                <w:szCs w:val="14"/>
                <w:b w:val="1"/>
                <w:bCs w:val="1"/>
                <w:color w:val="auto"/>
              </w:rPr>
              <w:t>Three Months</w:t>
            </w:r>
          </w:p>
        </w:tc>
        <w:tc>
          <w:tcPr>
            <w:tcW w:w="2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540" w:type="dxa"/>
            <w:vAlign w:val="bottom"/>
            <w:gridSpan w:val="2"/>
          </w:tcPr>
          <w:p>
            <w:pPr>
              <w:jc w:val="right"/>
              <w:ind w:right="640"/>
              <w:spacing w:after="0" w:line="129" w:lineRule="exact"/>
              <w:rPr>
                <w:sz w:val="20"/>
                <w:szCs w:val="20"/>
                <w:color w:val="auto"/>
              </w:rPr>
            </w:pPr>
            <w:r>
              <w:rPr>
                <w:rFonts w:ascii="Arial" w:cs="Arial" w:eastAsia="Arial" w:hAnsi="Arial"/>
                <w:sz w:val="14"/>
                <w:szCs w:val="14"/>
                <w:b w:val="1"/>
                <w:bCs w:val="1"/>
                <w:color w:val="auto"/>
              </w:rPr>
              <w:t>Nine Months</w:t>
            </w:r>
          </w:p>
        </w:tc>
        <w:tc>
          <w:tcPr>
            <w:tcW w:w="2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140" w:type="dxa"/>
            <w:vAlign w:val="bottom"/>
          </w:tcPr>
          <w:p>
            <w:pPr>
              <w:jc w:val="right"/>
              <w:ind w:right="216"/>
              <w:spacing w:after="0" w:line="129" w:lineRule="exact"/>
              <w:rPr>
                <w:sz w:val="20"/>
                <w:szCs w:val="20"/>
                <w:color w:val="auto"/>
              </w:rPr>
            </w:pPr>
            <w:r>
              <w:rPr>
                <w:rFonts w:ascii="Arial" w:cs="Arial" w:eastAsia="Arial" w:hAnsi="Arial"/>
                <w:sz w:val="14"/>
                <w:szCs w:val="14"/>
                <w:b w:val="1"/>
                <w:bCs w:val="1"/>
                <w:color w:val="auto"/>
                <w:w w:val="94"/>
              </w:rPr>
              <w:t>July 10, 2009</w:t>
            </w:r>
          </w:p>
        </w:tc>
        <w:tc>
          <w:tcPr>
            <w:tcW w:w="580" w:type="dxa"/>
            <w:vAlign w:val="bottom"/>
            <w:tcBorders>
              <w:right w:val="single" w:sz="8" w:color="auto"/>
            </w:tcBorders>
          </w:tcPr>
          <w:p>
            <w:pPr>
              <w:spacing w:after="0"/>
              <w:rPr>
                <w:sz w:val="11"/>
                <w:szCs w:val="11"/>
                <w:color w:val="auto"/>
              </w:rPr>
            </w:pPr>
          </w:p>
        </w:tc>
        <w:tc>
          <w:tcPr>
            <w:tcW w:w="360" w:type="dxa"/>
            <w:vAlign w:val="bottom"/>
          </w:tcPr>
          <w:p>
            <w:pPr>
              <w:spacing w:after="0"/>
              <w:rPr>
                <w:sz w:val="11"/>
                <w:szCs w:val="11"/>
                <w:color w:val="auto"/>
              </w:rPr>
            </w:pPr>
          </w:p>
        </w:tc>
        <w:tc>
          <w:tcPr>
            <w:tcW w:w="1160" w:type="dxa"/>
            <w:vAlign w:val="bottom"/>
            <w:gridSpan w:val="3"/>
          </w:tcPr>
          <w:p>
            <w:pPr>
              <w:jc w:val="right"/>
              <w:ind w:right="360"/>
              <w:spacing w:after="0" w:line="129" w:lineRule="exact"/>
              <w:rPr>
                <w:sz w:val="20"/>
                <w:szCs w:val="20"/>
                <w:color w:val="auto"/>
              </w:rPr>
            </w:pPr>
            <w:r>
              <w:rPr>
                <w:rFonts w:ascii="Arial" w:cs="Arial" w:eastAsia="Arial" w:hAnsi="Arial"/>
                <w:sz w:val="14"/>
                <w:szCs w:val="14"/>
                <w:b w:val="1"/>
                <w:bCs w:val="1"/>
                <w:color w:val="auto"/>
                <w:w w:val="99"/>
              </w:rPr>
              <w:t>July 1, 2009</w:t>
            </w:r>
          </w:p>
        </w:tc>
        <w:tc>
          <w:tcPr>
            <w:tcW w:w="220" w:type="dxa"/>
            <w:vAlign w:val="bottom"/>
          </w:tcPr>
          <w:p>
            <w:pPr>
              <w:spacing w:after="0"/>
              <w:rPr>
                <w:sz w:val="11"/>
                <w:szCs w:val="11"/>
                <w:color w:val="auto"/>
              </w:rPr>
            </w:pPr>
          </w:p>
        </w:tc>
        <w:tc>
          <w:tcPr>
            <w:tcW w:w="960" w:type="dxa"/>
            <w:vAlign w:val="bottom"/>
            <w:gridSpan w:val="2"/>
          </w:tcPr>
          <w:p>
            <w:pPr>
              <w:spacing w:after="0" w:line="129" w:lineRule="exact"/>
              <w:rPr>
                <w:sz w:val="20"/>
                <w:szCs w:val="20"/>
                <w:color w:val="auto"/>
              </w:rPr>
            </w:pPr>
            <w:r>
              <w:rPr>
                <w:rFonts w:ascii="Arial" w:cs="Arial" w:eastAsia="Arial" w:hAnsi="Arial"/>
                <w:sz w:val="14"/>
                <w:szCs w:val="14"/>
                <w:b w:val="1"/>
                <w:bCs w:val="1"/>
                <w:color w:val="auto"/>
                <w:w w:val="90"/>
              </w:rPr>
              <w:t>January 1, 2009</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6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540" w:type="dxa"/>
            <w:vAlign w:val="bottom"/>
            <w:gridSpan w:val="2"/>
          </w:tcPr>
          <w:p>
            <w:pPr>
              <w:jc w:val="right"/>
              <w:ind w:right="820"/>
              <w:spacing w:after="0" w:line="149" w:lineRule="exact"/>
              <w:rPr>
                <w:sz w:val="20"/>
                <w:szCs w:val="20"/>
                <w:color w:val="auto"/>
              </w:rPr>
            </w:pPr>
            <w:r>
              <w:rPr>
                <w:rFonts w:ascii="Arial" w:cs="Arial" w:eastAsia="Arial" w:hAnsi="Arial"/>
                <w:sz w:val="14"/>
                <w:szCs w:val="14"/>
                <w:b w:val="1"/>
                <w:bCs w:val="1"/>
                <w:color w:val="auto"/>
              </w:rPr>
              <w:t>Ended</w:t>
            </w:r>
          </w:p>
        </w:tc>
        <w:tc>
          <w:tcPr>
            <w:tcW w:w="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540" w:type="dxa"/>
            <w:vAlign w:val="bottom"/>
            <w:gridSpan w:val="2"/>
          </w:tcPr>
          <w:p>
            <w:pPr>
              <w:jc w:val="right"/>
              <w:ind w:right="840"/>
              <w:spacing w:after="0" w:line="149" w:lineRule="exact"/>
              <w:rPr>
                <w:sz w:val="20"/>
                <w:szCs w:val="20"/>
                <w:color w:val="auto"/>
              </w:rPr>
            </w:pPr>
            <w:r>
              <w:rPr>
                <w:rFonts w:ascii="Arial" w:cs="Arial" w:eastAsia="Arial" w:hAnsi="Arial"/>
                <w:sz w:val="14"/>
                <w:szCs w:val="14"/>
                <w:b w:val="1"/>
                <w:bCs w:val="1"/>
                <w:color w:val="auto"/>
              </w:rPr>
              <w:t>Ended</w:t>
            </w:r>
          </w:p>
        </w:tc>
        <w:tc>
          <w:tcPr>
            <w:tcW w:w="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720" w:type="dxa"/>
            <w:vAlign w:val="bottom"/>
            <w:tcBorders>
              <w:right w:val="single" w:sz="8" w:color="auto"/>
            </w:tcBorders>
            <w:gridSpan w:val="2"/>
          </w:tcPr>
          <w:p>
            <w:pPr>
              <w:jc w:val="right"/>
              <w:ind w:right="1000"/>
              <w:spacing w:after="0" w:line="149" w:lineRule="exact"/>
              <w:rPr>
                <w:sz w:val="20"/>
                <w:szCs w:val="20"/>
                <w:color w:val="auto"/>
              </w:rPr>
            </w:pPr>
            <w:r>
              <w:rPr>
                <w:rFonts w:ascii="Arial" w:cs="Arial" w:eastAsia="Arial" w:hAnsi="Arial"/>
                <w:sz w:val="14"/>
                <w:szCs w:val="14"/>
                <w:b w:val="1"/>
                <w:bCs w:val="1"/>
                <w:color w:val="auto"/>
              </w:rPr>
              <w:t>Through</w:t>
            </w:r>
          </w:p>
        </w:tc>
        <w:tc>
          <w:tcPr>
            <w:tcW w:w="3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20" w:type="dxa"/>
            <w:vAlign w:val="bottom"/>
            <w:gridSpan w:val="2"/>
          </w:tcPr>
          <w:p>
            <w:pPr>
              <w:jc w:val="right"/>
              <w:ind w:right="460"/>
              <w:spacing w:after="0" w:line="149" w:lineRule="exact"/>
              <w:rPr>
                <w:sz w:val="20"/>
                <w:szCs w:val="20"/>
                <w:color w:val="auto"/>
              </w:rPr>
            </w:pPr>
            <w:r>
              <w:rPr>
                <w:rFonts w:ascii="Arial" w:cs="Arial" w:eastAsia="Arial" w:hAnsi="Arial"/>
                <w:sz w:val="14"/>
                <w:szCs w:val="14"/>
                <w:b w:val="1"/>
                <w:bCs w:val="1"/>
                <w:color w:val="auto"/>
                <w:w w:val="95"/>
              </w:rPr>
              <w:t>Through</w:t>
            </w: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80" w:type="dxa"/>
            <w:vAlign w:val="bottom"/>
            <w:gridSpan w:val="2"/>
          </w:tcPr>
          <w:p>
            <w:pPr>
              <w:jc w:val="right"/>
              <w:ind w:right="340"/>
              <w:spacing w:after="0" w:line="149" w:lineRule="exact"/>
              <w:rPr>
                <w:sz w:val="20"/>
                <w:szCs w:val="20"/>
                <w:color w:val="auto"/>
              </w:rPr>
            </w:pPr>
            <w:r>
              <w:rPr>
                <w:rFonts w:ascii="Arial" w:cs="Arial" w:eastAsia="Arial" w:hAnsi="Arial"/>
                <w:sz w:val="14"/>
                <w:szCs w:val="14"/>
                <w:b w:val="1"/>
                <w:bCs w:val="1"/>
                <w:color w:val="auto"/>
                <w:w w:val="91"/>
              </w:rPr>
              <w:t>Through</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1760" w:type="dxa"/>
            <w:vAlign w:val="bottom"/>
            <w:gridSpan w:val="3"/>
          </w:tcPr>
          <w:p>
            <w:pPr>
              <w:spacing w:after="0"/>
              <w:rPr>
                <w:sz w:val="20"/>
                <w:szCs w:val="20"/>
                <w:color w:val="auto"/>
              </w:rPr>
            </w:pPr>
            <w:r>
              <w:rPr>
                <w:rFonts w:ascii="Arial" w:cs="Arial" w:eastAsia="Arial" w:hAnsi="Arial"/>
                <w:sz w:val="14"/>
                <w:szCs w:val="14"/>
                <w:b w:val="1"/>
                <w:bCs w:val="1"/>
                <w:color w:val="auto"/>
              </w:rPr>
              <w:t>September 30, 2010 (a)(b)</w:t>
            </w:r>
          </w:p>
        </w:tc>
        <w:tc>
          <w:tcPr>
            <w:tcW w:w="220" w:type="dxa"/>
            <w:vAlign w:val="bottom"/>
          </w:tcPr>
          <w:p>
            <w:pPr>
              <w:spacing w:after="0"/>
              <w:rPr>
                <w:sz w:val="14"/>
                <w:szCs w:val="14"/>
                <w:color w:val="auto"/>
              </w:rPr>
            </w:pPr>
          </w:p>
        </w:tc>
        <w:tc>
          <w:tcPr>
            <w:tcW w:w="1760" w:type="dxa"/>
            <w:vAlign w:val="bottom"/>
            <w:gridSpan w:val="3"/>
          </w:tcPr>
          <w:p>
            <w:pPr>
              <w:spacing w:after="0"/>
              <w:rPr>
                <w:sz w:val="20"/>
                <w:szCs w:val="20"/>
                <w:color w:val="auto"/>
              </w:rPr>
            </w:pPr>
            <w:r>
              <w:rPr>
                <w:rFonts w:ascii="Arial" w:cs="Arial" w:eastAsia="Arial" w:hAnsi="Arial"/>
                <w:sz w:val="14"/>
                <w:szCs w:val="14"/>
                <w:b w:val="1"/>
                <w:bCs w:val="1"/>
                <w:color w:val="auto"/>
              </w:rPr>
              <w:t>September 30, 2010 (a)(b)</w:t>
            </w:r>
          </w:p>
        </w:tc>
        <w:tc>
          <w:tcPr>
            <w:tcW w:w="200" w:type="dxa"/>
            <w:vAlign w:val="bottom"/>
          </w:tcPr>
          <w:p>
            <w:pPr>
              <w:spacing w:after="0"/>
              <w:rPr>
                <w:sz w:val="14"/>
                <w:szCs w:val="14"/>
                <w:color w:val="auto"/>
              </w:rPr>
            </w:pPr>
          </w:p>
        </w:tc>
        <w:tc>
          <w:tcPr>
            <w:tcW w:w="1920" w:type="dxa"/>
            <w:vAlign w:val="bottom"/>
            <w:tcBorders>
              <w:right w:val="single" w:sz="8" w:color="auto"/>
            </w:tcBorders>
            <w:gridSpan w:val="3"/>
          </w:tcPr>
          <w:p>
            <w:pPr>
              <w:spacing w:after="0"/>
              <w:rPr>
                <w:sz w:val="20"/>
                <w:szCs w:val="20"/>
                <w:color w:val="auto"/>
              </w:rPr>
            </w:pPr>
            <w:r>
              <w:rPr>
                <w:rFonts w:ascii="Arial" w:cs="Arial" w:eastAsia="Arial" w:hAnsi="Arial"/>
                <w:sz w:val="14"/>
                <w:szCs w:val="14"/>
                <w:b w:val="1"/>
                <w:bCs w:val="1"/>
                <w:color w:val="auto"/>
              </w:rPr>
              <w:t>September 30, 2009 (a)</w:t>
            </w:r>
          </w:p>
        </w:tc>
        <w:tc>
          <w:tcPr>
            <w:tcW w:w="1520" w:type="dxa"/>
            <w:vAlign w:val="bottom"/>
            <w:gridSpan w:val="4"/>
          </w:tcPr>
          <w:p>
            <w:pPr>
              <w:ind w:left="360"/>
              <w:spacing w:after="0"/>
              <w:rPr>
                <w:sz w:val="20"/>
                <w:szCs w:val="20"/>
                <w:color w:val="auto"/>
              </w:rPr>
            </w:pPr>
            <w:r>
              <w:rPr>
                <w:rFonts w:ascii="Arial" w:cs="Arial" w:eastAsia="Arial" w:hAnsi="Arial"/>
                <w:sz w:val="14"/>
                <w:szCs w:val="14"/>
                <w:b w:val="1"/>
                <w:bCs w:val="1"/>
                <w:color w:val="auto"/>
              </w:rPr>
              <w:t>July 9, 2009 (a)</w:t>
            </w:r>
          </w:p>
        </w:tc>
        <w:tc>
          <w:tcPr>
            <w:tcW w:w="220" w:type="dxa"/>
            <w:vAlign w:val="bottom"/>
          </w:tcPr>
          <w:p>
            <w:pPr>
              <w:spacing w:after="0"/>
              <w:rPr>
                <w:sz w:val="14"/>
                <w:szCs w:val="14"/>
                <w:color w:val="auto"/>
              </w:rPr>
            </w:pPr>
          </w:p>
        </w:tc>
        <w:tc>
          <w:tcPr>
            <w:tcW w:w="1060" w:type="dxa"/>
            <w:vAlign w:val="bottom"/>
            <w:gridSpan w:val="3"/>
          </w:tcPr>
          <w:p>
            <w:pPr>
              <w:jc w:val="right"/>
              <w:ind w:right="140"/>
              <w:spacing w:after="0"/>
              <w:rPr>
                <w:sz w:val="20"/>
                <w:szCs w:val="20"/>
                <w:color w:val="auto"/>
              </w:rPr>
            </w:pPr>
            <w:r>
              <w:rPr>
                <w:rFonts w:ascii="Arial" w:cs="Arial" w:eastAsia="Arial" w:hAnsi="Arial"/>
                <w:sz w:val="14"/>
                <w:szCs w:val="14"/>
                <w:b w:val="1"/>
                <w:bCs w:val="1"/>
                <w:color w:val="auto"/>
                <w:w w:val="90"/>
              </w:rPr>
              <w:t>July 9, 2009 (a)</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580" w:type="dxa"/>
            <w:vAlign w:val="bottom"/>
            <w:tcBorders>
              <w:right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27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sales and revenue</w:t>
            </w:r>
          </w:p>
        </w:tc>
        <w:tc>
          <w:tcPr>
            <w:tcW w:w="2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190</w:t>
            </w:r>
          </w:p>
        </w:tc>
        <w:tc>
          <w:tcPr>
            <w:tcW w:w="280" w:type="dxa"/>
            <w:vAlign w:val="bottom"/>
            <w:shd w:val="clear" w:color="auto" w:fill="CCEEFF"/>
          </w:tcPr>
          <w:p>
            <w:pPr>
              <w:spacing w:after="0"/>
              <w:rPr>
                <w:sz w:val="18"/>
                <w:szCs w:val="18"/>
                <w:color w:val="auto"/>
              </w:rPr>
            </w:pPr>
          </w:p>
        </w:tc>
        <w:tc>
          <w:tcPr>
            <w:tcW w:w="44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560</w:t>
            </w:r>
          </w:p>
        </w:tc>
        <w:tc>
          <w:tcPr>
            <w:tcW w:w="280" w:type="dxa"/>
            <w:vAlign w:val="bottom"/>
            <w:shd w:val="clear" w:color="auto" w:fill="CCEEFF"/>
          </w:tcPr>
          <w:p>
            <w:pPr>
              <w:spacing w:after="0"/>
              <w:rPr>
                <w:sz w:val="18"/>
                <w:szCs w:val="18"/>
                <w:color w:val="auto"/>
              </w:rPr>
            </w:pPr>
          </w:p>
        </w:tc>
        <w:tc>
          <w:tcPr>
            <w:tcW w:w="40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1720" w:type="dxa"/>
            <w:vAlign w:val="bottom"/>
            <w:tcBorders>
              <w:right w:val="single" w:sz="8" w:color="auto"/>
            </w:tcBorders>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19</w:t>
            </w:r>
          </w:p>
        </w:tc>
        <w:tc>
          <w:tcPr>
            <w:tcW w:w="50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280" w:type="dxa"/>
            <w:vAlign w:val="bottom"/>
            <w:shd w:val="clear" w:color="auto" w:fill="CCEEFF"/>
          </w:tcPr>
          <w:p>
            <w:pPr>
              <w:spacing w:after="0"/>
              <w:rPr>
                <w:sz w:val="18"/>
                <w:szCs w:val="18"/>
                <w:color w:val="auto"/>
              </w:rPr>
            </w:pPr>
          </w:p>
        </w:tc>
        <w:tc>
          <w:tcPr>
            <w:tcW w:w="40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40" w:type="dxa"/>
            <w:vAlign w:val="bottom"/>
            <w:gridSpan w:val="2"/>
          </w:tcPr>
          <w:p>
            <w:pPr>
              <w:spacing w:after="0"/>
              <w:rPr>
                <w:sz w:val="20"/>
                <w:szCs w:val="20"/>
                <w:color w:val="auto"/>
              </w:rPr>
            </w:pPr>
            <w:r>
              <w:rPr>
                <w:rFonts w:ascii="Arial" w:cs="Arial" w:eastAsia="Arial" w:hAnsi="Arial"/>
                <w:sz w:val="18"/>
                <w:szCs w:val="18"/>
                <w:color w:val="auto"/>
              </w:rPr>
              <w:t>Cost of sales</w:t>
            </w:r>
          </w:p>
        </w:tc>
        <w:tc>
          <w:tcPr>
            <w:tcW w:w="22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165</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452</w:t>
            </w: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720" w:type="dxa"/>
            <w:vAlign w:val="bottom"/>
            <w:tcBorders>
              <w:right w:val="single" w:sz="8" w:color="auto"/>
            </w:tcBorders>
            <w:gridSpan w:val="2"/>
          </w:tcPr>
          <w:p>
            <w:pPr>
              <w:jc w:val="right"/>
              <w:ind w:right="540"/>
              <w:spacing w:after="0"/>
              <w:rPr>
                <w:sz w:val="20"/>
                <w:szCs w:val="20"/>
                <w:color w:val="auto"/>
              </w:rPr>
            </w:pPr>
            <w:r>
              <w:rPr>
                <w:rFonts w:ascii="Arial" w:cs="Arial" w:eastAsia="Arial" w:hAnsi="Arial"/>
                <w:sz w:val="18"/>
                <w:szCs w:val="18"/>
                <w:color w:val="auto"/>
              </w:rPr>
              <w:t>(1)</w:t>
            </w:r>
          </w:p>
        </w:tc>
        <w:tc>
          <w:tcPr>
            <w:tcW w:w="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(7)</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gridSpan w:val="2"/>
          </w:tcPr>
          <w:p>
            <w:pPr>
              <w:jc w:val="right"/>
              <w:ind w:right="4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27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Selling, general and</w:t>
            </w:r>
          </w:p>
        </w:tc>
        <w:tc>
          <w:tcPr>
            <w:tcW w:w="22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580" w:type="dxa"/>
            <w:vAlign w:val="bottom"/>
            <w:tcBorders>
              <w:right w:val="single" w:sz="8" w:color="auto"/>
            </w:tcBorders>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274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administrative expense</w:t>
            </w:r>
          </w:p>
        </w:tc>
        <w:tc>
          <w:tcPr>
            <w:tcW w:w="22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2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2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720" w:type="dxa"/>
            <w:vAlign w:val="bottom"/>
            <w:tcBorders>
              <w:right w:val="single" w:sz="8" w:color="auto"/>
            </w:tcBorders>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8</w:t>
            </w:r>
          </w:p>
        </w:tc>
        <w:tc>
          <w:tcPr>
            <w:tcW w:w="3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(23)</w:t>
            </w:r>
          </w:p>
        </w:tc>
        <w:tc>
          <w:tcPr>
            <w:tcW w:w="2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40" w:type="dxa"/>
            <w:vAlign w:val="bottom"/>
            <w:gridSpan w:val="2"/>
          </w:tcPr>
          <w:p>
            <w:pPr>
              <w:spacing w:after="0"/>
              <w:rPr>
                <w:sz w:val="20"/>
                <w:szCs w:val="20"/>
                <w:color w:val="auto"/>
              </w:rPr>
            </w:pPr>
            <w:r>
              <w:rPr>
                <w:rFonts w:ascii="Arial" w:cs="Arial" w:eastAsia="Arial" w:hAnsi="Arial"/>
                <w:sz w:val="18"/>
                <w:szCs w:val="18"/>
                <w:color w:val="auto"/>
              </w:rPr>
              <w:t>Other expenses, net</w:t>
            </w:r>
          </w:p>
        </w:tc>
        <w:tc>
          <w:tcPr>
            <w:tcW w:w="220" w:type="dxa"/>
            <w:vAlign w:val="bottom"/>
          </w:tcPr>
          <w:p>
            <w:pPr>
              <w:spacing w:after="0"/>
              <w:rPr>
                <w:sz w:val="18"/>
                <w:szCs w:val="18"/>
                <w:color w:val="auto"/>
              </w:rPr>
            </w:pPr>
          </w:p>
        </w:tc>
        <w:tc>
          <w:tcPr>
            <w:tcW w:w="154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2</w:t>
            </w: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720" w:type="dxa"/>
            <w:vAlign w:val="bottom"/>
            <w:tcBorders>
              <w:right w:val="single" w:sz="8" w:color="auto"/>
            </w:tcBorders>
            <w:gridSpan w:val="2"/>
          </w:tcPr>
          <w:p>
            <w:pPr>
              <w:jc w:val="right"/>
              <w:ind w:right="580"/>
              <w:spacing w:after="0"/>
              <w:rPr>
                <w:sz w:val="20"/>
                <w:szCs w:val="20"/>
                <w:color w:val="auto"/>
              </w:rPr>
            </w:pPr>
            <w:r>
              <w:rPr>
                <w:rFonts w:ascii="Arial" w:cs="Arial" w:eastAsia="Arial" w:hAnsi="Arial"/>
                <w:sz w:val="18"/>
                <w:szCs w:val="18"/>
                <w:color w:val="auto"/>
              </w:rPr>
              <w:t>1</w:t>
            </w:r>
          </w:p>
        </w:tc>
        <w:tc>
          <w:tcPr>
            <w:tcW w:w="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8</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Interest expense</w:t>
            </w:r>
          </w:p>
        </w:tc>
        <w:tc>
          <w:tcPr>
            <w:tcW w:w="22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720" w:type="dxa"/>
            <w:vAlign w:val="bottom"/>
            <w:tcBorders>
              <w:right w:val="single" w:sz="8" w:color="auto"/>
            </w:tcBorders>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14</w:t>
            </w:r>
          </w:p>
        </w:tc>
        <w:tc>
          <w:tcPr>
            <w:tcW w:w="3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2740" w:type="dxa"/>
            <w:vAlign w:val="bottom"/>
            <w:gridSpan w:val="2"/>
          </w:tcPr>
          <w:p>
            <w:pPr>
              <w:spacing w:after="0"/>
              <w:rPr>
                <w:sz w:val="20"/>
                <w:szCs w:val="20"/>
                <w:color w:val="auto"/>
              </w:rPr>
            </w:pPr>
            <w:r>
              <w:rPr>
                <w:rFonts w:ascii="Arial" w:cs="Arial" w:eastAsia="Arial" w:hAnsi="Arial"/>
                <w:sz w:val="18"/>
                <w:szCs w:val="18"/>
                <w:color w:val="auto"/>
              </w:rPr>
              <w:t>Interest (income) and other non-</w:t>
            </w:r>
          </w:p>
        </w:tc>
        <w:tc>
          <w:tcPr>
            <w:tcW w:w="2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580" w:type="dxa"/>
            <w:vAlign w:val="bottom"/>
            <w:tcBorders>
              <w:right w:val="single" w:sz="8" w:color="auto"/>
            </w:tcBorders>
          </w:tcPr>
          <w:p>
            <w:pPr>
              <w:spacing w:after="0"/>
              <w:rPr>
                <w:sz w:val="18"/>
                <w:szCs w:val="18"/>
                <w:color w:val="auto"/>
              </w:rPr>
            </w:pPr>
          </w:p>
        </w:tc>
        <w:tc>
          <w:tcPr>
            <w:tcW w:w="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2740" w:type="dxa"/>
            <w:vAlign w:val="bottom"/>
            <w:gridSpan w:val="2"/>
          </w:tcPr>
          <w:p>
            <w:pPr>
              <w:ind w:left="200"/>
              <w:spacing w:after="0"/>
              <w:rPr>
                <w:sz w:val="20"/>
                <w:szCs w:val="20"/>
                <w:color w:val="auto"/>
              </w:rPr>
            </w:pPr>
            <w:r>
              <w:rPr>
                <w:rFonts w:ascii="Arial" w:cs="Arial" w:eastAsia="Arial" w:hAnsi="Arial"/>
                <w:sz w:val="18"/>
                <w:szCs w:val="18"/>
                <w:color w:val="auto"/>
              </w:rPr>
              <w:t>operating (income), net</w:t>
            </w:r>
          </w:p>
        </w:tc>
        <w:tc>
          <w:tcPr>
            <w:tcW w:w="220" w:type="dxa"/>
            <w:vAlign w:val="bottom"/>
          </w:tcPr>
          <w:p>
            <w:pPr>
              <w:spacing w:after="0"/>
              <w:rPr>
                <w:sz w:val="19"/>
                <w:szCs w:val="19"/>
                <w:color w:val="auto"/>
              </w:rPr>
            </w:pPr>
          </w:p>
        </w:tc>
        <w:tc>
          <w:tcPr>
            <w:tcW w:w="1540" w:type="dxa"/>
            <w:vAlign w:val="bottom"/>
            <w:gridSpan w:val="2"/>
          </w:tcPr>
          <w:p>
            <w:pPr>
              <w:jc w:val="right"/>
              <w:ind w:right="220"/>
              <w:spacing w:after="0"/>
              <w:rPr>
                <w:sz w:val="20"/>
                <w:szCs w:val="20"/>
                <w:color w:val="auto"/>
              </w:rPr>
            </w:pPr>
            <w:r>
              <w:rPr>
                <w:rFonts w:ascii="Arial" w:cs="Arial" w:eastAsia="Arial" w:hAnsi="Arial"/>
                <w:sz w:val="18"/>
                <w:szCs w:val="18"/>
                <w:color w:val="auto"/>
              </w:rPr>
              <w:t>(1)</w:t>
            </w: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540" w:type="dxa"/>
            <w:vAlign w:val="bottom"/>
            <w:gridSpan w:val="2"/>
          </w:tcPr>
          <w:p>
            <w:pPr>
              <w:jc w:val="right"/>
              <w:ind w:right="220"/>
              <w:spacing w:after="0"/>
              <w:rPr>
                <w:sz w:val="20"/>
                <w:szCs w:val="20"/>
                <w:color w:val="auto"/>
              </w:rPr>
            </w:pPr>
            <w:r>
              <w:rPr>
                <w:rFonts w:ascii="Arial" w:cs="Arial" w:eastAsia="Arial" w:hAnsi="Arial"/>
                <w:sz w:val="18"/>
                <w:szCs w:val="18"/>
                <w:color w:val="auto"/>
              </w:rPr>
              <w:t>(4)</w:t>
            </w: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720" w:type="dxa"/>
            <w:vAlign w:val="bottom"/>
            <w:tcBorders>
              <w:right w:val="single" w:sz="8" w:color="auto"/>
            </w:tcBorders>
            <w:gridSpan w:val="2"/>
          </w:tcPr>
          <w:p>
            <w:pPr>
              <w:jc w:val="right"/>
              <w:ind w:right="58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2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27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Reorganization expenses, net</w:t>
            </w:r>
          </w:p>
        </w:tc>
        <w:tc>
          <w:tcPr>
            <w:tcW w:w="22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720" w:type="dxa"/>
            <w:vAlign w:val="bottom"/>
            <w:tcBorders>
              <w:right w:val="single" w:sz="8" w:color="auto"/>
            </w:tcBorders>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40" w:type="dxa"/>
            <w:vAlign w:val="bottom"/>
            <w:gridSpan w:val="2"/>
          </w:tcPr>
          <w:p>
            <w:pPr>
              <w:spacing w:after="0"/>
              <w:rPr>
                <w:sz w:val="20"/>
                <w:szCs w:val="20"/>
                <w:color w:val="auto"/>
              </w:rPr>
            </w:pPr>
            <w:r>
              <w:rPr>
                <w:rFonts w:ascii="Arial" w:cs="Arial" w:eastAsia="Arial" w:hAnsi="Arial"/>
                <w:sz w:val="18"/>
                <w:szCs w:val="18"/>
                <w:color w:val="auto"/>
              </w:rPr>
              <w:t>Income tax expense</w:t>
            </w:r>
          </w:p>
        </w:tc>
        <w:tc>
          <w:tcPr>
            <w:tcW w:w="22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2</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10</w:t>
            </w: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w:t>
            </w:r>
          </w:p>
        </w:tc>
        <w:tc>
          <w:tcPr>
            <w:tcW w:w="580" w:type="dxa"/>
            <w:vAlign w:val="bottom"/>
            <w:tcBorders>
              <w:right w:val="single" w:sz="8" w:color="auto"/>
            </w:tcBorders>
          </w:tcPr>
          <w:p>
            <w:pPr>
              <w:spacing w:after="0"/>
              <w:rPr>
                <w:sz w:val="18"/>
                <w:szCs w:val="18"/>
                <w:color w:val="auto"/>
              </w:rPr>
            </w:pPr>
          </w:p>
        </w:tc>
        <w:tc>
          <w:tcPr>
            <w:tcW w:w="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1140" w:type="dxa"/>
            <w:vAlign w:val="bottom"/>
          </w:tcPr>
          <w:p>
            <w:pPr>
              <w:spacing w:after="0"/>
              <w:rPr>
                <w:sz w:val="2"/>
                <w:szCs w:val="2"/>
                <w:color w:val="auto"/>
              </w:rPr>
            </w:pPr>
          </w:p>
        </w:tc>
        <w:tc>
          <w:tcPr>
            <w:tcW w:w="160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126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126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0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580" w:type="dxa"/>
            <w:vAlign w:val="bottom"/>
            <w:tcBorders>
              <w:right w:val="single" w:sz="8" w:color="auto"/>
            </w:tcBorders>
          </w:tcPr>
          <w:p>
            <w:pPr>
              <w:spacing w:after="0"/>
              <w:rPr>
                <w:sz w:val="2"/>
                <w:szCs w:val="2"/>
                <w:color w:val="auto"/>
              </w:rPr>
            </w:pPr>
          </w:p>
        </w:tc>
        <w:tc>
          <w:tcPr>
            <w:tcW w:w="3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27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income (loss)</w:t>
            </w:r>
          </w:p>
        </w:tc>
        <w:tc>
          <w:tcPr>
            <w:tcW w:w="2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280" w:type="dxa"/>
            <w:vAlign w:val="bottom"/>
            <w:shd w:val="clear" w:color="auto" w:fill="CCEEFF"/>
          </w:tcPr>
          <w:p>
            <w:pPr>
              <w:spacing w:after="0"/>
              <w:rPr>
                <w:sz w:val="18"/>
                <w:szCs w:val="18"/>
                <w:color w:val="auto"/>
              </w:rPr>
            </w:pPr>
          </w:p>
        </w:tc>
        <w:tc>
          <w:tcPr>
            <w:tcW w:w="44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w:t>
            </w:r>
          </w:p>
        </w:tc>
        <w:tc>
          <w:tcPr>
            <w:tcW w:w="280" w:type="dxa"/>
            <w:vAlign w:val="bottom"/>
            <w:shd w:val="clear" w:color="auto" w:fill="CCEEFF"/>
          </w:tcPr>
          <w:p>
            <w:pPr>
              <w:spacing w:after="0"/>
              <w:rPr>
                <w:sz w:val="18"/>
                <w:szCs w:val="18"/>
                <w:color w:val="auto"/>
              </w:rPr>
            </w:pPr>
          </w:p>
        </w:tc>
        <w:tc>
          <w:tcPr>
            <w:tcW w:w="40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1720" w:type="dxa"/>
            <w:vAlign w:val="bottom"/>
            <w:tcBorders>
              <w:right w:val="single" w:sz="8" w:color="auto"/>
            </w:tcBorders>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(3)</w:t>
            </w:r>
          </w:p>
        </w:tc>
        <w:tc>
          <w:tcPr>
            <w:tcW w:w="50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(24)</w:t>
            </w:r>
          </w:p>
        </w:tc>
        <w:tc>
          <w:tcPr>
            <w:tcW w:w="40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right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2"/>
        </w:trPr>
        <w:tc>
          <w:tcPr>
            <w:tcW w:w="20" w:type="dxa"/>
            <w:vAlign w:val="bottom"/>
          </w:tcPr>
          <w:p>
            <w:pPr>
              <w:spacing w:after="0"/>
              <w:rPr>
                <w:sz w:val="8"/>
                <w:szCs w:val="8"/>
                <w:color w:val="auto"/>
              </w:rPr>
            </w:pPr>
          </w:p>
        </w:tc>
        <w:tc>
          <w:tcPr>
            <w:tcW w:w="1140" w:type="dxa"/>
            <w:vAlign w:val="bottom"/>
            <w:tcBorders>
              <w:bottom w:val="single" w:sz="8" w:color="auto"/>
            </w:tcBorders>
          </w:tcPr>
          <w:p>
            <w:pPr>
              <w:spacing w:after="0"/>
              <w:rPr>
                <w:sz w:val="8"/>
                <w:szCs w:val="8"/>
                <w:color w:val="auto"/>
              </w:rPr>
            </w:pPr>
          </w:p>
        </w:tc>
        <w:tc>
          <w:tcPr>
            <w:tcW w:w="1600" w:type="dxa"/>
            <w:vAlign w:val="bottom"/>
          </w:tcPr>
          <w:p>
            <w:pPr>
              <w:spacing w:after="0"/>
              <w:rPr>
                <w:sz w:val="8"/>
                <w:szCs w:val="8"/>
                <w:color w:val="auto"/>
              </w:rPr>
            </w:pPr>
          </w:p>
        </w:tc>
        <w:tc>
          <w:tcPr>
            <w:tcW w:w="220" w:type="dxa"/>
            <w:vAlign w:val="bottom"/>
          </w:tcPr>
          <w:p>
            <w:pPr>
              <w:spacing w:after="0"/>
              <w:rPr>
                <w:sz w:val="8"/>
                <w:szCs w:val="8"/>
                <w:color w:val="auto"/>
              </w:rPr>
            </w:pPr>
          </w:p>
        </w:tc>
        <w:tc>
          <w:tcPr>
            <w:tcW w:w="1260" w:type="dxa"/>
            <w:vAlign w:val="bottom"/>
          </w:tcPr>
          <w:p>
            <w:pPr>
              <w:spacing w:after="0"/>
              <w:rPr>
                <w:sz w:val="8"/>
                <w:szCs w:val="8"/>
                <w:color w:val="auto"/>
              </w:rPr>
            </w:pPr>
          </w:p>
        </w:tc>
        <w:tc>
          <w:tcPr>
            <w:tcW w:w="280" w:type="dxa"/>
            <w:vAlign w:val="bottom"/>
          </w:tcPr>
          <w:p>
            <w:pPr>
              <w:spacing w:after="0"/>
              <w:rPr>
                <w:sz w:val="8"/>
                <w:szCs w:val="8"/>
                <w:color w:val="auto"/>
              </w:rPr>
            </w:pPr>
          </w:p>
        </w:tc>
        <w:tc>
          <w:tcPr>
            <w:tcW w:w="220" w:type="dxa"/>
            <w:vAlign w:val="bottom"/>
          </w:tcPr>
          <w:p>
            <w:pPr>
              <w:spacing w:after="0"/>
              <w:rPr>
                <w:sz w:val="8"/>
                <w:szCs w:val="8"/>
                <w:color w:val="auto"/>
              </w:rPr>
            </w:pPr>
          </w:p>
        </w:tc>
        <w:tc>
          <w:tcPr>
            <w:tcW w:w="220" w:type="dxa"/>
            <w:vAlign w:val="bottom"/>
          </w:tcPr>
          <w:p>
            <w:pPr>
              <w:spacing w:after="0"/>
              <w:rPr>
                <w:sz w:val="8"/>
                <w:szCs w:val="8"/>
                <w:color w:val="auto"/>
              </w:rPr>
            </w:pPr>
          </w:p>
        </w:tc>
        <w:tc>
          <w:tcPr>
            <w:tcW w:w="1260" w:type="dxa"/>
            <w:vAlign w:val="bottom"/>
          </w:tcPr>
          <w:p>
            <w:pPr>
              <w:spacing w:after="0"/>
              <w:rPr>
                <w:sz w:val="8"/>
                <w:szCs w:val="8"/>
                <w:color w:val="auto"/>
              </w:rPr>
            </w:pPr>
          </w:p>
        </w:tc>
        <w:tc>
          <w:tcPr>
            <w:tcW w:w="280" w:type="dxa"/>
            <w:vAlign w:val="bottom"/>
          </w:tcPr>
          <w:p>
            <w:pPr>
              <w:spacing w:after="0"/>
              <w:rPr>
                <w:sz w:val="8"/>
                <w:szCs w:val="8"/>
                <w:color w:val="auto"/>
              </w:rPr>
            </w:pPr>
          </w:p>
        </w:tc>
        <w:tc>
          <w:tcPr>
            <w:tcW w:w="200" w:type="dxa"/>
            <w:vAlign w:val="bottom"/>
          </w:tcPr>
          <w:p>
            <w:pPr>
              <w:spacing w:after="0"/>
              <w:rPr>
                <w:sz w:val="8"/>
                <w:szCs w:val="8"/>
                <w:color w:val="auto"/>
              </w:rPr>
            </w:pPr>
          </w:p>
        </w:tc>
        <w:tc>
          <w:tcPr>
            <w:tcW w:w="200" w:type="dxa"/>
            <w:vAlign w:val="bottom"/>
          </w:tcPr>
          <w:p>
            <w:pPr>
              <w:spacing w:after="0"/>
              <w:rPr>
                <w:sz w:val="8"/>
                <w:szCs w:val="8"/>
                <w:color w:val="auto"/>
              </w:rPr>
            </w:pPr>
          </w:p>
        </w:tc>
        <w:tc>
          <w:tcPr>
            <w:tcW w:w="1140" w:type="dxa"/>
            <w:vAlign w:val="bottom"/>
          </w:tcPr>
          <w:p>
            <w:pPr>
              <w:spacing w:after="0"/>
              <w:rPr>
                <w:sz w:val="8"/>
                <w:szCs w:val="8"/>
                <w:color w:val="auto"/>
              </w:rPr>
            </w:pPr>
          </w:p>
        </w:tc>
        <w:tc>
          <w:tcPr>
            <w:tcW w:w="580" w:type="dxa"/>
            <w:vAlign w:val="bottom"/>
          </w:tcPr>
          <w:p>
            <w:pPr>
              <w:spacing w:after="0"/>
              <w:rPr>
                <w:sz w:val="8"/>
                <w:szCs w:val="8"/>
                <w:color w:val="auto"/>
              </w:rPr>
            </w:pPr>
          </w:p>
        </w:tc>
        <w:tc>
          <w:tcPr>
            <w:tcW w:w="360" w:type="dxa"/>
            <w:vAlign w:val="bottom"/>
          </w:tcPr>
          <w:p>
            <w:pPr>
              <w:spacing w:after="0"/>
              <w:rPr>
                <w:sz w:val="8"/>
                <w:szCs w:val="8"/>
                <w:color w:val="auto"/>
              </w:rPr>
            </w:pPr>
          </w:p>
        </w:tc>
        <w:tc>
          <w:tcPr>
            <w:tcW w:w="140" w:type="dxa"/>
            <w:vAlign w:val="bottom"/>
          </w:tcPr>
          <w:p>
            <w:pPr>
              <w:spacing w:after="0"/>
              <w:rPr>
                <w:sz w:val="8"/>
                <w:szCs w:val="8"/>
                <w:color w:val="auto"/>
              </w:rPr>
            </w:pPr>
          </w:p>
        </w:tc>
        <w:tc>
          <w:tcPr>
            <w:tcW w:w="740" w:type="dxa"/>
            <w:vAlign w:val="bottom"/>
          </w:tcPr>
          <w:p>
            <w:pPr>
              <w:spacing w:after="0"/>
              <w:rPr>
                <w:sz w:val="8"/>
                <w:szCs w:val="8"/>
                <w:color w:val="auto"/>
              </w:rPr>
            </w:pPr>
          </w:p>
        </w:tc>
        <w:tc>
          <w:tcPr>
            <w:tcW w:w="280" w:type="dxa"/>
            <w:vAlign w:val="bottom"/>
          </w:tcPr>
          <w:p>
            <w:pPr>
              <w:spacing w:after="0"/>
              <w:rPr>
                <w:sz w:val="8"/>
                <w:szCs w:val="8"/>
                <w:color w:val="auto"/>
              </w:rPr>
            </w:pPr>
          </w:p>
        </w:tc>
        <w:tc>
          <w:tcPr>
            <w:tcW w:w="220" w:type="dxa"/>
            <w:vAlign w:val="bottom"/>
          </w:tcPr>
          <w:p>
            <w:pPr>
              <w:spacing w:after="0"/>
              <w:rPr>
                <w:sz w:val="8"/>
                <w:szCs w:val="8"/>
                <w:color w:val="auto"/>
              </w:rPr>
            </w:pPr>
          </w:p>
        </w:tc>
        <w:tc>
          <w:tcPr>
            <w:tcW w:w="180" w:type="dxa"/>
            <w:vAlign w:val="bottom"/>
          </w:tcPr>
          <w:p>
            <w:pPr>
              <w:spacing w:after="0"/>
              <w:rPr>
                <w:sz w:val="8"/>
                <w:szCs w:val="8"/>
                <w:color w:val="auto"/>
              </w:rPr>
            </w:pPr>
          </w:p>
        </w:tc>
        <w:tc>
          <w:tcPr>
            <w:tcW w:w="78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19" w:lineRule="exact"/>
        <w:rPr>
          <w:sz w:val="20"/>
          <w:szCs w:val="20"/>
          <w:color w:val="auto"/>
        </w:rPr>
      </w:pPr>
    </w:p>
    <w:p>
      <w:pPr>
        <w:ind w:left="460" w:hanging="452"/>
        <w:spacing w:after="0"/>
        <w:tabs>
          <w:tab w:leader="none" w:pos="4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Amounts exclude GM Daewoo.</w:t>
      </w:r>
    </w:p>
    <w:p>
      <w:pPr>
        <w:spacing w:after="0" w:line="90" w:lineRule="exact"/>
        <w:rPr>
          <w:rFonts w:ascii="Arial" w:cs="Arial" w:eastAsia="Arial" w:hAnsi="Arial"/>
          <w:sz w:val="18"/>
          <w:szCs w:val="18"/>
          <w:color w:val="auto"/>
        </w:rPr>
      </w:pPr>
    </w:p>
    <w:p>
      <w:pPr>
        <w:jc w:val="both"/>
        <w:ind w:left="460" w:right="380" w:hanging="452"/>
        <w:spacing w:after="0" w:line="259" w:lineRule="auto"/>
        <w:tabs>
          <w:tab w:leader="none" w:pos="4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Amounts recorded in the three and nine months ended September 30, 2010 reflect our adoption of amendments to ASC 810-10 in January 2010, which resulted in the consolidation of GM Egypt. In the three and nine months ended September 30, 2010 GM Egypt recorded Net sales and revenue of $181 million and $530 million.</w:t>
      </w:r>
    </w:p>
    <w:p>
      <w:pPr>
        <w:spacing w:after="0" w:line="140"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GM Egypt</w:t>
      </w:r>
    </w:p>
    <w:p>
      <w:pPr>
        <w:spacing w:after="0" w:line="171" w:lineRule="exact"/>
        <w:rPr>
          <w:sz w:val="20"/>
          <w:szCs w:val="20"/>
          <w:color w:val="auto"/>
        </w:rPr>
      </w:pPr>
    </w:p>
    <w:p>
      <w:pPr>
        <w:ind w:right="360" w:firstLine="228"/>
        <w:spacing w:after="0" w:line="306" w:lineRule="auto"/>
        <w:rPr>
          <w:sz w:val="20"/>
          <w:szCs w:val="20"/>
          <w:color w:val="auto"/>
        </w:rPr>
      </w:pPr>
      <w:r>
        <w:rPr>
          <w:rFonts w:ascii="Arial" w:cs="Arial" w:eastAsia="Arial" w:hAnsi="Arial"/>
          <w:sz w:val="16"/>
          <w:szCs w:val="16"/>
          <w:color w:val="auto"/>
        </w:rPr>
        <w:t>GM Egypt is a 31% owned automotive manufacturing organization that was previously accounted for using the equity method. GM Egypt was founded in March 1983 to assemble and manufacture vehicles in Egypt. Certain voting and other rights permit us to direct those activities of GM Egypt that most significantly affect its economic performance. In connection with our adoption of amendments to ASC 810-10, we consolidated GM Egypt in January 2010.</w:t>
      </w:r>
    </w:p>
    <w:p>
      <w:pPr>
        <w:spacing w:after="0" w:line="107"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Receivables Program</w:t>
      </w:r>
    </w:p>
    <w:p>
      <w:pPr>
        <w:spacing w:after="0" w:line="171" w:lineRule="exact"/>
        <w:rPr>
          <w:sz w:val="20"/>
          <w:szCs w:val="20"/>
          <w:color w:val="auto"/>
        </w:rPr>
      </w:pPr>
    </w:p>
    <w:p>
      <w:pPr>
        <w:ind w:right="240" w:firstLine="228"/>
        <w:spacing w:after="0" w:line="298" w:lineRule="auto"/>
        <w:rPr>
          <w:sz w:val="20"/>
          <w:szCs w:val="20"/>
          <w:color w:val="auto"/>
        </w:rPr>
      </w:pPr>
      <w:r>
        <w:rPr>
          <w:rFonts w:ascii="Arial" w:cs="Arial" w:eastAsia="Arial" w:hAnsi="Arial"/>
          <w:sz w:val="16"/>
          <w:szCs w:val="16"/>
          <w:color w:val="auto"/>
        </w:rPr>
        <w:t>We determined that the Receivables Program was a VIE and that we and Old GM were the primary beneficiary. At December 31, 2009 our equity contributions were $55 million and the UST had outstanding loans of $150 million to the Receivables Program. In the three months ended March 31, 2010 we repaid these loans in full. The Receivables Program was terminated in accordance with its terms in April 2010. Upon termination, we shared residual capital of $25 million in the program equally with the UST and paid a termination fee of $44 million.</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Nonconsolidated VIEs</w:t>
      </w:r>
    </w:p>
    <w:p>
      <w:pPr>
        <w:spacing w:after="0" w:line="177" w:lineRule="exact"/>
        <w:rPr>
          <w:sz w:val="20"/>
          <w:szCs w:val="20"/>
          <w:color w:val="auto"/>
        </w:rPr>
      </w:pPr>
    </w:p>
    <w:p>
      <w:pPr>
        <w:ind w:right="160" w:firstLine="228"/>
        <w:spacing w:after="0" w:line="256" w:lineRule="auto"/>
        <w:rPr>
          <w:sz w:val="20"/>
          <w:szCs w:val="20"/>
          <w:color w:val="auto"/>
        </w:rPr>
      </w:pPr>
      <w:r>
        <w:rPr>
          <w:rFonts w:ascii="Arial" w:cs="Arial" w:eastAsia="Arial" w:hAnsi="Arial"/>
          <w:sz w:val="18"/>
          <w:szCs w:val="18"/>
          <w:color w:val="auto"/>
        </w:rPr>
        <w:t>VIEs that are not consolidated because we are not or Old GM was not the primary beneficiary primarily include: (1) troubled suppliers for which we provide or Old GM provided guarantees or financial support; (2) vehicle sales and marketing joint ventures that manufacture, market and sell vehicles and related services; (3) leasing entities for which residual value guarantees were made; (4) certain research entities for which annual ongoing funding requirements exist; and (5) Ally Financial.</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20"/>
          </w:cols>
          <w:pgMar w:left="240" w:top="459" w:right="239"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339" w:lineRule="exact"/>
        <w:rPr>
          <w:sz w:val="20"/>
          <w:szCs w:val="20"/>
          <w:color w:val="auto"/>
        </w:rPr>
      </w:pPr>
    </w:p>
    <w:p>
      <w:pPr>
        <w:ind w:right="280" w:firstLine="228"/>
        <w:spacing w:after="0" w:line="303" w:lineRule="auto"/>
        <w:rPr>
          <w:sz w:val="20"/>
          <w:szCs w:val="20"/>
          <w:color w:val="auto"/>
        </w:rPr>
      </w:pPr>
      <w:r>
        <w:rPr>
          <w:rFonts w:ascii="Arial" w:cs="Arial" w:eastAsia="Arial" w:hAnsi="Arial"/>
          <w:sz w:val="15"/>
          <w:szCs w:val="15"/>
          <w:color w:val="auto"/>
        </w:rPr>
        <w:t>Guarantees and financial support are provided to certain current or previously divested suppliers in order to ensure that supply needs for production are not disrupted due to a supplier’s liquidity concerns or possible shutdowns. Types of financial support that we provide and Old GM provided include, but are not limited to: (1) funding in the form of a loan; (2) guarantees of the supplier’s debt or credit facilities; (3) one-time payments to fund prior losses of the supplier;</w:t>
      </w:r>
    </w:p>
    <w:p>
      <w:pPr>
        <w:spacing w:after="0" w:line="1" w:lineRule="exact"/>
        <w:rPr>
          <w:sz w:val="20"/>
          <w:szCs w:val="20"/>
          <w:color w:val="auto"/>
        </w:rPr>
      </w:pPr>
    </w:p>
    <w:p>
      <w:pPr>
        <w:ind w:right="60" w:firstLine="8"/>
        <w:spacing w:after="0" w:line="254" w:lineRule="auto"/>
        <w:tabs>
          <w:tab w:leader="none" w:pos="249" w:val="left"/>
        </w:tabs>
        <w:numPr>
          <w:ilvl w:val="0"/>
          <w:numId w:val="16"/>
        </w:numPr>
        <w:rPr>
          <w:rFonts w:ascii="Arial" w:cs="Arial" w:eastAsia="Arial" w:hAnsi="Arial"/>
          <w:sz w:val="18"/>
          <w:szCs w:val="18"/>
          <w:color w:val="auto"/>
        </w:rPr>
      </w:pPr>
      <w:r>
        <w:rPr>
          <w:rFonts w:ascii="Arial" w:cs="Arial" w:eastAsia="Arial" w:hAnsi="Arial"/>
          <w:sz w:val="18"/>
          <w:szCs w:val="18"/>
          <w:color w:val="auto"/>
        </w:rPr>
        <w:t>indemnification agreements to fund the suppliers’ future losses or obligations; (5) agreements to provide additional funding or liquidity to the supplier in the form of price increases or changes in payment terms; and (6) assisting the supplier in finding additional investors. The maximum exposure to loss related to these VIEs is not expected to be in excess of the amount of net accounts and notes receivable recorded with the suppliers and any related guarantees and loan commitments.</w:t>
      </w:r>
    </w:p>
    <w:p>
      <w:pPr>
        <w:spacing w:after="0" w:line="144" w:lineRule="exact"/>
        <w:rPr>
          <w:sz w:val="20"/>
          <w:szCs w:val="20"/>
          <w:color w:val="auto"/>
        </w:rPr>
      </w:pPr>
    </w:p>
    <w:p>
      <w:pPr>
        <w:jc w:val="both"/>
        <w:ind w:right="100" w:firstLine="228"/>
        <w:spacing w:after="0" w:line="256" w:lineRule="auto"/>
        <w:rPr>
          <w:sz w:val="20"/>
          <w:szCs w:val="20"/>
          <w:color w:val="auto"/>
        </w:rPr>
      </w:pPr>
      <w:r>
        <w:rPr>
          <w:rFonts w:ascii="Arial" w:cs="Arial" w:eastAsia="Arial" w:hAnsi="Arial"/>
          <w:sz w:val="18"/>
          <w:szCs w:val="18"/>
          <w:color w:val="auto"/>
        </w:rPr>
        <w:t>We have and Old GM had investments in joint ventures that manufacture, market and sell vehicles in certain markets. The majority of these joint ventures are typically self-funded and financed with no contractual terms that require us to provide future financial support. However, future funding is required for HKJV, as subsequently discussed. The maximum exposure to loss is not expected to be in excess of the carrying amount of the investments recorded in Equity in net assets of nonconsolidated affiliates, and any related capital funding requirements.</w:t>
      </w:r>
    </w:p>
    <w:p>
      <w:pPr>
        <w:spacing w:after="0" w:line="143" w:lineRule="exact"/>
        <w:rPr>
          <w:sz w:val="20"/>
          <w:szCs w:val="20"/>
          <w:color w:val="auto"/>
        </w:rPr>
      </w:pPr>
    </w:p>
    <w:p>
      <w:pPr>
        <w:ind w:right="520" w:firstLine="228"/>
        <w:spacing w:after="0" w:line="268" w:lineRule="auto"/>
        <w:rPr>
          <w:sz w:val="20"/>
          <w:szCs w:val="20"/>
          <w:color w:val="auto"/>
        </w:rPr>
      </w:pPr>
      <w:r>
        <w:rPr>
          <w:rFonts w:ascii="Arial" w:cs="Arial" w:eastAsia="Arial" w:hAnsi="Arial"/>
          <w:sz w:val="18"/>
          <w:szCs w:val="18"/>
          <w:color w:val="auto"/>
        </w:rPr>
        <w:t>The following table summarizes the amounts recorded for nonconsolidated VIEs and the related off-balance sheet guarantees and maximum contractual exposure to loss, excluding Ally Financial, which is disclosed in Note 23 (dollars in millions):</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33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gridSpan w:val="2"/>
          </w:tcPr>
          <w:p>
            <w:pPr>
              <w:ind w:left="60"/>
              <w:spacing w:after="0"/>
              <w:rPr>
                <w:sz w:val="20"/>
                <w:szCs w:val="20"/>
                <w:color w:val="auto"/>
              </w:rPr>
            </w:pPr>
            <w:r>
              <w:rPr>
                <w:rFonts w:ascii="Arial" w:cs="Arial" w:eastAsia="Arial" w:hAnsi="Arial"/>
                <w:sz w:val="14"/>
                <w:szCs w:val="14"/>
                <w:b w:val="1"/>
                <w:bCs w:val="1"/>
                <w:color w:val="auto"/>
              </w:rPr>
              <w:t>Successor</w:t>
            </w:r>
          </w:p>
        </w:tc>
        <w:tc>
          <w:tcPr>
            <w:tcW w:w="36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338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360" w:type="dxa"/>
            <w:vAlign w:val="bottom"/>
            <w:tcBorders>
              <w:bottom w:val="single" w:sz="8" w:color="auto"/>
            </w:tcBorders>
          </w:tcPr>
          <w:p>
            <w:pPr>
              <w:spacing w:after="0"/>
              <w:rPr>
                <w:sz w:val="12"/>
                <w:szCs w:val="12"/>
                <w:color w:val="auto"/>
              </w:rPr>
            </w:pPr>
          </w:p>
        </w:tc>
        <w:tc>
          <w:tcPr>
            <w:tcW w:w="1640" w:type="dxa"/>
            <w:vAlign w:val="bottom"/>
            <w:tcBorders>
              <w:bottom w:val="single" w:sz="8" w:color="auto"/>
            </w:tcBorders>
            <w:gridSpan w:val="2"/>
          </w:tcPr>
          <w:p>
            <w:pPr>
              <w:ind w:left="120"/>
              <w:spacing w:after="0" w:line="142" w:lineRule="exact"/>
              <w:rPr>
                <w:sz w:val="20"/>
                <w:szCs w:val="20"/>
                <w:color w:val="auto"/>
              </w:rPr>
            </w:pPr>
            <w:r>
              <w:rPr>
                <w:rFonts w:ascii="Arial" w:cs="Arial" w:eastAsia="Arial" w:hAnsi="Arial"/>
                <w:sz w:val="14"/>
                <w:szCs w:val="14"/>
                <w:b w:val="1"/>
                <w:bCs w:val="1"/>
                <w:color w:val="auto"/>
              </w:rPr>
              <w:t>September 30, 2010</w:t>
            </w:r>
          </w:p>
        </w:tc>
        <w:tc>
          <w:tcPr>
            <w:tcW w:w="280" w:type="dxa"/>
            <w:vAlign w:val="bottom"/>
            <w:tcBorders>
              <w:bottom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360" w:type="dxa"/>
            <w:vAlign w:val="bottom"/>
            <w:tcBorders>
              <w:bottom w:val="single" w:sz="8" w:color="auto"/>
            </w:tcBorders>
          </w:tcPr>
          <w:p>
            <w:pPr>
              <w:spacing w:after="0"/>
              <w:rPr>
                <w:sz w:val="12"/>
                <w:szCs w:val="12"/>
                <w:color w:val="auto"/>
              </w:rPr>
            </w:pPr>
          </w:p>
        </w:tc>
        <w:tc>
          <w:tcPr>
            <w:tcW w:w="1640" w:type="dxa"/>
            <w:vAlign w:val="bottom"/>
            <w:tcBorders>
              <w:bottom w:val="single" w:sz="8" w:color="auto"/>
            </w:tcBorders>
            <w:gridSpan w:val="2"/>
          </w:tcPr>
          <w:p>
            <w:pPr>
              <w:ind w:left="160"/>
              <w:spacing w:after="0" w:line="142" w:lineRule="exact"/>
              <w:rPr>
                <w:sz w:val="20"/>
                <w:szCs w:val="20"/>
                <w:color w:val="auto"/>
              </w:rPr>
            </w:pPr>
            <w:r>
              <w:rPr>
                <w:rFonts w:ascii="Arial" w:cs="Arial" w:eastAsia="Arial" w:hAnsi="Arial"/>
                <w:sz w:val="14"/>
                <w:szCs w:val="14"/>
                <w:b w:val="1"/>
                <w:bCs w:val="1"/>
                <w:color w:val="auto"/>
              </w:rPr>
              <w:t>December 31, 2009</w:t>
            </w:r>
          </w:p>
        </w:tc>
        <w:tc>
          <w:tcPr>
            <w:tcW w:w="28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33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540" w:type="dxa"/>
            <w:vAlign w:val="bottom"/>
            <w:gridSpan w:val="2"/>
          </w:tcPr>
          <w:p>
            <w:pPr>
              <w:spacing w:after="0" w:line="129" w:lineRule="exact"/>
              <w:rPr>
                <w:sz w:val="20"/>
                <w:szCs w:val="20"/>
                <w:color w:val="auto"/>
              </w:rPr>
            </w:pPr>
            <w:r>
              <w:rPr>
                <w:rFonts w:ascii="Arial" w:cs="Arial" w:eastAsia="Arial" w:hAnsi="Arial"/>
                <w:sz w:val="14"/>
                <w:szCs w:val="14"/>
                <w:b w:val="1"/>
                <w:bCs w:val="1"/>
                <w:color w:val="auto"/>
                <w:w w:val="90"/>
              </w:rPr>
              <w:t>Carrying</w:t>
            </w:r>
          </w:p>
        </w:tc>
        <w:tc>
          <w:tcPr>
            <w:tcW w:w="720" w:type="dxa"/>
            <w:vAlign w:val="bottom"/>
          </w:tcPr>
          <w:p>
            <w:pPr>
              <w:spacing w:after="0"/>
              <w:rPr>
                <w:sz w:val="11"/>
                <w:szCs w:val="11"/>
                <w:color w:val="auto"/>
              </w:rPr>
            </w:pPr>
          </w:p>
        </w:tc>
        <w:tc>
          <w:tcPr>
            <w:tcW w:w="1200" w:type="dxa"/>
            <w:vAlign w:val="bottom"/>
            <w:gridSpan w:val="2"/>
          </w:tcPr>
          <w:p>
            <w:pPr>
              <w:ind w:left="20"/>
              <w:spacing w:after="0" w:line="129" w:lineRule="exact"/>
              <w:rPr>
                <w:sz w:val="20"/>
                <w:szCs w:val="20"/>
                <w:color w:val="auto"/>
              </w:rPr>
            </w:pPr>
            <w:r>
              <w:rPr>
                <w:rFonts w:ascii="Arial" w:cs="Arial" w:eastAsia="Arial" w:hAnsi="Arial"/>
                <w:sz w:val="14"/>
                <w:szCs w:val="14"/>
                <w:b w:val="1"/>
                <w:bCs w:val="1"/>
                <w:color w:val="auto"/>
                <w:w w:val="87"/>
              </w:rPr>
              <w:t>Maximum Exposure</w:t>
            </w:r>
          </w:p>
        </w:tc>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40" w:type="dxa"/>
            <w:vAlign w:val="bottom"/>
            <w:gridSpan w:val="2"/>
          </w:tcPr>
          <w:p>
            <w:pPr>
              <w:ind w:left="20"/>
              <w:spacing w:after="0" w:line="129" w:lineRule="exact"/>
              <w:rPr>
                <w:sz w:val="20"/>
                <w:szCs w:val="20"/>
                <w:color w:val="auto"/>
              </w:rPr>
            </w:pPr>
            <w:r>
              <w:rPr>
                <w:rFonts w:ascii="Arial" w:cs="Arial" w:eastAsia="Arial" w:hAnsi="Arial"/>
                <w:sz w:val="14"/>
                <w:szCs w:val="14"/>
                <w:b w:val="1"/>
                <w:bCs w:val="1"/>
                <w:color w:val="auto"/>
                <w:w w:val="86"/>
              </w:rPr>
              <w:t>Carrying</w:t>
            </w:r>
          </w:p>
        </w:tc>
        <w:tc>
          <w:tcPr>
            <w:tcW w:w="740" w:type="dxa"/>
            <w:vAlign w:val="bottom"/>
          </w:tcPr>
          <w:p>
            <w:pPr>
              <w:spacing w:after="0"/>
              <w:rPr>
                <w:sz w:val="11"/>
                <w:szCs w:val="11"/>
                <w:color w:val="auto"/>
              </w:rPr>
            </w:pPr>
          </w:p>
        </w:tc>
        <w:tc>
          <w:tcPr>
            <w:tcW w:w="1180" w:type="dxa"/>
            <w:vAlign w:val="bottom"/>
            <w:gridSpan w:val="2"/>
          </w:tcPr>
          <w:p>
            <w:pPr>
              <w:spacing w:after="0" w:line="129" w:lineRule="exact"/>
              <w:rPr>
                <w:sz w:val="20"/>
                <w:szCs w:val="20"/>
                <w:color w:val="auto"/>
              </w:rPr>
            </w:pPr>
            <w:r>
              <w:rPr>
                <w:rFonts w:ascii="Arial" w:cs="Arial" w:eastAsia="Arial" w:hAnsi="Arial"/>
                <w:sz w:val="14"/>
                <w:szCs w:val="14"/>
                <w:b w:val="1"/>
                <w:bCs w:val="1"/>
                <w:color w:val="auto"/>
                <w:w w:val="87"/>
              </w:rPr>
              <w:t>Maximum Exposure</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33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54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w w:val="90"/>
              </w:rPr>
              <w:t>Amount</w:t>
            </w:r>
          </w:p>
        </w:tc>
        <w:tc>
          <w:tcPr>
            <w:tcW w:w="720" w:type="dxa"/>
            <w:vAlign w:val="bottom"/>
          </w:tcPr>
          <w:p>
            <w:pPr>
              <w:spacing w:after="0"/>
              <w:rPr>
                <w:sz w:val="14"/>
                <w:szCs w:val="14"/>
                <w:color w:val="auto"/>
              </w:rPr>
            </w:pPr>
          </w:p>
        </w:tc>
        <w:tc>
          <w:tcPr>
            <w:tcW w:w="920" w:type="dxa"/>
            <w:vAlign w:val="bottom"/>
            <w:tcBorders>
              <w:bottom w:val="single" w:sz="8" w:color="auto"/>
            </w:tcBorders>
          </w:tcPr>
          <w:p>
            <w:pPr>
              <w:ind w:left="300"/>
              <w:spacing w:after="0"/>
              <w:rPr>
                <w:sz w:val="20"/>
                <w:szCs w:val="20"/>
                <w:color w:val="auto"/>
              </w:rPr>
            </w:pPr>
            <w:r>
              <w:rPr>
                <w:rFonts w:ascii="Arial" w:cs="Arial" w:eastAsia="Arial" w:hAnsi="Arial"/>
                <w:sz w:val="14"/>
                <w:szCs w:val="14"/>
                <w:b w:val="1"/>
                <w:bCs w:val="1"/>
                <w:color w:val="auto"/>
                <w:w w:val="84"/>
              </w:rPr>
              <w:t>to Loss (a)</w:t>
            </w:r>
          </w:p>
        </w:tc>
        <w:tc>
          <w:tcPr>
            <w:tcW w:w="28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54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w w:val="94"/>
              </w:rPr>
              <w:t>Amount</w:t>
            </w:r>
          </w:p>
        </w:tc>
        <w:tc>
          <w:tcPr>
            <w:tcW w:w="740" w:type="dxa"/>
            <w:vAlign w:val="bottom"/>
          </w:tcPr>
          <w:p>
            <w:pPr>
              <w:spacing w:after="0"/>
              <w:rPr>
                <w:sz w:val="14"/>
                <w:szCs w:val="14"/>
                <w:color w:val="auto"/>
              </w:rPr>
            </w:pPr>
          </w:p>
        </w:tc>
        <w:tc>
          <w:tcPr>
            <w:tcW w:w="900" w:type="dxa"/>
            <w:vAlign w:val="bottom"/>
            <w:tcBorders>
              <w:bottom w:val="single" w:sz="8" w:color="auto"/>
            </w:tcBorders>
          </w:tcPr>
          <w:p>
            <w:pPr>
              <w:ind w:left="280"/>
              <w:spacing w:after="0"/>
              <w:rPr>
                <w:sz w:val="20"/>
                <w:szCs w:val="20"/>
                <w:color w:val="auto"/>
              </w:rPr>
            </w:pPr>
            <w:r>
              <w:rPr>
                <w:rFonts w:ascii="Arial" w:cs="Arial" w:eastAsia="Arial" w:hAnsi="Arial"/>
                <w:sz w:val="14"/>
                <w:szCs w:val="14"/>
                <w:b w:val="1"/>
                <w:bCs w:val="1"/>
                <w:color w:val="auto"/>
                <w:w w:val="83"/>
              </w:rPr>
              <w:t>to Loss (b)</w:t>
            </w:r>
          </w:p>
        </w:tc>
        <w:tc>
          <w:tcPr>
            <w:tcW w:w="2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52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1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20" w:type="dxa"/>
            <w:vAlign w:val="bottom"/>
            <w:gridSpan w:val="2"/>
          </w:tcPr>
          <w:p>
            <w:pPr>
              <w:spacing w:after="0"/>
              <w:rPr>
                <w:sz w:val="20"/>
                <w:szCs w:val="20"/>
                <w:color w:val="auto"/>
              </w:rPr>
            </w:pPr>
            <w:r>
              <w:rPr>
                <w:rFonts w:ascii="Arial" w:cs="Arial" w:eastAsia="Arial" w:hAnsi="Arial"/>
                <w:sz w:val="18"/>
                <w:szCs w:val="18"/>
                <w:color w:val="auto"/>
              </w:rPr>
              <w:t>Accounts and notes receivable, net</w:t>
            </w:r>
          </w:p>
        </w:tc>
        <w:tc>
          <w:tcPr>
            <w:tcW w:w="1320" w:type="dxa"/>
            <w:vAlign w:val="bottom"/>
            <w:gridSpan w:val="2"/>
          </w:tcPr>
          <w:p>
            <w:pPr>
              <w:ind w:left="1140"/>
              <w:spacing w:after="0"/>
              <w:rPr>
                <w:sz w:val="20"/>
                <w:szCs w:val="20"/>
                <w:color w:val="auto"/>
              </w:rPr>
            </w:pPr>
            <w:r>
              <w:rPr>
                <w:rFonts w:ascii="Arial" w:cs="Arial" w:eastAsia="Arial" w:hAnsi="Arial"/>
                <w:sz w:val="18"/>
                <w:szCs w:val="18"/>
                <w:color w:val="auto"/>
              </w:rPr>
              <w:t>$</w:t>
            </w:r>
          </w:p>
        </w:tc>
        <w:tc>
          <w:tcPr>
            <w:tcW w:w="360" w:type="dxa"/>
            <w:vAlign w:val="bottom"/>
          </w:tcPr>
          <w:p>
            <w:pPr>
              <w:jc w:val="right"/>
              <w:spacing w:after="0"/>
              <w:rPr>
                <w:sz w:val="20"/>
                <w:szCs w:val="20"/>
                <w:color w:val="auto"/>
              </w:rPr>
            </w:pPr>
            <w:r>
              <w:rPr>
                <w:rFonts w:ascii="Arial" w:cs="Arial" w:eastAsia="Arial" w:hAnsi="Arial"/>
                <w:sz w:val="18"/>
                <w:szCs w:val="18"/>
                <w:color w:val="auto"/>
              </w:rPr>
              <w:t>76</w:t>
            </w:r>
          </w:p>
        </w:tc>
        <w:tc>
          <w:tcPr>
            <w:tcW w:w="1640" w:type="dxa"/>
            <w:vAlign w:val="bottom"/>
            <w:gridSpan w:val="2"/>
          </w:tcPr>
          <w:p>
            <w:pPr>
              <w:ind w:left="720"/>
              <w:spacing w:after="0"/>
              <w:rPr>
                <w:sz w:val="20"/>
                <w:szCs w:val="20"/>
                <w:color w:val="auto"/>
              </w:rPr>
            </w:pPr>
            <w:r>
              <w:rPr>
                <w:rFonts w:ascii="Arial" w:cs="Arial" w:eastAsia="Arial" w:hAnsi="Arial"/>
                <w:sz w:val="18"/>
                <w:szCs w:val="18"/>
                <w:color w:val="auto"/>
              </w:rPr>
              <w:t>$</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62</w:t>
            </w:r>
          </w:p>
        </w:tc>
        <w:tc>
          <w:tcPr>
            <w:tcW w:w="880" w:type="dxa"/>
            <w:vAlign w:val="bottom"/>
            <w:gridSpan w:val="2"/>
          </w:tcPr>
          <w:p>
            <w:pPr>
              <w:ind w:left="700"/>
              <w:spacing w:after="0"/>
              <w:rPr>
                <w:sz w:val="20"/>
                <w:szCs w:val="20"/>
                <w:color w:val="auto"/>
              </w:rPr>
            </w:pPr>
            <w:r>
              <w:rPr>
                <w:rFonts w:ascii="Arial" w:cs="Arial" w:eastAsia="Arial" w:hAnsi="Arial"/>
                <w:sz w:val="18"/>
                <w:szCs w:val="18"/>
                <w:color w:val="auto"/>
              </w:rPr>
              <w:t>$</w:t>
            </w:r>
          </w:p>
        </w:tc>
        <w:tc>
          <w:tcPr>
            <w:tcW w:w="360" w:type="dxa"/>
            <w:vAlign w:val="bottom"/>
          </w:tcPr>
          <w:p>
            <w:pPr>
              <w:jc w:val="right"/>
              <w:spacing w:after="0"/>
              <w:rPr>
                <w:sz w:val="20"/>
                <w:szCs w:val="20"/>
                <w:color w:val="auto"/>
              </w:rPr>
            </w:pPr>
            <w:r>
              <w:rPr>
                <w:rFonts w:ascii="Arial" w:cs="Arial" w:eastAsia="Arial" w:hAnsi="Arial"/>
                <w:sz w:val="18"/>
                <w:szCs w:val="18"/>
                <w:color w:val="auto"/>
              </w:rPr>
              <w:t>8</w:t>
            </w:r>
          </w:p>
        </w:tc>
        <w:tc>
          <w:tcPr>
            <w:tcW w:w="1640" w:type="dxa"/>
            <w:vAlign w:val="bottom"/>
            <w:gridSpan w:val="2"/>
          </w:tcPr>
          <w:p>
            <w:pPr>
              <w:ind w:left="740"/>
              <w:spacing w:after="0"/>
              <w:rPr>
                <w:sz w:val="20"/>
                <w:szCs w:val="20"/>
                <w:color w:val="auto"/>
              </w:rPr>
            </w:pPr>
            <w:r>
              <w:rPr>
                <w:rFonts w:ascii="Arial" w:cs="Arial" w:eastAsia="Arial" w:hAnsi="Arial"/>
                <w:sz w:val="18"/>
                <w:szCs w:val="18"/>
                <w:color w:val="auto"/>
              </w:rPr>
              <w:t>$</w:t>
            </w:r>
          </w:p>
        </w:tc>
        <w:tc>
          <w:tcPr>
            <w:tcW w:w="280" w:type="dxa"/>
            <w:vAlign w:val="bottom"/>
          </w:tcPr>
          <w:p>
            <w:pPr>
              <w:jc w:val="right"/>
              <w:spacing w:after="0"/>
              <w:rPr>
                <w:sz w:val="20"/>
                <w:szCs w:val="20"/>
                <w:color w:val="auto"/>
              </w:rPr>
            </w:pPr>
            <w:r>
              <w:rPr>
                <w:rFonts w:ascii="Arial" w:cs="Arial" w:eastAsia="Arial" w:hAnsi="Arial"/>
                <w:sz w:val="18"/>
                <w:szCs w:val="18"/>
                <w:color w:val="auto"/>
              </w:rPr>
              <w:t>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Equity in net assets of nonconsolidated affiliates</w:t>
            </w:r>
          </w:p>
        </w:tc>
        <w:tc>
          <w:tcPr>
            <w:tcW w:w="1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280</w:t>
            </w:r>
          </w:p>
        </w:tc>
        <w:tc>
          <w:tcPr>
            <w:tcW w:w="7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3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86"/>
              </w:rPr>
              <w:t>280</w:t>
            </w:r>
          </w:p>
        </w:tc>
        <w:tc>
          <w:tcPr>
            <w:tcW w:w="7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w:t>
            </w:r>
          </w:p>
        </w:tc>
        <w:tc>
          <w:tcPr>
            <w:tcW w:w="7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520" w:type="dxa"/>
            <w:vAlign w:val="bottom"/>
            <w:gridSpan w:val="2"/>
          </w:tcPr>
          <w:p>
            <w:pPr>
              <w:spacing w:after="0"/>
              <w:rPr>
                <w:sz w:val="20"/>
                <w:szCs w:val="20"/>
                <w:color w:val="auto"/>
              </w:rPr>
            </w:pPr>
            <w:r>
              <w:rPr>
                <w:rFonts w:ascii="Arial" w:cs="Arial" w:eastAsia="Arial" w:hAnsi="Arial"/>
                <w:sz w:val="18"/>
                <w:szCs w:val="18"/>
                <w:color w:val="auto"/>
              </w:rPr>
              <w:t>Other assets</w:t>
            </w:r>
          </w:p>
        </w:tc>
        <w:tc>
          <w:tcPr>
            <w:tcW w:w="114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w:t>
            </w:r>
          </w:p>
        </w:tc>
        <w:tc>
          <w:tcPr>
            <w:tcW w:w="720" w:type="dxa"/>
            <w:vAlign w:val="bottom"/>
          </w:tcPr>
          <w:p>
            <w:pPr>
              <w:spacing w:after="0"/>
              <w:rPr>
                <w:sz w:val="19"/>
                <w:szCs w:val="19"/>
                <w:color w:val="auto"/>
              </w:rPr>
            </w:pPr>
          </w:p>
        </w:tc>
        <w:tc>
          <w:tcPr>
            <w:tcW w:w="92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w:t>
            </w:r>
          </w:p>
        </w:tc>
        <w:tc>
          <w:tcPr>
            <w:tcW w:w="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w:t>
            </w:r>
          </w:p>
        </w:tc>
        <w:tc>
          <w:tcPr>
            <w:tcW w:w="740" w:type="dxa"/>
            <w:vAlign w:val="bottom"/>
          </w:tcPr>
          <w:p>
            <w:pPr>
              <w:spacing w:after="0"/>
              <w:rPr>
                <w:sz w:val="19"/>
                <w:szCs w:val="19"/>
                <w:color w:val="auto"/>
              </w:rPr>
            </w:pPr>
          </w:p>
        </w:tc>
        <w:tc>
          <w:tcPr>
            <w:tcW w:w="90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assets</w:t>
            </w:r>
          </w:p>
        </w:tc>
        <w:tc>
          <w:tcPr>
            <w:tcW w:w="1320" w:type="dxa"/>
            <w:vAlign w:val="bottom"/>
            <w:gridSpan w:val="2"/>
            <w:shd w:val="clear" w:color="auto" w:fill="CCEEFF"/>
          </w:tcPr>
          <w:p>
            <w:pPr>
              <w:ind w:left="114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399</w:t>
            </w:r>
          </w:p>
        </w:tc>
        <w:tc>
          <w:tcPr>
            <w:tcW w:w="1640" w:type="dxa"/>
            <w:vAlign w:val="bottom"/>
            <w:gridSpan w:val="2"/>
            <w:shd w:val="clear" w:color="auto" w:fill="CCEEFF"/>
          </w:tcPr>
          <w:p>
            <w:pPr>
              <w:ind w:left="720"/>
              <w:spacing w:after="0"/>
              <w:rPr>
                <w:sz w:val="20"/>
                <w:szCs w:val="20"/>
                <w:color w:val="auto"/>
              </w:rPr>
            </w:pPr>
            <w:r>
              <w:rPr>
                <w:rFonts w:ascii="Arial" w:cs="Arial" w:eastAsia="Arial" w:hAnsi="Arial"/>
                <w:sz w:val="18"/>
                <w:szCs w:val="18"/>
                <w:color w:val="auto"/>
              </w:rPr>
              <w:t>$</w:t>
            </w:r>
          </w:p>
        </w:tc>
        <w:tc>
          <w:tcPr>
            <w:tcW w:w="3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86"/>
              </w:rPr>
              <w:t>385</w:t>
            </w:r>
          </w:p>
        </w:tc>
        <w:tc>
          <w:tcPr>
            <w:tcW w:w="880" w:type="dxa"/>
            <w:vAlign w:val="bottom"/>
            <w:gridSpan w:val="2"/>
            <w:shd w:val="clear" w:color="auto" w:fill="CCEEFF"/>
          </w:tcPr>
          <w:p>
            <w:pPr>
              <w:ind w:left="70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130</w:t>
            </w:r>
          </w:p>
        </w:tc>
        <w:tc>
          <w:tcPr>
            <w:tcW w:w="1640" w:type="dxa"/>
            <w:vAlign w:val="bottom"/>
            <w:gridSpan w:val="2"/>
            <w:shd w:val="clear" w:color="auto" w:fill="CCEEFF"/>
          </w:tcPr>
          <w:p>
            <w:pPr>
              <w:ind w:left="74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540" w:type="dxa"/>
            <w:vAlign w:val="bottom"/>
            <w:gridSpan w:val="3"/>
            <w:vMerge w:val="restart"/>
          </w:tcPr>
          <w:p>
            <w:pPr>
              <w:spacing w:after="0"/>
              <w:rPr>
                <w:sz w:val="20"/>
                <w:szCs w:val="20"/>
                <w:color w:val="auto"/>
              </w:rPr>
            </w:pPr>
            <w:r>
              <w:rPr>
                <w:rFonts w:ascii="Arial" w:cs="Arial" w:eastAsia="Arial" w:hAnsi="Arial"/>
                <w:sz w:val="18"/>
                <w:szCs w:val="18"/>
                <w:b w:val="1"/>
                <w:bCs w:val="1"/>
                <w:color w:val="auto"/>
              </w:rPr>
              <w:t>Liabilities</w:t>
            </w:r>
          </w:p>
        </w:tc>
        <w:tc>
          <w:tcPr>
            <w:tcW w:w="11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4540" w:type="dxa"/>
            <w:vAlign w:val="bottom"/>
            <w:gridSpan w:val="3"/>
            <w:vMerge w:val="continue"/>
          </w:tcPr>
          <w:p>
            <w:pPr>
              <w:spacing w:after="0"/>
              <w:rPr>
                <w:sz w:val="18"/>
                <w:szCs w:val="18"/>
                <w:color w:val="auto"/>
              </w:rPr>
            </w:pPr>
          </w:p>
        </w:tc>
        <w:tc>
          <w:tcPr>
            <w:tcW w:w="1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45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Accounts payable</w:t>
            </w:r>
          </w:p>
        </w:tc>
        <w:tc>
          <w:tcPr>
            <w:tcW w:w="1320" w:type="dxa"/>
            <w:vAlign w:val="bottom"/>
            <w:gridSpan w:val="2"/>
            <w:shd w:val="clear" w:color="auto" w:fill="CCEEFF"/>
          </w:tcPr>
          <w:p>
            <w:pPr>
              <w:ind w:left="114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1640" w:type="dxa"/>
            <w:vAlign w:val="bottom"/>
            <w:gridSpan w:val="2"/>
            <w:shd w:val="clear" w:color="auto" w:fill="CCEEFF"/>
          </w:tcPr>
          <w:p>
            <w:pPr>
              <w:ind w:left="720"/>
              <w:spacing w:after="0"/>
              <w:rPr>
                <w:sz w:val="20"/>
                <w:szCs w:val="20"/>
                <w:color w:val="auto"/>
              </w:rPr>
            </w:pPr>
            <w:r>
              <w:rPr>
                <w:rFonts w:ascii="Arial" w:cs="Arial" w:eastAsia="Arial" w:hAnsi="Arial"/>
                <w:sz w:val="18"/>
                <w:szCs w:val="18"/>
                <w:color w:val="auto"/>
              </w:rPr>
              <w:t>$</w:t>
            </w:r>
          </w:p>
        </w:tc>
        <w:tc>
          <w:tcPr>
            <w:tcW w:w="3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ind w:left="70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40" w:type="dxa"/>
            <w:vAlign w:val="bottom"/>
            <w:gridSpan w:val="2"/>
            <w:shd w:val="clear" w:color="auto" w:fill="CCEEFF"/>
          </w:tcPr>
          <w:p>
            <w:pPr>
              <w:ind w:left="740"/>
              <w:spacing w:after="0"/>
              <w:rPr>
                <w:sz w:val="20"/>
                <w:szCs w:val="20"/>
                <w:color w:val="auto"/>
              </w:rPr>
            </w:pPr>
            <w:r>
              <w:rPr>
                <w:rFonts w:ascii="Arial" w:cs="Arial" w:eastAsia="Arial" w:hAnsi="Arial"/>
                <w:sz w:val="18"/>
                <w:szCs w:val="18"/>
                <w:color w:val="auto"/>
              </w:rPr>
              <w:t>$</w:t>
            </w:r>
          </w:p>
        </w:tc>
        <w:tc>
          <w:tcPr>
            <w:tcW w:w="3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20" w:type="dxa"/>
            <w:vAlign w:val="bottom"/>
            <w:gridSpan w:val="2"/>
          </w:tcPr>
          <w:p>
            <w:pPr>
              <w:spacing w:after="0"/>
              <w:rPr>
                <w:sz w:val="20"/>
                <w:szCs w:val="20"/>
                <w:color w:val="auto"/>
              </w:rPr>
            </w:pPr>
            <w:r>
              <w:rPr>
                <w:rFonts w:ascii="Arial" w:cs="Arial" w:eastAsia="Arial" w:hAnsi="Arial"/>
                <w:sz w:val="18"/>
                <w:szCs w:val="18"/>
                <w:color w:val="auto"/>
              </w:rPr>
              <w:t>Accrued expenses</w:t>
            </w:r>
          </w:p>
        </w:tc>
        <w:tc>
          <w:tcPr>
            <w:tcW w:w="1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22</w:t>
            </w:r>
          </w:p>
        </w:tc>
        <w:tc>
          <w:tcPr>
            <w:tcW w:w="7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w:t>
            </w:r>
          </w:p>
        </w:tc>
        <w:tc>
          <w:tcPr>
            <w:tcW w:w="7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 liabilities</w:t>
            </w:r>
          </w:p>
        </w:tc>
        <w:tc>
          <w:tcPr>
            <w:tcW w:w="1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212</w:t>
            </w:r>
          </w:p>
        </w:tc>
        <w:tc>
          <w:tcPr>
            <w:tcW w:w="7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3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4540" w:type="dxa"/>
            <w:vAlign w:val="bottom"/>
            <w:gridSpan w:val="3"/>
            <w:vMerge w:val="restart"/>
          </w:tcPr>
          <w:p>
            <w:pPr>
              <w:spacing w:after="0"/>
              <w:rPr>
                <w:sz w:val="20"/>
                <w:szCs w:val="20"/>
                <w:color w:val="auto"/>
              </w:rPr>
            </w:pPr>
            <w:r>
              <w:rPr>
                <w:rFonts w:ascii="Arial" w:cs="Arial" w:eastAsia="Arial" w:hAnsi="Arial"/>
                <w:sz w:val="18"/>
                <w:szCs w:val="18"/>
                <w:color w:val="auto"/>
              </w:rPr>
              <w:t>Total liabilities</w:t>
            </w:r>
          </w:p>
        </w:tc>
        <w:tc>
          <w:tcPr>
            <w:tcW w:w="114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4540" w:type="dxa"/>
            <w:vAlign w:val="bottom"/>
            <w:gridSpan w:val="3"/>
            <w:vMerge w:val="continue"/>
          </w:tcPr>
          <w:p>
            <w:pPr>
              <w:spacing w:after="0"/>
              <w:rPr>
                <w:sz w:val="19"/>
                <w:szCs w:val="19"/>
                <w:color w:val="auto"/>
              </w:rPr>
            </w:pPr>
          </w:p>
        </w:tc>
        <w:tc>
          <w:tcPr>
            <w:tcW w:w="1140" w:type="dxa"/>
            <w:vAlign w:val="bottom"/>
          </w:tcPr>
          <w:p>
            <w:pPr>
              <w:spacing w:after="0"/>
              <w:rPr>
                <w:sz w:val="19"/>
                <w:szCs w:val="19"/>
                <w:color w:val="auto"/>
              </w:rPr>
            </w:pP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360" w:type="dxa"/>
            <w:vAlign w:val="bottom"/>
          </w:tcPr>
          <w:p>
            <w:pPr>
              <w:jc w:val="right"/>
              <w:spacing w:after="0"/>
              <w:rPr>
                <w:sz w:val="20"/>
                <w:szCs w:val="20"/>
                <w:color w:val="auto"/>
              </w:rPr>
            </w:pPr>
            <w:r>
              <w:rPr>
                <w:rFonts w:ascii="Arial" w:cs="Arial" w:eastAsia="Arial" w:hAnsi="Arial"/>
                <w:sz w:val="18"/>
                <w:szCs w:val="18"/>
                <w:color w:val="auto"/>
              </w:rPr>
              <w:t>249</w:t>
            </w:r>
          </w:p>
        </w:tc>
        <w:tc>
          <w:tcPr>
            <w:tcW w:w="720" w:type="dxa"/>
            <w:vAlign w:val="bottom"/>
          </w:tcPr>
          <w:p>
            <w:pPr>
              <w:spacing w:after="0"/>
              <w:rPr>
                <w:sz w:val="19"/>
                <w:szCs w:val="19"/>
                <w:color w:val="auto"/>
              </w:rPr>
            </w:pPr>
          </w:p>
        </w:tc>
        <w:tc>
          <w:tcPr>
            <w:tcW w:w="920" w:type="dxa"/>
            <w:vAlign w:val="bottom"/>
          </w:tcPr>
          <w:p>
            <w:pPr>
              <w:spacing w:after="0"/>
              <w:rPr>
                <w:sz w:val="20"/>
                <w:szCs w:val="20"/>
                <w:color w:val="auto"/>
              </w:rPr>
            </w:pPr>
            <w:r>
              <w:rPr>
                <w:rFonts w:ascii="Arial" w:cs="Arial" w:eastAsia="Arial" w:hAnsi="Arial"/>
                <w:sz w:val="18"/>
                <w:szCs w:val="18"/>
                <w:color w:val="auto"/>
              </w:rPr>
              <w:t>$</w:t>
            </w: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360" w:type="dxa"/>
            <w:vAlign w:val="bottom"/>
          </w:tcPr>
          <w:p>
            <w:pPr>
              <w:jc w:val="right"/>
              <w:spacing w:after="0"/>
              <w:rPr>
                <w:sz w:val="20"/>
                <w:szCs w:val="20"/>
                <w:color w:val="auto"/>
              </w:rPr>
            </w:pPr>
            <w:r>
              <w:rPr>
                <w:rFonts w:ascii="Arial" w:cs="Arial" w:eastAsia="Arial" w:hAnsi="Arial"/>
                <w:sz w:val="18"/>
                <w:szCs w:val="18"/>
                <w:color w:val="auto"/>
              </w:rPr>
              <w:t>—</w:t>
            </w:r>
          </w:p>
        </w:tc>
        <w:tc>
          <w:tcPr>
            <w:tcW w:w="1640" w:type="dxa"/>
            <w:vAlign w:val="bottom"/>
            <w:gridSpan w:val="2"/>
          </w:tcPr>
          <w:p>
            <w:pPr>
              <w:ind w:left="740"/>
              <w:spacing w:after="0"/>
              <w:rPr>
                <w:sz w:val="20"/>
                <w:szCs w:val="20"/>
                <w:color w:val="auto"/>
              </w:rPr>
            </w:pPr>
            <w:r>
              <w:rPr>
                <w:rFonts w:ascii="Arial" w:cs="Arial" w:eastAsia="Arial" w:hAnsi="Arial"/>
                <w:sz w:val="18"/>
                <w:szCs w:val="18"/>
                <w:color w:val="auto"/>
              </w:rPr>
              <w:t>$</w:t>
            </w:r>
          </w:p>
        </w:tc>
        <w:tc>
          <w:tcPr>
            <w:tcW w:w="3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33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20" w:type="dxa"/>
            <w:vAlign w:val="bottom"/>
          </w:tcPr>
          <w:p>
            <w:pPr>
              <w:spacing w:after="0"/>
              <w:rPr>
                <w:sz w:val="18"/>
                <w:szCs w:val="18"/>
                <w:color w:val="auto"/>
              </w:rPr>
            </w:pPr>
          </w:p>
        </w:tc>
        <w:tc>
          <w:tcPr>
            <w:tcW w:w="452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Off-Balance Sheet</w:t>
            </w:r>
          </w:p>
        </w:tc>
        <w:tc>
          <w:tcPr>
            <w:tcW w:w="1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20" w:type="dxa"/>
            <w:vAlign w:val="bottom"/>
            <w:gridSpan w:val="2"/>
          </w:tcPr>
          <w:p>
            <w:pPr>
              <w:spacing w:after="0"/>
              <w:rPr>
                <w:sz w:val="20"/>
                <w:szCs w:val="20"/>
                <w:color w:val="auto"/>
              </w:rPr>
            </w:pPr>
            <w:r>
              <w:rPr>
                <w:rFonts w:ascii="Arial" w:cs="Arial" w:eastAsia="Arial" w:hAnsi="Arial"/>
                <w:sz w:val="18"/>
                <w:szCs w:val="18"/>
                <w:color w:val="auto"/>
              </w:rPr>
              <w:t>Residual value guarantees</w:t>
            </w:r>
          </w:p>
        </w:tc>
        <w:tc>
          <w:tcPr>
            <w:tcW w:w="1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640" w:type="dxa"/>
            <w:vAlign w:val="bottom"/>
            <w:gridSpan w:val="2"/>
          </w:tcPr>
          <w:p>
            <w:pPr>
              <w:ind w:left="720"/>
              <w:spacing w:after="0"/>
              <w:rPr>
                <w:sz w:val="20"/>
                <w:szCs w:val="20"/>
                <w:color w:val="auto"/>
              </w:rPr>
            </w:pPr>
            <w:r>
              <w:rPr>
                <w:rFonts w:ascii="Arial" w:cs="Arial" w:eastAsia="Arial" w:hAnsi="Arial"/>
                <w:sz w:val="18"/>
                <w:szCs w:val="18"/>
                <w:color w:val="auto"/>
              </w:rPr>
              <w:t>$</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640" w:type="dxa"/>
            <w:vAlign w:val="bottom"/>
            <w:gridSpan w:val="2"/>
          </w:tcPr>
          <w:p>
            <w:pPr>
              <w:ind w:left="740"/>
              <w:spacing w:after="0"/>
              <w:rPr>
                <w:sz w:val="20"/>
                <w:szCs w:val="20"/>
                <w:color w:val="auto"/>
              </w:rPr>
            </w:pPr>
            <w:r>
              <w:rPr>
                <w:rFonts w:ascii="Arial" w:cs="Arial" w:eastAsia="Arial" w:hAnsi="Arial"/>
                <w:sz w:val="18"/>
                <w:szCs w:val="18"/>
                <w:color w:val="auto"/>
              </w:rPr>
              <w:t>$</w:t>
            </w:r>
          </w:p>
        </w:tc>
        <w:tc>
          <w:tcPr>
            <w:tcW w:w="280" w:type="dxa"/>
            <w:vAlign w:val="bottom"/>
          </w:tcPr>
          <w:p>
            <w:pPr>
              <w:jc w:val="right"/>
              <w:spacing w:after="0"/>
              <w:rPr>
                <w:sz w:val="20"/>
                <w:szCs w:val="20"/>
                <w:color w:val="auto"/>
              </w:rPr>
            </w:pPr>
            <w:r>
              <w:rPr>
                <w:rFonts w:ascii="Arial" w:cs="Arial" w:eastAsia="Arial" w:hAnsi="Arial"/>
                <w:sz w:val="18"/>
                <w:szCs w:val="18"/>
                <w:color w:val="auto"/>
              </w:rPr>
              <w:t>32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Loan commitments (c)</w:t>
            </w:r>
          </w:p>
        </w:tc>
        <w:tc>
          <w:tcPr>
            <w:tcW w:w="1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3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86"/>
              </w:rPr>
              <w:t>102</w:t>
            </w:r>
          </w:p>
        </w:tc>
        <w:tc>
          <w:tcPr>
            <w:tcW w:w="7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115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20" w:type="dxa"/>
            <w:vAlign w:val="bottom"/>
            <w:gridSpan w:val="2"/>
          </w:tcPr>
          <w:p>
            <w:pPr>
              <w:spacing w:after="0"/>
              <w:rPr>
                <w:sz w:val="20"/>
                <w:szCs w:val="20"/>
                <w:color w:val="auto"/>
              </w:rPr>
            </w:pPr>
            <w:r>
              <w:rPr>
                <w:rFonts w:ascii="Arial" w:cs="Arial" w:eastAsia="Arial" w:hAnsi="Arial"/>
                <w:sz w:val="18"/>
                <w:szCs w:val="18"/>
                <w:color w:val="auto"/>
              </w:rPr>
              <w:t>Other guarantees</w:t>
            </w:r>
          </w:p>
        </w:tc>
        <w:tc>
          <w:tcPr>
            <w:tcW w:w="1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3</w:t>
            </w:r>
          </w:p>
        </w:tc>
        <w:tc>
          <w:tcPr>
            <w:tcW w:w="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 liquidity arrangements (d)</w:t>
            </w:r>
          </w:p>
        </w:tc>
        <w:tc>
          <w:tcPr>
            <w:tcW w:w="1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227</w:t>
            </w:r>
          </w:p>
        </w:tc>
        <w:tc>
          <w:tcPr>
            <w:tcW w:w="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3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4540" w:type="dxa"/>
            <w:vAlign w:val="bottom"/>
            <w:gridSpan w:val="3"/>
            <w:vMerge w:val="restart"/>
          </w:tcPr>
          <w:p>
            <w:pPr>
              <w:spacing w:after="0"/>
              <w:rPr>
                <w:sz w:val="20"/>
                <w:szCs w:val="20"/>
                <w:color w:val="auto"/>
              </w:rPr>
            </w:pPr>
            <w:r>
              <w:rPr>
                <w:rFonts w:ascii="Arial" w:cs="Arial" w:eastAsia="Arial" w:hAnsi="Arial"/>
                <w:sz w:val="18"/>
                <w:szCs w:val="18"/>
                <w:color w:val="auto"/>
              </w:rPr>
              <w:t>Total guarantees and liquidity arrangements</w:t>
            </w:r>
          </w:p>
        </w:tc>
        <w:tc>
          <w:tcPr>
            <w:tcW w:w="1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4540" w:type="dxa"/>
            <w:vAlign w:val="bottom"/>
            <w:gridSpan w:val="3"/>
            <w:vMerge w:val="continue"/>
          </w:tcPr>
          <w:p>
            <w:pPr>
              <w:spacing w:after="0"/>
              <w:rPr>
                <w:sz w:val="19"/>
                <w:szCs w:val="19"/>
                <w:color w:val="auto"/>
              </w:rPr>
            </w:pPr>
          </w:p>
        </w:tc>
        <w:tc>
          <w:tcPr>
            <w:tcW w:w="1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920" w:type="dxa"/>
            <w:vAlign w:val="bottom"/>
          </w:tcPr>
          <w:p>
            <w:pPr>
              <w:spacing w:after="0"/>
              <w:rPr>
                <w:sz w:val="20"/>
                <w:szCs w:val="20"/>
                <w:color w:val="auto"/>
              </w:rPr>
            </w:pPr>
            <w:r>
              <w:rPr>
                <w:rFonts w:ascii="Arial" w:cs="Arial" w:eastAsia="Arial" w:hAnsi="Arial"/>
                <w:sz w:val="18"/>
                <w:szCs w:val="18"/>
                <w:color w:val="auto"/>
              </w:rPr>
              <w:t>$</w:t>
            </w:r>
          </w:p>
        </w:tc>
        <w:tc>
          <w:tcPr>
            <w:tcW w:w="280" w:type="dxa"/>
            <w:vAlign w:val="bottom"/>
          </w:tcPr>
          <w:p>
            <w:pPr>
              <w:jc w:val="right"/>
              <w:spacing w:after="0"/>
              <w:rPr>
                <w:sz w:val="20"/>
                <w:szCs w:val="20"/>
                <w:color w:val="auto"/>
              </w:rPr>
            </w:pPr>
            <w:r>
              <w:rPr>
                <w:rFonts w:ascii="Arial" w:cs="Arial" w:eastAsia="Arial" w:hAnsi="Arial"/>
                <w:sz w:val="18"/>
                <w:szCs w:val="18"/>
                <w:color w:val="auto"/>
                <w:w w:val="86"/>
              </w:rPr>
              <w:t>332</w:t>
            </w:r>
          </w:p>
        </w:tc>
        <w:tc>
          <w:tcPr>
            <w:tcW w:w="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640" w:type="dxa"/>
            <w:vAlign w:val="bottom"/>
            <w:gridSpan w:val="2"/>
          </w:tcPr>
          <w:p>
            <w:pPr>
              <w:ind w:left="740"/>
              <w:spacing w:after="0"/>
              <w:rPr>
                <w:sz w:val="20"/>
                <w:szCs w:val="20"/>
                <w:color w:val="auto"/>
              </w:rPr>
            </w:pPr>
            <w:r>
              <w:rPr>
                <w:rFonts w:ascii="Arial" w:cs="Arial" w:eastAsia="Arial" w:hAnsi="Arial"/>
                <w:sz w:val="18"/>
                <w:szCs w:val="18"/>
                <w:color w:val="auto"/>
              </w:rPr>
              <w:t>$</w:t>
            </w:r>
          </w:p>
        </w:tc>
        <w:tc>
          <w:tcPr>
            <w:tcW w:w="280" w:type="dxa"/>
            <w:vAlign w:val="bottom"/>
          </w:tcPr>
          <w:p>
            <w:pPr>
              <w:jc w:val="right"/>
              <w:spacing w:after="0"/>
              <w:rPr>
                <w:sz w:val="20"/>
                <w:szCs w:val="20"/>
                <w:color w:val="auto"/>
              </w:rPr>
            </w:pPr>
            <w:r>
              <w:rPr>
                <w:rFonts w:ascii="Arial" w:cs="Arial" w:eastAsia="Arial" w:hAnsi="Arial"/>
                <w:sz w:val="18"/>
                <w:szCs w:val="18"/>
                <w:color w:val="auto"/>
                <w:w w:val="86"/>
              </w:rPr>
              <w:t>151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33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3"/>
        </w:trPr>
        <w:tc>
          <w:tcPr>
            <w:tcW w:w="20" w:type="dxa"/>
            <w:vAlign w:val="bottom"/>
          </w:tcPr>
          <w:p>
            <w:pPr>
              <w:spacing w:after="0"/>
              <w:rPr>
                <w:sz w:val="8"/>
                <w:szCs w:val="8"/>
                <w:color w:val="auto"/>
              </w:rPr>
            </w:pPr>
          </w:p>
        </w:tc>
        <w:tc>
          <w:tcPr>
            <w:tcW w:w="1140" w:type="dxa"/>
            <w:vAlign w:val="bottom"/>
            <w:tcBorders>
              <w:bottom w:val="single" w:sz="8" w:color="auto"/>
            </w:tcBorders>
          </w:tcPr>
          <w:p>
            <w:pPr>
              <w:spacing w:after="0"/>
              <w:rPr>
                <w:sz w:val="8"/>
                <w:szCs w:val="8"/>
                <w:color w:val="auto"/>
              </w:rPr>
            </w:pPr>
          </w:p>
        </w:tc>
        <w:tc>
          <w:tcPr>
            <w:tcW w:w="338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80" w:type="dxa"/>
            <w:vAlign w:val="bottom"/>
          </w:tcPr>
          <w:p>
            <w:pPr>
              <w:spacing w:after="0"/>
              <w:rPr>
                <w:sz w:val="8"/>
                <w:szCs w:val="8"/>
                <w:color w:val="auto"/>
              </w:rPr>
            </w:pPr>
          </w:p>
        </w:tc>
        <w:tc>
          <w:tcPr>
            <w:tcW w:w="360" w:type="dxa"/>
            <w:vAlign w:val="bottom"/>
          </w:tcPr>
          <w:p>
            <w:pPr>
              <w:spacing w:after="0"/>
              <w:rPr>
                <w:sz w:val="8"/>
                <w:szCs w:val="8"/>
                <w:color w:val="auto"/>
              </w:rPr>
            </w:pPr>
          </w:p>
        </w:tc>
        <w:tc>
          <w:tcPr>
            <w:tcW w:w="720" w:type="dxa"/>
            <w:vAlign w:val="bottom"/>
          </w:tcPr>
          <w:p>
            <w:pPr>
              <w:spacing w:after="0"/>
              <w:rPr>
                <w:sz w:val="8"/>
                <w:szCs w:val="8"/>
                <w:color w:val="auto"/>
              </w:rPr>
            </w:pPr>
          </w:p>
        </w:tc>
        <w:tc>
          <w:tcPr>
            <w:tcW w:w="920" w:type="dxa"/>
            <w:vAlign w:val="bottom"/>
          </w:tcPr>
          <w:p>
            <w:pPr>
              <w:spacing w:after="0"/>
              <w:rPr>
                <w:sz w:val="8"/>
                <w:szCs w:val="8"/>
                <w:color w:val="auto"/>
              </w:rPr>
            </w:pPr>
          </w:p>
        </w:tc>
        <w:tc>
          <w:tcPr>
            <w:tcW w:w="280" w:type="dxa"/>
            <w:vAlign w:val="bottom"/>
          </w:tcPr>
          <w:p>
            <w:pPr>
              <w:spacing w:after="0"/>
              <w:rPr>
                <w:sz w:val="8"/>
                <w:szCs w:val="8"/>
                <w:color w:val="auto"/>
              </w:rPr>
            </w:pPr>
          </w:p>
        </w:tc>
        <w:tc>
          <w:tcPr>
            <w:tcW w:w="20" w:type="dxa"/>
            <w:vAlign w:val="bottom"/>
          </w:tcPr>
          <w:p>
            <w:pPr>
              <w:spacing w:after="0"/>
              <w:rPr>
                <w:sz w:val="8"/>
                <w:szCs w:val="8"/>
                <w:color w:val="auto"/>
              </w:rPr>
            </w:pPr>
          </w:p>
        </w:tc>
        <w:tc>
          <w:tcPr>
            <w:tcW w:w="700" w:type="dxa"/>
            <w:vAlign w:val="bottom"/>
          </w:tcPr>
          <w:p>
            <w:pPr>
              <w:spacing w:after="0"/>
              <w:rPr>
                <w:sz w:val="8"/>
                <w:szCs w:val="8"/>
                <w:color w:val="auto"/>
              </w:rPr>
            </w:pPr>
          </w:p>
        </w:tc>
        <w:tc>
          <w:tcPr>
            <w:tcW w:w="180" w:type="dxa"/>
            <w:vAlign w:val="bottom"/>
          </w:tcPr>
          <w:p>
            <w:pPr>
              <w:spacing w:after="0"/>
              <w:rPr>
                <w:sz w:val="8"/>
                <w:szCs w:val="8"/>
                <w:color w:val="auto"/>
              </w:rPr>
            </w:pPr>
          </w:p>
        </w:tc>
        <w:tc>
          <w:tcPr>
            <w:tcW w:w="360" w:type="dxa"/>
            <w:vAlign w:val="bottom"/>
          </w:tcPr>
          <w:p>
            <w:pPr>
              <w:spacing w:after="0"/>
              <w:rPr>
                <w:sz w:val="8"/>
                <w:szCs w:val="8"/>
                <w:color w:val="auto"/>
              </w:rPr>
            </w:pPr>
          </w:p>
        </w:tc>
        <w:tc>
          <w:tcPr>
            <w:tcW w:w="740" w:type="dxa"/>
            <w:vAlign w:val="bottom"/>
          </w:tcPr>
          <w:p>
            <w:pPr>
              <w:spacing w:after="0"/>
              <w:rPr>
                <w:sz w:val="8"/>
                <w:szCs w:val="8"/>
                <w:color w:val="auto"/>
              </w:rPr>
            </w:pPr>
          </w:p>
        </w:tc>
        <w:tc>
          <w:tcPr>
            <w:tcW w:w="90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19" w:lineRule="exact"/>
        <w:rPr>
          <w:sz w:val="20"/>
          <w:szCs w:val="20"/>
          <w:color w:val="auto"/>
        </w:rPr>
      </w:pPr>
    </w:p>
    <w:p>
      <w:pPr>
        <w:ind w:left="460" w:hanging="452"/>
        <w:spacing w:after="0"/>
        <w:tabs>
          <w:tab w:leader="none" w:pos="4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Amounts at September 30, 2010 included $134 million related to troubled suppliers.</w:t>
      </w:r>
    </w:p>
    <w:p>
      <w:pPr>
        <w:spacing w:after="0" w:line="90" w:lineRule="exact"/>
        <w:rPr>
          <w:rFonts w:ascii="Arial" w:cs="Arial" w:eastAsia="Arial" w:hAnsi="Arial"/>
          <w:sz w:val="18"/>
          <w:szCs w:val="18"/>
          <w:color w:val="auto"/>
        </w:rPr>
      </w:pPr>
    </w:p>
    <w:p>
      <w:pPr>
        <w:ind w:left="460" w:hanging="452"/>
        <w:spacing w:after="0"/>
        <w:tabs>
          <w:tab w:leader="none" w:pos="4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Amounts at December 31, 2009 included $139 million related to troubled suppliers.</w:t>
      </w:r>
    </w:p>
    <w:p>
      <w:pPr>
        <w:spacing w:after="0" w:line="90" w:lineRule="exact"/>
        <w:rPr>
          <w:rFonts w:ascii="Arial" w:cs="Arial" w:eastAsia="Arial" w:hAnsi="Arial"/>
          <w:sz w:val="18"/>
          <w:szCs w:val="18"/>
          <w:color w:val="auto"/>
        </w:rPr>
      </w:pPr>
    </w:p>
    <w:p>
      <w:pPr>
        <w:ind w:left="460" w:right="520" w:hanging="452"/>
        <w:spacing w:after="0" w:line="268" w:lineRule="auto"/>
        <w:tabs>
          <w:tab w:leader="none" w:pos="4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Amounts at September 30, 2010 and December 31, 2009 included undrawn loan commitments, primarily $100 million related to American Axle and Manufacturing Holdings, Inc. (American Axle).</w:t>
      </w:r>
    </w:p>
    <w:p>
      <w:pPr>
        <w:spacing w:after="0" w:line="50" w:lineRule="exact"/>
        <w:rPr>
          <w:rFonts w:ascii="Arial" w:cs="Arial" w:eastAsia="Arial" w:hAnsi="Arial"/>
          <w:sz w:val="18"/>
          <w:szCs w:val="18"/>
          <w:color w:val="auto"/>
        </w:rPr>
      </w:pPr>
    </w:p>
    <w:p>
      <w:pPr>
        <w:ind w:left="460" w:right="20" w:hanging="452"/>
        <w:spacing w:after="0" w:line="268" w:lineRule="auto"/>
        <w:tabs>
          <w:tab w:leader="none" w:pos="4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Amounts at September 30, 2010 included capital funding requirements, primarily an additional contingent future funding requirement of up to $223 million related to HKJV.</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20"/>
          </w:cols>
          <w:pgMar w:left="240" w:top="459" w:right="239"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339" w:lineRule="exact"/>
        <w:rPr>
          <w:sz w:val="20"/>
          <w:szCs w:val="20"/>
          <w:color w:val="auto"/>
        </w:rPr>
      </w:pPr>
    </w:p>
    <w:p>
      <w:pPr>
        <w:ind w:right="100" w:firstLine="228"/>
        <w:spacing w:after="0" w:line="259" w:lineRule="auto"/>
        <w:rPr>
          <w:sz w:val="20"/>
          <w:szCs w:val="20"/>
          <w:color w:val="auto"/>
        </w:rPr>
      </w:pPr>
      <w:r>
        <w:rPr>
          <w:rFonts w:ascii="Arial" w:cs="Arial" w:eastAsia="Arial" w:hAnsi="Arial"/>
          <w:sz w:val="18"/>
          <w:szCs w:val="18"/>
          <w:color w:val="auto"/>
        </w:rPr>
        <w:t>Stated contractual voting or similar rights for certain of our joint venture arrangements provide various parties with shared power over the activities that most significantly affect the economic performance of certain nonconsolidated VIEs. Such nonconsolidated VIEs are operating joint ventures located in developing international markets.</w:t>
      </w:r>
    </w:p>
    <w:p>
      <w:pPr>
        <w:spacing w:after="0" w:line="140"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American Axle</w:t>
      </w:r>
    </w:p>
    <w:p>
      <w:pPr>
        <w:spacing w:after="0" w:line="171" w:lineRule="exact"/>
        <w:rPr>
          <w:sz w:val="20"/>
          <w:szCs w:val="20"/>
          <w:color w:val="auto"/>
        </w:rPr>
      </w:pPr>
    </w:p>
    <w:p>
      <w:pPr>
        <w:jc w:val="both"/>
        <w:ind w:right="100" w:firstLine="228"/>
        <w:spacing w:after="0" w:line="306" w:lineRule="auto"/>
        <w:rPr>
          <w:sz w:val="20"/>
          <w:szCs w:val="20"/>
          <w:color w:val="auto"/>
        </w:rPr>
      </w:pPr>
      <w:r>
        <w:rPr>
          <w:rFonts w:ascii="Arial" w:cs="Arial" w:eastAsia="Arial" w:hAnsi="Arial"/>
          <w:sz w:val="16"/>
          <w:szCs w:val="16"/>
          <w:color w:val="auto"/>
        </w:rPr>
        <w:t>In September 2009 we paid $110 million to American Axle, a former subsidiary and current supplier, to settle and modify existing commercial arrangements and acquire warrants to purchase 4 million shares of American Axle’s common stock. Under the new agreement, we also provided American Axle with a second lien term loan facility of up to $100 million. Additional warrants will be granted if amounts are drawn on the second lien term loan facility.</w:t>
      </w:r>
    </w:p>
    <w:p>
      <w:pPr>
        <w:spacing w:after="0" w:line="107" w:lineRule="exact"/>
        <w:rPr>
          <w:sz w:val="20"/>
          <w:szCs w:val="20"/>
          <w:color w:val="auto"/>
        </w:rPr>
      </w:pPr>
    </w:p>
    <w:p>
      <w:pPr>
        <w:ind w:right="40" w:firstLine="228"/>
        <w:spacing w:after="0" w:line="290" w:lineRule="auto"/>
        <w:rPr>
          <w:sz w:val="20"/>
          <w:szCs w:val="20"/>
          <w:color w:val="auto"/>
        </w:rPr>
      </w:pPr>
      <w:r>
        <w:rPr>
          <w:rFonts w:ascii="Arial" w:cs="Arial" w:eastAsia="Arial" w:hAnsi="Arial"/>
          <w:sz w:val="16"/>
          <w:szCs w:val="16"/>
          <w:color w:val="auto"/>
        </w:rPr>
        <w:t>As a result of these transactions, we concluded that American Axle was a VIE for which we were not the primary beneficiary. This conclusion did not change upon our adoption of amendments to ASC 810-10 in January 2010 because we lack the power through voting or similar rights to direct those activities of American Axle that most significantly affect its economic performance. Our variable interests in American Axle include the warrants we received and the second lien term loan facility, which expose us to possible future losses depending on the financial performance of American Axle. At September 30, 2010 no amounts were outstanding under the second lien term loan facility. At September 30, 2010 our maximum contractual exposure to loss related to American Axle was $129 million, which represented the fair value of the warrants of $29 million recorded in Non-current assets and the potential exposure of $100 million related to the second lien term loan facility.</w:t>
      </w:r>
    </w:p>
    <w:p>
      <w:pPr>
        <w:spacing w:after="0" w:line="118"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Ally Financial</w:t>
      </w:r>
    </w:p>
    <w:p>
      <w:pPr>
        <w:spacing w:after="0" w:line="171" w:lineRule="exact"/>
        <w:rPr>
          <w:sz w:val="20"/>
          <w:szCs w:val="20"/>
          <w:color w:val="auto"/>
        </w:rPr>
      </w:pPr>
    </w:p>
    <w:p>
      <w:pPr>
        <w:ind w:right="80" w:firstLine="228"/>
        <w:spacing w:after="0" w:line="294" w:lineRule="auto"/>
        <w:rPr>
          <w:sz w:val="20"/>
          <w:szCs w:val="20"/>
          <w:color w:val="auto"/>
        </w:rPr>
      </w:pPr>
      <w:r>
        <w:rPr>
          <w:rFonts w:ascii="Arial" w:cs="Arial" w:eastAsia="Arial" w:hAnsi="Arial"/>
          <w:sz w:val="16"/>
          <w:szCs w:val="16"/>
          <w:color w:val="auto"/>
        </w:rPr>
        <w:t>We own 16.6% of Ally Financial’s common stock and preferred stock with a liquidation preference of $1.0 billion. We have previously determined that Ally Financial is a VIE as it does not have sufficient equity at risk; however, we are not the primary beneficiary. This conclusion did not change upon our adoption of amendments to ASC 810-10 in January 2010 because we lack the power through voting or similar rights to direct those activities of Ally Financial that most significantly affect its economic performance. Refer to Notes 7 and 23 for additional information on our investment in Ally Financial, our significant agreements with Ally Financial and our maximum exposure under those agreements.</w:t>
      </w:r>
    </w:p>
    <w:p>
      <w:pPr>
        <w:spacing w:after="0" w:line="11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Saab</w:t>
      </w:r>
    </w:p>
    <w:p>
      <w:pPr>
        <w:spacing w:after="0" w:line="171" w:lineRule="exact"/>
        <w:rPr>
          <w:sz w:val="20"/>
          <w:szCs w:val="20"/>
          <w:color w:val="auto"/>
        </w:rPr>
      </w:pPr>
    </w:p>
    <w:p>
      <w:pPr>
        <w:ind w:firstLine="228"/>
        <w:spacing w:after="0" w:line="291" w:lineRule="auto"/>
        <w:rPr>
          <w:sz w:val="20"/>
          <w:szCs w:val="20"/>
          <w:color w:val="auto"/>
        </w:rPr>
      </w:pPr>
      <w:r>
        <w:rPr>
          <w:rFonts w:ascii="Arial" w:cs="Arial" w:eastAsia="Arial" w:hAnsi="Arial"/>
          <w:sz w:val="16"/>
          <w:szCs w:val="16"/>
          <w:color w:val="auto"/>
        </w:rPr>
        <w:t>In February 2010 we completed the sale of Saab and in May 2010 we completed the sale of Saab GB to Spyker Cars NV. Our primary variable interest in Saab is the preference shares that we received in connection with the sale, which have a face value of $326 million and were recorded at an estimated fair value that is insignificant. We concluded that Saab is a VIE as it does not have sufficient equity at risk. We also determined that we are not the primary beneficiary because we lack the power to direct those activities that most significantly affect its economic performance. We continue to be obligated to fund certain Saab related liabilities, primarily warranty obligations related to vehicles sold prior to the disposition of Saab. At September 30, 2010 our maximum exposure to loss related to Saab was $61 million. Refer to Note 4 for additional information on the sale of Saab.</w:t>
      </w:r>
    </w:p>
    <w:p>
      <w:pPr>
        <w:spacing w:after="0" w:line="120"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HKJV</w:t>
      </w:r>
    </w:p>
    <w:p>
      <w:pPr>
        <w:spacing w:after="0" w:line="171" w:lineRule="exact"/>
        <w:rPr>
          <w:sz w:val="20"/>
          <w:szCs w:val="20"/>
          <w:color w:val="auto"/>
        </w:rPr>
      </w:pPr>
    </w:p>
    <w:p>
      <w:pPr>
        <w:ind w:firstLine="228"/>
        <w:spacing w:after="0" w:line="294" w:lineRule="auto"/>
        <w:rPr>
          <w:sz w:val="20"/>
          <w:szCs w:val="20"/>
          <w:color w:val="auto"/>
        </w:rPr>
      </w:pPr>
      <w:r>
        <w:rPr>
          <w:rFonts w:ascii="Arial" w:cs="Arial" w:eastAsia="Arial" w:hAnsi="Arial"/>
          <w:sz w:val="16"/>
          <w:szCs w:val="16"/>
          <w:color w:val="auto"/>
        </w:rPr>
        <w:t>In December 2009 we established the HKJV operating joint venture to invest in automotive projects outside of China, initially focusing on markets in India. HKJV purchased our India Operations in February 2010. We determined that HKJV is a VIE because it will require additional subordinated financial support, and we determined that we are not the primary beneficiary because we share the power with SAIC-HK to direct those activities that most significantly affect HKJV’s economic performance. We recorded a liability of $123 million for our future capital funding commitment to HKJV and we have an additional contingent future funding requirement of up to $223 million should certain conditions be met. Refer to Note 4 for additional information on HKJV.</w:t>
      </w:r>
    </w:p>
    <w:p>
      <w:pPr>
        <w:spacing w:after="0" w:line="1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00"/>
          </w:cols>
          <w:pgMar w:left="240" w:top="459" w:right="259" w:bottom="1440" w:gutter="0" w:footer="0" w:header="0"/>
        </w:sectPr>
      </w:pPr>
    </w:p>
    <w:bookmarkStart w:id="27" w:name="page28"/>
    <w:bookmarkEnd w:id="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11. Depreciation and Amortization</w:t>
      </w:r>
    </w:p>
    <w:p>
      <w:pPr>
        <w:spacing w:after="0" w:line="177" w:lineRule="exact"/>
        <w:rPr>
          <w:sz w:val="20"/>
          <w:szCs w:val="20"/>
          <w:color w:val="auto"/>
        </w:rPr>
      </w:pPr>
    </w:p>
    <w:p>
      <w:pPr>
        <w:ind w:right="660" w:firstLine="228"/>
        <w:spacing w:after="0" w:line="268" w:lineRule="auto"/>
        <w:rPr>
          <w:sz w:val="20"/>
          <w:szCs w:val="20"/>
          <w:color w:val="auto"/>
        </w:rPr>
      </w:pPr>
      <w:r>
        <w:rPr>
          <w:rFonts w:ascii="Arial" w:cs="Arial" w:eastAsia="Arial" w:hAnsi="Arial"/>
          <w:sz w:val="18"/>
          <w:szCs w:val="18"/>
          <w:color w:val="auto"/>
        </w:rPr>
        <w:t>The following table summarizes depreciation and amortization, including asset impairment charges, included in Cost of sales and Selling, general and administrative expense (dollars in millions):</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0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80" w:type="dxa"/>
            <w:vAlign w:val="bottom"/>
            <w:gridSpan w:val="2"/>
          </w:tcPr>
          <w:p>
            <w:pPr>
              <w:jc w:val="center"/>
              <w:ind w:right="640"/>
              <w:spacing w:after="0"/>
              <w:rPr>
                <w:sz w:val="20"/>
                <w:szCs w:val="20"/>
                <w:color w:val="auto"/>
              </w:rPr>
            </w:pPr>
            <w:r>
              <w:rPr>
                <w:rFonts w:ascii="Arial" w:cs="Arial" w:eastAsia="Arial" w:hAnsi="Arial"/>
                <w:sz w:val="14"/>
                <w:szCs w:val="14"/>
                <w:b w:val="1"/>
                <w:bCs w:val="1"/>
                <w:color w:val="auto"/>
                <w:w w:val="79"/>
              </w:rPr>
              <w:t>Successor</w:t>
            </w:r>
          </w:p>
        </w:tc>
        <w:tc>
          <w:tcPr>
            <w:tcW w:w="1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600" w:type="dxa"/>
            <w:vAlign w:val="bottom"/>
            <w:tcBorders>
              <w:right w:val="single" w:sz="8" w:color="auto"/>
            </w:tcBorders>
          </w:tcPr>
          <w:p>
            <w:pPr>
              <w:spacing w:after="0"/>
              <w:rPr>
                <w:sz w:val="14"/>
                <w:szCs w:val="14"/>
                <w:color w:val="auto"/>
              </w:rPr>
            </w:pPr>
          </w:p>
        </w:tc>
        <w:tc>
          <w:tcPr>
            <w:tcW w:w="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60" w:type="dxa"/>
            <w:vAlign w:val="bottom"/>
            <w:gridSpan w:val="6"/>
          </w:tcPr>
          <w:p>
            <w:pPr>
              <w:ind w:left="380"/>
              <w:spacing w:after="0"/>
              <w:rPr>
                <w:sz w:val="20"/>
                <w:szCs w:val="20"/>
                <w:color w:val="auto"/>
              </w:rPr>
            </w:pPr>
            <w:r>
              <w:rPr>
                <w:rFonts w:ascii="Arial" w:cs="Arial" w:eastAsia="Arial" w:hAnsi="Arial"/>
                <w:sz w:val="14"/>
                <w:szCs w:val="14"/>
                <w:b w:val="1"/>
                <w:bCs w:val="1"/>
                <w:color w:val="auto"/>
              </w:rPr>
              <w:t>Predecessor</w:t>
            </w:r>
          </w:p>
        </w:tc>
      </w:tr>
      <w:tr>
        <w:trPr>
          <w:trHeight w:val="129"/>
        </w:trPr>
        <w:tc>
          <w:tcPr>
            <w:tcW w:w="20" w:type="dxa"/>
            <w:vAlign w:val="bottom"/>
          </w:tcPr>
          <w:p>
            <w:pPr>
              <w:spacing w:after="0"/>
              <w:rPr>
                <w:sz w:val="11"/>
                <w:szCs w:val="11"/>
                <w:color w:val="auto"/>
              </w:rPr>
            </w:pPr>
          </w:p>
        </w:tc>
        <w:tc>
          <w:tcPr>
            <w:tcW w:w="40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1020" w:type="dxa"/>
            <w:vAlign w:val="bottom"/>
            <w:tcBorders>
              <w:top w:val="single" w:sz="8" w:color="auto"/>
            </w:tcBorders>
          </w:tcPr>
          <w:p>
            <w:pPr>
              <w:spacing w:after="0"/>
              <w:rPr>
                <w:sz w:val="11"/>
                <w:szCs w:val="11"/>
                <w:color w:val="auto"/>
              </w:rPr>
            </w:pPr>
          </w:p>
        </w:tc>
        <w:tc>
          <w:tcPr>
            <w:tcW w:w="480" w:type="dxa"/>
            <w:vAlign w:val="bottom"/>
            <w:tcBorders>
              <w:top w:val="single" w:sz="8" w:color="auto"/>
            </w:tcBorders>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1000" w:type="dxa"/>
            <w:vAlign w:val="bottom"/>
            <w:tcBorders>
              <w:top w:val="single" w:sz="8" w:color="auto"/>
            </w:tcBorders>
          </w:tcPr>
          <w:p>
            <w:pPr>
              <w:spacing w:after="0"/>
              <w:rPr>
                <w:sz w:val="11"/>
                <w:szCs w:val="11"/>
                <w:color w:val="auto"/>
              </w:rPr>
            </w:pPr>
          </w:p>
        </w:tc>
        <w:tc>
          <w:tcPr>
            <w:tcW w:w="480" w:type="dxa"/>
            <w:vAlign w:val="bottom"/>
            <w:tcBorders>
              <w:top w:val="single" w:sz="8" w:color="auto"/>
            </w:tcBorders>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1000" w:type="dxa"/>
            <w:vAlign w:val="bottom"/>
            <w:tcBorders>
              <w:top w:val="single" w:sz="8" w:color="auto"/>
            </w:tcBorders>
          </w:tcPr>
          <w:p>
            <w:pPr>
              <w:spacing w:after="0"/>
              <w:rPr>
                <w:sz w:val="11"/>
                <w:szCs w:val="11"/>
                <w:color w:val="auto"/>
              </w:rPr>
            </w:pPr>
          </w:p>
        </w:tc>
        <w:tc>
          <w:tcPr>
            <w:tcW w:w="600" w:type="dxa"/>
            <w:vAlign w:val="bottom"/>
            <w:tcBorders>
              <w:right w:val="single" w:sz="8" w:color="auto"/>
            </w:tcBorders>
          </w:tcPr>
          <w:p>
            <w:pPr>
              <w:spacing w:after="0"/>
              <w:rPr>
                <w:sz w:val="11"/>
                <w:szCs w:val="11"/>
                <w:color w:val="auto"/>
              </w:rPr>
            </w:pPr>
          </w:p>
        </w:tc>
        <w:tc>
          <w:tcPr>
            <w:tcW w:w="400" w:type="dxa"/>
            <w:vAlign w:val="bottom"/>
          </w:tcPr>
          <w:p>
            <w:pPr>
              <w:spacing w:after="0"/>
              <w:rPr>
                <w:sz w:val="11"/>
                <w:szCs w:val="11"/>
                <w:color w:val="auto"/>
              </w:rPr>
            </w:pPr>
          </w:p>
        </w:tc>
        <w:tc>
          <w:tcPr>
            <w:tcW w:w="760" w:type="dxa"/>
            <w:vAlign w:val="bottom"/>
            <w:tcBorders>
              <w:top w:val="single" w:sz="8" w:color="auto"/>
            </w:tcBorders>
            <w:gridSpan w:val="3"/>
          </w:tcPr>
          <w:p>
            <w:pPr>
              <w:jc w:val="center"/>
              <w:ind w:right="300"/>
              <w:spacing w:after="0" w:line="129" w:lineRule="exact"/>
              <w:rPr>
                <w:sz w:val="20"/>
                <w:szCs w:val="20"/>
                <w:color w:val="auto"/>
              </w:rPr>
            </w:pPr>
            <w:r>
              <w:rPr>
                <w:rFonts w:ascii="Arial" w:cs="Arial" w:eastAsia="Arial" w:hAnsi="Arial"/>
                <w:sz w:val="14"/>
                <w:szCs w:val="14"/>
                <w:b w:val="1"/>
                <w:bCs w:val="1"/>
                <w:color w:val="auto"/>
                <w:w w:val="87"/>
              </w:rPr>
              <w:t>July 1,</w:t>
            </w:r>
          </w:p>
        </w:tc>
        <w:tc>
          <w:tcPr>
            <w:tcW w:w="240" w:type="dxa"/>
            <w:vAlign w:val="bottom"/>
            <w:tcBorders>
              <w:top w:val="single" w:sz="8" w:color="auto"/>
            </w:tcBorders>
          </w:tcPr>
          <w:p>
            <w:pPr>
              <w:spacing w:after="0"/>
              <w:rPr>
                <w:sz w:val="11"/>
                <w:szCs w:val="11"/>
                <w:color w:val="auto"/>
              </w:rPr>
            </w:pPr>
          </w:p>
        </w:tc>
        <w:tc>
          <w:tcPr>
            <w:tcW w:w="660" w:type="dxa"/>
            <w:vAlign w:val="bottom"/>
            <w:tcBorders>
              <w:top w:val="single" w:sz="8" w:color="auto"/>
            </w:tcBorders>
            <w:gridSpan w:val="2"/>
          </w:tcPr>
          <w:p>
            <w:pPr>
              <w:jc w:val="center"/>
              <w:spacing w:after="0" w:line="129" w:lineRule="exact"/>
              <w:rPr>
                <w:sz w:val="20"/>
                <w:szCs w:val="20"/>
                <w:color w:val="auto"/>
              </w:rPr>
            </w:pPr>
            <w:r>
              <w:rPr>
                <w:rFonts w:ascii="Arial" w:cs="Arial" w:eastAsia="Arial" w:hAnsi="Arial"/>
                <w:sz w:val="14"/>
                <w:szCs w:val="14"/>
                <w:b w:val="1"/>
                <w:bCs w:val="1"/>
                <w:color w:val="auto"/>
                <w:w w:val="86"/>
              </w:rPr>
              <w:t>January 1,</w:t>
            </w:r>
          </w:p>
        </w:tc>
        <w:tc>
          <w:tcPr>
            <w:tcW w:w="100" w:type="dxa"/>
            <w:vAlign w:val="bottom"/>
          </w:tcPr>
          <w:p>
            <w:pPr>
              <w:spacing w:after="0"/>
              <w:rPr>
                <w:sz w:val="11"/>
                <w:szCs w:val="11"/>
                <w:color w:val="auto"/>
              </w:rPr>
            </w:pPr>
          </w:p>
        </w:tc>
      </w:tr>
      <w:tr>
        <w:trPr>
          <w:trHeight w:val="149"/>
        </w:trPr>
        <w:tc>
          <w:tcPr>
            <w:tcW w:w="20" w:type="dxa"/>
            <w:vAlign w:val="bottom"/>
          </w:tcPr>
          <w:p>
            <w:pPr>
              <w:spacing w:after="0"/>
              <w:rPr>
                <w:sz w:val="12"/>
                <w:szCs w:val="12"/>
                <w:color w:val="auto"/>
              </w:rPr>
            </w:pPr>
          </w:p>
        </w:tc>
        <w:tc>
          <w:tcPr>
            <w:tcW w:w="40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600" w:type="dxa"/>
            <w:vAlign w:val="bottom"/>
            <w:tcBorders>
              <w:right w:val="single" w:sz="8" w:color="auto"/>
            </w:tcBorders>
          </w:tcPr>
          <w:p>
            <w:pPr>
              <w:spacing w:after="0"/>
              <w:rPr>
                <w:sz w:val="12"/>
                <w:szCs w:val="12"/>
                <w:color w:val="auto"/>
              </w:rPr>
            </w:pPr>
          </w:p>
        </w:tc>
        <w:tc>
          <w:tcPr>
            <w:tcW w:w="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tcPr>
          <w:p>
            <w:pPr>
              <w:jc w:val="center"/>
              <w:ind w:right="20"/>
              <w:spacing w:after="0" w:line="149" w:lineRule="exact"/>
              <w:rPr>
                <w:sz w:val="20"/>
                <w:szCs w:val="20"/>
                <w:color w:val="auto"/>
              </w:rPr>
            </w:pPr>
            <w:r>
              <w:rPr>
                <w:rFonts w:ascii="Arial" w:cs="Arial" w:eastAsia="Arial" w:hAnsi="Arial"/>
                <w:sz w:val="14"/>
                <w:szCs w:val="14"/>
                <w:b w:val="1"/>
                <w:bCs w:val="1"/>
                <w:color w:val="auto"/>
                <w:w w:val="83"/>
              </w:rPr>
              <w:t>2009</w:t>
            </w:r>
          </w:p>
        </w:tc>
        <w:tc>
          <w:tcPr>
            <w:tcW w:w="2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jc w:val="center"/>
              <w:ind w:right="40"/>
              <w:spacing w:after="0" w:line="149" w:lineRule="exact"/>
              <w:rPr>
                <w:sz w:val="20"/>
                <w:szCs w:val="20"/>
                <w:color w:val="auto"/>
              </w:rPr>
            </w:pPr>
            <w:r>
              <w:rPr>
                <w:rFonts w:ascii="Arial" w:cs="Arial" w:eastAsia="Arial" w:hAnsi="Arial"/>
                <w:sz w:val="14"/>
                <w:szCs w:val="14"/>
                <w:b w:val="1"/>
                <w:bCs w:val="1"/>
                <w:color w:val="auto"/>
                <w:w w:val="83"/>
              </w:rPr>
              <w:t>2009</w:t>
            </w:r>
          </w:p>
        </w:tc>
        <w:tc>
          <w:tcPr>
            <w:tcW w:w="100" w:type="dxa"/>
            <w:vAlign w:val="bottom"/>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40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500" w:type="dxa"/>
            <w:vAlign w:val="bottom"/>
            <w:gridSpan w:val="2"/>
          </w:tcPr>
          <w:p>
            <w:pPr>
              <w:jc w:val="center"/>
              <w:ind w:right="600"/>
              <w:spacing w:after="0" w:line="149" w:lineRule="exact"/>
              <w:rPr>
                <w:sz w:val="20"/>
                <w:szCs w:val="20"/>
                <w:color w:val="auto"/>
              </w:rPr>
            </w:pPr>
            <w:r>
              <w:rPr>
                <w:rFonts w:ascii="Arial" w:cs="Arial" w:eastAsia="Arial" w:hAnsi="Arial"/>
                <w:sz w:val="14"/>
                <w:szCs w:val="14"/>
                <w:b w:val="1"/>
                <w:bCs w:val="1"/>
                <w:color w:val="auto"/>
                <w:w w:val="89"/>
              </w:rPr>
              <w:t>Three Months</w:t>
            </w:r>
          </w:p>
        </w:tc>
        <w:tc>
          <w:tcPr>
            <w:tcW w:w="140" w:type="dxa"/>
            <w:vAlign w:val="bottom"/>
          </w:tcPr>
          <w:p>
            <w:pPr>
              <w:spacing w:after="0"/>
              <w:rPr>
                <w:sz w:val="12"/>
                <w:szCs w:val="12"/>
                <w:color w:val="auto"/>
              </w:rPr>
            </w:pPr>
          </w:p>
        </w:tc>
        <w:tc>
          <w:tcPr>
            <w:tcW w:w="1480" w:type="dxa"/>
            <w:vAlign w:val="bottom"/>
            <w:gridSpan w:val="2"/>
          </w:tcPr>
          <w:p>
            <w:pPr>
              <w:jc w:val="center"/>
              <w:ind w:right="620"/>
              <w:spacing w:after="0" w:line="149" w:lineRule="exact"/>
              <w:rPr>
                <w:sz w:val="20"/>
                <w:szCs w:val="20"/>
                <w:color w:val="auto"/>
              </w:rPr>
            </w:pPr>
            <w:r>
              <w:rPr>
                <w:rFonts w:ascii="Arial" w:cs="Arial" w:eastAsia="Arial" w:hAnsi="Arial"/>
                <w:sz w:val="14"/>
                <w:szCs w:val="14"/>
                <w:b w:val="1"/>
                <w:bCs w:val="1"/>
                <w:color w:val="auto"/>
                <w:w w:val="88"/>
              </w:rPr>
              <w:t>Nine Months</w:t>
            </w:r>
          </w:p>
        </w:tc>
        <w:tc>
          <w:tcPr>
            <w:tcW w:w="140" w:type="dxa"/>
            <w:vAlign w:val="bottom"/>
          </w:tcPr>
          <w:p>
            <w:pPr>
              <w:spacing w:after="0"/>
              <w:rPr>
                <w:sz w:val="12"/>
                <w:szCs w:val="12"/>
                <w:color w:val="auto"/>
              </w:rPr>
            </w:pPr>
          </w:p>
        </w:tc>
        <w:tc>
          <w:tcPr>
            <w:tcW w:w="1600" w:type="dxa"/>
            <w:vAlign w:val="bottom"/>
            <w:tcBorders>
              <w:right w:val="single" w:sz="8" w:color="auto"/>
            </w:tcBorders>
            <w:gridSpan w:val="2"/>
          </w:tcPr>
          <w:p>
            <w:pPr>
              <w:jc w:val="center"/>
              <w:ind w:right="760"/>
              <w:spacing w:after="0" w:line="149" w:lineRule="exact"/>
              <w:rPr>
                <w:sz w:val="20"/>
                <w:szCs w:val="20"/>
                <w:color w:val="auto"/>
              </w:rPr>
            </w:pPr>
            <w:r>
              <w:rPr>
                <w:rFonts w:ascii="Arial" w:cs="Arial" w:eastAsia="Arial" w:hAnsi="Arial"/>
                <w:sz w:val="14"/>
                <w:szCs w:val="14"/>
                <w:b w:val="1"/>
                <w:bCs w:val="1"/>
                <w:color w:val="auto"/>
                <w:w w:val="87"/>
              </w:rPr>
              <w:t>July 10, 2009</w:t>
            </w:r>
          </w:p>
        </w:tc>
        <w:tc>
          <w:tcPr>
            <w:tcW w:w="400" w:type="dxa"/>
            <w:vAlign w:val="bottom"/>
          </w:tcPr>
          <w:p>
            <w:pPr>
              <w:spacing w:after="0"/>
              <w:rPr>
                <w:sz w:val="12"/>
                <w:szCs w:val="12"/>
                <w:color w:val="auto"/>
              </w:rPr>
            </w:pPr>
          </w:p>
        </w:tc>
        <w:tc>
          <w:tcPr>
            <w:tcW w:w="760" w:type="dxa"/>
            <w:vAlign w:val="bottom"/>
            <w:gridSpan w:val="3"/>
          </w:tcPr>
          <w:p>
            <w:pPr>
              <w:jc w:val="center"/>
              <w:ind w:right="260"/>
              <w:spacing w:after="0" w:line="149" w:lineRule="exact"/>
              <w:rPr>
                <w:sz w:val="20"/>
                <w:szCs w:val="20"/>
                <w:color w:val="auto"/>
              </w:rPr>
            </w:pPr>
            <w:r>
              <w:rPr>
                <w:rFonts w:ascii="Arial" w:cs="Arial" w:eastAsia="Arial" w:hAnsi="Arial"/>
                <w:sz w:val="14"/>
                <w:szCs w:val="14"/>
                <w:b w:val="1"/>
                <w:bCs w:val="1"/>
                <w:color w:val="auto"/>
                <w:w w:val="87"/>
              </w:rPr>
              <w:t>Through</w:t>
            </w:r>
          </w:p>
        </w:tc>
        <w:tc>
          <w:tcPr>
            <w:tcW w:w="240" w:type="dxa"/>
            <w:vAlign w:val="bottom"/>
          </w:tcPr>
          <w:p>
            <w:pPr>
              <w:spacing w:after="0"/>
              <w:rPr>
                <w:sz w:val="12"/>
                <w:szCs w:val="12"/>
                <w:color w:val="auto"/>
              </w:rPr>
            </w:pPr>
          </w:p>
        </w:tc>
        <w:tc>
          <w:tcPr>
            <w:tcW w:w="760" w:type="dxa"/>
            <w:vAlign w:val="bottom"/>
            <w:gridSpan w:val="3"/>
          </w:tcPr>
          <w:p>
            <w:pPr>
              <w:jc w:val="center"/>
              <w:ind w:right="100"/>
              <w:spacing w:after="0" w:line="149" w:lineRule="exact"/>
              <w:rPr>
                <w:sz w:val="20"/>
                <w:szCs w:val="20"/>
                <w:color w:val="auto"/>
              </w:rPr>
            </w:pPr>
            <w:r>
              <w:rPr>
                <w:rFonts w:ascii="Arial" w:cs="Arial" w:eastAsia="Arial" w:hAnsi="Arial"/>
                <w:sz w:val="14"/>
                <w:szCs w:val="14"/>
                <w:b w:val="1"/>
                <w:bCs w:val="1"/>
                <w:color w:val="auto"/>
                <w:w w:val="87"/>
              </w:rPr>
              <w:t>Through</w:t>
            </w:r>
          </w:p>
        </w:tc>
      </w:tr>
      <w:tr>
        <w:trPr>
          <w:trHeight w:val="149"/>
        </w:trPr>
        <w:tc>
          <w:tcPr>
            <w:tcW w:w="20" w:type="dxa"/>
            <w:vAlign w:val="bottom"/>
          </w:tcPr>
          <w:p>
            <w:pPr>
              <w:spacing w:after="0"/>
              <w:rPr>
                <w:sz w:val="12"/>
                <w:szCs w:val="12"/>
                <w:color w:val="auto"/>
              </w:rPr>
            </w:pPr>
          </w:p>
        </w:tc>
        <w:tc>
          <w:tcPr>
            <w:tcW w:w="40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500" w:type="dxa"/>
            <w:vAlign w:val="bottom"/>
            <w:gridSpan w:val="2"/>
          </w:tcPr>
          <w:p>
            <w:pPr>
              <w:jc w:val="center"/>
              <w:ind w:right="600"/>
              <w:spacing w:after="0" w:line="149" w:lineRule="exact"/>
              <w:rPr>
                <w:sz w:val="20"/>
                <w:szCs w:val="20"/>
                <w:color w:val="auto"/>
              </w:rPr>
            </w:pPr>
            <w:r>
              <w:rPr>
                <w:rFonts w:ascii="Arial" w:cs="Arial" w:eastAsia="Arial" w:hAnsi="Arial"/>
                <w:sz w:val="14"/>
                <w:szCs w:val="14"/>
                <w:b w:val="1"/>
                <w:bCs w:val="1"/>
                <w:color w:val="auto"/>
                <w:w w:val="88"/>
              </w:rPr>
              <w:t>Ended</w:t>
            </w:r>
          </w:p>
        </w:tc>
        <w:tc>
          <w:tcPr>
            <w:tcW w:w="140" w:type="dxa"/>
            <w:vAlign w:val="bottom"/>
          </w:tcPr>
          <w:p>
            <w:pPr>
              <w:spacing w:after="0"/>
              <w:rPr>
                <w:sz w:val="12"/>
                <w:szCs w:val="12"/>
                <w:color w:val="auto"/>
              </w:rPr>
            </w:pPr>
          </w:p>
        </w:tc>
        <w:tc>
          <w:tcPr>
            <w:tcW w:w="1480" w:type="dxa"/>
            <w:vAlign w:val="bottom"/>
            <w:gridSpan w:val="2"/>
          </w:tcPr>
          <w:p>
            <w:pPr>
              <w:jc w:val="center"/>
              <w:ind w:right="620"/>
              <w:spacing w:after="0" w:line="149" w:lineRule="exact"/>
              <w:rPr>
                <w:sz w:val="20"/>
                <w:szCs w:val="20"/>
                <w:color w:val="auto"/>
              </w:rPr>
            </w:pPr>
            <w:r>
              <w:rPr>
                <w:rFonts w:ascii="Arial" w:cs="Arial" w:eastAsia="Arial" w:hAnsi="Arial"/>
                <w:sz w:val="14"/>
                <w:szCs w:val="14"/>
                <w:b w:val="1"/>
                <w:bCs w:val="1"/>
                <w:color w:val="auto"/>
                <w:w w:val="88"/>
              </w:rPr>
              <w:t>Ended</w:t>
            </w:r>
          </w:p>
        </w:tc>
        <w:tc>
          <w:tcPr>
            <w:tcW w:w="140" w:type="dxa"/>
            <w:vAlign w:val="bottom"/>
          </w:tcPr>
          <w:p>
            <w:pPr>
              <w:spacing w:after="0"/>
              <w:rPr>
                <w:sz w:val="12"/>
                <w:szCs w:val="12"/>
                <w:color w:val="auto"/>
              </w:rPr>
            </w:pPr>
          </w:p>
        </w:tc>
        <w:tc>
          <w:tcPr>
            <w:tcW w:w="1600" w:type="dxa"/>
            <w:vAlign w:val="bottom"/>
            <w:tcBorders>
              <w:right w:val="single" w:sz="8" w:color="auto"/>
            </w:tcBorders>
            <w:gridSpan w:val="2"/>
          </w:tcPr>
          <w:p>
            <w:pPr>
              <w:jc w:val="center"/>
              <w:ind w:right="740"/>
              <w:spacing w:after="0" w:line="149" w:lineRule="exact"/>
              <w:rPr>
                <w:sz w:val="20"/>
                <w:szCs w:val="20"/>
                <w:color w:val="auto"/>
              </w:rPr>
            </w:pPr>
            <w:r>
              <w:rPr>
                <w:rFonts w:ascii="Arial" w:cs="Arial" w:eastAsia="Arial" w:hAnsi="Arial"/>
                <w:sz w:val="14"/>
                <w:szCs w:val="14"/>
                <w:b w:val="1"/>
                <w:bCs w:val="1"/>
                <w:color w:val="auto"/>
                <w:w w:val="87"/>
              </w:rPr>
              <w:t>Through</w:t>
            </w:r>
          </w:p>
        </w:tc>
        <w:tc>
          <w:tcPr>
            <w:tcW w:w="400" w:type="dxa"/>
            <w:vAlign w:val="bottom"/>
          </w:tcPr>
          <w:p>
            <w:pPr>
              <w:spacing w:after="0"/>
              <w:rPr>
                <w:sz w:val="12"/>
                <w:szCs w:val="12"/>
                <w:color w:val="auto"/>
              </w:rPr>
            </w:pPr>
          </w:p>
        </w:tc>
        <w:tc>
          <w:tcPr>
            <w:tcW w:w="760" w:type="dxa"/>
            <w:vAlign w:val="bottom"/>
            <w:gridSpan w:val="3"/>
          </w:tcPr>
          <w:p>
            <w:pPr>
              <w:jc w:val="center"/>
              <w:ind w:right="260"/>
              <w:spacing w:after="0" w:line="149" w:lineRule="exact"/>
              <w:rPr>
                <w:sz w:val="20"/>
                <w:szCs w:val="20"/>
                <w:color w:val="auto"/>
              </w:rPr>
            </w:pPr>
            <w:r>
              <w:rPr>
                <w:rFonts w:ascii="Arial" w:cs="Arial" w:eastAsia="Arial" w:hAnsi="Arial"/>
                <w:sz w:val="14"/>
                <w:szCs w:val="14"/>
                <w:b w:val="1"/>
                <w:bCs w:val="1"/>
                <w:color w:val="auto"/>
                <w:w w:val="87"/>
              </w:rPr>
              <w:t>July 9,</w:t>
            </w: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87"/>
              </w:rPr>
              <w:t>July 9,</w:t>
            </w:r>
          </w:p>
        </w:tc>
      </w:tr>
      <w:tr>
        <w:trPr>
          <w:trHeight w:val="161"/>
        </w:trPr>
        <w:tc>
          <w:tcPr>
            <w:tcW w:w="20" w:type="dxa"/>
            <w:vAlign w:val="bottom"/>
          </w:tcPr>
          <w:p>
            <w:pPr>
              <w:spacing w:after="0"/>
              <w:rPr>
                <w:sz w:val="14"/>
                <w:szCs w:val="14"/>
                <w:color w:val="auto"/>
              </w:rPr>
            </w:pPr>
          </w:p>
        </w:tc>
        <w:tc>
          <w:tcPr>
            <w:tcW w:w="40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40" w:type="dxa"/>
            <w:vAlign w:val="bottom"/>
            <w:tcBorders>
              <w:bottom w:val="single" w:sz="8" w:color="auto"/>
            </w:tcBorders>
            <w:gridSpan w:val="2"/>
          </w:tcPr>
          <w:p>
            <w:pPr>
              <w:spacing w:after="0"/>
              <w:rPr>
                <w:sz w:val="20"/>
                <w:szCs w:val="20"/>
                <w:color w:val="auto"/>
              </w:rPr>
            </w:pPr>
            <w:r>
              <w:rPr>
                <w:rFonts w:ascii="Arial" w:cs="Arial" w:eastAsia="Arial" w:hAnsi="Arial"/>
                <w:sz w:val="14"/>
                <w:szCs w:val="14"/>
                <w:b w:val="1"/>
                <w:bCs w:val="1"/>
                <w:color w:val="auto"/>
                <w:w w:val="85"/>
              </w:rPr>
              <w:t>September 30, 2010</w:t>
            </w:r>
          </w:p>
        </w:tc>
        <w:tc>
          <w:tcPr>
            <w:tcW w:w="480" w:type="dxa"/>
            <w:vAlign w:val="bottom"/>
          </w:tcPr>
          <w:p>
            <w:pPr>
              <w:spacing w:after="0"/>
              <w:rPr>
                <w:sz w:val="14"/>
                <w:szCs w:val="14"/>
                <w:color w:val="auto"/>
              </w:rPr>
            </w:pPr>
          </w:p>
        </w:tc>
        <w:tc>
          <w:tcPr>
            <w:tcW w:w="114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85"/>
              </w:rPr>
              <w:t>September 30, 2010</w:t>
            </w:r>
          </w:p>
        </w:tc>
        <w:tc>
          <w:tcPr>
            <w:tcW w:w="480" w:type="dxa"/>
            <w:vAlign w:val="bottom"/>
          </w:tcPr>
          <w:p>
            <w:pPr>
              <w:spacing w:after="0"/>
              <w:rPr>
                <w:sz w:val="14"/>
                <w:szCs w:val="14"/>
                <w:color w:val="auto"/>
              </w:rPr>
            </w:pPr>
          </w:p>
        </w:tc>
        <w:tc>
          <w:tcPr>
            <w:tcW w:w="1140" w:type="dxa"/>
            <w:vAlign w:val="bottom"/>
            <w:tcBorders>
              <w:bottom w:val="single" w:sz="8" w:color="auto"/>
            </w:tcBorders>
            <w:gridSpan w:val="2"/>
          </w:tcPr>
          <w:p>
            <w:pPr>
              <w:spacing w:after="0"/>
              <w:rPr>
                <w:sz w:val="20"/>
                <w:szCs w:val="20"/>
                <w:color w:val="auto"/>
              </w:rPr>
            </w:pPr>
            <w:r>
              <w:rPr>
                <w:rFonts w:ascii="Arial" w:cs="Arial" w:eastAsia="Arial" w:hAnsi="Arial"/>
                <w:sz w:val="14"/>
                <w:szCs w:val="14"/>
                <w:b w:val="1"/>
                <w:bCs w:val="1"/>
                <w:color w:val="auto"/>
                <w:w w:val="85"/>
              </w:rPr>
              <w:t>September 30, 2009</w:t>
            </w:r>
          </w:p>
        </w:tc>
        <w:tc>
          <w:tcPr>
            <w:tcW w:w="600" w:type="dxa"/>
            <w:vAlign w:val="bottom"/>
            <w:tcBorders>
              <w:right w:val="single" w:sz="8" w:color="auto"/>
            </w:tcBorders>
          </w:tcPr>
          <w:p>
            <w:pPr>
              <w:spacing w:after="0"/>
              <w:rPr>
                <w:sz w:val="14"/>
                <w:szCs w:val="14"/>
                <w:color w:val="auto"/>
              </w:rPr>
            </w:pPr>
          </w:p>
        </w:tc>
        <w:tc>
          <w:tcPr>
            <w:tcW w:w="4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jc w:val="center"/>
              <w:ind w:right="20"/>
              <w:spacing w:after="0"/>
              <w:rPr>
                <w:sz w:val="20"/>
                <w:szCs w:val="20"/>
                <w:color w:val="auto"/>
              </w:rPr>
            </w:pPr>
            <w:r>
              <w:rPr>
                <w:rFonts w:ascii="Arial" w:cs="Arial" w:eastAsia="Arial" w:hAnsi="Arial"/>
                <w:sz w:val="14"/>
                <w:szCs w:val="14"/>
                <w:b w:val="1"/>
                <w:bCs w:val="1"/>
                <w:color w:val="auto"/>
                <w:w w:val="83"/>
              </w:rPr>
              <w:t>2009</w:t>
            </w:r>
          </w:p>
        </w:tc>
        <w:tc>
          <w:tcPr>
            <w:tcW w:w="2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center"/>
              <w:ind w:right="40"/>
              <w:spacing w:after="0"/>
              <w:rPr>
                <w:sz w:val="20"/>
                <w:szCs w:val="20"/>
                <w:color w:val="auto"/>
              </w:rPr>
            </w:pPr>
            <w:r>
              <w:rPr>
                <w:rFonts w:ascii="Arial" w:cs="Arial" w:eastAsia="Arial" w:hAnsi="Arial"/>
                <w:sz w:val="14"/>
                <w:szCs w:val="14"/>
                <w:b w:val="1"/>
                <w:bCs w:val="1"/>
                <w:color w:val="auto"/>
                <w:w w:val="83"/>
              </w:rPr>
              <w:t>2009</w:t>
            </w:r>
          </w:p>
        </w:tc>
        <w:tc>
          <w:tcPr>
            <w:tcW w:w="100" w:type="dxa"/>
            <w:vAlign w:val="bottom"/>
          </w:tcPr>
          <w:p>
            <w:pPr>
              <w:spacing w:after="0"/>
              <w:rPr>
                <w:sz w:val="14"/>
                <w:szCs w:val="14"/>
                <w:color w:val="auto"/>
              </w:rPr>
            </w:pPr>
          </w:p>
        </w:tc>
      </w:tr>
      <w:tr>
        <w:trPr>
          <w:trHeight w:val="210"/>
        </w:trPr>
        <w:tc>
          <w:tcPr>
            <w:tcW w:w="20" w:type="dxa"/>
            <w:vAlign w:val="bottom"/>
          </w:tcPr>
          <w:p>
            <w:pPr>
              <w:spacing w:after="0"/>
              <w:rPr>
                <w:sz w:val="18"/>
                <w:szCs w:val="18"/>
                <w:color w:val="auto"/>
              </w:rPr>
            </w:pPr>
          </w:p>
        </w:tc>
        <w:tc>
          <w:tcPr>
            <w:tcW w:w="4020" w:type="dxa"/>
            <w:vAlign w:val="bottom"/>
            <w:shd w:val="clear" w:color="auto" w:fill="CCEEFF"/>
          </w:tcPr>
          <w:p>
            <w:pPr>
              <w:spacing w:after="0"/>
              <w:rPr>
                <w:sz w:val="20"/>
                <w:szCs w:val="20"/>
                <w:color w:val="auto"/>
              </w:rPr>
            </w:pPr>
            <w:r>
              <w:rPr>
                <w:rFonts w:ascii="Arial" w:cs="Arial" w:eastAsia="Arial" w:hAnsi="Arial"/>
                <w:sz w:val="18"/>
                <w:szCs w:val="18"/>
                <w:color w:val="auto"/>
                <w:w w:val="93"/>
              </w:rPr>
              <w:t>Depreciation and impairment of plants and equipment</w:t>
            </w:r>
          </w:p>
        </w:tc>
        <w:tc>
          <w:tcPr>
            <w:tcW w:w="36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w w:val="99"/>
              </w:rPr>
              <w:t>$</w:t>
            </w:r>
          </w:p>
        </w:tc>
        <w:tc>
          <w:tcPr>
            <w:tcW w:w="150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480</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48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1,490</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600" w:type="dxa"/>
            <w:vAlign w:val="bottom"/>
            <w:tcBorders>
              <w:right w:val="single" w:sz="8" w:color="auto"/>
            </w:tcBorders>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606</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481</w:t>
            </w: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4,352</w:t>
            </w: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020" w:type="dxa"/>
            <w:vAlign w:val="bottom"/>
          </w:tcPr>
          <w:p>
            <w:pPr>
              <w:spacing w:after="0"/>
              <w:rPr>
                <w:sz w:val="20"/>
                <w:szCs w:val="20"/>
                <w:color w:val="auto"/>
              </w:rPr>
            </w:pPr>
            <w:r>
              <w:rPr>
                <w:rFonts w:ascii="Arial" w:cs="Arial" w:eastAsia="Arial" w:hAnsi="Arial"/>
                <w:sz w:val="18"/>
                <w:szCs w:val="18"/>
                <w:color w:val="auto"/>
              </w:rPr>
              <w:t>Amortization and impairment of special tools</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00" w:type="dxa"/>
            <w:vAlign w:val="bottom"/>
            <w:gridSpan w:val="2"/>
          </w:tcPr>
          <w:p>
            <w:pPr>
              <w:jc w:val="right"/>
              <w:ind w:right="480"/>
              <w:spacing w:after="0"/>
              <w:rPr>
                <w:sz w:val="20"/>
                <w:szCs w:val="20"/>
                <w:color w:val="auto"/>
              </w:rPr>
            </w:pPr>
            <w:r>
              <w:rPr>
                <w:rFonts w:ascii="Arial" w:cs="Arial" w:eastAsia="Arial" w:hAnsi="Arial"/>
                <w:sz w:val="18"/>
                <w:szCs w:val="18"/>
                <w:color w:val="auto"/>
              </w:rPr>
              <w:t>554</w:t>
            </w:r>
          </w:p>
        </w:tc>
        <w:tc>
          <w:tcPr>
            <w:tcW w:w="140" w:type="dxa"/>
            <w:vAlign w:val="bottom"/>
          </w:tcPr>
          <w:p>
            <w:pPr>
              <w:spacing w:after="0"/>
              <w:rPr>
                <w:sz w:val="18"/>
                <w:szCs w:val="18"/>
                <w:color w:val="auto"/>
              </w:rPr>
            </w:pPr>
          </w:p>
        </w:tc>
        <w:tc>
          <w:tcPr>
            <w:tcW w:w="1480" w:type="dxa"/>
            <w:vAlign w:val="bottom"/>
            <w:gridSpan w:val="2"/>
          </w:tcPr>
          <w:p>
            <w:pPr>
              <w:jc w:val="right"/>
              <w:ind w:right="480"/>
              <w:spacing w:after="0"/>
              <w:rPr>
                <w:sz w:val="20"/>
                <w:szCs w:val="20"/>
                <w:color w:val="auto"/>
              </w:rPr>
            </w:pPr>
            <w:r>
              <w:rPr>
                <w:rFonts w:ascii="Arial" w:cs="Arial" w:eastAsia="Arial" w:hAnsi="Arial"/>
                <w:sz w:val="18"/>
                <w:szCs w:val="18"/>
                <w:color w:val="auto"/>
              </w:rPr>
              <w:t>1,341</w:t>
            </w:r>
          </w:p>
        </w:tc>
        <w:tc>
          <w:tcPr>
            <w:tcW w:w="140" w:type="dxa"/>
            <w:vAlign w:val="bottom"/>
          </w:tcPr>
          <w:p>
            <w:pPr>
              <w:spacing w:after="0"/>
              <w:rPr>
                <w:sz w:val="18"/>
                <w:szCs w:val="18"/>
                <w:color w:val="auto"/>
              </w:rPr>
            </w:pPr>
          </w:p>
        </w:tc>
        <w:tc>
          <w:tcPr>
            <w:tcW w:w="1600" w:type="dxa"/>
            <w:vAlign w:val="bottom"/>
            <w:tcBorders>
              <w:right w:val="single" w:sz="8" w:color="auto"/>
            </w:tcBorders>
            <w:gridSpan w:val="2"/>
          </w:tcPr>
          <w:p>
            <w:pPr>
              <w:jc w:val="right"/>
              <w:ind w:right="600"/>
              <w:spacing w:after="0"/>
              <w:rPr>
                <w:sz w:val="20"/>
                <w:szCs w:val="20"/>
                <w:color w:val="auto"/>
              </w:rPr>
            </w:pPr>
            <w:r>
              <w:rPr>
                <w:rFonts w:ascii="Arial" w:cs="Arial" w:eastAsia="Arial" w:hAnsi="Arial"/>
                <w:sz w:val="18"/>
                <w:szCs w:val="18"/>
                <w:color w:val="auto"/>
              </w:rPr>
              <w:t>394</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260"/>
              <w:spacing w:after="0"/>
              <w:rPr>
                <w:sz w:val="20"/>
                <w:szCs w:val="20"/>
                <w:color w:val="auto"/>
              </w:rPr>
            </w:pPr>
            <w:r>
              <w:rPr>
                <w:rFonts w:ascii="Arial" w:cs="Arial" w:eastAsia="Arial" w:hAnsi="Arial"/>
                <w:sz w:val="18"/>
                <w:szCs w:val="18"/>
                <w:color w:val="auto"/>
              </w:rPr>
              <w:t>68</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2,139</w:t>
            </w:r>
          </w:p>
        </w:tc>
        <w:tc>
          <w:tcPr>
            <w:tcW w:w="100" w:type="dxa"/>
            <w:vAlign w:val="bottom"/>
          </w:tcPr>
          <w:p>
            <w:pPr>
              <w:spacing w:after="0"/>
              <w:rPr>
                <w:sz w:val="18"/>
                <w:szCs w:val="18"/>
                <w:color w:val="auto"/>
              </w:rPr>
            </w:pPr>
          </w:p>
        </w:tc>
      </w:tr>
      <w:tr>
        <w:trPr>
          <w:trHeight w:val="208"/>
        </w:trPr>
        <w:tc>
          <w:tcPr>
            <w:tcW w:w="20" w:type="dxa"/>
            <w:vAlign w:val="bottom"/>
          </w:tcPr>
          <w:p>
            <w:pPr>
              <w:spacing w:after="0"/>
              <w:rPr>
                <w:sz w:val="18"/>
                <w:szCs w:val="18"/>
                <w:color w:val="auto"/>
              </w:rPr>
            </w:pPr>
          </w:p>
        </w:tc>
        <w:tc>
          <w:tcPr>
            <w:tcW w:w="4020" w:type="dxa"/>
            <w:vAlign w:val="bottom"/>
            <w:shd w:val="clear" w:color="auto" w:fill="CCEEFF"/>
          </w:tcPr>
          <w:p>
            <w:pPr>
              <w:spacing w:after="0"/>
              <w:rPr>
                <w:sz w:val="20"/>
                <w:szCs w:val="20"/>
                <w:color w:val="auto"/>
              </w:rPr>
            </w:pPr>
            <w:r>
              <w:rPr>
                <w:rFonts w:ascii="Arial" w:cs="Arial" w:eastAsia="Arial" w:hAnsi="Arial"/>
                <w:sz w:val="18"/>
                <w:szCs w:val="18"/>
                <w:color w:val="auto"/>
              </w:rPr>
              <w:t>Depreciation and impairment of equipment on</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600" w:type="dxa"/>
            <w:vAlign w:val="bottom"/>
            <w:tcBorders>
              <w:right w:val="single" w:sz="8" w:color="auto"/>
            </w:tcBorders>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24"/>
        </w:trPr>
        <w:tc>
          <w:tcPr>
            <w:tcW w:w="20" w:type="dxa"/>
            <w:vAlign w:val="bottom"/>
          </w:tcPr>
          <w:p>
            <w:pPr>
              <w:spacing w:after="0"/>
              <w:rPr>
                <w:sz w:val="19"/>
                <w:szCs w:val="19"/>
                <w:color w:val="auto"/>
              </w:rPr>
            </w:pPr>
          </w:p>
        </w:tc>
        <w:tc>
          <w:tcPr>
            <w:tcW w:w="40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operating leases</w:t>
            </w:r>
          </w:p>
        </w:tc>
        <w:tc>
          <w:tcPr>
            <w:tcW w:w="2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50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100</w:t>
            </w:r>
          </w:p>
        </w:tc>
        <w:tc>
          <w:tcPr>
            <w:tcW w:w="140" w:type="dxa"/>
            <w:vAlign w:val="bottom"/>
            <w:shd w:val="clear" w:color="auto" w:fill="CCEEFF"/>
          </w:tcPr>
          <w:p>
            <w:pPr>
              <w:spacing w:after="0"/>
              <w:rPr>
                <w:sz w:val="19"/>
                <w:szCs w:val="19"/>
                <w:color w:val="auto"/>
              </w:rPr>
            </w:pPr>
          </w:p>
        </w:tc>
        <w:tc>
          <w:tcPr>
            <w:tcW w:w="148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353</w:t>
            </w:r>
          </w:p>
        </w:tc>
        <w:tc>
          <w:tcPr>
            <w:tcW w:w="140" w:type="dxa"/>
            <w:vAlign w:val="bottom"/>
            <w:shd w:val="clear" w:color="auto" w:fill="CCEEFF"/>
          </w:tcPr>
          <w:p>
            <w:pPr>
              <w:spacing w:after="0"/>
              <w:rPr>
                <w:sz w:val="19"/>
                <w:szCs w:val="19"/>
                <w:color w:val="auto"/>
              </w:rPr>
            </w:pPr>
          </w:p>
        </w:tc>
        <w:tc>
          <w:tcPr>
            <w:tcW w:w="1600" w:type="dxa"/>
            <w:vAlign w:val="bottom"/>
            <w:tcBorders>
              <w:right w:val="single" w:sz="8" w:color="auto"/>
            </w:tcBorders>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210</w:t>
            </w:r>
          </w:p>
        </w:tc>
        <w:tc>
          <w:tcPr>
            <w:tcW w:w="4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19</w:t>
            </w:r>
          </w:p>
        </w:tc>
        <w:tc>
          <w:tcPr>
            <w:tcW w:w="2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338</w:t>
            </w:r>
          </w:p>
        </w:tc>
        <w:tc>
          <w:tcPr>
            <w:tcW w:w="100" w:type="dxa"/>
            <w:vAlign w:val="bottom"/>
            <w:shd w:val="clear" w:color="auto" w:fill="CCEEFF"/>
          </w:tcPr>
          <w:p>
            <w:pPr>
              <w:spacing w:after="0"/>
              <w:rPr>
                <w:sz w:val="19"/>
                <w:szCs w:val="19"/>
                <w:color w:val="auto"/>
              </w:rPr>
            </w:pPr>
          </w:p>
        </w:tc>
      </w:tr>
      <w:tr>
        <w:trPr>
          <w:trHeight w:val="223"/>
        </w:trPr>
        <w:tc>
          <w:tcPr>
            <w:tcW w:w="20" w:type="dxa"/>
            <w:vAlign w:val="bottom"/>
          </w:tcPr>
          <w:p>
            <w:pPr>
              <w:spacing w:after="0"/>
              <w:rPr>
                <w:sz w:val="19"/>
                <w:szCs w:val="19"/>
                <w:color w:val="auto"/>
              </w:rPr>
            </w:pPr>
          </w:p>
        </w:tc>
        <w:tc>
          <w:tcPr>
            <w:tcW w:w="4020" w:type="dxa"/>
            <w:vAlign w:val="bottom"/>
          </w:tcPr>
          <w:p>
            <w:pPr>
              <w:spacing w:after="0"/>
              <w:rPr>
                <w:sz w:val="20"/>
                <w:szCs w:val="20"/>
                <w:color w:val="auto"/>
              </w:rPr>
            </w:pPr>
            <w:r>
              <w:rPr>
                <w:rFonts w:ascii="Arial" w:cs="Arial" w:eastAsia="Arial" w:hAnsi="Arial"/>
                <w:sz w:val="18"/>
                <w:szCs w:val="18"/>
                <w:color w:val="auto"/>
              </w:rPr>
              <w:t>Amortization of intangible assets</w:t>
            </w: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00" w:type="dxa"/>
            <w:vAlign w:val="bottom"/>
            <w:gridSpan w:val="2"/>
          </w:tcPr>
          <w:p>
            <w:pPr>
              <w:jc w:val="right"/>
              <w:ind w:right="480"/>
              <w:spacing w:after="0"/>
              <w:rPr>
                <w:sz w:val="20"/>
                <w:szCs w:val="20"/>
                <w:color w:val="auto"/>
              </w:rPr>
            </w:pPr>
            <w:r>
              <w:rPr>
                <w:rFonts w:ascii="Arial" w:cs="Arial" w:eastAsia="Arial" w:hAnsi="Arial"/>
                <w:sz w:val="18"/>
                <w:szCs w:val="18"/>
                <w:color w:val="auto"/>
              </w:rPr>
              <w:t>604</w:t>
            </w:r>
          </w:p>
        </w:tc>
        <w:tc>
          <w:tcPr>
            <w:tcW w:w="140" w:type="dxa"/>
            <w:vAlign w:val="bottom"/>
          </w:tcPr>
          <w:p>
            <w:pPr>
              <w:spacing w:after="0"/>
              <w:rPr>
                <w:sz w:val="19"/>
                <w:szCs w:val="19"/>
                <w:color w:val="auto"/>
              </w:rPr>
            </w:pPr>
          </w:p>
        </w:tc>
        <w:tc>
          <w:tcPr>
            <w:tcW w:w="1480" w:type="dxa"/>
            <w:vAlign w:val="bottom"/>
            <w:gridSpan w:val="2"/>
          </w:tcPr>
          <w:p>
            <w:pPr>
              <w:jc w:val="right"/>
              <w:ind w:right="480"/>
              <w:spacing w:after="0"/>
              <w:rPr>
                <w:sz w:val="20"/>
                <w:szCs w:val="20"/>
                <w:color w:val="auto"/>
              </w:rPr>
            </w:pPr>
            <w:r>
              <w:rPr>
                <w:rFonts w:ascii="Arial" w:cs="Arial" w:eastAsia="Arial" w:hAnsi="Arial"/>
                <w:sz w:val="18"/>
                <w:szCs w:val="18"/>
                <w:color w:val="auto"/>
              </w:rPr>
              <w:t>2,007</w:t>
            </w:r>
          </w:p>
        </w:tc>
        <w:tc>
          <w:tcPr>
            <w:tcW w:w="140" w:type="dxa"/>
            <w:vAlign w:val="bottom"/>
          </w:tcPr>
          <w:p>
            <w:pPr>
              <w:spacing w:after="0"/>
              <w:rPr>
                <w:sz w:val="19"/>
                <w:szCs w:val="19"/>
                <w:color w:val="auto"/>
              </w:rPr>
            </w:pPr>
          </w:p>
        </w:tc>
        <w:tc>
          <w:tcPr>
            <w:tcW w:w="1600" w:type="dxa"/>
            <w:vAlign w:val="bottom"/>
            <w:tcBorders>
              <w:right w:val="single" w:sz="8" w:color="auto"/>
            </w:tcBorders>
            <w:gridSpan w:val="2"/>
          </w:tcPr>
          <w:p>
            <w:pPr>
              <w:jc w:val="right"/>
              <w:ind w:right="600"/>
              <w:spacing w:after="0"/>
              <w:rPr>
                <w:sz w:val="20"/>
                <w:szCs w:val="20"/>
                <w:color w:val="auto"/>
              </w:rPr>
            </w:pPr>
            <w:r>
              <w:rPr>
                <w:rFonts w:ascii="Arial" w:cs="Arial" w:eastAsia="Arial" w:hAnsi="Arial"/>
                <w:sz w:val="18"/>
                <w:szCs w:val="18"/>
                <w:color w:val="auto"/>
              </w:rPr>
              <w:t>775</w:t>
            </w:r>
          </w:p>
        </w:tc>
        <w:tc>
          <w:tcPr>
            <w:tcW w:w="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60" w:type="dxa"/>
            <w:vAlign w:val="bottom"/>
            <w:gridSpan w:val="2"/>
          </w:tcPr>
          <w:p>
            <w:pPr>
              <w:jc w:val="right"/>
              <w:ind w:right="260"/>
              <w:spacing w:after="0"/>
              <w:rPr>
                <w:sz w:val="20"/>
                <w:szCs w:val="20"/>
                <w:color w:val="auto"/>
              </w:rPr>
            </w:pPr>
            <w:r>
              <w:rPr>
                <w:rFonts w:ascii="Arial" w:cs="Arial" w:eastAsia="Arial" w:hAnsi="Arial"/>
                <w:sz w:val="18"/>
                <w:szCs w:val="18"/>
                <w:color w:val="auto"/>
              </w:rPr>
              <w:t>1</w:t>
            </w: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44</w:t>
            </w:r>
          </w:p>
        </w:tc>
        <w:tc>
          <w:tcPr>
            <w:tcW w:w="100" w:type="dxa"/>
            <w:vAlign w:val="bottom"/>
          </w:tcPr>
          <w:p>
            <w:pPr>
              <w:spacing w:after="0"/>
              <w:rPr>
                <w:sz w:val="19"/>
                <w:szCs w:val="19"/>
                <w:color w:val="auto"/>
              </w:rPr>
            </w:pPr>
          </w:p>
        </w:tc>
      </w:tr>
      <w:tr>
        <w:trPr>
          <w:trHeight w:val="208"/>
        </w:trPr>
        <w:tc>
          <w:tcPr>
            <w:tcW w:w="20" w:type="dxa"/>
            <w:vAlign w:val="bottom"/>
          </w:tcPr>
          <w:p>
            <w:pPr>
              <w:spacing w:after="0"/>
              <w:rPr>
                <w:sz w:val="18"/>
                <w:szCs w:val="18"/>
                <w:color w:val="auto"/>
              </w:rPr>
            </w:pPr>
          </w:p>
        </w:tc>
        <w:tc>
          <w:tcPr>
            <w:tcW w:w="4020" w:type="dxa"/>
            <w:vAlign w:val="bottom"/>
            <w:shd w:val="clear" w:color="auto" w:fill="CCEEFF"/>
          </w:tcPr>
          <w:p>
            <w:pPr>
              <w:spacing w:after="0"/>
              <w:rPr>
                <w:sz w:val="20"/>
                <w:szCs w:val="20"/>
                <w:color w:val="auto"/>
              </w:rPr>
            </w:pPr>
            <w:r>
              <w:rPr>
                <w:rFonts w:ascii="Arial" w:cs="Arial" w:eastAsia="Arial" w:hAnsi="Arial"/>
                <w:sz w:val="18"/>
                <w:szCs w:val="18"/>
                <w:color w:val="auto"/>
                <w:w w:val="93"/>
              </w:rPr>
              <w:t>Total depreciation, amortization and asset impairment</w:t>
            </w:r>
          </w:p>
        </w:tc>
        <w:tc>
          <w:tcPr>
            <w:tcW w:w="24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600" w:type="dxa"/>
            <w:vAlign w:val="bottom"/>
            <w:tcBorders>
              <w:right w:val="single" w:sz="8" w:color="auto"/>
            </w:tcBorders>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24"/>
        </w:trPr>
        <w:tc>
          <w:tcPr>
            <w:tcW w:w="20" w:type="dxa"/>
            <w:vAlign w:val="bottom"/>
          </w:tcPr>
          <w:p>
            <w:pPr>
              <w:spacing w:after="0"/>
              <w:rPr>
                <w:sz w:val="19"/>
                <w:szCs w:val="19"/>
                <w:color w:val="auto"/>
              </w:rPr>
            </w:pPr>
          </w:p>
        </w:tc>
        <w:tc>
          <w:tcPr>
            <w:tcW w:w="40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charges</w:t>
            </w:r>
          </w:p>
        </w:tc>
        <w:tc>
          <w:tcPr>
            <w:tcW w:w="36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w w:val="99"/>
              </w:rPr>
              <w:t>$</w:t>
            </w:r>
          </w:p>
        </w:tc>
        <w:tc>
          <w:tcPr>
            <w:tcW w:w="150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1,738</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48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5,191</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600" w:type="dxa"/>
            <w:vAlign w:val="bottom"/>
            <w:tcBorders>
              <w:right w:val="single" w:sz="8" w:color="auto"/>
            </w:tcBorders>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1,985</w:t>
            </w:r>
          </w:p>
        </w:tc>
        <w:tc>
          <w:tcPr>
            <w:tcW w:w="400" w:type="dxa"/>
            <w:vAlign w:val="bottom"/>
            <w:shd w:val="clear" w:color="auto" w:fill="CCEEFF"/>
          </w:tcPr>
          <w:p>
            <w:pPr>
              <w:spacing w:after="0"/>
              <w:rPr>
                <w:sz w:val="19"/>
                <w:szCs w:val="19"/>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569</w:t>
            </w: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6,873</w:t>
            </w:r>
          </w:p>
        </w:tc>
        <w:tc>
          <w:tcPr>
            <w:tcW w:w="100" w:type="dxa"/>
            <w:vAlign w:val="bottom"/>
            <w:shd w:val="clear" w:color="auto" w:fill="CCEEFF"/>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40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right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54" w:lineRule="exact"/>
        <w:rPr>
          <w:sz w:val="20"/>
          <w:szCs w:val="20"/>
          <w:color w:val="auto"/>
        </w:rPr>
      </w:pPr>
    </w:p>
    <w:p>
      <w:pPr>
        <w:ind w:right="120" w:firstLine="228"/>
        <w:spacing w:after="0" w:line="294" w:lineRule="auto"/>
        <w:rPr>
          <w:sz w:val="20"/>
          <w:szCs w:val="20"/>
          <w:color w:val="auto"/>
        </w:rPr>
      </w:pPr>
      <w:r>
        <w:rPr>
          <w:rFonts w:ascii="Arial" w:cs="Arial" w:eastAsia="Arial" w:hAnsi="Arial"/>
          <w:sz w:val="16"/>
          <w:szCs w:val="16"/>
          <w:color w:val="auto"/>
        </w:rPr>
        <w:t>Old GM initiated restructuring plans prior to the 363 Sale to reduce the total number of powertrain, stamping and assembly plants and to eliminate certain brands and nameplates. As a result, Old GM recorded incremental depreciation and amortization on certain of these assets as they were expected to be utilized over a shorter period of time than their previously estimated useful lives. We record incremental depreciation and amortization for changes in useful lives subsequent to the initial determination. Old GM recorded incremental depreciation and amortization of approximately $0.3 billion and $2.8 billion in the periods July 1, 2009 through July 9, 2009 and January 1, 2009 through July 9, 2009.</w:t>
      </w:r>
    </w:p>
    <w:p>
      <w:pPr>
        <w:spacing w:after="0" w:line="1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12. Restricted Cash and Marketable Securities</w:t>
      </w:r>
    </w:p>
    <w:p>
      <w:pPr>
        <w:spacing w:after="0" w:line="177" w:lineRule="exact"/>
        <w:rPr>
          <w:sz w:val="20"/>
          <w:szCs w:val="20"/>
          <w:color w:val="auto"/>
        </w:rPr>
      </w:pPr>
    </w:p>
    <w:p>
      <w:pPr>
        <w:ind w:right="160" w:firstLine="228"/>
        <w:spacing w:after="0" w:line="291" w:lineRule="auto"/>
        <w:rPr>
          <w:sz w:val="20"/>
          <w:szCs w:val="20"/>
          <w:color w:val="auto"/>
        </w:rPr>
      </w:pPr>
      <w:r>
        <w:rPr>
          <w:rFonts w:ascii="Arial" w:cs="Arial" w:eastAsia="Arial" w:hAnsi="Arial"/>
          <w:sz w:val="16"/>
          <w:szCs w:val="16"/>
          <w:color w:val="auto"/>
        </w:rPr>
        <w:t>Cash and marketable securities subject to contractual restrictions and not readily available are classified as Restricted cash and marketable securities. Restricted cash and marketable securities are invested in accordance with the terms of the underlying agreements. Funds previously held in the UST Credit Agreement (as subsequently defined in Note 13) and currently held in the Canadian Health Care Trust (HCT) escrow and other accounts have been invested in government securities and money market funds in accordance with the terms of the escrow agreements. At September 30, 2010 and December 31, 2009 we held securities of $1.5 billion and $14.2 billion that were classified as Restricted cash and marketable securities. Refer to Note 19 for additional information. The following table summarizes the components of Restricted cash and marketable securities (dollars in millions):</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70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1340" w:type="dxa"/>
            <w:vAlign w:val="bottom"/>
            <w:tcBorders>
              <w:bottom w:val="single" w:sz="8" w:color="auto"/>
            </w:tcBorders>
            <w:gridSpan w:val="2"/>
          </w:tcPr>
          <w:p>
            <w:pPr>
              <w:ind w:left="200"/>
              <w:spacing w:after="0"/>
              <w:rPr>
                <w:sz w:val="20"/>
                <w:szCs w:val="20"/>
                <w:color w:val="auto"/>
              </w:rPr>
            </w:pPr>
            <w:r>
              <w:rPr>
                <w:rFonts w:ascii="Arial" w:cs="Arial" w:eastAsia="Arial" w:hAnsi="Arial"/>
                <w:sz w:val="14"/>
                <w:szCs w:val="14"/>
                <w:b w:val="1"/>
                <w:bCs w:val="1"/>
                <w:color w:val="auto"/>
              </w:rPr>
              <w:t>Successor</w:t>
            </w:r>
          </w:p>
        </w:tc>
        <w:tc>
          <w:tcPr>
            <w:tcW w:w="7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4700" w:type="dxa"/>
            <w:vAlign w:val="bottom"/>
          </w:tcPr>
          <w:p>
            <w:pPr>
              <w:spacing w:after="0"/>
              <w:rPr>
                <w:sz w:val="12"/>
                <w:szCs w:val="12"/>
                <w:color w:val="auto"/>
              </w:rPr>
            </w:pPr>
          </w:p>
        </w:tc>
        <w:tc>
          <w:tcPr>
            <w:tcW w:w="3420" w:type="dxa"/>
            <w:vAlign w:val="bottom"/>
          </w:tcPr>
          <w:p>
            <w:pPr>
              <w:spacing w:after="0"/>
              <w:rPr>
                <w:sz w:val="12"/>
                <w:szCs w:val="12"/>
                <w:color w:val="auto"/>
              </w:rPr>
            </w:pPr>
          </w:p>
        </w:tc>
        <w:tc>
          <w:tcPr>
            <w:tcW w:w="1120" w:type="dxa"/>
            <w:vAlign w:val="bottom"/>
            <w:tcBorders>
              <w:bottom w:val="single" w:sz="8" w:color="auto"/>
            </w:tcBorders>
            <w:gridSpan w:val="2"/>
          </w:tcPr>
          <w:p>
            <w:pPr>
              <w:spacing w:after="0" w:line="142" w:lineRule="exact"/>
              <w:rPr>
                <w:sz w:val="20"/>
                <w:szCs w:val="20"/>
                <w:color w:val="auto"/>
              </w:rPr>
            </w:pPr>
            <w:r>
              <w:rPr>
                <w:rFonts w:ascii="Arial" w:cs="Arial" w:eastAsia="Arial" w:hAnsi="Arial"/>
                <w:sz w:val="14"/>
                <w:szCs w:val="14"/>
                <w:b w:val="1"/>
                <w:bCs w:val="1"/>
                <w:color w:val="auto"/>
                <w:w w:val="84"/>
              </w:rPr>
              <w:t>September 30, 2010</w:t>
            </w:r>
          </w:p>
        </w:tc>
        <w:tc>
          <w:tcPr>
            <w:tcW w:w="1000" w:type="dxa"/>
            <w:vAlign w:val="bottom"/>
          </w:tcPr>
          <w:p>
            <w:pPr>
              <w:spacing w:after="0"/>
              <w:rPr>
                <w:sz w:val="12"/>
                <w:szCs w:val="12"/>
                <w:color w:val="auto"/>
              </w:rPr>
            </w:pPr>
          </w:p>
        </w:tc>
        <w:tc>
          <w:tcPr>
            <w:tcW w:w="1080" w:type="dxa"/>
            <w:vAlign w:val="bottom"/>
            <w:tcBorders>
              <w:bottom w:val="single" w:sz="8" w:color="auto"/>
            </w:tcBorders>
            <w:gridSpan w:val="2"/>
          </w:tcPr>
          <w:p>
            <w:pPr>
              <w:spacing w:after="0" w:line="142" w:lineRule="exact"/>
              <w:rPr>
                <w:sz w:val="20"/>
                <w:szCs w:val="20"/>
                <w:color w:val="auto"/>
              </w:rPr>
            </w:pPr>
            <w:r>
              <w:rPr>
                <w:rFonts w:ascii="Arial" w:cs="Arial" w:eastAsia="Arial" w:hAnsi="Arial"/>
                <w:sz w:val="14"/>
                <w:szCs w:val="14"/>
                <w:b w:val="1"/>
                <w:bCs w:val="1"/>
                <w:color w:val="auto"/>
                <w:w w:val="84"/>
              </w:rPr>
              <w:t>December 31, 2009</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47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Current</w:t>
            </w:r>
          </w:p>
        </w:tc>
        <w:tc>
          <w:tcPr>
            <w:tcW w:w="34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00" w:type="dxa"/>
            <w:vAlign w:val="bottom"/>
          </w:tcPr>
          <w:p>
            <w:pPr>
              <w:spacing w:after="0"/>
              <w:rPr>
                <w:sz w:val="20"/>
                <w:szCs w:val="20"/>
                <w:color w:val="auto"/>
              </w:rPr>
            </w:pPr>
            <w:r>
              <w:rPr>
                <w:rFonts w:ascii="Arial" w:cs="Arial" w:eastAsia="Arial" w:hAnsi="Arial"/>
                <w:sz w:val="18"/>
                <w:szCs w:val="18"/>
                <w:color w:val="auto"/>
              </w:rPr>
              <w:t>UST Credit Agreement (a)</w:t>
            </w:r>
          </w:p>
        </w:tc>
        <w:tc>
          <w:tcPr>
            <w:tcW w:w="3820" w:type="dxa"/>
            <w:vAlign w:val="bottom"/>
            <w:gridSpan w:val="2"/>
          </w:tcPr>
          <w:p>
            <w:pPr>
              <w:ind w:left="3420"/>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w:t>
            </w:r>
          </w:p>
        </w:tc>
        <w:tc>
          <w:tcPr>
            <w:tcW w:w="1340" w:type="dxa"/>
            <w:vAlign w:val="bottom"/>
            <w:gridSpan w:val="2"/>
          </w:tcPr>
          <w:p>
            <w:pPr>
              <w:ind w:left="1000"/>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12,475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00" w:type="dxa"/>
            <w:vAlign w:val="bottom"/>
            <w:shd w:val="clear" w:color="auto" w:fill="CCEEFF"/>
          </w:tcPr>
          <w:p>
            <w:pPr>
              <w:spacing w:after="0"/>
              <w:rPr>
                <w:sz w:val="20"/>
                <w:szCs w:val="20"/>
                <w:color w:val="auto"/>
              </w:rPr>
            </w:pPr>
            <w:r>
              <w:rPr>
                <w:rFonts w:ascii="Arial" w:cs="Arial" w:eastAsia="Arial" w:hAnsi="Arial"/>
                <w:sz w:val="18"/>
                <w:szCs w:val="18"/>
                <w:color w:val="auto"/>
              </w:rPr>
              <w:t>Canadian Health Care Trust (b)</w:t>
            </w:r>
          </w:p>
        </w:tc>
        <w:tc>
          <w:tcPr>
            <w:tcW w:w="34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978</w:t>
            </w:r>
          </w:p>
        </w:tc>
        <w:tc>
          <w:tcPr>
            <w:tcW w:w="10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00" w:type="dxa"/>
            <w:vAlign w:val="bottom"/>
          </w:tcPr>
          <w:p>
            <w:pPr>
              <w:spacing w:after="0"/>
              <w:rPr>
                <w:sz w:val="20"/>
                <w:szCs w:val="20"/>
                <w:color w:val="auto"/>
              </w:rPr>
            </w:pPr>
            <w:r>
              <w:rPr>
                <w:rFonts w:ascii="Arial" w:cs="Arial" w:eastAsia="Arial" w:hAnsi="Arial"/>
                <w:sz w:val="18"/>
                <w:szCs w:val="18"/>
                <w:color w:val="auto"/>
              </w:rPr>
              <w:t>Receivables Program (c)</w:t>
            </w:r>
          </w:p>
        </w:tc>
        <w:tc>
          <w:tcPr>
            <w:tcW w:w="34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w:t>
            </w:r>
          </w:p>
        </w:tc>
        <w:tc>
          <w:tcPr>
            <w:tcW w:w="10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187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00" w:type="dxa"/>
            <w:vAlign w:val="bottom"/>
            <w:shd w:val="clear" w:color="auto" w:fill="CCEEFF"/>
          </w:tcPr>
          <w:p>
            <w:pPr>
              <w:spacing w:after="0"/>
              <w:rPr>
                <w:sz w:val="20"/>
                <w:szCs w:val="20"/>
                <w:color w:val="auto"/>
              </w:rPr>
            </w:pPr>
            <w:r>
              <w:rPr>
                <w:rFonts w:ascii="Arial" w:cs="Arial" w:eastAsia="Arial" w:hAnsi="Arial"/>
                <w:sz w:val="18"/>
                <w:szCs w:val="18"/>
                <w:color w:val="auto"/>
              </w:rPr>
              <w:t>Securitization trusts</w:t>
            </w:r>
          </w:p>
        </w:tc>
        <w:tc>
          <w:tcPr>
            <w:tcW w:w="34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10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00" w:type="dxa"/>
            <w:vAlign w:val="bottom"/>
          </w:tcPr>
          <w:p>
            <w:pPr>
              <w:spacing w:after="0"/>
              <w:rPr>
                <w:sz w:val="20"/>
                <w:szCs w:val="20"/>
                <w:color w:val="auto"/>
              </w:rPr>
            </w:pPr>
            <w:r>
              <w:rPr>
                <w:rFonts w:ascii="Arial" w:cs="Arial" w:eastAsia="Arial" w:hAnsi="Arial"/>
                <w:sz w:val="18"/>
                <w:szCs w:val="18"/>
                <w:color w:val="auto"/>
              </w:rPr>
              <w:t>Pre-funding disbursements</w:t>
            </w:r>
          </w:p>
        </w:tc>
        <w:tc>
          <w:tcPr>
            <w:tcW w:w="34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104</w:t>
            </w:r>
          </w:p>
        </w:tc>
        <w:tc>
          <w:tcPr>
            <w:tcW w:w="10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94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00" w:type="dxa"/>
            <w:vAlign w:val="bottom"/>
            <w:shd w:val="clear" w:color="auto" w:fill="CCEEFF"/>
          </w:tcPr>
          <w:p>
            <w:pPr>
              <w:spacing w:after="0"/>
              <w:rPr>
                <w:sz w:val="20"/>
                <w:szCs w:val="20"/>
                <w:color w:val="auto"/>
              </w:rPr>
            </w:pPr>
            <w:r>
              <w:rPr>
                <w:rFonts w:ascii="Arial" w:cs="Arial" w:eastAsia="Arial" w:hAnsi="Arial"/>
                <w:sz w:val="18"/>
                <w:szCs w:val="18"/>
                <w:color w:val="auto"/>
              </w:rPr>
              <w:t>Other (d)</w:t>
            </w:r>
          </w:p>
        </w:tc>
        <w:tc>
          <w:tcPr>
            <w:tcW w:w="3420" w:type="dxa"/>
            <w:vAlign w:val="bottom"/>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230</w:t>
            </w:r>
          </w:p>
        </w:tc>
        <w:tc>
          <w:tcPr>
            <w:tcW w:w="100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4700" w:type="dxa"/>
            <w:vAlign w:val="bottom"/>
          </w:tcPr>
          <w:p>
            <w:pPr>
              <w:spacing w:after="0"/>
              <w:rPr>
                <w:sz w:val="20"/>
                <w:szCs w:val="20"/>
                <w:color w:val="auto"/>
              </w:rPr>
            </w:pPr>
            <w:r>
              <w:rPr>
                <w:rFonts w:ascii="Arial" w:cs="Arial" w:eastAsia="Arial" w:hAnsi="Arial"/>
                <w:sz w:val="18"/>
                <w:szCs w:val="18"/>
                <w:color w:val="auto"/>
              </w:rPr>
              <w:t>Total current restricted cash and marketable securities</w:t>
            </w:r>
          </w:p>
        </w:tc>
        <w:tc>
          <w:tcPr>
            <w:tcW w:w="34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1,323</w:t>
            </w:r>
          </w:p>
        </w:tc>
        <w:tc>
          <w:tcPr>
            <w:tcW w:w="10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13,917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47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Non-current (e)</w:t>
            </w:r>
          </w:p>
        </w:tc>
        <w:tc>
          <w:tcPr>
            <w:tcW w:w="34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00" w:type="dxa"/>
            <w:vAlign w:val="bottom"/>
          </w:tcPr>
          <w:p>
            <w:pPr>
              <w:spacing w:after="0"/>
              <w:rPr>
                <w:sz w:val="20"/>
                <w:szCs w:val="20"/>
                <w:color w:val="auto"/>
              </w:rPr>
            </w:pPr>
            <w:r>
              <w:rPr>
                <w:rFonts w:ascii="Arial" w:cs="Arial" w:eastAsia="Arial" w:hAnsi="Arial"/>
                <w:sz w:val="18"/>
                <w:szCs w:val="18"/>
                <w:color w:val="auto"/>
              </w:rPr>
              <w:t>Collateral for insurance related activities</w:t>
            </w:r>
          </w:p>
        </w:tc>
        <w:tc>
          <w:tcPr>
            <w:tcW w:w="34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629</w:t>
            </w:r>
          </w:p>
        </w:tc>
        <w:tc>
          <w:tcPr>
            <w:tcW w:w="10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658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00" w:type="dxa"/>
            <w:vAlign w:val="bottom"/>
            <w:shd w:val="clear" w:color="auto" w:fill="CCEEFF"/>
          </w:tcPr>
          <w:p>
            <w:pPr>
              <w:spacing w:after="0"/>
              <w:rPr>
                <w:sz w:val="20"/>
                <w:szCs w:val="20"/>
                <w:color w:val="auto"/>
              </w:rPr>
            </w:pPr>
            <w:r>
              <w:rPr>
                <w:rFonts w:ascii="Arial" w:cs="Arial" w:eastAsia="Arial" w:hAnsi="Arial"/>
                <w:sz w:val="18"/>
                <w:szCs w:val="18"/>
                <w:color w:val="auto"/>
              </w:rPr>
              <w:t>Other non-current (d)</w:t>
            </w:r>
          </w:p>
        </w:tc>
        <w:tc>
          <w:tcPr>
            <w:tcW w:w="3420" w:type="dxa"/>
            <w:vAlign w:val="bottom"/>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679</w:t>
            </w:r>
          </w:p>
        </w:tc>
        <w:tc>
          <w:tcPr>
            <w:tcW w:w="100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831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4700" w:type="dxa"/>
            <w:vAlign w:val="bottom"/>
          </w:tcPr>
          <w:p>
            <w:pPr>
              <w:spacing w:after="0"/>
              <w:rPr>
                <w:sz w:val="20"/>
                <w:szCs w:val="20"/>
                <w:color w:val="auto"/>
              </w:rPr>
            </w:pPr>
            <w:r>
              <w:rPr>
                <w:rFonts w:ascii="Arial" w:cs="Arial" w:eastAsia="Arial" w:hAnsi="Arial"/>
                <w:sz w:val="18"/>
                <w:szCs w:val="18"/>
                <w:color w:val="auto"/>
              </w:rPr>
              <w:t>Total restricted cash and marketable securities</w:t>
            </w:r>
          </w:p>
        </w:tc>
        <w:tc>
          <w:tcPr>
            <w:tcW w:w="3820" w:type="dxa"/>
            <w:vAlign w:val="bottom"/>
            <w:gridSpan w:val="2"/>
          </w:tcPr>
          <w:p>
            <w:pPr>
              <w:ind w:left="3420"/>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2,631</w:t>
            </w:r>
          </w:p>
        </w:tc>
        <w:tc>
          <w:tcPr>
            <w:tcW w:w="1340" w:type="dxa"/>
            <w:vAlign w:val="bottom"/>
            <w:gridSpan w:val="2"/>
          </w:tcPr>
          <w:p>
            <w:pPr>
              <w:ind w:left="1000"/>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15,406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700" w:type="dxa"/>
            <w:vAlign w:val="bottom"/>
          </w:tcPr>
          <w:p>
            <w:pPr>
              <w:spacing w:after="0" w:line="20" w:lineRule="exact"/>
              <w:rPr>
                <w:sz w:val="1"/>
                <w:szCs w:val="1"/>
                <w:color w:val="auto"/>
              </w:rPr>
            </w:pPr>
          </w:p>
        </w:tc>
        <w:tc>
          <w:tcPr>
            <w:tcW w:w="3420" w:type="dxa"/>
            <w:vAlign w:val="bottom"/>
            <w:vMerge w:val="restart"/>
          </w:tcPr>
          <w:p>
            <w:pPr>
              <w:jc w:val="right"/>
              <w:ind w:right="2232"/>
              <w:spacing w:after="0"/>
              <w:rPr>
                <w:sz w:val="20"/>
                <w:szCs w:val="20"/>
                <w:color w:val="auto"/>
              </w:rPr>
            </w:pPr>
            <w:r>
              <w:rPr>
                <w:rFonts w:ascii="Arial" w:cs="Arial" w:eastAsia="Arial" w:hAnsi="Arial"/>
                <w:sz w:val="18"/>
                <w:szCs w:val="18"/>
                <w:color w:val="auto"/>
              </w:rPr>
              <w:t>26</w:t>
            </w:r>
          </w:p>
        </w:tc>
        <w:tc>
          <w:tcPr>
            <w:tcW w:w="4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4700" w:type="dxa"/>
            <w:vAlign w:val="bottom"/>
          </w:tcPr>
          <w:p>
            <w:pPr>
              <w:spacing w:after="0"/>
              <w:rPr>
                <w:sz w:val="24"/>
                <w:szCs w:val="24"/>
                <w:color w:val="auto"/>
              </w:rPr>
            </w:pPr>
          </w:p>
        </w:tc>
        <w:tc>
          <w:tcPr>
            <w:tcW w:w="3420" w:type="dxa"/>
            <w:vAlign w:val="bottom"/>
            <w:vMerge w:val="continue"/>
          </w:tcPr>
          <w:p>
            <w:pPr>
              <w:spacing w:after="0"/>
              <w:rPr>
                <w:sz w:val="24"/>
                <w:szCs w:val="24"/>
                <w:color w:val="auto"/>
              </w:rPr>
            </w:pPr>
          </w:p>
        </w:tc>
        <w:tc>
          <w:tcPr>
            <w:tcW w:w="4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28" w:name="page29"/>
    <w:bookmarkEnd w:id="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177800</wp:posOffset>
            </wp:positionV>
            <wp:extent cx="728980"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292" w:lineRule="exact"/>
        <w:rPr>
          <w:sz w:val="20"/>
          <w:szCs w:val="20"/>
          <w:color w:val="auto"/>
        </w:rPr>
      </w:pPr>
    </w:p>
    <w:p>
      <w:pPr>
        <w:ind w:left="460" w:right="360" w:hanging="452"/>
        <w:spacing w:after="0" w:line="268" w:lineRule="auto"/>
        <w:tabs>
          <w:tab w:leader="none" w:pos="4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In April 2010 the UST Loans and Canadian Loan (as subsequently defined in Note 13) were paid in full and funds remaining in escrow were no longer subject to restrictions.</w:t>
      </w:r>
    </w:p>
    <w:p>
      <w:pPr>
        <w:spacing w:after="0" w:line="50" w:lineRule="exact"/>
        <w:rPr>
          <w:rFonts w:ascii="Arial" w:cs="Arial" w:eastAsia="Arial" w:hAnsi="Arial"/>
          <w:sz w:val="18"/>
          <w:szCs w:val="18"/>
          <w:color w:val="auto"/>
        </w:rPr>
      </w:pPr>
    </w:p>
    <w:p>
      <w:pPr>
        <w:ind w:left="460" w:hanging="452"/>
        <w:spacing w:after="0" w:line="268" w:lineRule="auto"/>
        <w:tabs>
          <w:tab w:leader="none" w:pos="4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Under the terms of an escrow agreement between GMCL, the EDC and an escrow agent, GMCL established a CAD $1.0 billion (equivalent to $893 million when entered into) escrow to fund certain of its healthcare obligations.</w:t>
      </w:r>
    </w:p>
    <w:p>
      <w:pPr>
        <w:spacing w:after="0" w:line="50" w:lineRule="exact"/>
        <w:rPr>
          <w:rFonts w:ascii="Arial" w:cs="Arial" w:eastAsia="Arial" w:hAnsi="Arial"/>
          <w:sz w:val="18"/>
          <w:szCs w:val="18"/>
          <w:color w:val="auto"/>
        </w:rPr>
      </w:pPr>
    </w:p>
    <w:p>
      <w:pPr>
        <w:ind w:left="460" w:right="200" w:hanging="452"/>
        <w:spacing w:after="0" w:line="268" w:lineRule="auto"/>
        <w:tabs>
          <w:tab w:leader="none" w:pos="4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Receivables Program provided financial assistance to automotive suppliers by guaranteeing or purchasing certain receivables payable by us. In April 2010 the Receivable Program was terminated in accordance with its terms.</w:t>
      </w:r>
    </w:p>
    <w:p>
      <w:pPr>
        <w:spacing w:after="0" w:line="50" w:lineRule="exact"/>
        <w:rPr>
          <w:rFonts w:ascii="Arial" w:cs="Arial" w:eastAsia="Arial" w:hAnsi="Arial"/>
          <w:sz w:val="18"/>
          <w:szCs w:val="18"/>
          <w:color w:val="auto"/>
        </w:rPr>
      </w:pPr>
    </w:p>
    <w:p>
      <w:pPr>
        <w:ind w:left="460" w:hanging="452"/>
        <w:spacing w:after="0"/>
        <w:tabs>
          <w:tab w:leader="none" w:pos="4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Includes amounts related to various letters of credit, deposits, escrows and other cash collateral requirements.</w:t>
      </w:r>
    </w:p>
    <w:p>
      <w:pPr>
        <w:spacing w:after="0" w:line="90" w:lineRule="exact"/>
        <w:rPr>
          <w:rFonts w:ascii="Arial" w:cs="Arial" w:eastAsia="Arial" w:hAnsi="Arial"/>
          <w:sz w:val="18"/>
          <w:szCs w:val="18"/>
          <w:color w:val="auto"/>
        </w:rPr>
      </w:pPr>
    </w:p>
    <w:p>
      <w:pPr>
        <w:ind w:left="460" w:hanging="452"/>
        <w:spacing w:after="0"/>
        <w:tabs>
          <w:tab w:leader="none" w:pos="4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Non-current restricted cash and marketable securities is recorded in Other assets.</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13. Short-Term and Long-Term Debt</w:t>
      </w:r>
    </w:p>
    <w:p>
      <w:pPr>
        <w:spacing w:after="0" w:line="177" w:lineRule="exact"/>
        <w:rPr>
          <w:sz w:val="20"/>
          <w:szCs w:val="20"/>
          <w:color w:val="auto"/>
        </w:rPr>
      </w:pPr>
    </w:p>
    <w:p>
      <w:pPr>
        <w:ind w:left="240"/>
        <w:spacing w:after="0"/>
        <w:rPr>
          <w:sz w:val="20"/>
          <w:szCs w:val="20"/>
          <w:color w:val="auto"/>
        </w:rPr>
      </w:pPr>
      <w:r>
        <w:rPr>
          <w:rFonts w:ascii="Arial" w:cs="Arial" w:eastAsia="Arial" w:hAnsi="Arial"/>
          <w:sz w:val="18"/>
          <w:szCs w:val="18"/>
          <w:color w:val="auto"/>
        </w:rPr>
        <w:t>The following table summarizes the components of short-term and long-term debt (dollars in millions):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100" w:type="dxa"/>
            <w:vAlign w:val="bottom"/>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1340" w:type="dxa"/>
            <w:vAlign w:val="bottom"/>
            <w:tcBorders>
              <w:bottom w:val="single" w:sz="8" w:color="auto"/>
            </w:tcBorders>
            <w:gridSpan w:val="2"/>
          </w:tcPr>
          <w:p>
            <w:pPr>
              <w:ind w:left="200"/>
              <w:spacing w:after="0"/>
              <w:rPr>
                <w:sz w:val="20"/>
                <w:szCs w:val="20"/>
                <w:color w:val="auto"/>
              </w:rPr>
            </w:pPr>
            <w:r>
              <w:rPr>
                <w:rFonts w:ascii="Arial" w:cs="Arial" w:eastAsia="Arial" w:hAnsi="Arial"/>
                <w:sz w:val="14"/>
                <w:szCs w:val="14"/>
                <w:b w:val="1"/>
                <w:bCs w:val="1"/>
                <w:color w:val="auto"/>
              </w:rPr>
              <w:t>Successor</w:t>
            </w:r>
          </w:p>
        </w:tc>
        <w:tc>
          <w:tcPr>
            <w:tcW w:w="7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8100" w:type="dxa"/>
            <w:vAlign w:val="bottom"/>
          </w:tcPr>
          <w:p>
            <w:pPr>
              <w:spacing w:after="0"/>
              <w:rPr>
                <w:sz w:val="12"/>
                <w:szCs w:val="12"/>
                <w:color w:val="auto"/>
              </w:rPr>
            </w:pPr>
          </w:p>
        </w:tc>
        <w:tc>
          <w:tcPr>
            <w:tcW w:w="1120" w:type="dxa"/>
            <w:vAlign w:val="bottom"/>
            <w:tcBorders>
              <w:bottom w:val="single" w:sz="8" w:color="auto"/>
            </w:tcBorders>
            <w:gridSpan w:val="2"/>
          </w:tcPr>
          <w:p>
            <w:pPr>
              <w:spacing w:after="0" w:line="142" w:lineRule="exact"/>
              <w:rPr>
                <w:sz w:val="20"/>
                <w:szCs w:val="20"/>
                <w:color w:val="auto"/>
              </w:rPr>
            </w:pPr>
            <w:r>
              <w:rPr>
                <w:rFonts w:ascii="Arial" w:cs="Arial" w:eastAsia="Arial" w:hAnsi="Arial"/>
                <w:sz w:val="14"/>
                <w:szCs w:val="14"/>
                <w:b w:val="1"/>
                <w:bCs w:val="1"/>
                <w:color w:val="auto"/>
                <w:w w:val="84"/>
              </w:rPr>
              <w:t>September 30, 2010</w:t>
            </w:r>
          </w:p>
        </w:tc>
        <w:tc>
          <w:tcPr>
            <w:tcW w:w="1000" w:type="dxa"/>
            <w:vAlign w:val="bottom"/>
          </w:tcPr>
          <w:p>
            <w:pPr>
              <w:spacing w:after="0"/>
              <w:rPr>
                <w:sz w:val="12"/>
                <w:szCs w:val="12"/>
                <w:color w:val="auto"/>
              </w:rPr>
            </w:pPr>
          </w:p>
        </w:tc>
        <w:tc>
          <w:tcPr>
            <w:tcW w:w="1080" w:type="dxa"/>
            <w:vAlign w:val="bottom"/>
            <w:tcBorders>
              <w:bottom w:val="single" w:sz="8" w:color="auto"/>
            </w:tcBorders>
            <w:gridSpan w:val="2"/>
          </w:tcPr>
          <w:p>
            <w:pPr>
              <w:spacing w:after="0" w:line="142" w:lineRule="exact"/>
              <w:rPr>
                <w:sz w:val="20"/>
                <w:szCs w:val="20"/>
                <w:color w:val="auto"/>
              </w:rPr>
            </w:pPr>
            <w:r>
              <w:rPr>
                <w:rFonts w:ascii="Arial" w:cs="Arial" w:eastAsia="Arial" w:hAnsi="Arial"/>
                <w:sz w:val="14"/>
                <w:szCs w:val="14"/>
                <w:b w:val="1"/>
                <w:bCs w:val="1"/>
                <w:color w:val="auto"/>
                <w:w w:val="84"/>
              </w:rPr>
              <w:t>December 31, 2009</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1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Short-Term</w:t>
            </w:r>
          </w:p>
        </w:tc>
        <w:tc>
          <w:tcPr>
            <w:tcW w:w="4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tcPr>
          <w:p>
            <w:pPr>
              <w:spacing w:after="0"/>
              <w:rPr>
                <w:sz w:val="20"/>
                <w:szCs w:val="20"/>
                <w:color w:val="auto"/>
              </w:rPr>
            </w:pPr>
            <w:r>
              <w:rPr>
                <w:rFonts w:ascii="Arial" w:cs="Arial" w:eastAsia="Arial" w:hAnsi="Arial"/>
                <w:sz w:val="18"/>
                <w:szCs w:val="18"/>
                <w:color w:val="auto"/>
              </w:rPr>
              <w:t>UST Loans (a)</w:t>
            </w:r>
          </w:p>
        </w:tc>
        <w:tc>
          <w:tcPr>
            <w:tcW w:w="400" w:type="dxa"/>
            <w:vAlign w:val="bottom"/>
          </w:tcPr>
          <w:p>
            <w:pPr>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w:t>
            </w:r>
          </w:p>
        </w:tc>
        <w:tc>
          <w:tcPr>
            <w:tcW w:w="1340" w:type="dxa"/>
            <w:vAlign w:val="bottom"/>
            <w:gridSpan w:val="2"/>
          </w:tcPr>
          <w:p>
            <w:pPr>
              <w:ind w:left="1000"/>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5,712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shd w:val="clear" w:color="auto" w:fill="CCEEFF"/>
          </w:tcPr>
          <w:p>
            <w:pPr>
              <w:spacing w:after="0"/>
              <w:rPr>
                <w:sz w:val="20"/>
                <w:szCs w:val="20"/>
                <w:color w:val="auto"/>
              </w:rPr>
            </w:pPr>
            <w:r>
              <w:rPr>
                <w:rFonts w:ascii="Arial" w:cs="Arial" w:eastAsia="Arial" w:hAnsi="Arial"/>
                <w:sz w:val="18"/>
                <w:szCs w:val="18"/>
                <w:color w:val="auto"/>
              </w:rPr>
              <w:t>Canadian Loan (a)</w:t>
            </w:r>
          </w:p>
        </w:tc>
        <w:tc>
          <w:tcPr>
            <w:tcW w:w="4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1,233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tcPr>
          <w:p>
            <w:pPr>
              <w:spacing w:after="0"/>
              <w:rPr>
                <w:sz w:val="20"/>
                <w:szCs w:val="20"/>
                <w:color w:val="auto"/>
              </w:rPr>
            </w:pPr>
            <w:r>
              <w:rPr>
                <w:rFonts w:ascii="Arial" w:cs="Arial" w:eastAsia="Arial" w:hAnsi="Arial"/>
                <w:sz w:val="18"/>
                <w:szCs w:val="18"/>
                <w:color w:val="auto"/>
              </w:rPr>
              <w:t>VEBA Notes (b)</w:t>
            </w:r>
          </w:p>
        </w:tc>
        <w:tc>
          <w:tcPr>
            <w:tcW w:w="4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2,960</w:t>
            </w:r>
          </w:p>
        </w:tc>
        <w:tc>
          <w:tcPr>
            <w:tcW w:w="10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shd w:val="clear" w:color="auto" w:fill="CCEEFF"/>
          </w:tcPr>
          <w:p>
            <w:pPr>
              <w:spacing w:after="0"/>
              <w:rPr>
                <w:sz w:val="20"/>
                <w:szCs w:val="20"/>
                <w:color w:val="auto"/>
              </w:rPr>
            </w:pPr>
            <w:r>
              <w:rPr>
                <w:rFonts w:ascii="Arial" w:cs="Arial" w:eastAsia="Arial" w:hAnsi="Arial"/>
                <w:sz w:val="18"/>
                <w:szCs w:val="18"/>
                <w:color w:val="auto"/>
              </w:rPr>
              <w:t>GM Daewoo Revolving Credit Facility (d)</w:t>
            </w:r>
          </w:p>
        </w:tc>
        <w:tc>
          <w:tcPr>
            <w:tcW w:w="4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986</w:t>
            </w:r>
          </w:p>
        </w:tc>
        <w:tc>
          <w:tcPr>
            <w:tcW w:w="10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1,179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tcPr>
          <w:p>
            <w:pPr>
              <w:spacing w:after="0"/>
              <w:rPr>
                <w:sz w:val="20"/>
                <w:szCs w:val="20"/>
                <w:color w:val="auto"/>
              </w:rPr>
            </w:pPr>
            <w:r>
              <w:rPr>
                <w:rFonts w:ascii="Arial" w:cs="Arial" w:eastAsia="Arial" w:hAnsi="Arial"/>
                <w:sz w:val="18"/>
                <w:szCs w:val="18"/>
                <w:color w:val="auto"/>
              </w:rPr>
              <w:t>Short-term debt — third parties</w:t>
            </w:r>
          </w:p>
        </w:tc>
        <w:tc>
          <w:tcPr>
            <w:tcW w:w="4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47</w:t>
            </w:r>
          </w:p>
        </w:tc>
        <w:tc>
          <w:tcPr>
            <w:tcW w:w="10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296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shd w:val="clear" w:color="auto" w:fill="CCEEFF"/>
          </w:tcPr>
          <w:p>
            <w:pPr>
              <w:spacing w:after="0"/>
              <w:rPr>
                <w:sz w:val="20"/>
                <w:szCs w:val="20"/>
                <w:color w:val="auto"/>
              </w:rPr>
            </w:pPr>
            <w:r>
              <w:rPr>
                <w:rFonts w:ascii="Arial" w:cs="Arial" w:eastAsia="Arial" w:hAnsi="Arial"/>
                <w:sz w:val="18"/>
                <w:szCs w:val="18"/>
                <w:color w:val="auto"/>
              </w:rPr>
              <w:t>Short-term debt — related parties (c)</w:t>
            </w:r>
          </w:p>
        </w:tc>
        <w:tc>
          <w:tcPr>
            <w:tcW w:w="4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1,141</w:t>
            </w:r>
          </w:p>
        </w:tc>
        <w:tc>
          <w:tcPr>
            <w:tcW w:w="10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100" w:type="dxa"/>
            <w:vAlign w:val="bottom"/>
          </w:tcPr>
          <w:p>
            <w:pPr>
              <w:spacing w:after="0"/>
              <w:rPr>
                <w:sz w:val="20"/>
                <w:szCs w:val="20"/>
                <w:color w:val="auto"/>
              </w:rPr>
            </w:pPr>
            <w:r>
              <w:rPr>
                <w:rFonts w:ascii="Arial" w:cs="Arial" w:eastAsia="Arial" w:hAnsi="Arial"/>
                <w:sz w:val="18"/>
                <w:szCs w:val="18"/>
                <w:color w:val="auto"/>
              </w:rPr>
              <w:t>Current portion of long-term debt</w:t>
            </w:r>
          </w:p>
        </w:tc>
        <w:tc>
          <w:tcPr>
            <w:tcW w:w="40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487</w:t>
            </w:r>
          </w:p>
        </w:tc>
        <w:tc>
          <w:tcPr>
            <w:tcW w:w="100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724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shd w:val="clear" w:color="auto" w:fill="CCEEFF"/>
          </w:tcPr>
          <w:p>
            <w:pPr>
              <w:spacing w:after="0"/>
              <w:rPr>
                <w:sz w:val="20"/>
                <w:szCs w:val="20"/>
                <w:color w:val="auto"/>
              </w:rPr>
            </w:pPr>
            <w:r>
              <w:rPr>
                <w:rFonts w:ascii="Arial" w:cs="Arial" w:eastAsia="Arial" w:hAnsi="Arial"/>
                <w:sz w:val="18"/>
                <w:szCs w:val="18"/>
                <w:color w:val="auto"/>
              </w:rPr>
              <w:t>Total short-term debt and current portion of long-term debt</w:t>
            </w:r>
          </w:p>
        </w:tc>
        <w:tc>
          <w:tcPr>
            <w:tcW w:w="4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5,621</w:t>
            </w:r>
          </w:p>
        </w:tc>
        <w:tc>
          <w:tcPr>
            <w:tcW w:w="10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10,221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tcPr>
          <w:p>
            <w:pPr>
              <w:spacing w:after="0"/>
              <w:rPr>
                <w:sz w:val="20"/>
                <w:szCs w:val="20"/>
                <w:color w:val="auto"/>
              </w:rPr>
            </w:pPr>
            <w:r>
              <w:rPr>
                <w:rFonts w:ascii="Arial" w:cs="Arial" w:eastAsia="Arial" w:hAnsi="Arial"/>
                <w:sz w:val="18"/>
                <w:szCs w:val="18"/>
                <w:b w:val="1"/>
                <w:bCs w:val="1"/>
                <w:color w:val="auto"/>
              </w:rPr>
              <w:t>Long-Term</w:t>
            </w:r>
          </w:p>
        </w:tc>
        <w:tc>
          <w:tcPr>
            <w:tcW w:w="4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shd w:val="clear" w:color="auto" w:fill="CCEEFF"/>
          </w:tcPr>
          <w:p>
            <w:pPr>
              <w:spacing w:after="0"/>
              <w:rPr>
                <w:sz w:val="20"/>
                <w:szCs w:val="20"/>
                <w:color w:val="auto"/>
              </w:rPr>
            </w:pPr>
            <w:r>
              <w:rPr>
                <w:rFonts w:ascii="Arial" w:cs="Arial" w:eastAsia="Arial" w:hAnsi="Arial"/>
                <w:sz w:val="18"/>
                <w:szCs w:val="18"/>
                <w:color w:val="auto"/>
              </w:rPr>
              <w:t>VEBA Notes</w:t>
            </w:r>
          </w:p>
        </w:tc>
        <w:tc>
          <w:tcPr>
            <w:tcW w:w="4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2,825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100" w:type="dxa"/>
            <w:vAlign w:val="bottom"/>
          </w:tcPr>
          <w:p>
            <w:pPr>
              <w:spacing w:after="0"/>
              <w:rPr>
                <w:sz w:val="20"/>
                <w:szCs w:val="20"/>
                <w:color w:val="auto"/>
              </w:rPr>
            </w:pPr>
            <w:r>
              <w:rPr>
                <w:rFonts w:ascii="Arial" w:cs="Arial" w:eastAsia="Arial" w:hAnsi="Arial"/>
                <w:sz w:val="18"/>
                <w:szCs w:val="18"/>
                <w:color w:val="auto"/>
              </w:rPr>
              <w:t>Other long-term debt</w:t>
            </w:r>
          </w:p>
        </w:tc>
        <w:tc>
          <w:tcPr>
            <w:tcW w:w="40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2,945</w:t>
            </w:r>
          </w:p>
        </w:tc>
        <w:tc>
          <w:tcPr>
            <w:tcW w:w="100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2,737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shd w:val="clear" w:color="auto" w:fill="CCEEFF"/>
          </w:tcPr>
          <w:p>
            <w:pPr>
              <w:spacing w:after="0"/>
              <w:rPr>
                <w:sz w:val="20"/>
                <w:szCs w:val="20"/>
                <w:color w:val="auto"/>
              </w:rPr>
            </w:pPr>
            <w:r>
              <w:rPr>
                <w:rFonts w:ascii="Arial" w:cs="Arial" w:eastAsia="Arial" w:hAnsi="Arial"/>
                <w:sz w:val="18"/>
                <w:szCs w:val="18"/>
                <w:color w:val="auto"/>
              </w:rPr>
              <w:t>Total debt</w:t>
            </w:r>
          </w:p>
        </w:tc>
        <w:tc>
          <w:tcPr>
            <w:tcW w:w="4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8,566</w:t>
            </w:r>
          </w:p>
        </w:tc>
        <w:tc>
          <w:tcPr>
            <w:tcW w:w="1340" w:type="dxa"/>
            <w:vAlign w:val="bottom"/>
            <w:gridSpan w:val="2"/>
            <w:shd w:val="clear" w:color="auto" w:fill="CCEEFF"/>
          </w:tcPr>
          <w:p>
            <w:pPr>
              <w:ind w:left="1000"/>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15,783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120" w:type="dxa"/>
            <w:vAlign w:val="bottom"/>
            <w:gridSpan w:val="2"/>
            <w:vMerge w:val="restart"/>
          </w:tcPr>
          <w:p>
            <w:pPr>
              <w:spacing w:after="0"/>
              <w:rPr>
                <w:sz w:val="20"/>
                <w:szCs w:val="20"/>
                <w:color w:val="auto"/>
              </w:rPr>
            </w:pPr>
            <w:r>
              <w:rPr>
                <w:rFonts w:ascii="Arial" w:cs="Arial" w:eastAsia="Arial" w:hAnsi="Arial"/>
                <w:sz w:val="18"/>
                <w:szCs w:val="18"/>
                <w:color w:val="auto"/>
              </w:rPr>
              <w:t>Available under GM Daewoo Revolving Credit Facility (d)</w:t>
            </w:r>
          </w:p>
        </w:tc>
        <w:tc>
          <w:tcPr>
            <w:tcW w:w="4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8120" w:type="dxa"/>
            <w:vAlign w:val="bottom"/>
            <w:gridSpan w:val="2"/>
            <w:vMerge w:val="continue"/>
          </w:tcPr>
          <w:p>
            <w:pPr>
              <w:spacing w:after="0"/>
              <w:rPr>
                <w:sz w:val="18"/>
                <w:szCs w:val="18"/>
                <w:color w:val="auto"/>
              </w:rPr>
            </w:pPr>
          </w:p>
        </w:tc>
        <w:tc>
          <w:tcPr>
            <w:tcW w:w="400" w:type="dxa"/>
            <w:vAlign w:val="bottom"/>
          </w:tcPr>
          <w:p>
            <w:pPr>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219</w:t>
            </w:r>
          </w:p>
        </w:tc>
        <w:tc>
          <w:tcPr>
            <w:tcW w:w="1340" w:type="dxa"/>
            <w:vAlign w:val="bottom"/>
            <w:gridSpan w:val="2"/>
          </w:tcPr>
          <w:p>
            <w:pPr>
              <w:ind w:left="1000"/>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8100" w:type="dxa"/>
            <w:vAlign w:val="bottom"/>
            <w:shd w:val="clear" w:color="auto" w:fill="CCEEFF"/>
          </w:tcPr>
          <w:p>
            <w:pPr>
              <w:spacing w:after="0"/>
              <w:rPr>
                <w:sz w:val="20"/>
                <w:szCs w:val="20"/>
                <w:color w:val="auto"/>
              </w:rPr>
            </w:pPr>
            <w:r>
              <w:rPr>
                <w:rFonts w:ascii="Arial" w:cs="Arial" w:eastAsia="Arial" w:hAnsi="Arial"/>
                <w:sz w:val="18"/>
                <w:szCs w:val="18"/>
                <w:color w:val="auto"/>
              </w:rPr>
              <w:t>Available under other line of credit agreements (e)</w:t>
            </w:r>
          </w:p>
        </w:tc>
        <w:tc>
          <w:tcPr>
            <w:tcW w:w="4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1,100</w:t>
            </w:r>
          </w:p>
        </w:tc>
        <w:tc>
          <w:tcPr>
            <w:tcW w:w="1340" w:type="dxa"/>
            <w:vAlign w:val="bottom"/>
            <w:gridSpan w:val="2"/>
            <w:shd w:val="clear" w:color="auto" w:fill="CCEEFF"/>
          </w:tcPr>
          <w:p>
            <w:pPr>
              <w:ind w:left="1000"/>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728980"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20" w:lineRule="exact"/>
        <w:rPr>
          <w:sz w:val="20"/>
          <w:szCs w:val="20"/>
          <w:color w:val="auto"/>
        </w:rPr>
      </w:pPr>
    </w:p>
    <w:p>
      <w:pPr>
        <w:ind w:left="460" w:hanging="452"/>
        <w:spacing w:after="0"/>
        <w:tabs>
          <w:tab w:leader="none" w:pos="4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In April 2010 the UST Loans and Canadian Loan were paid in full.</w:t>
      </w:r>
    </w:p>
    <w:p>
      <w:pPr>
        <w:spacing w:after="0" w:line="90" w:lineRule="exact"/>
        <w:rPr>
          <w:rFonts w:ascii="Arial" w:cs="Arial" w:eastAsia="Arial" w:hAnsi="Arial"/>
          <w:sz w:val="18"/>
          <w:szCs w:val="18"/>
          <w:color w:val="auto"/>
        </w:rPr>
      </w:pPr>
    </w:p>
    <w:p>
      <w:pPr>
        <w:ind w:left="460" w:hanging="452"/>
        <w:spacing w:after="0"/>
        <w:tabs>
          <w:tab w:leader="none" w:pos="4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In October 2010 the VEBA Notes were paid in full.</w:t>
      </w:r>
    </w:p>
    <w:p>
      <w:pPr>
        <w:spacing w:after="0" w:line="90" w:lineRule="exact"/>
        <w:rPr>
          <w:rFonts w:ascii="Arial" w:cs="Arial" w:eastAsia="Arial" w:hAnsi="Arial"/>
          <w:sz w:val="18"/>
          <w:szCs w:val="18"/>
          <w:color w:val="auto"/>
        </w:rPr>
      </w:pPr>
    </w:p>
    <w:p>
      <w:pPr>
        <w:ind w:left="460" w:hanging="452"/>
        <w:spacing w:after="0"/>
        <w:tabs>
          <w:tab w:leader="none" w:pos="4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Dealer financing from Ally Financial for dealerships we own.</w:t>
      </w:r>
    </w:p>
    <w:p>
      <w:pPr>
        <w:spacing w:after="0" w:line="90" w:lineRule="exact"/>
        <w:rPr>
          <w:rFonts w:ascii="Arial" w:cs="Arial" w:eastAsia="Arial" w:hAnsi="Arial"/>
          <w:sz w:val="18"/>
          <w:szCs w:val="18"/>
          <w:color w:val="auto"/>
        </w:rPr>
      </w:pPr>
    </w:p>
    <w:p>
      <w:pPr>
        <w:ind w:left="460" w:hanging="452"/>
        <w:spacing w:after="0"/>
        <w:tabs>
          <w:tab w:leader="none" w:pos="460" w:val="left"/>
        </w:tabs>
        <w:numPr>
          <w:ilvl w:val="0"/>
          <w:numId w:val="19"/>
        </w:numPr>
        <w:rPr>
          <w:rFonts w:ascii="Arial" w:cs="Arial" w:eastAsia="Arial" w:hAnsi="Arial"/>
          <w:sz w:val="16"/>
          <w:szCs w:val="16"/>
          <w:color w:val="auto"/>
        </w:rPr>
      </w:pPr>
      <w:r>
        <w:rPr>
          <w:rFonts w:ascii="Arial" w:cs="Arial" w:eastAsia="Arial" w:hAnsi="Arial"/>
          <w:sz w:val="16"/>
          <w:szCs w:val="16"/>
          <w:color w:val="auto"/>
        </w:rPr>
        <w:t>During the three months ending December 31, 2010 we expect to convert any remaining amounts outstanding under this credit facility to a term loan.</w:t>
      </w:r>
    </w:p>
    <w:p>
      <w:pPr>
        <w:spacing w:after="0" w:line="113" w:lineRule="exact"/>
        <w:rPr>
          <w:rFonts w:ascii="Arial" w:cs="Arial" w:eastAsia="Arial" w:hAnsi="Arial"/>
          <w:sz w:val="16"/>
          <w:szCs w:val="16"/>
          <w:color w:val="auto"/>
        </w:rPr>
      </w:pPr>
    </w:p>
    <w:p>
      <w:pPr>
        <w:ind w:left="460" w:right="920" w:hanging="452"/>
        <w:spacing w:after="0" w:line="268" w:lineRule="auto"/>
        <w:tabs>
          <w:tab w:leader="none" w:pos="4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Commitment fees are paid on credit facilities at rates negotiated in each agreement. Amounts paid and expensed for these commitment fees are insignificant.</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New Secured Revolving Credit Facility</w:t>
      </w:r>
    </w:p>
    <w:p>
      <w:pPr>
        <w:spacing w:after="0" w:line="177" w:lineRule="exact"/>
        <w:rPr>
          <w:sz w:val="20"/>
          <w:szCs w:val="20"/>
          <w:color w:val="auto"/>
        </w:rPr>
      </w:pPr>
    </w:p>
    <w:p>
      <w:pPr>
        <w:ind w:right="60" w:firstLine="228"/>
        <w:spacing w:after="0" w:line="268" w:lineRule="auto"/>
        <w:rPr>
          <w:sz w:val="20"/>
          <w:szCs w:val="20"/>
          <w:color w:val="auto"/>
        </w:rPr>
      </w:pPr>
      <w:r>
        <w:rPr>
          <w:rFonts w:ascii="Arial" w:cs="Arial" w:eastAsia="Arial" w:hAnsi="Arial"/>
          <w:sz w:val="18"/>
          <w:szCs w:val="18"/>
          <w:color w:val="auto"/>
        </w:rPr>
        <w:t>On October 27, 2010 we entered into a five-year, $5.0 billion secured revolving credit facility, which includes a $500 million letter of credit sub-facility. Refer to Note 27 for additional information on the secured revolving credit facility.</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20"/>
          </w:cols>
          <w:pgMar w:left="240" w:top="459" w:right="239" w:bottom="1440" w:gutter="0" w:footer="0" w:header="0"/>
        </w:sectPr>
      </w:pPr>
    </w:p>
    <w:bookmarkStart w:id="29" w:name="page30"/>
    <w:bookmarkEnd w:id="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UST Loans and UST Loan Agreement</w:t>
      </w:r>
    </w:p>
    <w:p>
      <w:pPr>
        <w:spacing w:after="0" w:line="177" w:lineRule="exact"/>
        <w:rPr>
          <w:sz w:val="20"/>
          <w:szCs w:val="20"/>
          <w:color w:val="auto"/>
        </w:rPr>
      </w:pPr>
    </w:p>
    <w:p>
      <w:pPr>
        <w:ind w:right="160" w:firstLine="228"/>
        <w:spacing w:after="0" w:line="259" w:lineRule="auto"/>
        <w:rPr>
          <w:sz w:val="20"/>
          <w:szCs w:val="20"/>
          <w:color w:val="auto"/>
        </w:rPr>
      </w:pPr>
      <w:r>
        <w:rPr>
          <w:rFonts w:ascii="Arial" w:cs="Arial" w:eastAsia="Arial" w:hAnsi="Arial"/>
          <w:sz w:val="18"/>
          <w:szCs w:val="18"/>
          <w:color w:val="auto"/>
        </w:rPr>
        <w:t>As previously disclosed in our Form S-1, Old GM received total proceeds of $19.4 billion from the UST under the UST Loan Agreement entered into on December 31, 2008. In connection with the Chapter 11 Proceedings, Old GM obtained additional funding of $33.3 billion from the UST and EDC under its DIP Facility. From these proceeds, there was no deposit remaining in escrow at September 30, 2010.</w:t>
      </w:r>
    </w:p>
    <w:p>
      <w:pPr>
        <w:spacing w:after="0" w:line="140" w:lineRule="exact"/>
        <w:rPr>
          <w:sz w:val="20"/>
          <w:szCs w:val="20"/>
          <w:color w:val="auto"/>
        </w:rPr>
      </w:pPr>
    </w:p>
    <w:p>
      <w:pPr>
        <w:jc w:val="both"/>
        <w:ind w:right="480" w:firstLine="228"/>
        <w:spacing w:after="0" w:line="323" w:lineRule="auto"/>
        <w:rPr>
          <w:sz w:val="20"/>
          <w:szCs w:val="20"/>
          <w:color w:val="auto"/>
        </w:rPr>
      </w:pPr>
      <w:r>
        <w:rPr>
          <w:rFonts w:ascii="Arial" w:cs="Arial" w:eastAsia="Arial" w:hAnsi="Arial"/>
          <w:sz w:val="15"/>
          <w:szCs w:val="15"/>
          <w:color w:val="auto"/>
        </w:rPr>
        <w:t>On July 10, 2009 we entered into the UST Credit Agreement and assumed debt of $7.1 billion (UST Loans) maturing on July 10, 2015 which Old GM incurred under its DIP Facility. Immediately after entering into the UST Credit Agreement, we made a partial repayment due to the termination of the U.S. government sponsored warranty program, reducing the UST Loans principal balance to $6.7 billion. In March 2010 and December 2009 we made quarterly payments of $1.0 billion on the UST Loans. In April 2010 we repaid the full outstanding amount of $4.7 billion using funds from our escrow account.</w:t>
      </w:r>
    </w:p>
    <w:p>
      <w:pPr>
        <w:spacing w:after="0" w:line="98" w:lineRule="exact"/>
        <w:rPr>
          <w:sz w:val="20"/>
          <w:szCs w:val="20"/>
          <w:color w:val="auto"/>
        </w:rPr>
      </w:pPr>
    </w:p>
    <w:p>
      <w:pPr>
        <w:ind w:right="60" w:firstLine="228"/>
        <w:spacing w:after="0" w:line="294" w:lineRule="auto"/>
        <w:rPr>
          <w:sz w:val="20"/>
          <w:szCs w:val="20"/>
          <w:color w:val="auto"/>
        </w:rPr>
      </w:pPr>
      <w:r>
        <w:rPr>
          <w:rFonts w:ascii="Arial" w:cs="Arial" w:eastAsia="Arial" w:hAnsi="Arial"/>
          <w:sz w:val="16"/>
          <w:szCs w:val="16"/>
          <w:color w:val="auto"/>
        </w:rPr>
        <w:t>While we have repaid the UST Loans in full, certain of the covenants in the UST Credit Agreement and the executive compensation and corporate governance provisions of Section 111 of the Emergency Stabilization Act of 2008, as amended (the EESA), including the Interim Final Rule implementing Section 111 (the Interim Final Rule), remain in effect until the earlier to occur of the UST ceasing to own direct or indirect equity interests in us or our ceasing to be a recipient of Exceptional Financial Assistance, as determined pursuant to the Interim Final Rule, and impose obligations on us with respect to, among other things, certain expense policies, executive privileges and compensation requirements.</w:t>
      </w:r>
    </w:p>
    <w:p>
      <w:pPr>
        <w:spacing w:after="0" w:line="116" w:lineRule="exact"/>
        <w:rPr>
          <w:sz w:val="20"/>
          <w:szCs w:val="20"/>
          <w:color w:val="auto"/>
        </w:rPr>
      </w:pPr>
    </w:p>
    <w:p>
      <w:pPr>
        <w:ind w:left="240"/>
        <w:spacing w:after="0"/>
        <w:rPr>
          <w:sz w:val="20"/>
          <w:szCs w:val="20"/>
          <w:color w:val="auto"/>
        </w:rPr>
      </w:pPr>
      <w:r>
        <w:rPr>
          <w:rFonts w:ascii="Arial" w:cs="Arial" w:eastAsia="Arial" w:hAnsi="Arial"/>
          <w:sz w:val="16"/>
          <w:szCs w:val="16"/>
          <w:color w:val="auto"/>
        </w:rPr>
        <w:t>The following table summarizes interest expense and interest paid on the UST Loans, the loans under the UST Loan Agreement (UST Loan Facility) and the</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DIP Facility (dollars in millions):</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78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b w:val="1"/>
                <w:bCs w:val="1"/>
                <w:color w:val="auto"/>
              </w:rPr>
              <w:t>Successor</w:t>
            </w:r>
          </w:p>
        </w:tc>
        <w:tc>
          <w:tcPr>
            <w:tcW w:w="1140" w:type="dxa"/>
            <w:vAlign w:val="bottom"/>
            <w:tcBorders>
              <w:bottom w:val="single" w:sz="8" w:color="auto"/>
            </w:tcBorders>
          </w:tcPr>
          <w:p>
            <w:pPr>
              <w:spacing w:after="0"/>
              <w:rPr>
                <w:sz w:val="14"/>
                <w:szCs w:val="14"/>
                <w:color w:val="auto"/>
              </w:rPr>
            </w:pPr>
          </w:p>
        </w:tc>
        <w:tc>
          <w:tcPr>
            <w:tcW w:w="760" w:type="dxa"/>
            <w:vAlign w:val="bottom"/>
            <w:tcBorders>
              <w:right w:val="single" w:sz="8" w:color="auto"/>
            </w:tcBorders>
          </w:tcPr>
          <w:p>
            <w:pPr>
              <w:spacing w:after="0"/>
              <w:rPr>
                <w:sz w:val="14"/>
                <w:szCs w:val="14"/>
                <w:color w:val="auto"/>
              </w:rPr>
            </w:pPr>
          </w:p>
        </w:tc>
        <w:tc>
          <w:tcPr>
            <w:tcW w:w="58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380" w:type="dxa"/>
            <w:vAlign w:val="bottom"/>
            <w:tcBorders>
              <w:bottom w:val="single" w:sz="8" w:color="auto"/>
            </w:tcBorders>
            <w:gridSpan w:val="2"/>
          </w:tcPr>
          <w:p>
            <w:pPr>
              <w:ind w:left="640"/>
              <w:spacing w:after="0"/>
              <w:rPr>
                <w:sz w:val="20"/>
                <w:szCs w:val="20"/>
                <w:color w:val="auto"/>
              </w:rPr>
            </w:pPr>
            <w:r>
              <w:rPr>
                <w:rFonts w:ascii="Arial" w:cs="Arial" w:eastAsia="Arial" w:hAnsi="Arial"/>
                <w:sz w:val="14"/>
                <w:szCs w:val="14"/>
                <w:b w:val="1"/>
                <w:bCs w:val="1"/>
                <w:color w:val="auto"/>
                <w:w w:val="85"/>
              </w:rPr>
              <w:t>Predecessor</w:t>
            </w:r>
          </w:p>
        </w:tc>
        <w:tc>
          <w:tcPr>
            <w:tcW w:w="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29"/>
        </w:trPr>
        <w:tc>
          <w:tcPr>
            <w:tcW w:w="2780" w:type="dxa"/>
            <w:vAlign w:val="bottom"/>
          </w:tcPr>
          <w:p>
            <w:pPr>
              <w:spacing w:after="0"/>
              <w:rPr>
                <w:sz w:val="11"/>
                <w:szCs w:val="11"/>
                <w:color w:val="auto"/>
              </w:rPr>
            </w:pPr>
          </w:p>
        </w:tc>
        <w:tc>
          <w:tcPr>
            <w:tcW w:w="1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60" w:type="dxa"/>
            <w:vAlign w:val="bottom"/>
            <w:tcBorders>
              <w:right w:val="single" w:sz="8" w:color="auto"/>
            </w:tcBorders>
          </w:tcPr>
          <w:p>
            <w:pPr>
              <w:spacing w:after="0"/>
              <w:rPr>
                <w:sz w:val="11"/>
                <w:szCs w:val="11"/>
                <w:color w:val="auto"/>
              </w:rPr>
            </w:pPr>
          </w:p>
        </w:tc>
        <w:tc>
          <w:tcPr>
            <w:tcW w:w="5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gridSpan w:val="2"/>
          </w:tcPr>
          <w:p>
            <w:pPr>
              <w:jc w:val="center"/>
              <w:spacing w:after="0" w:line="129" w:lineRule="exact"/>
              <w:rPr>
                <w:sz w:val="20"/>
                <w:szCs w:val="20"/>
                <w:color w:val="auto"/>
              </w:rPr>
            </w:pPr>
            <w:r>
              <w:rPr>
                <w:rFonts w:ascii="Arial" w:cs="Arial" w:eastAsia="Arial" w:hAnsi="Arial"/>
                <w:sz w:val="14"/>
                <w:szCs w:val="14"/>
                <w:b w:val="1"/>
                <w:bCs w:val="1"/>
                <w:color w:val="auto"/>
                <w:w w:val="86"/>
              </w:rPr>
              <w:t>January 1,</w:t>
            </w:r>
          </w:p>
        </w:tc>
        <w:tc>
          <w:tcPr>
            <w:tcW w:w="100" w:type="dxa"/>
            <w:vAlign w:val="bottom"/>
          </w:tcPr>
          <w:p>
            <w:pPr>
              <w:spacing w:after="0"/>
              <w:rPr>
                <w:sz w:val="11"/>
                <w:szCs w:val="11"/>
                <w:color w:val="auto"/>
              </w:rPr>
            </w:pPr>
          </w:p>
        </w:tc>
      </w:tr>
      <w:tr>
        <w:trPr>
          <w:trHeight w:val="149"/>
        </w:trPr>
        <w:tc>
          <w:tcPr>
            <w:tcW w:w="278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760" w:type="dxa"/>
            <w:vAlign w:val="bottom"/>
            <w:tcBorders>
              <w:right w:val="single" w:sz="8" w:color="auto"/>
            </w:tcBorders>
          </w:tcPr>
          <w:p>
            <w:pPr>
              <w:spacing w:after="0"/>
              <w:rPr>
                <w:sz w:val="12"/>
                <w:szCs w:val="12"/>
                <w:color w:val="auto"/>
              </w:rPr>
            </w:pPr>
          </w:p>
        </w:tc>
        <w:tc>
          <w:tcPr>
            <w:tcW w:w="5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jc w:val="center"/>
              <w:ind w:right="24"/>
              <w:spacing w:after="0" w:line="149" w:lineRule="exact"/>
              <w:rPr>
                <w:sz w:val="20"/>
                <w:szCs w:val="20"/>
                <w:color w:val="auto"/>
              </w:rPr>
            </w:pPr>
            <w:r>
              <w:rPr>
                <w:rFonts w:ascii="Arial" w:cs="Arial" w:eastAsia="Arial" w:hAnsi="Arial"/>
                <w:sz w:val="14"/>
                <w:szCs w:val="14"/>
                <w:b w:val="1"/>
                <w:bCs w:val="1"/>
                <w:color w:val="auto"/>
                <w:w w:val="83"/>
              </w:rPr>
              <w:t>2009</w:t>
            </w:r>
          </w:p>
        </w:tc>
        <w:tc>
          <w:tcPr>
            <w:tcW w:w="100" w:type="dxa"/>
            <w:vAlign w:val="bottom"/>
          </w:tcPr>
          <w:p>
            <w:pPr>
              <w:spacing w:after="0"/>
              <w:rPr>
                <w:sz w:val="12"/>
                <w:szCs w:val="12"/>
                <w:color w:val="auto"/>
              </w:rPr>
            </w:pPr>
          </w:p>
        </w:tc>
      </w:tr>
      <w:tr>
        <w:trPr>
          <w:trHeight w:val="149"/>
        </w:trPr>
        <w:tc>
          <w:tcPr>
            <w:tcW w:w="278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80" w:type="dxa"/>
            <w:vAlign w:val="bottom"/>
            <w:gridSpan w:val="2"/>
          </w:tcPr>
          <w:p>
            <w:pPr>
              <w:jc w:val="right"/>
              <w:ind w:right="320"/>
              <w:spacing w:after="0" w:line="149" w:lineRule="exact"/>
              <w:rPr>
                <w:sz w:val="20"/>
                <w:szCs w:val="20"/>
                <w:color w:val="auto"/>
              </w:rPr>
            </w:pPr>
            <w:r>
              <w:rPr>
                <w:rFonts w:ascii="Arial" w:cs="Arial" w:eastAsia="Arial" w:hAnsi="Arial"/>
                <w:sz w:val="14"/>
                <w:szCs w:val="14"/>
                <w:b w:val="1"/>
                <w:bCs w:val="1"/>
                <w:color w:val="auto"/>
                <w:w w:val="99"/>
              </w:rPr>
              <w:t>Nine Months</w:t>
            </w:r>
          </w:p>
        </w:tc>
        <w:tc>
          <w:tcPr>
            <w:tcW w:w="6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40" w:type="dxa"/>
            <w:vAlign w:val="bottom"/>
          </w:tcPr>
          <w:p>
            <w:pPr>
              <w:jc w:val="right"/>
              <w:ind w:right="222"/>
              <w:spacing w:after="0" w:line="149" w:lineRule="exact"/>
              <w:rPr>
                <w:sz w:val="20"/>
                <w:szCs w:val="20"/>
                <w:color w:val="auto"/>
              </w:rPr>
            </w:pPr>
            <w:r>
              <w:rPr>
                <w:rFonts w:ascii="Arial" w:cs="Arial" w:eastAsia="Arial" w:hAnsi="Arial"/>
                <w:sz w:val="14"/>
                <w:szCs w:val="14"/>
                <w:b w:val="1"/>
                <w:bCs w:val="1"/>
                <w:color w:val="auto"/>
                <w:w w:val="94"/>
              </w:rPr>
              <w:t>July 10, 2009</w:t>
            </w:r>
          </w:p>
        </w:tc>
        <w:tc>
          <w:tcPr>
            <w:tcW w:w="760" w:type="dxa"/>
            <w:vAlign w:val="bottom"/>
            <w:tcBorders>
              <w:right w:val="single" w:sz="8" w:color="auto"/>
            </w:tcBorders>
          </w:tcPr>
          <w:p>
            <w:pPr>
              <w:spacing w:after="0"/>
              <w:rPr>
                <w:sz w:val="12"/>
                <w:szCs w:val="12"/>
                <w:color w:val="auto"/>
              </w:rPr>
            </w:pPr>
          </w:p>
        </w:tc>
        <w:tc>
          <w:tcPr>
            <w:tcW w:w="580" w:type="dxa"/>
            <w:vAlign w:val="bottom"/>
          </w:tcPr>
          <w:p>
            <w:pPr>
              <w:spacing w:after="0"/>
              <w:rPr>
                <w:sz w:val="12"/>
                <w:szCs w:val="12"/>
                <w:color w:val="auto"/>
              </w:rPr>
            </w:pPr>
          </w:p>
        </w:tc>
        <w:tc>
          <w:tcPr>
            <w:tcW w:w="1520" w:type="dxa"/>
            <w:vAlign w:val="bottom"/>
            <w:gridSpan w:val="3"/>
          </w:tcPr>
          <w:p>
            <w:pPr>
              <w:jc w:val="center"/>
              <w:ind w:right="640"/>
              <w:spacing w:after="0" w:line="149" w:lineRule="exact"/>
              <w:rPr>
                <w:sz w:val="20"/>
                <w:szCs w:val="20"/>
                <w:color w:val="auto"/>
              </w:rPr>
            </w:pPr>
            <w:r>
              <w:rPr>
                <w:rFonts w:ascii="Arial" w:cs="Arial" w:eastAsia="Arial" w:hAnsi="Arial"/>
                <w:sz w:val="14"/>
                <w:szCs w:val="14"/>
                <w:b w:val="1"/>
                <w:bCs w:val="1"/>
                <w:color w:val="auto"/>
                <w:w w:val="91"/>
              </w:rPr>
              <w:t>July 1, 2009</w:t>
            </w:r>
          </w:p>
        </w:tc>
        <w:tc>
          <w:tcPr>
            <w:tcW w:w="60" w:type="dxa"/>
            <w:vAlign w:val="bottom"/>
          </w:tcPr>
          <w:p>
            <w:pPr>
              <w:spacing w:after="0"/>
              <w:rPr>
                <w:sz w:val="12"/>
                <w:szCs w:val="12"/>
                <w:color w:val="auto"/>
              </w:rPr>
            </w:pPr>
          </w:p>
        </w:tc>
        <w:tc>
          <w:tcPr>
            <w:tcW w:w="760" w:type="dxa"/>
            <w:vAlign w:val="bottom"/>
            <w:gridSpan w:val="3"/>
          </w:tcPr>
          <w:p>
            <w:pPr>
              <w:jc w:val="center"/>
              <w:ind w:right="100"/>
              <w:spacing w:after="0" w:line="149" w:lineRule="exact"/>
              <w:rPr>
                <w:sz w:val="20"/>
                <w:szCs w:val="20"/>
                <w:color w:val="auto"/>
              </w:rPr>
            </w:pPr>
            <w:r>
              <w:rPr>
                <w:rFonts w:ascii="Arial" w:cs="Arial" w:eastAsia="Arial" w:hAnsi="Arial"/>
                <w:sz w:val="14"/>
                <w:szCs w:val="14"/>
                <w:b w:val="1"/>
                <w:bCs w:val="1"/>
                <w:color w:val="auto"/>
                <w:w w:val="87"/>
              </w:rPr>
              <w:t>Through</w:t>
            </w:r>
          </w:p>
        </w:tc>
      </w:tr>
      <w:tr>
        <w:trPr>
          <w:trHeight w:val="149"/>
        </w:trPr>
        <w:tc>
          <w:tcPr>
            <w:tcW w:w="278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80" w:type="dxa"/>
            <w:vAlign w:val="bottom"/>
            <w:gridSpan w:val="2"/>
          </w:tcPr>
          <w:p>
            <w:pPr>
              <w:jc w:val="right"/>
              <w:ind w:right="520"/>
              <w:spacing w:after="0" w:line="149" w:lineRule="exact"/>
              <w:rPr>
                <w:sz w:val="20"/>
                <w:szCs w:val="20"/>
                <w:color w:val="auto"/>
              </w:rPr>
            </w:pPr>
            <w:r>
              <w:rPr>
                <w:rFonts w:ascii="Arial" w:cs="Arial" w:eastAsia="Arial" w:hAnsi="Arial"/>
                <w:sz w:val="14"/>
                <w:szCs w:val="14"/>
                <w:b w:val="1"/>
                <w:bCs w:val="1"/>
                <w:color w:val="auto"/>
              </w:rPr>
              <w:t>Ended</w:t>
            </w:r>
          </w:p>
        </w:tc>
        <w:tc>
          <w:tcPr>
            <w:tcW w:w="6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40" w:type="dxa"/>
            <w:vAlign w:val="bottom"/>
          </w:tcPr>
          <w:p>
            <w:pPr>
              <w:jc w:val="right"/>
              <w:ind w:right="342"/>
              <w:spacing w:after="0" w:line="149" w:lineRule="exact"/>
              <w:rPr>
                <w:sz w:val="20"/>
                <w:szCs w:val="20"/>
                <w:color w:val="auto"/>
              </w:rPr>
            </w:pPr>
            <w:r>
              <w:rPr>
                <w:rFonts w:ascii="Arial" w:cs="Arial" w:eastAsia="Arial" w:hAnsi="Arial"/>
                <w:sz w:val="14"/>
                <w:szCs w:val="14"/>
                <w:b w:val="1"/>
                <w:bCs w:val="1"/>
                <w:color w:val="auto"/>
              </w:rPr>
              <w:t>Through</w:t>
            </w:r>
          </w:p>
        </w:tc>
        <w:tc>
          <w:tcPr>
            <w:tcW w:w="760" w:type="dxa"/>
            <w:vAlign w:val="bottom"/>
            <w:tcBorders>
              <w:right w:val="single" w:sz="8" w:color="auto"/>
            </w:tcBorders>
          </w:tcPr>
          <w:p>
            <w:pPr>
              <w:spacing w:after="0"/>
              <w:rPr>
                <w:sz w:val="12"/>
                <w:szCs w:val="12"/>
                <w:color w:val="auto"/>
              </w:rPr>
            </w:pPr>
          </w:p>
        </w:tc>
        <w:tc>
          <w:tcPr>
            <w:tcW w:w="5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380" w:type="dxa"/>
            <w:vAlign w:val="bottom"/>
            <w:gridSpan w:val="2"/>
          </w:tcPr>
          <w:p>
            <w:pPr>
              <w:jc w:val="center"/>
              <w:ind w:right="760"/>
              <w:spacing w:after="0" w:line="149" w:lineRule="exact"/>
              <w:rPr>
                <w:sz w:val="20"/>
                <w:szCs w:val="20"/>
                <w:color w:val="auto"/>
              </w:rPr>
            </w:pPr>
            <w:r>
              <w:rPr>
                <w:rFonts w:ascii="Arial" w:cs="Arial" w:eastAsia="Arial" w:hAnsi="Arial"/>
                <w:sz w:val="14"/>
                <w:szCs w:val="14"/>
                <w:b w:val="1"/>
                <w:bCs w:val="1"/>
                <w:color w:val="auto"/>
                <w:w w:val="87"/>
              </w:rPr>
              <w:t>Through</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87"/>
              </w:rPr>
              <w:t>July 9,</w:t>
            </w:r>
          </w:p>
        </w:tc>
      </w:tr>
      <w:tr>
        <w:trPr>
          <w:trHeight w:val="161"/>
        </w:trPr>
        <w:tc>
          <w:tcPr>
            <w:tcW w:w="278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1320" w:type="dxa"/>
            <w:vAlign w:val="bottom"/>
            <w:tcBorders>
              <w:bottom w:val="single" w:sz="8" w:color="auto"/>
            </w:tcBorders>
            <w:gridSpan w:val="2"/>
          </w:tcPr>
          <w:p>
            <w:pPr>
              <w:spacing w:after="0"/>
              <w:rPr>
                <w:sz w:val="20"/>
                <w:szCs w:val="20"/>
                <w:color w:val="auto"/>
              </w:rPr>
            </w:pPr>
            <w:r>
              <w:rPr>
                <w:rFonts w:ascii="Arial" w:cs="Arial" w:eastAsia="Arial" w:hAnsi="Arial"/>
                <w:sz w:val="14"/>
                <w:szCs w:val="14"/>
                <w:b w:val="1"/>
                <w:bCs w:val="1"/>
                <w:color w:val="auto"/>
                <w:w w:val="85"/>
              </w:rPr>
              <w:t>September 30, 2010 (a)</w:t>
            </w:r>
          </w:p>
        </w:tc>
        <w:tc>
          <w:tcPr>
            <w:tcW w:w="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34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b w:val="1"/>
                <w:bCs w:val="1"/>
                <w:color w:val="auto"/>
                <w:w w:val="85"/>
              </w:rPr>
              <w:t>September 30, 2009 (a)</w:t>
            </w:r>
          </w:p>
        </w:tc>
        <w:tc>
          <w:tcPr>
            <w:tcW w:w="760" w:type="dxa"/>
            <w:vAlign w:val="bottom"/>
            <w:tcBorders>
              <w:right w:val="single" w:sz="8" w:color="auto"/>
            </w:tcBorders>
          </w:tcPr>
          <w:p>
            <w:pPr>
              <w:spacing w:after="0"/>
              <w:rPr>
                <w:sz w:val="14"/>
                <w:szCs w:val="14"/>
                <w:color w:val="auto"/>
              </w:rPr>
            </w:pPr>
          </w:p>
        </w:tc>
        <w:tc>
          <w:tcPr>
            <w:tcW w:w="580" w:type="dxa"/>
            <w:vAlign w:val="bottom"/>
          </w:tcPr>
          <w:p>
            <w:pPr>
              <w:spacing w:after="0"/>
              <w:rPr>
                <w:sz w:val="14"/>
                <w:szCs w:val="14"/>
                <w:color w:val="auto"/>
              </w:rPr>
            </w:pPr>
          </w:p>
        </w:tc>
        <w:tc>
          <w:tcPr>
            <w:tcW w:w="900" w:type="dxa"/>
            <w:vAlign w:val="bottom"/>
            <w:tcBorders>
              <w:bottom w:val="single" w:sz="8" w:color="auto"/>
            </w:tcBorders>
            <w:gridSpan w:val="2"/>
          </w:tcPr>
          <w:p>
            <w:pPr>
              <w:spacing w:after="0"/>
              <w:rPr>
                <w:sz w:val="20"/>
                <w:szCs w:val="20"/>
                <w:color w:val="auto"/>
              </w:rPr>
            </w:pPr>
            <w:r>
              <w:rPr>
                <w:rFonts w:ascii="Arial" w:cs="Arial" w:eastAsia="Arial" w:hAnsi="Arial"/>
                <w:sz w:val="14"/>
                <w:szCs w:val="14"/>
                <w:b w:val="1"/>
                <w:bCs w:val="1"/>
                <w:color w:val="auto"/>
                <w:w w:val="87"/>
              </w:rPr>
              <w:t>July 9, 2009 (b)</w:t>
            </w:r>
          </w:p>
        </w:tc>
        <w:tc>
          <w:tcPr>
            <w:tcW w:w="6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jc w:val="center"/>
              <w:ind w:right="24"/>
              <w:spacing w:after="0"/>
              <w:rPr>
                <w:sz w:val="20"/>
                <w:szCs w:val="20"/>
                <w:color w:val="auto"/>
              </w:rPr>
            </w:pPr>
            <w:r>
              <w:rPr>
                <w:rFonts w:ascii="Arial" w:cs="Arial" w:eastAsia="Arial" w:hAnsi="Arial"/>
                <w:sz w:val="14"/>
                <w:szCs w:val="14"/>
                <w:b w:val="1"/>
                <w:bCs w:val="1"/>
                <w:color w:val="auto"/>
                <w:w w:val="86"/>
              </w:rPr>
              <w:t>2009 (b)</w:t>
            </w:r>
          </w:p>
        </w:tc>
        <w:tc>
          <w:tcPr>
            <w:tcW w:w="100" w:type="dxa"/>
            <w:vAlign w:val="bottom"/>
          </w:tcPr>
          <w:p>
            <w:pPr>
              <w:spacing w:after="0"/>
              <w:rPr>
                <w:sz w:val="14"/>
                <w:szCs w:val="14"/>
                <w:color w:val="auto"/>
              </w:rPr>
            </w:pPr>
          </w:p>
        </w:tc>
      </w:tr>
      <w:tr>
        <w:trPr>
          <w:trHeight w:val="210"/>
        </w:trPr>
        <w:tc>
          <w:tcPr>
            <w:tcW w:w="2780" w:type="dxa"/>
            <w:vAlign w:val="bottom"/>
            <w:shd w:val="clear" w:color="auto" w:fill="CCEEFF"/>
          </w:tcPr>
          <w:p>
            <w:pPr>
              <w:spacing w:after="0"/>
              <w:rPr>
                <w:sz w:val="20"/>
                <w:szCs w:val="20"/>
                <w:color w:val="auto"/>
              </w:rPr>
            </w:pPr>
            <w:r>
              <w:rPr>
                <w:rFonts w:ascii="Arial" w:cs="Arial" w:eastAsia="Arial" w:hAnsi="Arial"/>
                <w:sz w:val="18"/>
                <w:szCs w:val="18"/>
                <w:color w:val="auto"/>
              </w:rPr>
              <w:t>Interest expense</w:t>
            </w:r>
          </w:p>
        </w:tc>
        <w:tc>
          <w:tcPr>
            <w:tcW w:w="1800" w:type="dxa"/>
            <w:vAlign w:val="bottom"/>
            <w:gridSpan w:val="2"/>
            <w:shd w:val="clear" w:color="auto" w:fill="CCEEFF"/>
          </w:tcPr>
          <w:p>
            <w:pPr>
              <w:ind w:left="1620"/>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117</w:t>
            </w:r>
          </w:p>
        </w:tc>
        <w:tc>
          <w:tcPr>
            <w:tcW w:w="840" w:type="dxa"/>
            <w:vAlign w:val="bottom"/>
            <w:gridSpan w:val="2"/>
            <w:shd w:val="clear" w:color="auto" w:fill="CCEEFF"/>
          </w:tcPr>
          <w:p>
            <w:pPr>
              <w:ind w:left="64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w:t>
            </w:r>
          </w:p>
        </w:tc>
        <w:tc>
          <w:tcPr>
            <w:tcW w:w="760" w:type="dxa"/>
            <w:vAlign w:val="bottom"/>
            <w:tcBorders>
              <w:right w:val="single" w:sz="8" w:color="auto"/>
            </w:tcBorders>
            <w:shd w:val="clear" w:color="auto" w:fill="CCEEFF"/>
          </w:tcPr>
          <w:p>
            <w:pPr>
              <w:spacing w:after="0"/>
              <w:rPr>
                <w:sz w:val="18"/>
                <w:szCs w:val="18"/>
                <w:color w:val="auto"/>
              </w:rPr>
            </w:pPr>
          </w:p>
        </w:tc>
        <w:tc>
          <w:tcPr>
            <w:tcW w:w="720" w:type="dxa"/>
            <w:vAlign w:val="bottom"/>
            <w:gridSpan w:val="2"/>
            <w:shd w:val="clear" w:color="auto" w:fill="CCEEFF"/>
          </w:tcPr>
          <w:p>
            <w:pPr>
              <w:ind w:left="580"/>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670</w:t>
            </w:r>
          </w:p>
        </w:tc>
        <w:tc>
          <w:tcPr>
            <w:tcW w:w="620" w:type="dxa"/>
            <w:vAlign w:val="bottom"/>
            <w:shd w:val="clear" w:color="auto" w:fill="CCEEFF"/>
          </w:tcPr>
          <w:p>
            <w:pPr>
              <w:spacing w:after="0"/>
              <w:rPr>
                <w:sz w:val="18"/>
                <w:szCs w:val="18"/>
                <w:color w:val="auto"/>
              </w:rPr>
            </w:pP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4,006</w:t>
            </w:r>
          </w:p>
        </w:tc>
        <w:tc>
          <w:tcPr>
            <w:tcW w:w="100" w:type="dxa"/>
            <w:vAlign w:val="bottom"/>
            <w:shd w:val="clear" w:color="auto" w:fill="CCEEFF"/>
          </w:tcPr>
          <w:p>
            <w:pPr>
              <w:spacing w:after="0"/>
              <w:rPr>
                <w:sz w:val="18"/>
                <w:szCs w:val="18"/>
                <w:color w:val="auto"/>
              </w:rPr>
            </w:pPr>
          </w:p>
        </w:tc>
      </w:tr>
      <w:tr>
        <w:trPr>
          <w:trHeight w:val="216"/>
        </w:trPr>
        <w:tc>
          <w:tcPr>
            <w:tcW w:w="2780" w:type="dxa"/>
            <w:vAlign w:val="bottom"/>
          </w:tcPr>
          <w:p>
            <w:pPr>
              <w:spacing w:after="0"/>
              <w:rPr>
                <w:sz w:val="20"/>
                <w:szCs w:val="20"/>
                <w:color w:val="auto"/>
              </w:rPr>
            </w:pPr>
            <w:r>
              <w:rPr>
                <w:rFonts w:ascii="Arial" w:cs="Arial" w:eastAsia="Arial" w:hAnsi="Arial"/>
                <w:sz w:val="18"/>
                <w:szCs w:val="18"/>
                <w:color w:val="auto"/>
              </w:rPr>
              <w:t>Interest paid</w:t>
            </w:r>
          </w:p>
        </w:tc>
        <w:tc>
          <w:tcPr>
            <w:tcW w:w="1800" w:type="dxa"/>
            <w:vAlign w:val="bottom"/>
            <w:gridSpan w:val="2"/>
          </w:tcPr>
          <w:p>
            <w:pPr>
              <w:ind w:left="1620"/>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40"/>
              <w:spacing w:after="0"/>
              <w:rPr>
                <w:sz w:val="20"/>
                <w:szCs w:val="20"/>
                <w:color w:val="auto"/>
              </w:rPr>
            </w:pPr>
            <w:r>
              <w:rPr>
                <w:rFonts w:ascii="Arial" w:cs="Arial" w:eastAsia="Arial" w:hAnsi="Arial"/>
                <w:sz w:val="18"/>
                <w:szCs w:val="18"/>
                <w:color w:val="auto"/>
              </w:rPr>
              <w:t>206</w:t>
            </w:r>
          </w:p>
        </w:tc>
        <w:tc>
          <w:tcPr>
            <w:tcW w:w="840" w:type="dxa"/>
            <w:vAlign w:val="bottom"/>
            <w:gridSpan w:val="2"/>
          </w:tcPr>
          <w:p>
            <w:pPr>
              <w:ind w:left="640"/>
              <w:spacing w:after="0"/>
              <w:rPr>
                <w:sz w:val="20"/>
                <w:szCs w:val="20"/>
                <w:color w:val="auto"/>
              </w:rPr>
            </w:pPr>
            <w:r>
              <w:rPr>
                <w:rFonts w:ascii="Arial" w:cs="Arial" w:eastAsia="Arial" w:hAnsi="Arial"/>
                <w:sz w:val="18"/>
                <w:szCs w:val="18"/>
                <w:color w:val="auto"/>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w:t>
            </w:r>
          </w:p>
        </w:tc>
        <w:tc>
          <w:tcPr>
            <w:tcW w:w="760" w:type="dxa"/>
            <w:vAlign w:val="bottom"/>
            <w:tcBorders>
              <w:right w:val="single" w:sz="8" w:color="auto"/>
            </w:tcBorders>
          </w:tcPr>
          <w:p>
            <w:pPr>
              <w:spacing w:after="0"/>
              <w:rPr>
                <w:sz w:val="18"/>
                <w:szCs w:val="18"/>
                <w:color w:val="auto"/>
              </w:rPr>
            </w:pPr>
          </w:p>
        </w:tc>
        <w:tc>
          <w:tcPr>
            <w:tcW w:w="720" w:type="dxa"/>
            <w:vAlign w:val="bottom"/>
            <w:gridSpan w:val="2"/>
          </w:tcPr>
          <w:p>
            <w:pPr>
              <w:ind w:left="580"/>
              <w:spacing w:after="0"/>
              <w:rPr>
                <w:sz w:val="20"/>
                <w:szCs w:val="20"/>
                <w:color w:val="auto"/>
              </w:rPr>
            </w:pPr>
            <w:r>
              <w:rPr>
                <w:rFonts w:ascii="Arial" w:cs="Arial" w:eastAsia="Arial" w:hAnsi="Arial"/>
                <w:sz w:val="18"/>
                <w:szCs w:val="18"/>
                <w:color w:val="auto"/>
              </w:rPr>
              <w:t>$</w:t>
            </w:r>
          </w:p>
        </w:tc>
        <w:tc>
          <w:tcPr>
            <w:tcW w:w="1380" w:type="dxa"/>
            <w:vAlign w:val="bottom"/>
            <w:gridSpan w:val="2"/>
          </w:tcPr>
          <w:p>
            <w:pPr>
              <w:jc w:val="right"/>
              <w:ind w:right="620"/>
              <w:spacing w:after="0"/>
              <w:rPr>
                <w:sz w:val="20"/>
                <w:szCs w:val="20"/>
                <w:color w:val="auto"/>
              </w:rPr>
            </w:pPr>
            <w:r>
              <w:rPr>
                <w:rFonts w:ascii="Arial" w:cs="Arial" w:eastAsia="Arial" w:hAnsi="Arial"/>
                <w:sz w:val="18"/>
                <w:szCs w:val="18"/>
                <w:color w:val="auto"/>
              </w:rPr>
              <w:t>—</w:t>
            </w:r>
          </w:p>
        </w:tc>
        <w:tc>
          <w:tcPr>
            <w:tcW w:w="1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144</w:t>
            </w:r>
          </w:p>
        </w:tc>
        <w:tc>
          <w:tcPr>
            <w:tcW w:w="100" w:type="dxa"/>
            <w:vAlign w:val="bottom"/>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728980"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20" w:lineRule="exact"/>
        <w:rPr>
          <w:sz w:val="20"/>
          <w:szCs w:val="20"/>
          <w:color w:val="auto"/>
        </w:rPr>
      </w:pPr>
    </w:p>
    <w:p>
      <w:pPr>
        <w:ind w:left="460" w:hanging="452"/>
        <w:spacing w:after="0"/>
        <w:tabs>
          <w:tab w:leader="none" w:pos="4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Interest expense and interest paid on UST Loans.</w:t>
      </w:r>
    </w:p>
    <w:p>
      <w:pPr>
        <w:spacing w:after="0" w:line="90" w:lineRule="exact"/>
        <w:rPr>
          <w:rFonts w:ascii="Arial" w:cs="Arial" w:eastAsia="Arial" w:hAnsi="Arial"/>
          <w:sz w:val="18"/>
          <w:szCs w:val="18"/>
          <w:color w:val="auto"/>
        </w:rPr>
      </w:pPr>
    </w:p>
    <w:p>
      <w:pPr>
        <w:ind w:left="460" w:hanging="452"/>
        <w:spacing w:after="0"/>
        <w:tabs>
          <w:tab w:leader="none" w:pos="4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Interest expense and interest paid on the UST Loan Facility and the DIP Facility.</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VEBA Notes</w:t>
      </w:r>
    </w:p>
    <w:p>
      <w:pPr>
        <w:spacing w:after="0" w:line="177" w:lineRule="exact"/>
        <w:rPr>
          <w:sz w:val="20"/>
          <w:szCs w:val="20"/>
          <w:color w:val="auto"/>
        </w:rPr>
      </w:pPr>
    </w:p>
    <w:p>
      <w:pPr>
        <w:ind w:right="140" w:firstLine="228"/>
        <w:spacing w:after="0" w:line="306" w:lineRule="auto"/>
        <w:rPr>
          <w:sz w:val="20"/>
          <w:szCs w:val="20"/>
          <w:color w:val="auto"/>
        </w:rPr>
      </w:pPr>
      <w:r>
        <w:rPr>
          <w:rFonts w:ascii="Arial" w:cs="Arial" w:eastAsia="Arial" w:hAnsi="Arial"/>
          <w:sz w:val="16"/>
          <w:szCs w:val="16"/>
          <w:color w:val="auto"/>
        </w:rPr>
        <w:t>In connection with the 363 Sale, we entered into the VEBA Note Agreement and issued VEBA Notes of $2.5 billion to the UAW Retiree Medical Benefits Trust (New VEBA). The VEBA Notes have an implied interest rate of 9.0% per annum. The VEBA Notes and accrued interest are contractually scheduled to be repaid in three equal installments of $1.4 billion on July 15 of 2013, 2015 and 2017; however, we may prepay the VEBA Notes at any time prior to maturity.</w:t>
      </w:r>
    </w:p>
    <w:p>
      <w:pPr>
        <w:spacing w:after="0" w:line="107" w:lineRule="exact"/>
        <w:rPr>
          <w:sz w:val="20"/>
          <w:szCs w:val="20"/>
          <w:color w:val="auto"/>
        </w:rPr>
      </w:pPr>
    </w:p>
    <w:p>
      <w:pPr>
        <w:ind w:right="240" w:firstLine="228"/>
        <w:spacing w:after="0" w:line="370" w:lineRule="auto"/>
        <w:rPr>
          <w:sz w:val="20"/>
          <w:szCs w:val="20"/>
          <w:color w:val="auto"/>
        </w:rPr>
      </w:pPr>
      <w:r>
        <w:rPr>
          <w:rFonts w:ascii="Arial" w:cs="Arial" w:eastAsia="Arial" w:hAnsi="Arial"/>
          <w:sz w:val="15"/>
          <w:szCs w:val="15"/>
          <w:color w:val="auto"/>
        </w:rPr>
        <w:t>The obligations under the VEBA Note Agreement are secured by substantially all of our U.S. assets, subject to certain exceptions, including our equity interests in certain of our foreign subsidiaries, limited in most cases to 65% of the equity interests of the pledged foreign subsidiaries due to tax considerations.</w:t>
      </w:r>
    </w:p>
    <w:p>
      <w:pPr>
        <w:spacing w:after="0" w:line="62" w:lineRule="exact"/>
        <w:rPr>
          <w:sz w:val="20"/>
          <w:szCs w:val="20"/>
          <w:color w:val="auto"/>
        </w:rPr>
      </w:pPr>
    </w:p>
    <w:p>
      <w:pPr>
        <w:ind w:left="240"/>
        <w:spacing w:after="0"/>
        <w:rPr>
          <w:sz w:val="20"/>
          <w:szCs w:val="20"/>
          <w:color w:val="auto"/>
        </w:rPr>
      </w:pPr>
      <w:r>
        <w:rPr>
          <w:rFonts w:ascii="Arial" w:cs="Arial" w:eastAsia="Arial" w:hAnsi="Arial"/>
          <w:sz w:val="16"/>
          <w:szCs w:val="16"/>
          <w:color w:val="auto"/>
        </w:rPr>
        <w:t>At September 30, 2010 we have classified the VEBA Notes as short-term debt in the amount of $3.0 billion (including unamortized premium of $201 million).</w:t>
      </w:r>
    </w:p>
    <w:p>
      <w:pPr>
        <w:spacing w:after="0" w:line="194" w:lineRule="exact"/>
        <w:rPr>
          <w:sz w:val="20"/>
          <w:szCs w:val="20"/>
          <w:color w:val="auto"/>
        </w:rPr>
      </w:pPr>
    </w:p>
    <w:p>
      <w:pPr>
        <w:ind w:right="220" w:firstLine="228"/>
        <w:spacing w:after="0" w:line="268" w:lineRule="auto"/>
        <w:rPr>
          <w:sz w:val="20"/>
          <w:szCs w:val="20"/>
          <w:color w:val="auto"/>
        </w:rPr>
      </w:pPr>
      <w:r>
        <w:rPr>
          <w:rFonts w:ascii="Arial" w:cs="Arial" w:eastAsia="Arial" w:hAnsi="Arial"/>
          <w:sz w:val="18"/>
          <w:szCs w:val="18"/>
          <w:color w:val="auto"/>
        </w:rPr>
        <w:t>On October 26, 2010 we repaid in full the outstanding amount (together with accreted interest thereon) of the VEBA Notes of $2.8 billion. Refer to Note 27 for additional information.</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420"/>
          </w:cols>
          <w:pgMar w:left="240" w:top="459" w:right="239" w:bottom="1440" w:gutter="0" w:footer="0" w:header="0"/>
        </w:sectPr>
      </w:pPr>
    </w:p>
    <w:bookmarkStart w:id="30" w:name="page31"/>
    <w:bookmarkEnd w:id="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339" w:lineRule="exact"/>
        <w:rPr>
          <w:sz w:val="20"/>
          <w:szCs w:val="20"/>
          <w:color w:val="auto"/>
        </w:rPr>
      </w:pPr>
    </w:p>
    <w:p>
      <w:pPr>
        <w:ind w:left="240"/>
        <w:spacing w:after="0"/>
        <w:rPr>
          <w:sz w:val="20"/>
          <w:szCs w:val="20"/>
          <w:color w:val="auto"/>
        </w:rPr>
      </w:pPr>
      <w:r>
        <w:rPr>
          <w:rFonts w:ascii="Arial" w:cs="Arial" w:eastAsia="Arial" w:hAnsi="Arial"/>
          <w:sz w:val="18"/>
          <w:szCs w:val="18"/>
          <w:color w:val="auto"/>
        </w:rPr>
        <w:t>The following table summarizes interest expense on the VEBA Notes (dollars in millions):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86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spacing w:after="0"/>
              <w:rPr>
                <w:sz w:val="14"/>
                <w:szCs w:val="14"/>
                <w:color w:val="auto"/>
              </w:rPr>
            </w:pPr>
          </w:p>
        </w:tc>
        <w:tc>
          <w:tcPr>
            <w:tcW w:w="1360" w:type="dxa"/>
            <w:vAlign w:val="bottom"/>
            <w:tcBorders>
              <w:bottom w:val="single" w:sz="8" w:color="auto"/>
            </w:tcBorders>
            <w:gridSpan w:val="2"/>
          </w:tcPr>
          <w:p>
            <w:pPr>
              <w:jc w:val="right"/>
              <w:ind w:right="392"/>
              <w:spacing w:after="0"/>
              <w:rPr>
                <w:sz w:val="20"/>
                <w:szCs w:val="20"/>
                <w:color w:val="auto"/>
              </w:rPr>
            </w:pPr>
            <w:r>
              <w:rPr>
                <w:rFonts w:ascii="Arial" w:cs="Arial" w:eastAsia="Arial" w:hAnsi="Arial"/>
                <w:sz w:val="14"/>
                <w:szCs w:val="14"/>
                <w:b w:val="1"/>
                <w:bCs w:val="1"/>
                <w:color w:val="auto"/>
              </w:rPr>
              <w:t>Successor</w:t>
            </w:r>
          </w:p>
        </w:tc>
        <w:tc>
          <w:tcPr>
            <w:tcW w:w="9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29"/>
        </w:trPr>
        <w:tc>
          <w:tcPr>
            <w:tcW w:w="78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0" w:type="dxa"/>
            <w:vAlign w:val="bottom"/>
          </w:tcPr>
          <w:p>
            <w:pPr>
              <w:jc w:val="center"/>
              <w:ind w:right="26"/>
              <w:spacing w:after="0" w:line="129" w:lineRule="exact"/>
              <w:rPr>
                <w:sz w:val="20"/>
                <w:szCs w:val="20"/>
                <w:color w:val="auto"/>
              </w:rPr>
            </w:pPr>
            <w:r>
              <w:rPr>
                <w:rFonts w:ascii="Arial" w:cs="Arial" w:eastAsia="Arial" w:hAnsi="Arial"/>
                <w:sz w:val="14"/>
                <w:szCs w:val="14"/>
                <w:b w:val="1"/>
                <w:bCs w:val="1"/>
                <w:color w:val="auto"/>
                <w:w w:val="89"/>
              </w:rPr>
              <w:t>Three Months</w:t>
            </w:r>
          </w:p>
        </w:tc>
        <w:tc>
          <w:tcPr>
            <w:tcW w:w="1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80" w:type="dxa"/>
            <w:vAlign w:val="bottom"/>
          </w:tcPr>
          <w:p>
            <w:pPr>
              <w:jc w:val="center"/>
              <w:ind w:right="66"/>
              <w:spacing w:after="0" w:line="129" w:lineRule="exact"/>
              <w:rPr>
                <w:sz w:val="20"/>
                <w:szCs w:val="20"/>
                <w:color w:val="auto"/>
              </w:rPr>
            </w:pPr>
            <w:r>
              <w:rPr>
                <w:rFonts w:ascii="Arial" w:cs="Arial" w:eastAsia="Arial" w:hAnsi="Arial"/>
                <w:sz w:val="14"/>
                <w:szCs w:val="14"/>
                <w:b w:val="1"/>
                <w:bCs w:val="1"/>
                <w:color w:val="auto"/>
                <w:w w:val="90"/>
              </w:rPr>
              <w:t>Nine Months</w:t>
            </w:r>
          </w:p>
        </w:tc>
        <w:tc>
          <w:tcPr>
            <w:tcW w:w="100" w:type="dxa"/>
            <w:vAlign w:val="bottom"/>
          </w:tcPr>
          <w:p>
            <w:pPr>
              <w:spacing w:after="0"/>
              <w:rPr>
                <w:sz w:val="11"/>
                <w:szCs w:val="11"/>
                <w:color w:val="auto"/>
              </w:rPr>
            </w:pPr>
          </w:p>
        </w:tc>
      </w:tr>
      <w:tr>
        <w:trPr>
          <w:trHeight w:val="149"/>
        </w:trPr>
        <w:tc>
          <w:tcPr>
            <w:tcW w:w="78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tcPr>
          <w:p>
            <w:pPr>
              <w:jc w:val="center"/>
              <w:ind w:right="46"/>
              <w:spacing w:after="0" w:line="149" w:lineRule="exact"/>
              <w:rPr>
                <w:sz w:val="20"/>
                <w:szCs w:val="20"/>
                <w:color w:val="auto"/>
              </w:rPr>
            </w:pPr>
            <w:r>
              <w:rPr>
                <w:rFonts w:ascii="Arial" w:cs="Arial" w:eastAsia="Arial" w:hAnsi="Arial"/>
                <w:sz w:val="14"/>
                <w:szCs w:val="14"/>
                <w:b w:val="1"/>
                <w:bCs w:val="1"/>
                <w:color w:val="auto"/>
                <w:w w:val="84"/>
              </w:rPr>
              <w:t>Ended</w:t>
            </w:r>
          </w:p>
        </w:tc>
        <w:tc>
          <w:tcPr>
            <w:tcW w:w="1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8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84"/>
              </w:rPr>
              <w:t>Ended</w:t>
            </w:r>
          </w:p>
        </w:tc>
      </w:tr>
      <w:tr>
        <w:trPr>
          <w:trHeight w:val="161"/>
        </w:trPr>
        <w:tc>
          <w:tcPr>
            <w:tcW w:w="7860" w:type="dxa"/>
            <w:vAlign w:val="bottom"/>
          </w:tcPr>
          <w:p>
            <w:pPr>
              <w:spacing w:after="0"/>
              <w:rPr>
                <w:sz w:val="14"/>
                <w:szCs w:val="14"/>
                <w:color w:val="auto"/>
              </w:rPr>
            </w:pPr>
          </w:p>
        </w:tc>
        <w:tc>
          <w:tcPr>
            <w:tcW w:w="1120" w:type="dxa"/>
            <w:vAlign w:val="bottom"/>
            <w:gridSpan w:val="2"/>
          </w:tcPr>
          <w:p>
            <w:pPr>
              <w:jc w:val="center"/>
              <w:spacing w:after="0"/>
              <w:rPr>
                <w:sz w:val="20"/>
                <w:szCs w:val="20"/>
                <w:color w:val="auto"/>
              </w:rPr>
            </w:pPr>
            <w:r>
              <w:rPr>
                <w:rFonts w:ascii="Arial" w:cs="Arial" w:eastAsia="Arial" w:hAnsi="Arial"/>
                <w:sz w:val="14"/>
                <w:szCs w:val="14"/>
                <w:b w:val="1"/>
                <w:bCs w:val="1"/>
                <w:color w:val="auto"/>
                <w:w w:val="85"/>
              </w:rPr>
              <w:t>September 30, 2010</w:t>
            </w:r>
          </w:p>
        </w:tc>
        <w:tc>
          <w:tcPr>
            <w:tcW w:w="1220" w:type="dxa"/>
            <w:vAlign w:val="bottom"/>
          </w:tcPr>
          <w:p>
            <w:pPr>
              <w:spacing w:after="0"/>
              <w:rPr>
                <w:sz w:val="14"/>
                <w:szCs w:val="14"/>
                <w:color w:val="auto"/>
              </w:rPr>
            </w:pPr>
          </w:p>
        </w:tc>
        <w:tc>
          <w:tcPr>
            <w:tcW w:w="122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w w:val="85"/>
              </w:rPr>
              <w:t>September 30, 2010</w:t>
            </w:r>
          </w:p>
        </w:tc>
      </w:tr>
      <w:tr>
        <w:trPr>
          <w:trHeight w:val="20"/>
        </w:trPr>
        <w:tc>
          <w:tcPr>
            <w:tcW w:w="78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7860" w:type="dxa"/>
            <w:vAlign w:val="bottom"/>
            <w:shd w:val="clear" w:color="auto" w:fill="CCEEFF"/>
          </w:tcPr>
          <w:p>
            <w:pPr>
              <w:spacing w:after="0"/>
              <w:rPr>
                <w:sz w:val="20"/>
                <w:szCs w:val="20"/>
                <w:color w:val="auto"/>
              </w:rPr>
            </w:pPr>
            <w:r>
              <w:rPr>
                <w:rFonts w:ascii="Arial" w:cs="Arial" w:eastAsia="Arial" w:hAnsi="Arial"/>
                <w:sz w:val="18"/>
                <w:szCs w:val="18"/>
                <w:color w:val="auto"/>
              </w:rPr>
              <w:t>Interest expense</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w:t>
            </w:r>
          </w:p>
        </w:tc>
        <w:tc>
          <w:tcPr>
            <w:tcW w:w="1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151</w:t>
            </w:r>
          </w:p>
        </w:tc>
        <w:tc>
          <w:tcPr>
            <w:tcW w:w="100" w:type="dxa"/>
            <w:vAlign w:val="bottom"/>
            <w:shd w:val="clear" w:color="auto" w:fill="CCEEFF"/>
          </w:tcPr>
          <w:p>
            <w:pPr>
              <w:spacing w:after="0"/>
              <w:rPr>
                <w:sz w:val="18"/>
                <w:szCs w:val="18"/>
                <w:color w:val="auto"/>
              </w:rPr>
            </w:pPr>
          </w:p>
        </w:tc>
      </w:tr>
    </w:tbl>
    <w:p>
      <w:pPr>
        <w:spacing w:after="0" w:line="1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Canadian Loan Agreement and EDC Loan Facility</w:t>
      </w:r>
    </w:p>
    <w:p>
      <w:pPr>
        <w:spacing w:after="0" w:line="177" w:lineRule="exact"/>
        <w:rPr>
          <w:sz w:val="20"/>
          <w:szCs w:val="20"/>
          <w:color w:val="auto"/>
        </w:rPr>
      </w:pPr>
    </w:p>
    <w:p>
      <w:pPr>
        <w:ind w:right="60" w:firstLine="228"/>
        <w:spacing w:after="0" w:line="306" w:lineRule="auto"/>
        <w:rPr>
          <w:sz w:val="20"/>
          <w:szCs w:val="20"/>
          <w:color w:val="auto"/>
        </w:rPr>
      </w:pPr>
      <w:r>
        <w:rPr>
          <w:rFonts w:ascii="Arial" w:cs="Arial" w:eastAsia="Arial" w:hAnsi="Arial"/>
          <w:sz w:val="16"/>
          <w:szCs w:val="16"/>
          <w:color w:val="auto"/>
        </w:rPr>
        <w:t>As previously disclosed in our Form S-1, on July 10, 2009 we entered into the Canadian Loan Agreement and assumed a CAD $1.5 billion (equivalent to $1.3 billion when entered into) term loan (Canadian Loan) maturing on July 10, 2015. In March 2010 and December 2009 we made quarterly payments of $194 million and $192 million on the Canadian Loan. In April 2010 GMCL repaid in full the outstanding amount of the Canadian Loan of $1.1 billion.</w:t>
      </w:r>
    </w:p>
    <w:p>
      <w:pPr>
        <w:spacing w:after="0" w:line="107" w:lineRule="exact"/>
        <w:rPr>
          <w:sz w:val="20"/>
          <w:szCs w:val="20"/>
          <w:color w:val="auto"/>
        </w:rPr>
      </w:pPr>
    </w:p>
    <w:p>
      <w:pPr>
        <w:ind w:left="240"/>
        <w:spacing w:after="0"/>
        <w:rPr>
          <w:sz w:val="20"/>
          <w:szCs w:val="20"/>
          <w:color w:val="auto"/>
        </w:rPr>
      </w:pPr>
      <w:r>
        <w:rPr>
          <w:rFonts w:ascii="Arial" w:cs="Arial" w:eastAsia="Arial" w:hAnsi="Arial"/>
          <w:sz w:val="18"/>
          <w:szCs w:val="18"/>
          <w:color w:val="auto"/>
        </w:rPr>
        <w:t>The following table summarizes interest expense and interest paid on the Canadian Loan and the EDC Loan Facility (dollars in millions):</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04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gridSpan w:val="2"/>
          </w:tcPr>
          <w:p>
            <w:pPr>
              <w:jc w:val="right"/>
              <w:ind w:right="192"/>
              <w:spacing w:after="0"/>
              <w:rPr>
                <w:sz w:val="20"/>
                <w:szCs w:val="20"/>
                <w:color w:val="auto"/>
              </w:rPr>
            </w:pPr>
            <w:r>
              <w:rPr>
                <w:rFonts w:ascii="Arial" w:cs="Arial" w:eastAsia="Arial" w:hAnsi="Arial"/>
                <w:sz w:val="14"/>
                <w:szCs w:val="14"/>
                <w:b w:val="1"/>
                <w:bCs w:val="1"/>
                <w:color w:val="auto"/>
                <w:w w:val="87"/>
              </w:rPr>
              <w:t>Successor</w:t>
            </w:r>
          </w:p>
        </w:tc>
        <w:tc>
          <w:tcPr>
            <w:tcW w:w="1140" w:type="dxa"/>
            <w:vAlign w:val="bottom"/>
            <w:tcBorders>
              <w:bottom w:val="single" w:sz="8" w:color="auto"/>
            </w:tcBorders>
          </w:tcPr>
          <w:p>
            <w:pPr>
              <w:spacing w:after="0"/>
              <w:rPr>
                <w:sz w:val="14"/>
                <w:szCs w:val="14"/>
                <w:color w:val="auto"/>
              </w:rPr>
            </w:pPr>
          </w:p>
        </w:tc>
        <w:tc>
          <w:tcPr>
            <w:tcW w:w="780" w:type="dxa"/>
            <w:vAlign w:val="bottom"/>
            <w:tcBorders>
              <w:right w:val="single" w:sz="8" w:color="auto"/>
            </w:tcBorders>
          </w:tcPr>
          <w:p>
            <w:pPr>
              <w:spacing w:after="0"/>
              <w:rPr>
                <w:sz w:val="14"/>
                <w:szCs w:val="14"/>
                <w:color w:val="auto"/>
              </w:rPr>
            </w:pPr>
          </w:p>
        </w:tc>
        <w:tc>
          <w:tcPr>
            <w:tcW w:w="60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b w:val="1"/>
                <w:bCs w:val="1"/>
                <w:color w:val="auto"/>
                <w:w w:val="95"/>
              </w:rPr>
              <w:t>Predecessor</w:t>
            </w:r>
          </w:p>
        </w:tc>
        <w:tc>
          <w:tcPr>
            <w:tcW w:w="8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29"/>
        </w:trPr>
        <w:tc>
          <w:tcPr>
            <w:tcW w:w="40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120" w:type="dxa"/>
            <w:vAlign w:val="bottom"/>
          </w:tcPr>
          <w:p>
            <w:pPr>
              <w:jc w:val="right"/>
              <w:ind w:right="202"/>
              <w:spacing w:after="0" w:line="129" w:lineRule="exact"/>
              <w:rPr>
                <w:sz w:val="20"/>
                <w:szCs w:val="20"/>
                <w:color w:val="auto"/>
              </w:rPr>
            </w:pPr>
            <w:r>
              <w:rPr>
                <w:rFonts w:ascii="Arial" w:cs="Arial" w:eastAsia="Arial" w:hAnsi="Arial"/>
                <w:sz w:val="14"/>
                <w:szCs w:val="14"/>
                <w:b w:val="1"/>
                <w:bCs w:val="1"/>
                <w:color w:val="auto"/>
                <w:w w:val="97"/>
              </w:rPr>
              <w:t>Nine Months</w:t>
            </w:r>
          </w:p>
        </w:tc>
        <w:tc>
          <w:tcPr>
            <w:tcW w:w="7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140" w:type="dxa"/>
            <w:vAlign w:val="bottom"/>
          </w:tcPr>
          <w:p>
            <w:pPr>
              <w:jc w:val="right"/>
              <w:ind w:right="202"/>
              <w:spacing w:after="0" w:line="129" w:lineRule="exact"/>
              <w:rPr>
                <w:sz w:val="20"/>
                <w:szCs w:val="20"/>
                <w:color w:val="auto"/>
              </w:rPr>
            </w:pPr>
            <w:r>
              <w:rPr>
                <w:rFonts w:ascii="Arial" w:cs="Arial" w:eastAsia="Arial" w:hAnsi="Arial"/>
                <w:sz w:val="14"/>
                <w:szCs w:val="14"/>
                <w:b w:val="1"/>
                <w:bCs w:val="1"/>
                <w:color w:val="auto"/>
                <w:w w:val="97"/>
              </w:rPr>
              <w:t>July 10, 2009</w:t>
            </w:r>
          </w:p>
        </w:tc>
        <w:tc>
          <w:tcPr>
            <w:tcW w:w="780" w:type="dxa"/>
            <w:vAlign w:val="bottom"/>
            <w:tcBorders>
              <w:right w:val="single" w:sz="8" w:color="auto"/>
            </w:tcBorders>
          </w:tcPr>
          <w:p>
            <w:pPr>
              <w:spacing w:after="0"/>
              <w:rPr>
                <w:sz w:val="11"/>
                <w:szCs w:val="11"/>
                <w:color w:val="auto"/>
              </w:rPr>
            </w:pPr>
          </w:p>
        </w:tc>
        <w:tc>
          <w:tcPr>
            <w:tcW w:w="600" w:type="dxa"/>
            <w:vAlign w:val="bottom"/>
          </w:tcPr>
          <w:p>
            <w:pPr>
              <w:spacing w:after="0"/>
              <w:rPr>
                <w:sz w:val="11"/>
                <w:szCs w:val="11"/>
                <w:color w:val="auto"/>
              </w:rPr>
            </w:pPr>
          </w:p>
        </w:tc>
        <w:tc>
          <w:tcPr>
            <w:tcW w:w="900" w:type="dxa"/>
            <w:vAlign w:val="bottom"/>
            <w:gridSpan w:val="3"/>
          </w:tcPr>
          <w:p>
            <w:pPr>
              <w:jc w:val="right"/>
              <w:ind w:right="100"/>
              <w:spacing w:after="0" w:line="129" w:lineRule="exact"/>
              <w:rPr>
                <w:sz w:val="20"/>
                <w:szCs w:val="20"/>
                <w:color w:val="auto"/>
              </w:rPr>
            </w:pPr>
            <w:r>
              <w:rPr>
                <w:rFonts w:ascii="Arial" w:cs="Arial" w:eastAsia="Arial" w:hAnsi="Arial"/>
                <w:sz w:val="14"/>
                <w:szCs w:val="14"/>
                <w:b w:val="1"/>
                <w:bCs w:val="1"/>
                <w:color w:val="auto"/>
                <w:w w:val="99"/>
              </w:rPr>
              <w:t>July 1, 2009</w:t>
            </w:r>
          </w:p>
        </w:tc>
        <w:tc>
          <w:tcPr>
            <w:tcW w:w="680" w:type="dxa"/>
            <w:vAlign w:val="bottom"/>
          </w:tcPr>
          <w:p>
            <w:pPr>
              <w:spacing w:after="0"/>
              <w:rPr>
                <w:sz w:val="11"/>
                <w:szCs w:val="11"/>
                <w:color w:val="auto"/>
              </w:rPr>
            </w:pPr>
          </w:p>
        </w:tc>
        <w:tc>
          <w:tcPr>
            <w:tcW w:w="960" w:type="dxa"/>
            <w:vAlign w:val="bottom"/>
            <w:gridSpan w:val="2"/>
          </w:tcPr>
          <w:p>
            <w:pPr>
              <w:spacing w:after="0" w:line="129" w:lineRule="exact"/>
              <w:rPr>
                <w:sz w:val="20"/>
                <w:szCs w:val="20"/>
                <w:color w:val="auto"/>
              </w:rPr>
            </w:pPr>
            <w:r>
              <w:rPr>
                <w:rFonts w:ascii="Arial" w:cs="Arial" w:eastAsia="Arial" w:hAnsi="Arial"/>
                <w:sz w:val="14"/>
                <w:szCs w:val="14"/>
                <w:b w:val="1"/>
                <w:bCs w:val="1"/>
                <w:color w:val="auto"/>
                <w:w w:val="90"/>
              </w:rPr>
              <w:t>January 1, 2009</w:t>
            </w:r>
          </w:p>
        </w:tc>
        <w:tc>
          <w:tcPr>
            <w:tcW w:w="100" w:type="dxa"/>
            <w:vAlign w:val="bottom"/>
          </w:tcPr>
          <w:p>
            <w:pPr>
              <w:spacing w:after="0"/>
              <w:rPr>
                <w:sz w:val="11"/>
                <w:szCs w:val="11"/>
                <w:color w:val="auto"/>
              </w:rPr>
            </w:pPr>
          </w:p>
        </w:tc>
      </w:tr>
      <w:tr>
        <w:trPr>
          <w:trHeight w:val="149"/>
        </w:trPr>
        <w:tc>
          <w:tcPr>
            <w:tcW w:w="40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20" w:type="dxa"/>
            <w:vAlign w:val="bottom"/>
          </w:tcPr>
          <w:p>
            <w:pPr>
              <w:jc w:val="right"/>
              <w:ind w:right="382"/>
              <w:spacing w:after="0" w:line="149" w:lineRule="exact"/>
              <w:rPr>
                <w:sz w:val="20"/>
                <w:szCs w:val="20"/>
                <w:color w:val="auto"/>
              </w:rPr>
            </w:pPr>
            <w:r>
              <w:rPr>
                <w:rFonts w:ascii="Arial" w:cs="Arial" w:eastAsia="Arial" w:hAnsi="Arial"/>
                <w:sz w:val="14"/>
                <w:szCs w:val="14"/>
                <w:b w:val="1"/>
                <w:bCs w:val="1"/>
                <w:color w:val="auto"/>
              </w:rPr>
              <w:t>Ended</w:t>
            </w:r>
          </w:p>
        </w:tc>
        <w:tc>
          <w:tcPr>
            <w:tcW w:w="7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40" w:type="dxa"/>
            <w:vAlign w:val="bottom"/>
          </w:tcPr>
          <w:p>
            <w:pPr>
              <w:jc w:val="right"/>
              <w:ind w:right="342"/>
              <w:spacing w:after="0" w:line="149" w:lineRule="exact"/>
              <w:rPr>
                <w:sz w:val="20"/>
                <w:szCs w:val="20"/>
                <w:color w:val="auto"/>
              </w:rPr>
            </w:pPr>
            <w:r>
              <w:rPr>
                <w:rFonts w:ascii="Arial" w:cs="Arial" w:eastAsia="Arial" w:hAnsi="Arial"/>
                <w:sz w:val="14"/>
                <w:szCs w:val="14"/>
                <w:b w:val="1"/>
                <w:bCs w:val="1"/>
                <w:color w:val="auto"/>
              </w:rPr>
              <w:t>Through</w:t>
            </w:r>
          </w:p>
        </w:tc>
        <w:tc>
          <w:tcPr>
            <w:tcW w:w="780" w:type="dxa"/>
            <w:vAlign w:val="bottom"/>
            <w:tcBorders>
              <w:right w:val="single" w:sz="8" w:color="auto"/>
            </w:tcBorders>
          </w:tcPr>
          <w:p>
            <w:pPr>
              <w:spacing w:after="0"/>
              <w:rPr>
                <w:sz w:val="12"/>
                <w:szCs w:val="12"/>
                <w:color w:val="auto"/>
              </w:rPr>
            </w:pPr>
          </w:p>
        </w:tc>
        <w:tc>
          <w:tcPr>
            <w:tcW w:w="6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gridSpan w:val="2"/>
          </w:tcPr>
          <w:p>
            <w:pPr>
              <w:jc w:val="right"/>
              <w:ind w:right="200"/>
              <w:spacing w:after="0" w:line="149" w:lineRule="exact"/>
              <w:rPr>
                <w:sz w:val="20"/>
                <w:szCs w:val="20"/>
                <w:color w:val="auto"/>
              </w:rPr>
            </w:pPr>
            <w:r>
              <w:rPr>
                <w:rFonts w:ascii="Arial" w:cs="Arial" w:eastAsia="Arial" w:hAnsi="Arial"/>
                <w:sz w:val="14"/>
                <w:szCs w:val="14"/>
                <w:b w:val="1"/>
                <w:bCs w:val="1"/>
                <w:color w:val="auto"/>
                <w:w w:val="95"/>
              </w:rPr>
              <w:t>Through</w:t>
            </w:r>
          </w:p>
        </w:tc>
        <w:tc>
          <w:tcPr>
            <w:tcW w:w="6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0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87"/>
              </w:rPr>
              <w:t>Through</w:t>
            </w:r>
          </w:p>
        </w:tc>
      </w:tr>
      <w:tr>
        <w:trPr>
          <w:trHeight w:val="161"/>
        </w:trPr>
        <w:tc>
          <w:tcPr>
            <w:tcW w:w="4040" w:type="dxa"/>
            <w:vAlign w:val="bottom"/>
          </w:tcPr>
          <w:p>
            <w:pPr>
              <w:spacing w:after="0"/>
              <w:rPr>
                <w:sz w:val="14"/>
                <w:szCs w:val="14"/>
                <w:color w:val="auto"/>
              </w:rPr>
            </w:pPr>
          </w:p>
        </w:tc>
        <w:tc>
          <w:tcPr>
            <w:tcW w:w="1320" w:type="dxa"/>
            <w:vAlign w:val="bottom"/>
            <w:gridSpan w:val="2"/>
          </w:tcPr>
          <w:p>
            <w:pPr>
              <w:spacing w:after="0"/>
              <w:rPr>
                <w:sz w:val="20"/>
                <w:szCs w:val="20"/>
                <w:color w:val="auto"/>
              </w:rPr>
            </w:pPr>
            <w:r>
              <w:rPr>
                <w:rFonts w:ascii="Arial" w:cs="Arial" w:eastAsia="Arial" w:hAnsi="Arial"/>
                <w:sz w:val="14"/>
                <w:szCs w:val="14"/>
                <w:b w:val="1"/>
                <w:bCs w:val="1"/>
                <w:color w:val="auto"/>
                <w:w w:val="85"/>
              </w:rPr>
              <w:t>September 30, 2010 (a)</w:t>
            </w:r>
          </w:p>
        </w:tc>
        <w:tc>
          <w:tcPr>
            <w:tcW w:w="720" w:type="dxa"/>
            <w:vAlign w:val="bottom"/>
          </w:tcPr>
          <w:p>
            <w:pPr>
              <w:spacing w:after="0"/>
              <w:rPr>
                <w:sz w:val="14"/>
                <w:szCs w:val="14"/>
                <w:color w:val="auto"/>
              </w:rPr>
            </w:pPr>
          </w:p>
        </w:tc>
        <w:tc>
          <w:tcPr>
            <w:tcW w:w="1320" w:type="dxa"/>
            <w:vAlign w:val="bottom"/>
            <w:gridSpan w:val="2"/>
          </w:tcPr>
          <w:p>
            <w:pPr>
              <w:jc w:val="right"/>
              <w:spacing w:after="0"/>
              <w:rPr>
                <w:sz w:val="20"/>
                <w:szCs w:val="20"/>
                <w:color w:val="auto"/>
              </w:rPr>
            </w:pPr>
            <w:r>
              <w:rPr>
                <w:rFonts w:ascii="Arial" w:cs="Arial" w:eastAsia="Arial" w:hAnsi="Arial"/>
                <w:sz w:val="14"/>
                <w:szCs w:val="14"/>
                <w:b w:val="1"/>
                <w:bCs w:val="1"/>
                <w:color w:val="auto"/>
                <w:w w:val="85"/>
              </w:rPr>
              <w:t>September 30, 2009 (a)</w:t>
            </w:r>
          </w:p>
        </w:tc>
        <w:tc>
          <w:tcPr>
            <w:tcW w:w="780" w:type="dxa"/>
            <w:vAlign w:val="bottom"/>
            <w:tcBorders>
              <w:right w:val="single" w:sz="8" w:color="auto"/>
            </w:tcBorders>
          </w:tcPr>
          <w:p>
            <w:pPr>
              <w:spacing w:after="0"/>
              <w:rPr>
                <w:sz w:val="14"/>
                <w:szCs w:val="14"/>
                <w:color w:val="auto"/>
              </w:rPr>
            </w:pPr>
          </w:p>
        </w:tc>
        <w:tc>
          <w:tcPr>
            <w:tcW w:w="600" w:type="dxa"/>
            <w:vAlign w:val="bottom"/>
          </w:tcPr>
          <w:p>
            <w:pPr>
              <w:spacing w:after="0"/>
              <w:rPr>
                <w:sz w:val="14"/>
                <w:szCs w:val="14"/>
                <w:color w:val="auto"/>
              </w:rPr>
            </w:pPr>
          </w:p>
        </w:tc>
        <w:tc>
          <w:tcPr>
            <w:tcW w:w="900" w:type="dxa"/>
            <w:vAlign w:val="bottom"/>
            <w:gridSpan w:val="3"/>
          </w:tcPr>
          <w:p>
            <w:pPr>
              <w:spacing w:after="0"/>
              <w:rPr>
                <w:sz w:val="20"/>
                <w:szCs w:val="20"/>
                <w:color w:val="auto"/>
              </w:rPr>
            </w:pPr>
            <w:r>
              <w:rPr>
                <w:rFonts w:ascii="Arial" w:cs="Arial" w:eastAsia="Arial" w:hAnsi="Arial"/>
                <w:sz w:val="14"/>
                <w:szCs w:val="14"/>
                <w:b w:val="1"/>
                <w:bCs w:val="1"/>
                <w:color w:val="auto"/>
                <w:w w:val="87"/>
              </w:rPr>
              <w:t>July 9, 2009 (b)</w:t>
            </w:r>
          </w:p>
        </w:tc>
        <w:tc>
          <w:tcPr>
            <w:tcW w:w="680" w:type="dxa"/>
            <w:vAlign w:val="bottom"/>
          </w:tcPr>
          <w:p>
            <w:pPr>
              <w:spacing w:after="0"/>
              <w:rPr>
                <w:sz w:val="14"/>
                <w:szCs w:val="14"/>
                <w:color w:val="auto"/>
              </w:rPr>
            </w:pPr>
          </w:p>
        </w:tc>
        <w:tc>
          <w:tcPr>
            <w:tcW w:w="106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w w:val="87"/>
              </w:rPr>
              <w:t>July 9, 2009 (b)</w:t>
            </w:r>
          </w:p>
        </w:tc>
      </w:tr>
      <w:tr>
        <w:trPr>
          <w:trHeight w:val="20"/>
        </w:trPr>
        <w:tc>
          <w:tcPr>
            <w:tcW w:w="404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780" w:type="dxa"/>
            <w:vAlign w:val="bottom"/>
            <w:tcBorders>
              <w:right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4040" w:type="dxa"/>
            <w:vAlign w:val="bottom"/>
            <w:shd w:val="clear" w:color="auto" w:fill="CCEEFF"/>
          </w:tcPr>
          <w:p>
            <w:pPr>
              <w:spacing w:after="0"/>
              <w:rPr>
                <w:sz w:val="20"/>
                <w:szCs w:val="20"/>
                <w:color w:val="auto"/>
              </w:rPr>
            </w:pPr>
            <w:r>
              <w:rPr>
                <w:rFonts w:ascii="Arial" w:cs="Arial" w:eastAsia="Arial" w:hAnsi="Arial"/>
                <w:sz w:val="18"/>
                <w:szCs w:val="18"/>
                <w:color w:val="auto"/>
              </w:rPr>
              <w:t>Interest expense</w:t>
            </w:r>
          </w:p>
        </w:tc>
        <w:tc>
          <w:tcPr>
            <w:tcW w:w="2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900" w:type="dxa"/>
            <w:vAlign w:val="bottom"/>
            <w:gridSpan w:val="2"/>
            <w:shd w:val="clear" w:color="auto" w:fill="CCEEFF"/>
          </w:tcPr>
          <w:p>
            <w:pPr>
              <w:jc w:val="right"/>
              <w:ind w:right="32"/>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780" w:type="dxa"/>
            <w:vAlign w:val="bottom"/>
            <w:tcBorders>
              <w:right w:val="single" w:sz="8" w:color="auto"/>
            </w:tcBorders>
            <w:shd w:val="clear" w:color="auto" w:fill="CCEEFF"/>
          </w:tcPr>
          <w:p>
            <w:pPr>
              <w:spacing w:after="0"/>
              <w:rPr>
                <w:sz w:val="18"/>
                <w:szCs w:val="18"/>
                <w:color w:val="auto"/>
              </w:rPr>
            </w:pPr>
          </w:p>
        </w:tc>
        <w:tc>
          <w:tcPr>
            <w:tcW w:w="740" w:type="dxa"/>
            <w:vAlign w:val="bottom"/>
            <w:gridSpan w:val="2"/>
            <w:shd w:val="clear" w:color="auto" w:fill="CCEEFF"/>
          </w:tcPr>
          <w:p>
            <w:pPr>
              <w:ind w:left="600"/>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111</w:t>
            </w:r>
          </w:p>
        </w:tc>
        <w:tc>
          <w:tcPr>
            <w:tcW w:w="840" w:type="dxa"/>
            <w:vAlign w:val="bottom"/>
            <w:gridSpan w:val="2"/>
            <w:shd w:val="clear" w:color="auto" w:fill="CCEEFF"/>
          </w:tcPr>
          <w:p>
            <w:pPr>
              <w:ind w:left="680"/>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173</w:t>
            </w:r>
          </w:p>
        </w:tc>
        <w:tc>
          <w:tcPr>
            <w:tcW w:w="100" w:type="dxa"/>
            <w:vAlign w:val="bottom"/>
            <w:shd w:val="clear" w:color="auto" w:fill="CCEEFF"/>
          </w:tcPr>
          <w:p>
            <w:pPr>
              <w:spacing w:after="0"/>
              <w:rPr>
                <w:sz w:val="18"/>
                <w:szCs w:val="18"/>
                <w:color w:val="auto"/>
              </w:rPr>
            </w:pPr>
          </w:p>
        </w:tc>
      </w:tr>
      <w:tr>
        <w:trPr>
          <w:trHeight w:val="216"/>
        </w:trPr>
        <w:tc>
          <w:tcPr>
            <w:tcW w:w="4040" w:type="dxa"/>
            <w:vAlign w:val="bottom"/>
          </w:tcPr>
          <w:p>
            <w:pPr>
              <w:spacing w:after="0"/>
              <w:rPr>
                <w:sz w:val="20"/>
                <w:szCs w:val="20"/>
                <w:color w:val="auto"/>
              </w:rPr>
            </w:pPr>
            <w:r>
              <w:rPr>
                <w:rFonts w:ascii="Arial" w:cs="Arial" w:eastAsia="Arial" w:hAnsi="Arial"/>
                <w:sz w:val="18"/>
                <w:szCs w:val="18"/>
                <w:color w:val="auto"/>
              </w:rPr>
              <w:t>Interest paid</w:t>
            </w:r>
          </w:p>
        </w:tc>
        <w:tc>
          <w:tcPr>
            <w:tcW w:w="200" w:type="dxa"/>
            <w:vAlign w:val="bottom"/>
          </w:tcPr>
          <w:p>
            <w:pPr>
              <w:spacing w:after="0"/>
              <w:rPr>
                <w:sz w:val="20"/>
                <w:szCs w:val="20"/>
                <w:color w:val="auto"/>
              </w:rPr>
            </w:pPr>
            <w:r>
              <w:rPr>
                <w:rFonts w:ascii="Arial" w:cs="Arial" w:eastAsia="Arial" w:hAnsi="Arial"/>
                <w:sz w:val="18"/>
                <w:szCs w:val="18"/>
                <w:color w:val="auto"/>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26</w:t>
            </w:r>
          </w:p>
        </w:tc>
        <w:tc>
          <w:tcPr>
            <w:tcW w:w="900" w:type="dxa"/>
            <w:vAlign w:val="bottom"/>
            <w:gridSpan w:val="2"/>
          </w:tcPr>
          <w:p>
            <w:pPr>
              <w:jc w:val="right"/>
              <w:ind w:right="32"/>
              <w:spacing w:after="0"/>
              <w:rPr>
                <w:sz w:val="20"/>
                <w:szCs w:val="20"/>
                <w:color w:val="auto"/>
              </w:rPr>
            </w:pPr>
            <w:r>
              <w:rPr>
                <w:rFonts w:ascii="Arial" w:cs="Arial" w:eastAsia="Arial" w:hAnsi="Arial"/>
                <w:sz w:val="18"/>
                <w:szCs w:val="18"/>
                <w:color w:val="auto"/>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22</w:t>
            </w:r>
          </w:p>
        </w:tc>
        <w:tc>
          <w:tcPr>
            <w:tcW w:w="780" w:type="dxa"/>
            <w:vAlign w:val="bottom"/>
            <w:tcBorders>
              <w:right w:val="single" w:sz="8" w:color="auto"/>
            </w:tcBorders>
          </w:tcPr>
          <w:p>
            <w:pPr>
              <w:spacing w:after="0"/>
              <w:rPr>
                <w:sz w:val="18"/>
                <w:szCs w:val="18"/>
                <w:color w:val="auto"/>
              </w:rPr>
            </w:pPr>
          </w:p>
        </w:tc>
        <w:tc>
          <w:tcPr>
            <w:tcW w:w="740" w:type="dxa"/>
            <w:vAlign w:val="bottom"/>
            <w:gridSpan w:val="2"/>
          </w:tcPr>
          <w:p>
            <w:pPr>
              <w:ind w:left="600"/>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840" w:type="dxa"/>
            <w:vAlign w:val="bottom"/>
            <w:gridSpan w:val="2"/>
          </w:tcPr>
          <w:p>
            <w:pPr>
              <w:ind w:left="680"/>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6</w:t>
            </w:r>
          </w:p>
        </w:tc>
        <w:tc>
          <w:tcPr>
            <w:tcW w:w="100" w:type="dxa"/>
            <w:vAlign w:val="bottom"/>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728980"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20" w:lineRule="exact"/>
        <w:rPr>
          <w:sz w:val="20"/>
          <w:szCs w:val="20"/>
          <w:color w:val="auto"/>
        </w:rPr>
      </w:pPr>
    </w:p>
    <w:p>
      <w:pPr>
        <w:ind w:left="460" w:hanging="452"/>
        <w:spacing w:after="0"/>
        <w:tabs>
          <w:tab w:leader="none" w:pos="4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Interest expense and interest paid on the Canadian Loan.</w:t>
      </w:r>
    </w:p>
    <w:p>
      <w:pPr>
        <w:spacing w:after="0" w:line="90" w:lineRule="exact"/>
        <w:rPr>
          <w:rFonts w:ascii="Arial" w:cs="Arial" w:eastAsia="Arial" w:hAnsi="Arial"/>
          <w:sz w:val="18"/>
          <w:szCs w:val="18"/>
          <w:color w:val="auto"/>
        </w:rPr>
      </w:pPr>
    </w:p>
    <w:p>
      <w:pPr>
        <w:ind w:left="460" w:hanging="452"/>
        <w:spacing w:after="0"/>
        <w:tabs>
          <w:tab w:leader="none" w:pos="4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Interest expense and interest paid on the EDC Loan Facility.</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GM Daewoo Revolving Credit Facility</w:t>
      </w:r>
    </w:p>
    <w:p>
      <w:pPr>
        <w:spacing w:after="0" w:line="177" w:lineRule="exact"/>
        <w:rPr>
          <w:sz w:val="20"/>
          <w:szCs w:val="20"/>
          <w:color w:val="auto"/>
        </w:rPr>
      </w:pPr>
    </w:p>
    <w:p>
      <w:pPr>
        <w:ind w:right="40" w:firstLine="228"/>
        <w:spacing w:after="0" w:line="302" w:lineRule="auto"/>
        <w:rPr>
          <w:sz w:val="20"/>
          <w:szCs w:val="20"/>
          <w:color w:val="auto"/>
        </w:rPr>
      </w:pPr>
      <w:r>
        <w:rPr>
          <w:rFonts w:ascii="Arial" w:cs="Arial" w:eastAsia="Arial" w:hAnsi="Arial"/>
          <w:sz w:val="15"/>
          <w:szCs w:val="15"/>
          <w:color w:val="auto"/>
        </w:rPr>
        <w:t>At September 30, 2010 GM Daewoo’s revolving credit facility was our largest credit facility. The borrowings under this Korean Won denominated facility are secured by substantially all of GM Daewoo’s property, plant, and equipment located in Korea. Amounts borrowed under this facility accrue interest based on the Korean Won denominated 91-day certificate of deposit rate. The average interest rate on outstanding amounts under this facility at September 30, 2010 was 5.5%. The facility is used by GM Daewoo for general corporate purposes, including working capital needs. We expect to convert any remaining amounts outstanding under this credit facility to a term-loan during the three months ending December 31, 2010. Prior to conversion into a term-loan, amounts borrowed under this facility are classified as short-term debt. These amounts will be repaid in four equal annual installments beginning in November 2011 and ending in October</w:t>
      </w:r>
    </w:p>
    <w:p>
      <w:pPr>
        <w:spacing w:after="0" w:line="1" w:lineRule="exact"/>
        <w:rPr>
          <w:sz w:val="20"/>
          <w:szCs w:val="20"/>
          <w:color w:val="auto"/>
        </w:rPr>
      </w:pPr>
    </w:p>
    <w:p>
      <w:pPr>
        <w:spacing w:after="0" w:line="261" w:lineRule="auto"/>
        <w:rPr>
          <w:sz w:val="20"/>
          <w:szCs w:val="20"/>
          <w:color w:val="auto"/>
        </w:rPr>
      </w:pPr>
      <w:r>
        <w:rPr>
          <w:rFonts w:ascii="Arial" w:cs="Arial" w:eastAsia="Arial" w:hAnsi="Arial"/>
          <w:sz w:val="18"/>
          <w:szCs w:val="18"/>
          <w:color w:val="auto"/>
        </w:rPr>
        <w:t>2014. In April 2010 GM Daewoo repaid KRW 250 billion (equivalent to $225 million at the time of payment) of its KRW 1.4 trillion (equivalent of $1.2 billion at the time of payment) revolving credit facility.</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German Revolving Bridge Facility</w:t>
      </w:r>
    </w:p>
    <w:p>
      <w:pPr>
        <w:spacing w:after="0" w:line="177" w:lineRule="exact"/>
        <w:rPr>
          <w:sz w:val="20"/>
          <w:szCs w:val="20"/>
          <w:color w:val="auto"/>
        </w:rPr>
      </w:pPr>
    </w:p>
    <w:p>
      <w:pPr>
        <w:ind w:right="780" w:firstLine="228"/>
        <w:spacing w:after="0" w:line="332" w:lineRule="auto"/>
        <w:rPr>
          <w:sz w:val="20"/>
          <w:szCs w:val="20"/>
          <w:color w:val="auto"/>
        </w:rPr>
      </w:pPr>
      <w:r>
        <w:rPr>
          <w:rFonts w:ascii="Arial" w:cs="Arial" w:eastAsia="Arial" w:hAnsi="Arial"/>
          <w:sz w:val="16"/>
          <w:szCs w:val="16"/>
          <w:color w:val="auto"/>
        </w:rPr>
        <w:t>In May 2009 Old GM entered into a revolving bridge facility with the German government and certain German states (German Facility) with a total commitment of up to Euro 1.5 billion (equivalent to $2.1 billion when entered into). In November 2009 the debt was paid in full and extinguished.</w:t>
      </w:r>
    </w:p>
    <w:p>
      <w:pPr>
        <w:spacing w:after="0" w:line="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420"/>
          </w:cols>
          <w:pgMar w:left="240" w:top="459" w:right="239" w:bottom="1440" w:gutter="0" w:footer="0" w:header="0"/>
        </w:sectPr>
      </w:pPr>
    </w:p>
    <w:bookmarkStart w:id="31" w:name="page32"/>
    <w:bookmarkEnd w:id="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339" w:lineRule="exact"/>
        <w:rPr>
          <w:sz w:val="20"/>
          <w:szCs w:val="20"/>
          <w:color w:val="auto"/>
        </w:rPr>
      </w:pPr>
    </w:p>
    <w:p>
      <w:pPr>
        <w:ind w:left="240"/>
        <w:spacing w:after="0"/>
        <w:rPr>
          <w:sz w:val="20"/>
          <w:szCs w:val="20"/>
          <w:color w:val="auto"/>
        </w:rPr>
      </w:pPr>
      <w:r>
        <w:rPr>
          <w:rFonts w:ascii="Arial" w:cs="Arial" w:eastAsia="Arial" w:hAnsi="Arial"/>
          <w:sz w:val="16"/>
          <w:szCs w:val="16"/>
          <w:color w:val="auto"/>
        </w:rPr>
        <w:t>The following table summarizes interest expense and interest paid on the German Facility, including amortization of related discounts (dollars in millions):</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86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center"/>
              <w:ind w:right="64"/>
              <w:spacing w:after="0"/>
              <w:rPr>
                <w:sz w:val="20"/>
                <w:szCs w:val="20"/>
                <w:color w:val="auto"/>
              </w:rPr>
            </w:pPr>
            <w:r>
              <w:rPr>
                <w:rFonts w:ascii="Arial" w:cs="Arial" w:eastAsia="Arial" w:hAnsi="Arial"/>
                <w:sz w:val="14"/>
                <w:szCs w:val="14"/>
                <w:b w:val="1"/>
                <w:bCs w:val="1"/>
                <w:color w:val="auto"/>
                <w:w w:val="79"/>
              </w:rPr>
              <w:t>Successor</w:t>
            </w:r>
          </w:p>
        </w:tc>
        <w:tc>
          <w:tcPr>
            <w:tcW w:w="820" w:type="dxa"/>
            <w:vAlign w:val="bottom"/>
            <w:tcBorders>
              <w:right w:val="single" w:sz="8" w:color="auto"/>
            </w:tcBorders>
          </w:tcPr>
          <w:p>
            <w:pPr>
              <w:spacing w:after="0"/>
              <w:rPr>
                <w:sz w:val="14"/>
                <w:szCs w:val="14"/>
                <w:color w:val="auto"/>
              </w:rPr>
            </w:pPr>
          </w:p>
        </w:tc>
        <w:tc>
          <w:tcPr>
            <w:tcW w:w="6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w w:val="85"/>
              </w:rPr>
              <w:t>Predecessor</w:t>
            </w:r>
          </w:p>
        </w:tc>
        <w:tc>
          <w:tcPr>
            <w:tcW w:w="5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29"/>
        </w:trPr>
        <w:tc>
          <w:tcPr>
            <w:tcW w:w="68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820" w:type="dxa"/>
            <w:vAlign w:val="bottom"/>
            <w:tcBorders>
              <w:right w:val="single" w:sz="8" w:color="auto"/>
            </w:tcBorders>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gridSpan w:val="3"/>
          </w:tcPr>
          <w:p>
            <w:pPr>
              <w:jc w:val="center"/>
              <w:ind w:right="80"/>
              <w:spacing w:after="0" w:line="129" w:lineRule="exact"/>
              <w:rPr>
                <w:sz w:val="20"/>
                <w:szCs w:val="20"/>
                <w:color w:val="auto"/>
              </w:rPr>
            </w:pPr>
            <w:r>
              <w:rPr>
                <w:rFonts w:ascii="Arial" w:cs="Arial" w:eastAsia="Arial" w:hAnsi="Arial"/>
                <w:sz w:val="14"/>
                <w:szCs w:val="14"/>
                <w:b w:val="1"/>
                <w:bCs w:val="1"/>
                <w:color w:val="auto"/>
                <w:w w:val="91"/>
              </w:rPr>
              <w:t>July 1,</w:t>
            </w:r>
          </w:p>
        </w:tc>
        <w:tc>
          <w:tcPr>
            <w:tcW w:w="680" w:type="dxa"/>
            <w:vAlign w:val="bottom"/>
          </w:tcPr>
          <w:p>
            <w:pPr>
              <w:spacing w:after="0"/>
              <w:rPr>
                <w:sz w:val="11"/>
                <w:szCs w:val="11"/>
                <w:color w:val="auto"/>
              </w:rPr>
            </w:pPr>
          </w:p>
        </w:tc>
        <w:tc>
          <w:tcPr>
            <w:tcW w:w="660" w:type="dxa"/>
            <w:vAlign w:val="bottom"/>
            <w:gridSpan w:val="2"/>
          </w:tcPr>
          <w:p>
            <w:pPr>
              <w:jc w:val="center"/>
              <w:spacing w:after="0" w:line="129" w:lineRule="exact"/>
              <w:rPr>
                <w:sz w:val="20"/>
                <w:szCs w:val="20"/>
                <w:color w:val="auto"/>
              </w:rPr>
            </w:pPr>
            <w:r>
              <w:rPr>
                <w:rFonts w:ascii="Arial" w:cs="Arial" w:eastAsia="Arial" w:hAnsi="Arial"/>
                <w:sz w:val="14"/>
                <w:szCs w:val="14"/>
                <w:b w:val="1"/>
                <w:bCs w:val="1"/>
                <w:color w:val="auto"/>
                <w:w w:val="86"/>
              </w:rPr>
              <w:t>January 1,</w:t>
            </w:r>
          </w:p>
        </w:tc>
        <w:tc>
          <w:tcPr>
            <w:tcW w:w="100" w:type="dxa"/>
            <w:vAlign w:val="bottom"/>
          </w:tcPr>
          <w:p>
            <w:pPr>
              <w:spacing w:after="0"/>
              <w:rPr>
                <w:sz w:val="11"/>
                <w:szCs w:val="11"/>
                <w:color w:val="auto"/>
              </w:rPr>
            </w:pPr>
          </w:p>
        </w:tc>
      </w:tr>
      <w:tr>
        <w:trPr>
          <w:trHeight w:val="149"/>
        </w:trPr>
        <w:tc>
          <w:tcPr>
            <w:tcW w:w="68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820" w:type="dxa"/>
            <w:vAlign w:val="bottom"/>
            <w:tcBorders>
              <w:right w:val="single" w:sz="8" w:color="auto"/>
            </w:tcBorders>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20" w:type="dxa"/>
            <w:vAlign w:val="bottom"/>
          </w:tcPr>
          <w:p>
            <w:pPr>
              <w:jc w:val="center"/>
              <w:ind w:right="22"/>
              <w:spacing w:after="0" w:line="149" w:lineRule="exact"/>
              <w:rPr>
                <w:sz w:val="20"/>
                <w:szCs w:val="20"/>
                <w:color w:val="auto"/>
              </w:rPr>
            </w:pPr>
            <w:r>
              <w:rPr>
                <w:rFonts w:ascii="Arial" w:cs="Arial" w:eastAsia="Arial" w:hAnsi="Arial"/>
                <w:sz w:val="14"/>
                <w:szCs w:val="14"/>
                <w:b w:val="1"/>
                <w:bCs w:val="1"/>
                <w:color w:val="auto"/>
                <w:w w:val="89"/>
              </w:rPr>
              <w:t>2009</w:t>
            </w:r>
          </w:p>
        </w:tc>
        <w:tc>
          <w:tcPr>
            <w:tcW w:w="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jc w:val="center"/>
              <w:ind w:right="44"/>
              <w:spacing w:after="0" w:line="149" w:lineRule="exact"/>
              <w:rPr>
                <w:sz w:val="20"/>
                <w:szCs w:val="20"/>
                <w:color w:val="auto"/>
              </w:rPr>
            </w:pPr>
            <w:r>
              <w:rPr>
                <w:rFonts w:ascii="Arial" w:cs="Arial" w:eastAsia="Arial" w:hAnsi="Arial"/>
                <w:sz w:val="14"/>
                <w:szCs w:val="14"/>
                <w:b w:val="1"/>
                <w:bCs w:val="1"/>
                <w:color w:val="auto"/>
                <w:w w:val="83"/>
              </w:rPr>
              <w:t>2009</w:t>
            </w:r>
          </w:p>
        </w:tc>
        <w:tc>
          <w:tcPr>
            <w:tcW w:w="100" w:type="dxa"/>
            <w:vAlign w:val="bottom"/>
          </w:tcPr>
          <w:p>
            <w:pPr>
              <w:spacing w:after="0"/>
              <w:rPr>
                <w:sz w:val="12"/>
                <w:szCs w:val="12"/>
                <w:color w:val="auto"/>
              </w:rPr>
            </w:pPr>
          </w:p>
        </w:tc>
      </w:tr>
      <w:tr>
        <w:trPr>
          <w:trHeight w:val="149"/>
        </w:trPr>
        <w:tc>
          <w:tcPr>
            <w:tcW w:w="68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80" w:type="dxa"/>
            <w:vAlign w:val="bottom"/>
          </w:tcPr>
          <w:p>
            <w:pPr>
              <w:jc w:val="center"/>
              <w:ind w:right="64"/>
              <w:spacing w:after="0" w:line="149" w:lineRule="exact"/>
              <w:rPr>
                <w:sz w:val="20"/>
                <w:szCs w:val="20"/>
                <w:color w:val="auto"/>
              </w:rPr>
            </w:pPr>
            <w:r>
              <w:rPr>
                <w:rFonts w:ascii="Arial" w:cs="Arial" w:eastAsia="Arial" w:hAnsi="Arial"/>
                <w:sz w:val="14"/>
                <w:szCs w:val="14"/>
                <w:b w:val="1"/>
                <w:bCs w:val="1"/>
                <w:color w:val="auto"/>
                <w:w w:val="87"/>
              </w:rPr>
              <w:t>July 10, 2009</w:t>
            </w:r>
          </w:p>
        </w:tc>
        <w:tc>
          <w:tcPr>
            <w:tcW w:w="820" w:type="dxa"/>
            <w:vAlign w:val="bottom"/>
            <w:tcBorders>
              <w:right w:val="single" w:sz="8" w:color="auto"/>
            </w:tcBorders>
          </w:tcPr>
          <w:p>
            <w:pPr>
              <w:spacing w:after="0"/>
              <w:rPr>
                <w:sz w:val="12"/>
                <w:szCs w:val="12"/>
                <w:color w:val="auto"/>
              </w:rPr>
            </w:pPr>
          </w:p>
        </w:tc>
        <w:tc>
          <w:tcPr>
            <w:tcW w:w="620" w:type="dxa"/>
            <w:vAlign w:val="bottom"/>
          </w:tcPr>
          <w:p>
            <w:pPr>
              <w:spacing w:after="0"/>
              <w:rPr>
                <w:sz w:val="12"/>
                <w:szCs w:val="12"/>
                <w:color w:val="auto"/>
              </w:rPr>
            </w:pPr>
          </w:p>
        </w:tc>
        <w:tc>
          <w:tcPr>
            <w:tcW w:w="560" w:type="dxa"/>
            <w:vAlign w:val="bottom"/>
            <w:gridSpan w:val="3"/>
          </w:tcPr>
          <w:p>
            <w:pPr>
              <w:jc w:val="center"/>
              <w:ind w:right="40"/>
              <w:spacing w:after="0" w:line="149" w:lineRule="exact"/>
              <w:rPr>
                <w:sz w:val="20"/>
                <w:szCs w:val="20"/>
                <w:color w:val="auto"/>
              </w:rPr>
            </w:pPr>
            <w:r>
              <w:rPr>
                <w:rFonts w:ascii="Arial" w:cs="Arial" w:eastAsia="Arial" w:hAnsi="Arial"/>
                <w:sz w:val="14"/>
                <w:szCs w:val="14"/>
                <w:b w:val="1"/>
                <w:bCs w:val="1"/>
                <w:color w:val="auto"/>
                <w:w w:val="91"/>
              </w:rPr>
              <w:t>Through</w:t>
            </w:r>
          </w:p>
        </w:tc>
        <w:tc>
          <w:tcPr>
            <w:tcW w:w="680" w:type="dxa"/>
            <w:vAlign w:val="bottom"/>
          </w:tcPr>
          <w:p>
            <w:pPr>
              <w:spacing w:after="0"/>
              <w:rPr>
                <w:sz w:val="12"/>
                <w:szCs w:val="12"/>
                <w:color w:val="auto"/>
              </w:rPr>
            </w:pPr>
          </w:p>
        </w:tc>
        <w:tc>
          <w:tcPr>
            <w:tcW w:w="760" w:type="dxa"/>
            <w:vAlign w:val="bottom"/>
            <w:gridSpan w:val="3"/>
          </w:tcPr>
          <w:p>
            <w:pPr>
              <w:jc w:val="center"/>
              <w:ind w:right="100"/>
              <w:spacing w:after="0" w:line="149" w:lineRule="exact"/>
              <w:rPr>
                <w:sz w:val="20"/>
                <w:szCs w:val="20"/>
                <w:color w:val="auto"/>
              </w:rPr>
            </w:pPr>
            <w:r>
              <w:rPr>
                <w:rFonts w:ascii="Arial" w:cs="Arial" w:eastAsia="Arial" w:hAnsi="Arial"/>
                <w:sz w:val="14"/>
                <w:szCs w:val="14"/>
                <w:b w:val="1"/>
                <w:bCs w:val="1"/>
                <w:color w:val="auto"/>
                <w:w w:val="87"/>
              </w:rPr>
              <w:t>Through</w:t>
            </w:r>
          </w:p>
        </w:tc>
      </w:tr>
      <w:tr>
        <w:trPr>
          <w:trHeight w:val="149"/>
        </w:trPr>
        <w:tc>
          <w:tcPr>
            <w:tcW w:w="68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80" w:type="dxa"/>
            <w:vAlign w:val="bottom"/>
          </w:tcPr>
          <w:p>
            <w:pPr>
              <w:jc w:val="center"/>
              <w:ind w:right="64"/>
              <w:spacing w:after="0" w:line="149" w:lineRule="exact"/>
              <w:rPr>
                <w:sz w:val="20"/>
                <w:szCs w:val="20"/>
                <w:color w:val="auto"/>
              </w:rPr>
            </w:pPr>
            <w:r>
              <w:rPr>
                <w:rFonts w:ascii="Arial" w:cs="Arial" w:eastAsia="Arial" w:hAnsi="Arial"/>
                <w:sz w:val="14"/>
                <w:szCs w:val="14"/>
                <w:b w:val="1"/>
                <w:bCs w:val="1"/>
                <w:color w:val="auto"/>
                <w:w w:val="91"/>
              </w:rPr>
              <w:t>Through</w:t>
            </w:r>
          </w:p>
        </w:tc>
        <w:tc>
          <w:tcPr>
            <w:tcW w:w="820" w:type="dxa"/>
            <w:vAlign w:val="bottom"/>
            <w:tcBorders>
              <w:right w:val="single" w:sz="8" w:color="auto"/>
            </w:tcBorders>
          </w:tcPr>
          <w:p>
            <w:pPr>
              <w:spacing w:after="0"/>
              <w:rPr>
                <w:sz w:val="12"/>
                <w:szCs w:val="12"/>
                <w:color w:val="auto"/>
              </w:rPr>
            </w:pPr>
          </w:p>
        </w:tc>
        <w:tc>
          <w:tcPr>
            <w:tcW w:w="620" w:type="dxa"/>
            <w:vAlign w:val="bottom"/>
          </w:tcPr>
          <w:p>
            <w:pPr>
              <w:spacing w:after="0"/>
              <w:rPr>
                <w:sz w:val="12"/>
                <w:szCs w:val="12"/>
                <w:color w:val="auto"/>
              </w:rPr>
            </w:pPr>
          </w:p>
        </w:tc>
        <w:tc>
          <w:tcPr>
            <w:tcW w:w="560" w:type="dxa"/>
            <w:vAlign w:val="bottom"/>
            <w:gridSpan w:val="3"/>
          </w:tcPr>
          <w:p>
            <w:pPr>
              <w:jc w:val="center"/>
              <w:ind w:right="60"/>
              <w:spacing w:after="0" w:line="149" w:lineRule="exact"/>
              <w:rPr>
                <w:sz w:val="20"/>
                <w:szCs w:val="20"/>
                <w:color w:val="auto"/>
              </w:rPr>
            </w:pPr>
            <w:r>
              <w:rPr>
                <w:rFonts w:ascii="Arial" w:cs="Arial" w:eastAsia="Arial" w:hAnsi="Arial"/>
                <w:sz w:val="14"/>
                <w:szCs w:val="14"/>
                <w:b w:val="1"/>
                <w:bCs w:val="1"/>
                <w:color w:val="auto"/>
                <w:w w:val="87"/>
              </w:rPr>
              <w:t>July 9,</w:t>
            </w: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87"/>
              </w:rPr>
              <w:t>July 9,</w:t>
            </w:r>
          </w:p>
        </w:tc>
      </w:tr>
      <w:tr>
        <w:trPr>
          <w:trHeight w:val="161"/>
        </w:trPr>
        <w:tc>
          <w:tcPr>
            <w:tcW w:w="6860" w:type="dxa"/>
            <w:vAlign w:val="bottom"/>
          </w:tcPr>
          <w:p>
            <w:pPr>
              <w:spacing w:after="0"/>
              <w:rPr>
                <w:sz w:val="14"/>
                <w:szCs w:val="14"/>
                <w:color w:val="auto"/>
              </w:rPr>
            </w:pPr>
          </w:p>
        </w:tc>
        <w:tc>
          <w:tcPr>
            <w:tcW w:w="112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85"/>
              </w:rPr>
              <w:t>September 30, 2009</w:t>
            </w:r>
          </w:p>
        </w:tc>
        <w:tc>
          <w:tcPr>
            <w:tcW w:w="820" w:type="dxa"/>
            <w:vAlign w:val="bottom"/>
            <w:tcBorders>
              <w:right w:val="single" w:sz="8" w:color="auto"/>
            </w:tcBorders>
          </w:tcPr>
          <w:p>
            <w:pPr>
              <w:spacing w:after="0"/>
              <w:rPr>
                <w:sz w:val="14"/>
                <w:szCs w:val="14"/>
                <w:color w:val="auto"/>
              </w:rPr>
            </w:pPr>
          </w:p>
        </w:tc>
        <w:tc>
          <w:tcPr>
            <w:tcW w:w="6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jc w:val="center"/>
              <w:ind w:right="22"/>
              <w:spacing w:after="0"/>
              <w:rPr>
                <w:sz w:val="20"/>
                <w:szCs w:val="20"/>
                <w:color w:val="auto"/>
              </w:rPr>
            </w:pPr>
            <w:r>
              <w:rPr>
                <w:rFonts w:ascii="Arial" w:cs="Arial" w:eastAsia="Arial" w:hAnsi="Arial"/>
                <w:sz w:val="14"/>
                <w:szCs w:val="14"/>
                <w:b w:val="1"/>
                <w:bCs w:val="1"/>
                <w:color w:val="auto"/>
                <w:w w:val="89"/>
              </w:rPr>
              <w:t>2009</w:t>
            </w:r>
          </w:p>
        </w:tc>
        <w:tc>
          <w:tcPr>
            <w:tcW w:w="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center"/>
              <w:ind w:right="44"/>
              <w:spacing w:after="0"/>
              <w:rPr>
                <w:sz w:val="20"/>
                <w:szCs w:val="20"/>
                <w:color w:val="auto"/>
              </w:rPr>
            </w:pPr>
            <w:r>
              <w:rPr>
                <w:rFonts w:ascii="Arial" w:cs="Arial" w:eastAsia="Arial" w:hAnsi="Arial"/>
                <w:sz w:val="14"/>
                <w:szCs w:val="14"/>
                <w:b w:val="1"/>
                <w:bCs w:val="1"/>
                <w:color w:val="auto"/>
                <w:w w:val="83"/>
              </w:rPr>
              <w:t>2009</w:t>
            </w:r>
          </w:p>
        </w:tc>
        <w:tc>
          <w:tcPr>
            <w:tcW w:w="100" w:type="dxa"/>
            <w:vAlign w:val="bottom"/>
          </w:tcPr>
          <w:p>
            <w:pPr>
              <w:spacing w:after="0"/>
              <w:rPr>
                <w:sz w:val="14"/>
                <w:szCs w:val="14"/>
                <w:color w:val="auto"/>
              </w:rPr>
            </w:pPr>
          </w:p>
        </w:tc>
      </w:tr>
      <w:tr>
        <w:trPr>
          <w:trHeight w:val="210"/>
        </w:trPr>
        <w:tc>
          <w:tcPr>
            <w:tcW w:w="6860" w:type="dxa"/>
            <w:vAlign w:val="bottom"/>
            <w:shd w:val="clear" w:color="auto" w:fill="CCEEFF"/>
          </w:tcPr>
          <w:p>
            <w:pPr>
              <w:spacing w:after="0"/>
              <w:rPr>
                <w:sz w:val="20"/>
                <w:szCs w:val="20"/>
                <w:color w:val="auto"/>
              </w:rPr>
            </w:pPr>
            <w:r>
              <w:rPr>
                <w:rFonts w:ascii="Arial" w:cs="Arial" w:eastAsia="Arial" w:hAnsi="Arial"/>
                <w:sz w:val="18"/>
                <w:szCs w:val="18"/>
                <w:color w:val="auto"/>
              </w:rPr>
              <w:t>Interest expense</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820" w:type="dxa"/>
            <w:vAlign w:val="bottom"/>
            <w:tcBorders>
              <w:right w:val="single" w:sz="8" w:color="auto"/>
            </w:tcBorders>
            <w:shd w:val="clear" w:color="auto" w:fill="CCEEFF"/>
          </w:tcPr>
          <w:p>
            <w:pPr>
              <w:spacing w:after="0"/>
              <w:rPr>
                <w:sz w:val="18"/>
                <w:szCs w:val="18"/>
                <w:color w:val="auto"/>
              </w:rPr>
            </w:pP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100" w:type="dxa"/>
            <w:vAlign w:val="bottom"/>
            <w:shd w:val="clear" w:color="auto" w:fill="CCEEFF"/>
          </w:tcPr>
          <w:p>
            <w:pPr>
              <w:spacing w:after="0"/>
              <w:rPr>
                <w:sz w:val="18"/>
                <w:szCs w:val="18"/>
                <w:color w:val="auto"/>
              </w:rPr>
            </w:pPr>
          </w:p>
        </w:tc>
      </w:tr>
      <w:tr>
        <w:trPr>
          <w:trHeight w:val="216"/>
        </w:trPr>
        <w:tc>
          <w:tcPr>
            <w:tcW w:w="6860" w:type="dxa"/>
            <w:vAlign w:val="bottom"/>
          </w:tcPr>
          <w:p>
            <w:pPr>
              <w:spacing w:after="0"/>
              <w:rPr>
                <w:sz w:val="20"/>
                <w:szCs w:val="20"/>
                <w:color w:val="auto"/>
              </w:rPr>
            </w:pPr>
            <w:r>
              <w:rPr>
                <w:rFonts w:ascii="Arial" w:cs="Arial" w:eastAsia="Arial" w:hAnsi="Arial"/>
                <w:sz w:val="18"/>
                <w:szCs w:val="18"/>
                <w:color w:val="auto"/>
              </w:rPr>
              <w:t>Interest paid</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12</w:t>
            </w:r>
          </w:p>
        </w:tc>
        <w:tc>
          <w:tcPr>
            <w:tcW w:w="820" w:type="dxa"/>
            <w:vAlign w:val="bottom"/>
            <w:tcBorders>
              <w:right w:val="single" w:sz="8" w:color="auto"/>
            </w:tcBorders>
          </w:tcPr>
          <w:p>
            <w:pPr>
              <w:spacing w:after="0"/>
              <w:rPr>
                <w:sz w:val="18"/>
                <w:szCs w:val="18"/>
                <w:color w:val="auto"/>
              </w:rPr>
            </w:pP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6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bl>
    <w:p>
      <w:pPr>
        <w:spacing w:after="0" w:line="1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Contingent Convertible Debt</w:t>
      </w:r>
    </w:p>
    <w:p>
      <w:pPr>
        <w:spacing w:after="0" w:line="177" w:lineRule="exact"/>
        <w:rPr>
          <w:sz w:val="20"/>
          <w:szCs w:val="20"/>
          <w:color w:val="auto"/>
        </w:rPr>
      </w:pPr>
    </w:p>
    <w:p>
      <w:pPr>
        <w:ind w:right="140" w:firstLine="228"/>
        <w:spacing w:after="0" w:line="298" w:lineRule="auto"/>
        <w:rPr>
          <w:sz w:val="20"/>
          <w:szCs w:val="20"/>
          <w:color w:val="auto"/>
        </w:rPr>
      </w:pPr>
      <w:r>
        <w:rPr>
          <w:rFonts w:ascii="Arial" w:cs="Arial" w:eastAsia="Arial" w:hAnsi="Arial"/>
          <w:sz w:val="16"/>
          <w:szCs w:val="16"/>
          <w:color w:val="auto"/>
        </w:rPr>
        <w:t>Old GM adopted the provisions of ASC 470-20, “Debt with Conversion and Other Options” (ASC 470-20) in January 2009, with retrospective application to prior periods. At July 9, 2009 Old GM’s contingent convertible debt outstanding was $7.4 billion, comprised of principal of $7.9 billion and unamortized discounts of $551 million. Upon adoption of ASC 470-20, the effective interest rate on Old GM’s outstanding contingent convertible debt ranged from 7.0% to 7.9%. In connection with the 363 Sale, MLC retained the contingent convertible debt.</w:t>
      </w:r>
    </w:p>
    <w:p>
      <w:pPr>
        <w:spacing w:after="0" w:line="113" w:lineRule="exact"/>
        <w:rPr>
          <w:sz w:val="20"/>
          <w:szCs w:val="20"/>
          <w:color w:val="auto"/>
        </w:rPr>
      </w:pPr>
    </w:p>
    <w:p>
      <w:pPr>
        <w:ind w:left="240"/>
        <w:spacing w:after="0"/>
        <w:rPr>
          <w:sz w:val="20"/>
          <w:szCs w:val="20"/>
          <w:color w:val="auto"/>
        </w:rPr>
      </w:pPr>
      <w:r>
        <w:rPr>
          <w:rFonts w:ascii="Arial" w:cs="Arial" w:eastAsia="Arial" w:hAnsi="Arial"/>
          <w:sz w:val="18"/>
          <w:szCs w:val="18"/>
          <w:color w:val="auto"/>
        </w:rPr>
        <w:t>The following table summarizes the components of Interest expense related to contingent convertible debt (dollars in millions):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80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gridSpan w:val="2"/>
          </w:tcPr>
          <w:p>
            <w:pPr>
              <w:jc w:val="right"/>
              <w:ind w:right="92"/>
              <w:spacing w:after="0"/>
              <w:rPr>
                <w:sz w:val="20"/>
                <w:szCs w:val="20"/>
                <w:color w:val="auto"/>
              </w:rPr>
            </w:pPr>
            <w:r>
              <w:rPr>
                <w:rFonts w:ascii="Arial" w:cs="Arial" w:eastAsia="Arial" w:hAnsi="Arial"/>
                <w:sz w:val="14"/>
                <w:szCs w:val="14"/>
                <w:b w:val="1"/>
                <w:bCs w:val="1"/>
                <w:color w:val="auto"/>
                <w:w w:val="90"/>
              </w:rPr>
              <w:t>Predecessor</w:t>
            </w:r>
          </w:p>
        </w:tc>
        <w:tc>
          <w:tcPr>
            <w:tcW w:w="5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80" w:type="dxa"/>
            <w:vAlign w:val="bottom"/>
          </w:tcPr>
          <w:p>
            <w:pPr>
              <w:spacing w:after="0"/>
              <w:rPr>
                <w:sz w:val="11"/>
                <w:szCs w:val="11"/>
                <w:color w:val="auto"/>
              </w:rPr>
            </w:pPr>
          </w:p>
        </w:tc>
        <w:tc>
          <w:tcPr>
            <w:tcW w:w="600" w:type="dxa"/>
            <w:vAlign w:val="bottom"/>
            <w:gridSpan w:val="3"/>
          </w:tcPr>
          <w:p>
            <w:pPr>
              <w:jc w:val="center"/>
              <w:ind w:right="140"/>
              <w:spacing w:after="0" w:line="129" w:lineRule="exact"/>
              <w:rPr>
                <w:sz w:val="20"/>
                <w:szCs w:val="20"/>
                <w:color w:val="auto"/>
              </w:rPr>
            </w:pPr>
            <w:r>
              <w:rPr>
                <w:rFonts w:ascii="Arial" w:cs="Arial" w:eastAsia="Arial" w:hAnsi="Arial"/>
                <w:sz w:val="14"/>
                <w:szCs w:val="14"/>
                <w:b w:val="1"/>
                <w:bCs w:val="1"/>
                <w:color w:val="auto"/>
                <w:w w:val="87"/>
              </w:rPr>
              <w:t>July 1,</w:t>
            </w:r>
          </w:p>
        </w:tc>
        <w:tc>
          <w:tcPr>
            <w:tcW w:w="820" w:type="dxa"/>
            <w:vAlign w:val="bottom"/>
          </w:tcPr>
          <w:p>
            <w:pPr>
              <w:spacing w:after="0"/>
              <w:rPr>
                <w:sz w:val="11"/>
                <w:szCs w:val="11"/>
                <w:color w:val="auto"/>
              </w:rPr>
            </w:pPr>
          </w:p>
        </w:tc>
        <w:tc>
          <w:tcPr>
            <w:tcW w:w="660" w:type="dxa"/>
            <w:vAlign w:val="bottom"/>
            <w:gridSpan w:val="2"/>
          </w:tcPr>
          <w:p>
            <w:pPr>
              <w:jc w:val="center"/>
              <w:spacing w:after="0" w:line="129" w:lineRule="exact"/>
              <w:rPr>
                <w:sz w:val="20"/>
                <w:szCs w:val="20"/>
                <w:color w:val="auto"/>
              </w:rPr>
            </w:pPr>
            <w:r>
              <w:rPr>
                <w:rFonts w:ascii="Arial" w:cs="Arial" w:eastAsia="Arial" w:hAnsi="Arial"/>
                <w:sz w:val="14"/>
                <w:szCs w:val="14"/>
                <w:b w:val="1"/>
                <w:bCs w:val="1"/>
                <w:color w:val="auto"/>
                <w:w w:val="86"/>
              </w:rPr>
              <w:t>January 1,</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80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tcPr>
          <w:p>
            <w:pPr>
              <w:jc w:val="center"/>
              <w:ind w:right="20"/>
              <w:spacing w:after="0" w:line="149" w:lineRule="exact"/>
              <w:rPr>
                <w:sz w:val="20"/>
                <w:szCs w:val="20"/>
                <w:color w:val="auto"/>
              </w:rPr>
            </w:pPr>
            <w:r>
              <w:rPr>
                <w:rFonts w:ascii="Arial" w:cs="Arial" w:eastAsia="Arial" w:hAnsi="Arial"/>
                <w:sz w:val="14"/>
                <w:szCs w:val="14"/>
                <w:b w:val="1"/>
                <w:bCs w:val="1"/>
                <w:color w:val="auto"/>
                <w:w w:val="83"/>
              </w:rPr>
              <w:t>2009</w:t>
            </w:r>
          </w:p>
        </w:tc>
        <w:tc>
          <w:tcPr>
            <w:tcW w:w="1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jc w:val="center"/>
              <w:ind w:right="42"/>
              <w:spacing w:after="0" w:line="149" w:lineRule="exact"/>
              <w:rPr>
                <w:sz w:val="20"/>
                <w:szCs w:val="20"/>
                <w:color w:val="auto"/>
              </w:rPr>
            </w:pPr>
            <w:r>
              <w:rPr>
                <w:rFonts w:ascii="Arial" w:cs="Arial" w:eastAsia="Arial" w:hAnsi="Arial"/>
                <w:sz w:val="14"/>
                <w:szCs w:val="14"/>
                <w:b w:val="1"/>
                <w:bCs w:val="1"/>
                <w:color w:val="auto"/>
                <w:w w:val="83"/>
              </w:rPr>
              <w:t>2009</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8080" w:type="dxa"/>
            <w:vAlign w:val="bottom"/>
          </w:tcPr>
          <w:p>
            <w:pPr>
              <w:spacing w:after="0"/>
              <w:rPr>
                <w:sz w:val="12"/>
                <w:szCs w:val="12"/>
                <w:color w:val="auto"/>
              </w:rPr>
            </w:pPr>
          </w:p>
        </w:tc>
        <w:tc>
          <w:tcPr>
            <w:tcW w:w="600" w:type="dxa"/>
            <w:vAlign w:val="bottom"/>
            <w:gridSpan w:val="3"/>
          </w:tcPr>
          <w:p>
            <w:pPr>
              <w:jc w:val="center"/>
              <w:ind w:right="100"/>
              <w:spacing w:after="0" w:line="149" w:lineRule="exact"/>
              <w:rPr>
                <w:sz w:val="20"/>
                <w:szCs w:val="20"/>
                <w:color w:val="auto"/>
              </w:rPr>
            </w:pPr>
            <w:r>
              <w:rPr>
                <w:rFonts w:ascii="Arial" w:cs="Arial" w:eastAsia="Arial" w:hAnsi="Arial"/>
                <w:sz w:val="14"/>
                <w:szCs w:val="14"/>
                <w:b w:val="1"/>
                <w:bCs w:val="1"/>
                <w:color w:val="auto"/>
                <w:w w:val="87"/>
              </w:rPr>
              <w:t>Through</w:t>
            </w:r>
          </w:p>
        </w:tc>
        <w:tc>
          <w:tcPr>
            <w:tcW w:w="820" w:type="dxa"/>
            <w:vAlign w:val="bottom"/>
          </w:tcPr>
          <w:p>
            <w:pPr>
              <w:spacing w:after="0"/>
              <w:rPr>
                <w:sz w:val="12"/>
                <w:szCs w:val="12"/>
                <w:color w:val="auto"/>
              </w:rPr>
            </w:pPr>
          </w:p>
        </w:tc>
        <w:tc>
          <w:tcPr>
            <w:tcW w:w="760" w:type="dxa"/>
            <w:vAlign w:val="bottom"/>
            <w:gridSpan w:val="3"/>
          </w:tcPr>
          <w:p>
            <w:pPr>
              <w:jc w:val="center"/>
              <w:ind w:right="100"/>
              <w:spacing w:after="0" w:line="149" w:lineRule="exact"/>
              <w:rPr>
                <w:sz w:val="20"/>
                <w:szCs w:val="20"/>
                <w:color w:val="auto"/>
              </w:rPr>
            </w:pPr>
            <w:r>
              <w:rPr>
                <w:rFonts w:ascii="Arial" w:cs="Arial" w:eastAsia="Arial" w:hAnsi="Arial"/>
                <w:sz w:val="14"/>
                <w:szCs w:val="14"/>
                <w:b w:val="1"/>
                <w:bCs w:val="1"/>
                <w:color w:val="auto"/>
                <w:w w:val="87"/>
              </w:rPr>
              <w:t>Through</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8080" w:type="dxa"/>
            <w:vAlign w:val="bottom"/>
          </w:tcPr>
          <w:p>
            <w:pPr>
              <w:spacing w:after="0"/>
              <w:rPr>
                <w:sz w:val="12"/>
                <w:szCs w:val="12"/>
                <w:color w:val="auto"/>
              </w:rPr>
            </w:pPr>
          </w:p>
        </w:tc>
        <w:tc>
          <w:tcPr>
            <w:tcW w:w="600" w:type="dxa"/>
            <w:vAlign w:val="bottom"/>
            <w:gridSpan w:val="3"/>
          </w:tcPr>
          <w:p>
            <w:pPr>
              <w:jc w:val="center"/>
              <w:ind w:right="100"/>
              <w:spacing w:after="0" w:line="149" w:lineRule="exact"/>
              <w:rPr>
                <w:sz w:val="20"/>
                <w:szCs w:val="20"/>
                <w:color w:val="auto"/>
              </w:rPr>
            </w:pPr>
            <w:r>
              <w:rPr>
                <w:rFonts w:ascii="Arial" w:cs="Arial" w:eastAsia="Arial" w:hAnsi="Arial"/>
                <w:sz w:val="14"/>
                <w:szCs w:val="14"/>
                <w:b w:val="1"/>
                <w:bCs w:val="1"/>
                <w:color w:val="auto"/>
                <w:w w:val="87"/>
              </w:rPr>
              <w:t>July 9,</w:t>
            </w:r>
          </w:p>
        </w:tc>
        <w:tc>
          <w:tcPr>
            <w:tcW w:w="8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87"/>
              </w:rPr>
              <w:t>July 9,</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80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jc w:val="center"/>
              <w:ind w:right="20"/>
              <w:spacing w:after="0"/>
              <w:rPr>
                <w:sz w:val="20"/>
                <w:szCs w:val="20"/>
                <w:color w:val="auto"/>
              </w:rPr>
            </w:pPr>
            <w:r>
              <w:rPr>
                <w:rFonts w:ascii="Arial" w:cs="Arial" w:eastAsia="Arial" w:hAnsi="Arial"/>
                <w:sz w:val="14"/>
                <w:szCs w:val="14"/>
                <w:b w:val="1"/>
                <w:bCs w:val="1"/>
                <w:color w:val="auto"/>
                <w:w w:val="83"/>
              </w:rPr>
              <w:t>2009</w:t>
            </w:r>
          </w:p>
        </w:tc>
        <w:tc>
          <w:tcPr>
            <w:tcW w:w="1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center"/>
              <w:ind w:right="42"/>
              <w:spacing w:after="0"/>
              <w:rPr>
                <w:sz w:val="20"/>
                <w:szCs w:val="20"/>
                <w:color w:val="auto"/>
              </w:rPr>
            </w:pPr>
            <w:r>
              <w:rPr>
                <w:rFonts w:ascii="Arial" w:cs="Arial" w:eastAsia="Arial" w:hAnsi="Arial"/>
                <w:sz w:val="14"/>
                <w:szCs w:val="14"/>
                <w:b w:val="1"/>
                <w:bCs w:val="1"/>
                <w:color w:val="auto"/>
                <w:w w:val="83"/>
              </w:rPr>
              <w:t>2009</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92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Interest accrued or paid (a)</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gridSpan w:val="2"/>
          </w:tcPr>
          <w:p>
            <w:pPr>
              <w:spacing w:after="0"/>
              <w:rPr>
                <w:sz w:val="20"/>
                <w:szCs w:val="20"/>
                <w:color w:val="auto"/>
              </w:rPr>
            </w:pPr>
            <w:r>
              <w:rPr>
                <w:rFonts w:ascii="Arial" w:cs="Arial" w:eastAsia="Arial" w:hAnsi="Arial"/>
                <w:sz w:val="18"/>
                <w:szCs w:val="18"/>
                <w:color w:val="auto"/>
              </w:rPr>
              <w:t>Amortization of discounts</w:t>
            </w:r>
          </w:p>
        </w:tc>
        <w:tc>
          <w:tcPr>
            <w:tcW w:w="100" w:type="dxa"/>
            <w:vAlign w:val="bottom"/>
          </w:tcPr>
          <w:p>
            <w:pPr>
              <w:spacing w:after="0"/>
              <w:rPr>
                <w:sz w:val="18"/>
                <w:szCs w:val="18"/>
                <w:color w:val="auto"/>
              </w:rPr>
            </w:pPr>
          </w:p>
        </w:tc>
        <w:tc>
          <w:tcPr>
            <w:tcW w:w="50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51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1140" w:type="dxa"/>
            <w:vAlign w:val="bottom"/>
          </w:tcPr>
          <w:p>
            <w:pPr>
              <w:spacing w:after="0"/>
              <w:rPr>
                <w:sz w:val="2"/>
                <w:szCs w:val="2"/>
                <w:color w:val="auto"/>
              </w:rPr>
            </w:pPr>
          </w:p>
        </w:tc>
        <w:tc>
          <w:tcPr>
            <w:tcW w:w="80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92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Interest expense</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80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2"/>
        </w:trPr>
        <w:tc>
          <w:tcPr>
            <w:tcW w:w="20" w:type="dxa"/>
            <w:vAlign w:val="bottom"/>
          </w:tcPr>
          <w:p>
            <w:pPr>
              <w:spacing w:after="0"/>
              <w:rPr>
                <w:sz w:val="8"/>
                <w:szCs w:val="8"/>
                <w:color w:val="auto"/>
              </w:rPr>
            </w:pPr>
          </w:p>
        </w:tc>
        <w:tc>
          <w:tcPr>
            <w:tcW w:w="1140" w:type="dxa"/>
            <w:vAlign w:val="bottom"/>
            <w:tcBorders>
              <w:bottom w:val="single" w:sz="8" w:color="auto"/>
            </w:tcBorders>
          </w:tcPr>
          <w:p>
            <w:pPr>
              <w:spacing w:after="0"/>
              <w:rPr>
                <w:sz w:val="8"/>
                <w:szCs w:val="8"/>
                <w:color w:val="auto"/>
              </w:rPr>
            </w:pPr>
          </w:p>
        </w:tc>
        <w:tc>
          <w:tcPr>
            <w:tcW w:w="808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820" w:type="dxa"/>
            <w:vAlign w:val="bottom"/>
          </w:tcPr>
          <w:p>
            <w:pPr>
              <w:spacing w:after="0"/>
              <w:rPr>
                <w:sz w:val="8"/>
                <w:szCs w:val="8"/>
                <w:color w:val="auto"/>
              </w:rPr>
            </w:pPr>
          </w:p>
        </w:tc>
        <w:tc>
          <w:tcPr>
            <w:tcW w:w="120" w:type="dxa"/>
            <w:vAlign w:val="bottom"/>
          </w:tcPr>
          <w:p>
            <w:pPr>
              <w:spacing w:after="0"/>
              <w:rPr>
                <w:sz w:val="8"/>
                <w:szCs w:val="8"/>
                <w:color w:val="auto"/>
              </w:rPr>
            </w:pPr>
          </w:p>
        </w:tc>
        <w:tc>
          <w:tcPr>
            <w:tcW w:w="54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19" w:lineRule="exact"/>
        <w:rPr>
          <w:sz w:val="20"/>
          <w:szCs w:val="20"/>
          <w:color w:val="auto"/>
        </w:rPr>
      </w:pPr>
    </w:p>
    <w:p>
      <w:pPr>
        <w:ind w:left="460" w:right="220" w:hanging="452"/>
        <w:spacing w:after="0" w:line="268" w:lineRule="auto"/>
        <w:tabs>
          <w:tab w:leader="none" w:pos="4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Contractual interest expense not accrued or recorded on pre-petition debt as a result of the Chapter 11 Proceedings totaled $10 million and $44 million in the periods July 1, 2009 through July 9, 2009 and January 1, 2009 through July 9, 2009.</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Debt</w:t>
      </w:r>
    </w:p>
    <w:p>
      <w:pPr>
        <w:spacing w:after="0" w:line="177" w:lineRule="exact"/>
        <w:rPr>
          <w:sz w:val="20"/>
          <w:szCs w:val="20"/>
          <w:color w:val="auto"/>
        </w:rPr>
      </w:pPr>
    </w:p>
    <w:p>
      <w:pPr>
        <w:ind w:right="140" w:firstLine="228"/>
        <w:spacing w:after="0" w:line="256" w:lineRule="auto"/>
        <w:rPr>
          <w:sz w:val="20"/>
          <w:szCs w:val="20"/>
          <w:color w:val="auto"/>
        </w:rPr>
      </w:pPr>
      <w:r>
        <w:rPr>
          <w:rFonts w:ascii="Arial" w:cs="Arial" w:eastAsia="Arial" w:hAnsi="Arial"/>
          <w:sz w:val="18"/>
          <w:szCs w:val="18"/>
          <w:color w:val="auto"/>
        </w:rPr>
        <w:t>In March 2009 Old GM entered into an agreement to amend its $1.5 billion U.S. term loan. Because the terms of the amended U.S. term loan were substantially different than the original terms, primarily due to the revised borrowing rate, Old GM accounted for the amendment as a debt extinguishment. As a result, Old GM recorded the amended U.S. term loan at fair value and recorded a gain on the extinguishment of the original loan facility of $906 million in the period January 1, 2009 through July 9, 2009.</w:t>
      </w:r>
    </w:p>
    <w:p>
      <w:pPr>
        <w:spacing w:after="0" w:line="143" w:lineRule="exact"/>
        <w:rPr>
          <w:sz w:val="20"/>
          <w:szCs w:val="20"/>
          <w:color w:val="auto"/>
        </w:rPr>
      </w:pPr>
    </w:p>
    <w:p>
      <w:pPr>
        <w:jc w:val="both"/>
        <w:ind w:right="160" w:firstLine="228"/>
        <w:spacing w:after="0" w:line="259" w:lineRule="auto"/>
        <w:rPr>
          <w:sz w:val="20"/>
          <w:szCs w:val="20"/>
          <w:color w:val="auto"/>
        </w:rPr>
      </w:pPr>
      <w:r>
        <w:rPr>
          <w:rFonts w:ascii="Arial" w:cs="Arial" w:eastAsia="Arial" w:hAnsi="Arial"/>
          <w:sz w:val="18"/>
          <w:szCs w:val="18"/>
          <w:color w:val="auto"/>
        </w:rPr>
        <w:t>In connection with the Chapter 11 Proceedings, Old GM’s $4.5 billion secured revolving credit facility, $1.5 billion U.S. term loan and $125 million secured credit facility were paid in full on June 30, 2009. Old GM recorded a loss of $958 million in Reorganization gains, net related to the extinguishments of the debt primarily due to the face value of the U.S. term loan exceeding the carrying amount.</w:t>
      </w:r>
    </w:p>
    <w:p>
      <w:pPr>
        <w:spacing w:after="0" w:line="140" w:lineRule="exact"/>
        <w:rPr>
          <w:sz w:val="20"/>
          <w:szCs w:val="20"/>
          <w:color w:val="auto"/>
        </w:rPr>
      </w:pPr>
    </w:p>
    <w:p>
      <w:pPr>
        <w:ind w:right="240" w:firstLine="228"/>
        <w:spacing w:after="0" w:line="332" w:lineRule="auto"/>
        <w:rPr>
          <w:sz w:val="20"/>
          <w:szCs w:val="20"/>
          <w:color w:val="auto"/>
        </w:rPr>
      </w:pPr>
      <w:r>
        <w:rPr>
          <w:rFonts w:ascii="Arial" w:cs="Arial" w:eastAsia="Arial" w:hAnsi="Arial"/>
          <w:sz w:val="16"/>
          <w:szCs w:val="16"/>
          <w:color w:val="auto"/>
        </w:rPr>
        <w:t>Contractual interest expense not accrued or recorded on pre-petition debt was $46 million and $200 million in the periods July 1, 2009 through July 9, 2009 and January 1, 2009 through July 9, 2009 (includes contractual interest expense related to contingent convertible debt of $10 million and $44 million).</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Technical Defaults and Covenant Violations</w:t>
      </w:r>
    </w:p>
    <w:p>
      <w:pPr>
        <w:spacing w:after="0" w:line="177" w:lineRule="exact"/>
        <w:rPr>
          <w:sz w:val="20"/>
          <w:szCs w:val="20"/>
          <w:color w:val="auto"/>
        </w:rPr>
      </w:pPr>
    </w:p>
    <w:p>
      <w:pPr>
        <w:ind w:right="240" w:firstLine="228"/>
        <w:spacing w:after="0" w:line="259" w:lineRule="auto"/>
        <w:rPr>
          <w:sz w:val="20"/>
          <w:szCs w:val="20"/>
          <w:color w:val="auto"/>
        </w:rPr>
      </w:pPr>
      <w:r>
        <w:rPr>
          <w:rFonts w:ascii="Arial" w:cs="Arial" w:eastAsia="Arial" w:hAnsi="Arial"/>
          <w:sz w:val="18"/>
          <w:szCs w:val="18"/>
          <w:color w:val="auto"/>
        </w:rPr>
        <w:t>Several of our loan facilities include clauses that may be breached by a change in control, a bankruptcy or failure to maintain certain financial metric limits. The Chapter 11 Proceedings and the change in control as a result of the 363 Sale triggered technical defaults in certain loans for which we have assumed the obligations. The total amount of the two loan facilities in technical default for</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420"/>
          </w:cols>
          <w:pgMar w:left="240" w:top="459" w:right="239" w:bottom="1440" w:gutter="0" w:footer="0" w:header="0"/>
        </w:sectPr>
      </w:pPr>
    </w:p>
    <w:bookmarkStart w:id="32" w:name="page33"/>
    <w:bookmarkEnd w:id="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164" w:lineRule="exact"/>
        <w:rPr>
          <w:sz w:val="20"/>
          <w:szCs w:val="20"/>
          <w:color w:val="auto"/>
        </w:rPr>
      </w:pPr>
    </w:p>
    <w:p>
      <w:pPr>
        <w:ind w:right="240"/>
        <w:spacing w:after="0" w:line="332" w:lineRule="auto"/>
        <w:rPr>
          <w:sz w:val="20"/>
          <w:szCs w:val="20"/>
          <w:color w:val="auto"/>
        </w:rPr>
      </w:pPr>
      <w:r>
        <w:rPr>
          <w:rFonts w:ascii="Arial" w:cs="Arial" w:eastAsia="Arial" w:hAnsi="Arial"/>
          <w:sz w:val="16"/>
          <w:szCs w:val="16"/>
          <w:color w:val="auto"/>
        </w:rPr>
        <w:t>these reasons was $203 million. In July 2010 we executed an agreement with the lenders of the $150 million loan facility, which resulted in early repayment of the loan. Additionally, in July 2010 we executed an amendment with the lender of the second loan facility of $53 million which cured the default.</w:t>
      </w:r>
    </w:p>
    <w:p>
      <w:pPr>
        <w:spacing w:after="0" w:line="85" w:lineRule="exact"/>
        <w:rPr>
          <w:sz w:val="20"/>
          <w:szCs w:val="20"/>
          <w:color w:val="auto"/>
        </w:rPr>
      </w:pPr>
    </w:p>
    <w:p>
      <w:pPr>
        <w:ind w:right="100" w:firstLine="228"/>
        <w:spacing w:after="0" w:line="256" w:lineRule="auto"/>
        <w:rPr>
          <w:sz w:val="20"/>
          <w:szCs w:val="20"/>
          <w:color w:val="auto"/>
        </w:rPr>
      </w:pPr>
      <w:r>
        <w:rPr>
          <w:rFonts w:ascii="Arial" w:cs="Arial" w:eastAsia="Arial" w:hAnsi="Arial"/>
          <w:sz w:val="18"/>
          <w:szCs w:val="18"/>
          <w:color w:val="auto"/>
        </w:rPr>
        <w:t>Two of our loan facilities had financial covenant violations at December 31, 2009 related to exceeding financial ratios limiting the amount of debt held by the subsidiaries. One of these violations was cured within the 30 day cure period through the combination of an equity injection and the capitalization of intercompany loans. In May 2010 we obtained a waiver and cured the remaining financial covenant violation on a loan facility of $70 million related to our 50% owned powertrain subsidiary in Italy.</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14. Product Warranty Liability</w:t>
      </w:r>
    </w:p>
    <w:p>
      <w:pPr>
        <w:spacing w:after="0" w:line="177" w:lineRule="exact"/>
        <w:rPr>
          <w:sz w:val="20"/>
          <w:szCs w:val="20"/>
          <w:color w:val="auto"/>
        </w:rPr>
      </w:pPr>
    </w:p>
    <w:p>
      <w:pPr>
        <w:ind w:left="240"/>
        <w:spacing w:after="0"/>
        <w:rPr>
          <w:sz w:val="20"/>
          <w:szCs w:val="20"/>
          <w:color w:val="auto"/>
        </w:rPr>
      </w:pPr>
      <w:r>
        <w:rPr>
          <w:rFonts w:ascii="Arial" w:cs="Arial" w:eastAsia="Arial" w:hAnsi="Arial"/>
          <w:sz w:val="16"/>
          <w:szCs w:val="16"/>
          <w:color w:val="auto"/>
        </w:rPr>
        <w:t>The following table summarizes activity for policy, product warranty, recall campaigns and certified used vehicle warranty liabilities (dollars in millions):</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4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Arial" w:cs="Arial" w:eastAsia="Arial" w:hAnsi="Arial"/>
                <w:sz w:val="14"/>
                <w:szCs w:val="14"/>
                <w:b w:val="1"/>
                <w:bCs w:val="1"/>
                <w:color w:val="auto"/>
                <w:w w:val="79"/>
              </w:rPr>
              <w:t>Successor</w:t>
            </w:r>
          </w:p>
        </w:tc>
        <w:tc>
          <w:tcPr>
            <w:tcW w:w="1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740" w:type="dxa"/>
            <w:vAlign w:val="bottom"/>
            <w:tcBorders>
              <w:right w:val="single" w:sz="8" w:color="auto"/>
            </w:tcBorders>
          </w:tcPr>
          <w:p>
            <w:pPr>
              <w:spacing w:after="0"/>
              <w:rPr>
                <w:sz w:val="14"/>
                <w:szCs w:val="14"/>
                <w:color w:val="auto"/>
              </w:rPr>
            </w:pPr>
          </w:p>
        </w:tc>
        <w:tc>
          <w:tcPr>
            <w:tcW w:w="540" w:type="dxa"/>
            <w:vAlign w:val="bottom"/>
          </w:tcPr>
          <w:p>
            <w:pPr>
              <w:spacing w:after="0"/>
              <w:rPr>
                <w:sz w:val="14"/>
                <w:szCs w:val="14"/>
                <w:color w:val="auto"/>
              </w:rPr>
            </w:pPr>
          </w:p>
        </w:tc>
        <w:tc>
          <w:tcPr>
            <w:tcW w:w="800" w:type="dxa"/>
            <w:vAlign w:val="bottom"/>
            <w:gridSpan w:val="3"/>
          </w:tcPr>
          <w:p>
            <w:pPr>
              <w:spacing w:after="0"/>
              <w:rPr>
                <w:sz w:val="20"/>
                <w:szCs w:val="20"/>
                <w:color w:val="auto"/>
              </w:rPr>
            </w:pPr>
            <w:r>
              <w:rPr>
                <w:rFonts w:ascii="Arial" w:cs="Arial" w:eastAsia="Arial" w:hAnsi="Arial"/>
                <w:sz w:val="14"/>
                <w:szCs w:val="14"/>
                <w:b w:val="1"/>
                <w:bCs w:val="1"/>
                <w:color w:val="auto"/>
                <w:w w:val="92"/>
              </w:rPr>
              <w:t>Predecessor</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420" w:type="dxa"/>
            <w:vAlign w:val="bottom"/>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1000" w:type="dxa"/>
            <w:vAlign w:val="bottom"/>
            <w:tcBorders>
              <w:top w:val="single" w:sz="8" w:color="auto"/>
            </w:tcBorders>
          </w:tcPr>
          <w:p>
            <w:pPr>
              <w:spacing w:after="0"/>
              <w:rPr>
                <w:sz w:val="11"/>
                <w:szCs w:val="11"/>
                <w:color w:val="auto"/>
              </w:rPr>
            </w:pPr>
          </w:p>
        </w:tc>
        <w:tc>
          <w:tcPr>
            <w:tcW w:w="620" w:type="dxa"/>
            <w:vAlign w:val="bottom"/>
            <w:tcBorders>
              <w:top w:val="single" w:sz="8" w:color="auto"/>
            </w:tcBorders>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1000" w:type="dxa"/>
            <w:vAlign w:val="bottom"/>
            <w:tcBorders>
              <w:top w:val="single" w:sz="8" w:color="auto"/>
            </w:tcBorders>
          </w:tcPr>
          <w:p>
            <w:pPr>
              <w:spacing w:after="0"/>
              <w:rPr>
                <w:sz w:val="11"/>
                <w:szCs w:val="11"/>
                <w:color w:val="auto"/>
              </w:rPr>
            </w:pPr>
          </w:p>
        </w:tc>
        <w:tc>
          <w:tcPr>
            <w:tcW w:w="740" w:type="dxa"/>
            <w:vAlign w:val="bottom"/>
            <w:tcBorders>
              <w:right w:val="single" w:sz="8" w:color="auto"/>
            </w:tcBorders>
          </w:tcPr>
          <w:p>
            <w:pPr>
              <w:spacing w:after="0"/>
              <w:rPr>
                <w:sz w:val="11"/>
                <w:szCs w:val="11"/>
                <w:color w:val="auto"/>
              </w:rPr>
            </w:pPr>
          </w:p>
        </w:tc>
        <w:tc>
          <w:tcPr>
            <w:tcW w:w="540" w:type="dxa"/>
            <w:vAlign w:val="bottom"/>
          </w:tcPr>
          <w:p>
            <w:pPr>
              <w:spacing w:after="0"/>
              <w:rPr>
                <w:sz w:val="11"/>
                <w:szCs w:val="11"/>
                <w:color w:val="auto"/>
              </w:rPr>
            </w:pPr>
          </w:p>
        </w:tc>
        <w:tc>
          <w:tcPr>
            <w:tcW w:w="700" w:type="dxa"/>
            <w:vAlign w:val="bottom"/>
            <w:tcBorders>
              <w:top w:val="single" w:sz="8" w:color="auto"/>
            </w:tcBorders>
            <w:gridSpan w:val="2"/>
          </w:tcPr>
          <w:p>
            <w:pPr>
              <w:ind w:left="20"/>
              <w:spacing w:after="0" w:line="129" w:lineRule="exact"/>
              <w:rPr>
                <w:sz w:val="20"/>
                <w:szCs w:val="20"/>
                <w:color w:val="auto"/>
              </w:rPr>
            </w:pPr>
            <w:r>
              <w:rPr>
                <w:rFonts w:ascii="Arial" w:cs="Arial" w:eastAsia="Arial" w:hAnsi="Arial"/>
                <w:sz w:val="14"/>
                <w:szCs w:val="14"/>
                <w:b w:val="1"/>
                <w:bCs w:val="1"/>
                <w:color w:val="auto"/>
                <w:w w:val="95"/>
              </w:rPr>
              <w:t>January 1,</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4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20" w:type="dxa"/>
            <w:vAlign w:val="bottom"/>
            <w:gridSpan w:val="2"/>
          </w:tcPr>
          <w:p>
            <w:pPr>
              <w:jc w:val="right"/>
              <w:ind w:right="752"/>
              <w:spacing w:after="0" w:line="149" w:lineRule="exact"/>
              <w:rPr>
                <w:sz w:val="20"/>
                <w:szCs w:val="20"/>
                <w:color w:val="auto"/>
              </w:rPr>
            </w:pPr>
            <w:r>
              <w:rPr>
                <w:rFonts w:ascii="Arial" w:cs="Arial" w:eastAsia="Arial" w:hAnsi="Arial"/>
                <w:sz w:val="14"/>
                <w:szCs w:val="14"/>
                <w:b w:val="1"/>
                <w:bCs w:val="1"/>
                <w:color w:val="auto"/>
                <w:w w:val="92"/>
              </w:rPr>
              <w:t>Nine Months</w:t>
            </w:r>
          </w:p>
        </w:tc>
        <w:tc>
          <w:tcPr>
            <w:tcW w:w="140" w:type="dxa"/>
            <w:vAlign w:val="bottom"/>
          </w:tcPr>
          <w:p>
            <w:pPr>
              <w:spacing w:after="0"/>
              <w:rPr>
                <w:sz w:val="12"/>
                <w:szCs w:val="12"/>
                <w:color w:val="auto"/>
              </w:rPr>
            </w:pPr>
          </w:p>
        </w:tc>
        <w:tc>
          <w:tcPr>
            <w:tcW w:w="1740" w:type="dxa"/>
            <w:vAlign w:val="bottom"/>
            <w:tcBorders>
              <w:right w:val="single" w:sz="8" w:color="auto"/>
            </w:tcBorders>
            <w:gridSpan w:val="2"/>
          </w:tcPr>
          <w:p>
            <w:pPr>
              <w:jc w:val="right"/>
              <w:ind w:right="920"/>
              <w:spacing w:after="0" w:line="149" w:lineRule="exact"/>
              <w:rPr>
                <w:sz w:val="20"/>
                <w:szCs w:val="20"/>
                <w:color w:val="auto"/>
              </w:rPr>
            </w:pPr>
            <w:r>
              <w:rPr>
                <w:rFonts w:ascii="Arial" w:cs="Arial" w:eastAsia="Arial" w:hAnsi="Arial"/>
                <w:sz w:val="14"/>
                <w:szCs w:val="14"/>
                <w:b w:val="1"/>
                <w:bCs w:val="1"/>
                <w:color w:val="auto"/>
                <w:w w:val="92"/>
              </w:rPr>
              <w:t>July 10, 2009</w:t>
            </w: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jc w:val="right"/>
              <w:ind w:right="136"/>
              <w:spacing w:after="0" w:line="149" w:lineRule="exact"/>
              <w:rPr>
                <w:sz w:val="20"/>
                <w:szCs w:val="20"/>
                <w:color w:val="auto"/>
              </w:rPr>
            </w:pPr>
            <w:r>
              <w:rPr>
                <w:rFonts w:ascii="Arial" w:cs="Arial" w:eastAsia="Arial" w:hAnsi="Arial"/>
                <w:sz w:val="14"/>
                <w:szCs w:val="14"/>
                <w:b w:val="1"/>
                <w:bCs w:val="1"/>
                <w:color w:val="auto"/>
              </w:rPr>
              <w:t>2009</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4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20" w:type="dxa"/>
            <w:vAlign w:val="bottom"/>
            <w:gridSpan w:val="2"/>
          </w:tcPr>
          <w:p>
            <w:pPr>
              <w:jc w:val="right"/>
              <w:ind w:right="932"/>
              <w:spacing w:after="0" w:line="149" w:lineRule="exact"/>
              <w:rPr>
                <w:sz w:val="20"/>
                <w:szCs w:val="20"/>
                <w:color w:val="auto"/>
              </w:rPr>
            </w:pPr>
            <w:r>
              <w:rPr>
                <w:rFonts w:ascii="Arial" w:cs="Arial" w:eastAsia="Arial" w:hAnsi="Arial"/>
                <w:sz w:val="14"/>
                <w:szCs w:val="14"/>
                <w:b w:val="1"/>
                <w:bCs w:val="1"/>
                <w:color w:val="auto"/>
              </w:rPr>
              <w:t>Ended</w:t>
            </w:r>
          </w:p>
        </w:tc>
        <w:tc>
          <w:tcPr>
            <w:tcW w:w="140" w:type="dxa"/>
            <w:vAlign w:val="bottom"/>
          </w:tcPr>
          <w:p>
            <w:pPr>
              <w:spacing w:after="0"/>
              <w:rPr>
                <w:sz w:val="12"/>
                <w:szCs w:val="12"/>
                <w:color w:val="auto"/>
              </w:rPr>
            </w:pPr>
          </w:p>
        </w:tc>
        <w:tc>
          <w:tcPr>
            <w:tcW w:w="1740" w:type="dxa"/>
            <w:vAlign w:val="bottom"/>
            <w:tcBorders>
              <w:right w:val="single" w:sz="8" w:color="auto"/>
            </w:tcBorders>
            <w:gridSpan w:val="2"/>
          </w:tcPr>
          <w:p>
            <w:pPr>
              <w:jc w:val="right"/>
              <w:ind w:right="1060"/>
              <w:spacing w:after="0" w:line="149" w:lineRule="exact"/>
              <w:rPr>
                <w:sz w:val="20"/>
                <w:szCs w:val="20"/>
                <w:color w:val="auto"/>
              </w:rPr>
            </w:pPr>
            <w:r>
              <w:rPr>
                <w:rFonts w:ascii="Arial" w:cs="Arial" w:eastAsia="Arial" w:hAnsi="Arial"/>
                <w:sz w:val="14"/>
                <w:szCs w:val="14"/>
                <w:b w:val="1"/>
                <w:bCs w:val="1"/>
                <w:color w:val="auto"/>
              </w:rPr>
              <w:t>Through</w:t>
            </w: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gridSpan w:val="2"/>
          </w:tcPr>
          <w:p>
            <w:pPr>
              <w:jc w:val="right"/>
              <w:ind w:right="200"/>
              <w:spacing w:after="0" w:line="149" w:lineRule="exact"/>
              <w:rPr>
                <w:sz w:val="20"/>
                <w:szCs w:val="20"/>
                <w:color w:val="auto"/>
              </w:rPr>
            </w:pPr>
            <w:r>
              <w:rPr>
                <w:rFonts w:ascii="Arial" w:cs="Arial" w:eastAsia="Arial" w:hAnsi="Arial"/>
                <w:sz w:val="14"/>
                <w:szCs w:val="14"/>
                <w:b w:val="1"/>
                <w:bCs w:val="1"/>
                <w:color w:val="auto"/>
                <w:w w:val="84"/>
              </w:rPr>
              <w:t>Through</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6420" w:type="dxa"/>
            <w:vAlign w:val="bottom"/>
          </w:tcPr>
          <w:p>
            <w:pPr>
              <w:spacing w:after="0"/>
              <w:rPr>
                <w:sz w:val="14"/>
                <w:szCs w:val="14"/>
                <w:color w:val="auto"/>
              </w:rPr>
            </w:pPr>
          </w:p>
        </w:tc>
        <w:tc>
          <w:tcPr>
            <w:tcW w:w="1140" w:type="dxa"/>
            <w:vAlign w:val="bottom"/>
            <w:tcBorders>
              <w:bottom w:val="single" w:sz="8" w:color="auto"/>
            </w:tcBorders>
            <w:gridSpan w:val="2"/>
          </w:tcPr>
          <w:p>
            <w:pPr>
              <w:spacing w:after="0"/>
              <w:rPr>
                <w:sz w:val="20"/>
                <w:szCs w:val="20"/>
                <w:color w:val="auto"/>
              </w:rPr>
            </w:pPr>
            <w:r>
              <w:rPr>
                <w:rFonts w:ascii="Arial" w:cs="Arial" w:eastAsia="Arial" w:hAnsi="Arial"/>
                <w:sz w:val="14"/>
                <w:szCs w:val="14"/>
                <w:b w:val="1"/>
                <w:bCs w:val="1"/>
                <w:color w:val="auto"/>
                <w:w w:val="85"/>
              </w:rPr>
              <w:t>September 30, 2010</w:t>
            </w:r>
          </w:p>
        </w:tc>
        <w:tc>
          <w:tcPr>
            <w:tcW w:w="620" w:type="dxa"/>
            <w:vAlign w:val="bottom"/>
          </w:tcPr>
          <w:p>
            <w:pPr>
              <w:spacing w:after="0"/>
              <w:rPr>
                <w:sz w:val="14"/>
                <w:szCs w:val="14"/>
                <w:color w:val="auto"/>
              </w:rPr>
            </w:pPr>
          </w:p>
        </w:tc>
        <w:tc>
          <w:tcPr>
            <w:tcW w:w="1140" w:type="dxa"/>
            <w:vAlign w:val="bottom"/>
            <w:tcBorders>
              <w:bottom w:val="single" w:sz="8" w:color="auto"/>
            </w:tcBorders>
            <w:gridSpan w:val="2"/>
          </w:tcPr>
          <w:p>
            <w:pPr>
              <w:spacing w:after="0"/>
              <w:rPr>
                <w:sz w:val="20"/>
                <w:szCs w:val="20"/>
                <w:color w:val="auto"/>
              </w:rPr>
            </w:pPr>
            <w:r>
              <w:rPr>
                <w:rFonts w:ascii="Arial" w:cs="Arial" w:eastAsia="Arial" w:hAnsi="Arial"/>
                <w:sz w:val="14"/>
                <w:szCs w:val="14"/>
                <w:b w:val="1"/>
                <w:bCs w:val="1"/>
                <w:color w:val="auto"/>
                <w:w w:val="85"/>
              </w:rPr>
              <w:t>September 30, 2009</w:t>
            </w:r>
          </w:p>
        </w:tc>
        <w:tc>
          <w:tcPr>
            <w:tcW w:w="740" w:type="dxa"/>
            <w:vAlign w:val="bottom"/>
            <w:tcBorders>
              <w:right w:val="single" w:sz="8" w:color="auto"/>
            </w:tcBorders>
          </w:tcPr>
          <w:p>
            <w:pPr>
              <w:spacing w:after="0"/>
              <w:rPr>
                <w:sz w:val="14"/>
                <w:szCs w:val="14"/>
                <w:color w:val="auto"/>
              </w:rPr>
            </w:pPr>
          </w:p>
        </w:tc>
        <w:tc>
          <w:tcPr>
            <w:tcW w:w="540" w:type="dxa"/>
            <w:vAlign w:val="bottom"/>
          </w:tcPr>
          <w:p>
            <w:pPr>
              <w:spacing w:after="0"/>
              <w:rPr>
                <w:sz w:val="14"/>
                <w:szCs w:val="14"/>
                <w:color w:val="auto"/>
              </w:rPr>
            </w:pPr>
          </w:p>
        </w:tc>
        <w:tc>
          <w:tcPr>
            <w:tcW w:w="700" w:type="dxa"/>
            <w:vAlign w:val="bottom"/>
            <w:tcBorders>
              <w:bottom w:val="single" w:sz="8" w:color="auto"/>
            </w:tcBorders>
            <w:gridSpan w:val="2"/>
          </w:tcPr>
          <w:p>
            <w:pPr>
              <w:spacing w:after="0"/>
              <w:rPr>
                <w:sz w:val="20"/>
                <w:szCs w:val="20"/>
                <w:color w:val="auto"/>
              </w:rPr>
            </w:pPr>
            <w:r>
              <w:rPr>
                <w:rFonts w:ascii="Arial" w:cs="Arial" w:eastAsia="Arial" w:hAnsi="Arial"/>
                <w:sz w:val="14"/>
                <w:szCs w:val="14"/>
                <w:b w:val="1"/>
                <w:bCs w:val="1"/>
                <w:color w:val="auto"/>
                <w:w w:val="86"/>
              </w:rPr>
              <w:t>July 9, 2009</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420" w:type="dxa"/>
            <w:vAlign w:val="bottom"/>
            <w:shd w:val="clear" w:color="auto" w:fill="CCEEFF"/>
          </w:tcPr>
          <w:p>
            <w:pPr>
              <w:spacing w:after="0"/>
              <w:rPr>
                <w:sz w:val="20"/>
                <w:szCs w:val="20"/>
                <w:color w:val="auto"/>
              </w:rPr>
            </w:pPr>
            <w:r>
              <w:rPr>
                <w:rFonts w:ascii="Arial" w:cs="Arial" w:eastAsia="Arial" w:hAnsi="Arial"/>
                <w:sz w:val="18"/>
                <w:szCs w:val="18"/>
                <w:color w:val="auto"/>
              </w:rPr>
              <w:t>Beginning balance</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620" w:type="dxa"/>
            <w:vAlign w:val="bottom"/>
            <w:gridSpan w:val="2"/>
            <w:shd w:val="clear" w:color="auto" w:fill="CCEEFF"/>
          </w:tcPr>
          <w:p>
            <w:pPr>
              <w:jc w:val="right"/>
              <w:ind w:right="552"/>
              <w:spacing w:after="0"/>
              <w:rPr>
                <w:sz w:val="20"/>
                <w:szCs w:val="20"/>
                <w:color w:val="auto"/>
              </w:rPr>
            </w:pPr>
            <w:r>
              <w:rPr>
                <w:rFonts w:ascii="Arial" w:cs="Arial" w:eastAsia="Arial" w:hAnsi="Arial"/>
                <w:sz w:val="18"/>
                <w:szCs w:val="18"/>
                <w:color w:val="auto"/>
              </w:rPr>
              <w:t>7,030</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740" w:type="dxa"/>
            <w:vAlign w:val="bottom"/>
            <w:tcBorders>
              <w:right w:val="single" w:sz="8" w:color="auto"/>
            </w:tcBorders>
            <w:gridSpan w:val="2"/>
            <w:shd w:val="clear" w:color="auto" w:fill="CCEEFF"/>
          </w:tcPr>
          <w:p>
            <w:pPr>
              <w:jc w:val="right"/>
              <w:ind w:right="740"/>
              <w:spacing w:after="0"/>
              <w:rPr>
                <w:sz w:val="20"/>
                <w:szCs w:val="20"/>
                <w:color w:val="auto"/>
              </w:rPr>
            </w:pPr>
            <w:r>
              <w:rPr>
                <w:rFonts w:ascii="Arial" w:cs="Arial" w:eastAsia="Arial" w:hAnsi="Arial"/>
                <w:sz w:val="18"/>
                <w:szCs w:val="18"/>
                <w:color w:val="auto"/>
              </w:rPr>
              <w:t>7,193</w:t>
            </w: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8,491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20" w:type="dxa"/>
            <w:vAlign w:val="bottom"/>
          </w:tcPr>
          <w:p>
            <w:pPr>
              <w:spacing w:after="0"/>
              <w:rPr>
                <w:sz w:val="20"/>
                <w:szCs w:val="20"/>
                <w:color w:val="auto"/>
              </w:rPr>
            </w:pPr>
            <w:r>
              <w:rPr>
                <w:rFonts w:ascii="Arial" w:cs="Arial" w:eastAsia="Arial" w:hAnsi="Arial"/>
                <w:sz w:val="18"/>
                <w:szCs w:val="18"/>
                <w:color w:val="auto"/>
              </w:rPr>
              <w:t>Warranties issued and assumed in period</w:t>
            </w:r>
          </w:p>
        </w:tc>
        <w:tc>
          <w:tcPr>
            <w:tcW w:w="140" w:type="dxa"/>
            <w:vAlign w:val="bottom"/>
          </w:tcPr>
          <w:p>
            <w:pPr>
              <w:spacing w:after="0"/>
              <w:rPr>
                <w:sz w:val="18"/>
                <w:szCs w:val="18"/>
                <w:color w:val="auto"/>
              </w:rPr>
            </w:pPr>
          </w:p>
        </w:tc>
        <w:tc>
          <w:tcPr>
            <w:tcW w:w="1620" w:type="dxa"/>
            <w:vAlign w:val="bottom"/>
            <w:gridSpan w:val="2"/>
          </w:tcPr>
          <w:p>
            <w:pPr>
              <w:jc w:val="right"/>
              <w:ind w:right="552"/>
              <w:spacing w:after="0"/>
              <w:rPr>
                <w:sz w:val="20"/>
                <w:szCs w:val="20"/>
                <w:color w:val="auto"/>
              </w:rPr>
            </w:pPr>
            <w:r>
              <w:rPr>
                <w:rFonts w:ascii="Arial" w:cs="Arial" w:eastAsia="Arial" w:hAnsi="Arial"/>
                <w:sz w:val="18"/>
                <w:szCs w:val="18"/>
                <w:color w:val="auto"/>
              </w:rPr>
              <w:t>2,312</w:t>
            </w:r>
          </w:p>
        </w:tc>
        <w:tc>
          <w:tcPr>
            <w:tcW w:w="140" w:type="dxa"/>
            <w:vAlign w:val="bottom"/>
          </w:tcPr>
          <w:p>
            <w:pPr>
              <w:spacing w:after="0"/>
              <w:rPr>
                <w:sz w:val="18"/>
                <w:szCs w:val="18"/>
                <w:color w:val="auto"/>
              </w:rPr>
            </w:pPr>
          </w:p>
        </w:tc>
        <w:tc>
          <w:tcPr>
            <w:tcW w:w="1740" w:type="dxa"/>
            <w:vAlign w:val="bottom"/>
            <w:tcBorders>
              <w:right w:val="single" w:sz="8" w:color="auto"/>
            </w:tcBorders>
            <w:gridSpan w:val="2"/>
          </w:tcPr>
          <w:p>
            <w:pPr>
              <w:jc w:val="right"/>
              <w:ind w:right="740"/>
              <w:spacing w:after="0"/>
              <w:rPr>
                <w:sz w:val="20"/>
                <w:szCs w:val="20"/>
                <w:color w:val="auto"/>
              </w:rPr>
            </w:pPr>
            <w:r>
              <w:rPr>
                <w:rFonts w:ascii="Arial" w:cs="Arial" w:eastAsia="Arial" w:hAnsi="Arial"/>
                <w:sz w:val="18"/>
                <w:szCs w:val="18"/>
                <w:color w:val="auto"/>
              </w:rPr>
              <w:t>545</w:t>
            </w: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1,069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20" w:type="dxa"/>
            <w:vAlign w:val="bottom"/>
            <w:shd w:val="clear" w:color="auto" w:fill="CCEEFF"/>
          </w:tcPr>
          <w:p>
            <w:pPr>
              <w:spacing w:after="0"/>
              <w:rPr>
                <w:sz w:val="20"/>
                <w:szCs w:val="20"/>
                <w:color w:val="auto"/>
              </w:rPr>
            </w:pPr>
            <w:r>
              <w:rPr>
                <w:rFonts w:ascii="Arial" w:cs="Arial" w:eastAsia="Arial" w:hAnsi="Arial"/>
                <w:sz w:val="18"/>
                <w:szCs w:val="18"/>
                <w:color w:val="auto"/>
              </w:rPr>
              <w:t>Payments</w:t>
            </w:r>
          </w:p>
        </w:tc>
        <w:tc>
          <w:tcPr>
            <w:tcW w:w="140" w:type="dxa"/>
            <w:vAlign w:val="bottom"/>
            <w:shd w:val="clear" w:color="auto" w:fill="CCEEFF"/>
          </w:tcPr>
          <w:p>
            <w:pPr>
              <w:spacing w:after="0"/>
              <w:rPr>
                <w:sz w:val="18"/>
                <w:szCs w:val="18"/>
                <w:color w:val="auto"/>
              </w:rPr>
            </w:pPr>
          </w:p>
        </w:tc>
        <w:tc>
          <w:tcPr>
            <w:tcW w:w="1620" w:type="dxa"/>
            <w:vAlign w:val="bottom"/>
            <w:gridSpan w:val="2"/>
            <w:shd w:val="clear" w:color="auto" w:fill="CCEEFF"/>
          </w:tcPr>
          <w:p>
            <w:pPr>
              <w:jc w:val="right"/>
              <w:ind w:right="512"/>
              <w:spacing w:after="0"/>
              <w:rPr>
                <w:sz w:val="20"/>
                <w:szCs w:val="20"/>
                <w:color w:val="auto"/>
              </w:rPr>
            </w:pPr>
            <w:r>
              <w:rPr>
                <w:rFonts w:ascii="Arial" w:cs="Arial" w:eastAsia="Arial" w:hAnsi="Arial"/>
                <w:sz w:val="18"/>
                <w:szCs w:val="18"/>
                <w:color w:val="auto"/>
              </w:rPr>
              <w:t>(2,680)</w:t>
            </w:r>
          </w:p>
        </w:tc>
        <w:tc>
          <w:tcPr>
            <w:tcW w:w="140" w:type="dxa"/>
            <w:vAlign w:val="bottom"/>
            <w:shd w:val="clear" w:color="auto" w:fill="CCEEFF"/>
          </w:tcPr>
          <w:p>
            <w:pPr>
              <w:spacing w:after="0"/>
              <w:rPr>
                <w:sz w:val="18"/>
                <w:szCs w:val="18"/>
                <w:color w:val="auto"/>
              </w:rPr>
            </w:pPr>
          </w:p>
        </w:tc>
        <w:tc>
          <w:tcPr>
            <w:tcW w:w="1740" w:type="dxa"/>
            <w:vAlign w:val="bottom"/>
            <w:tcBorders>
              <w:right w:val="single" w:sz="8" w:color="auto"/>
            </w:tcBorders>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(905)</w:t>
            </w: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(1,851)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20" w:type="dxa"/>
            <w:vAlign w:val="bottom"/>
          </w:tcPr>
          <w:p>
            <w:pPr>
              <w:spacing w:after="0"/>
              <w:rPr>
                <w:sz w:val="20"/>
                <w:szCs w:val="20"/>
                <w:color w:val="auto"/>
              </w:rPr>
            </w:pPr>
            <w:r>
              <w:rPr>
                <w:rFonts w:ascii="Arial" w:cs="Arial" w:eastAsia="Arial" w:hAnsi="Arial"/>
                <w:sz w:val="18"/>
                <w:szCs w:val="18"/>
                <w:color w:val="auto"/>
              </w:rPr>
              <w:t>Adjustments to pre-existing warranties</w:t>
            </w:r>
          </w:p>
        </w:tc>
        <w:tc>
          <w:tcPr>
            <w:tcW w:w="140" w:type="dxa"/>
            <w:vAlign w:val="bottom"/>
          </w:tcPr>
          <w:p>
            <w:pPr>
              <w:spacing w:after="0"/>
              <w:rPr>
                <w:sz w:val="18"/>
                <w:szCs w:val="18"/>
                <w:color w:val="auto"/>
              </w:rPr>
            </w:pPr>
          </w:p>
        </w:tc>
        <w:tc>
          <w:tcPr>
            <w:tcW w:w="1620" w:type="dxa"/>
            <w:vAlign w:val="bottom"/>
            <w:gridSpan w:val="2"/>
          </w:tcPr>
          <w:p>
            <w:pPr>
              <w:jc w:val="right"/>
              <w:ind w:right="552"/>
              <w:spacing w:after="0"/>
              <w:rPr>
                <w:sz w:val="20"/>
                <w:szCs w:val="20"/>
                <w:color w:val="auto"/>
              </w:rPr>
            </w:pPr>
            <w:r>
              <w:rPr>
                <w:rFonts w:ascii="Arial" w:cs="Arial" w:eastAsia="Arial" w:hAnsi="Arial"/>
                <w:sz w:val="18"/>
                <w:szCs w:val="18"/>
                <w:color w:val="auto"/>
              </w:rPr>
              <w:t>100</w:t>
            </w:r>
          </w:p>
        </w:tc>
        <w:tc>
          <w:tcPr>
            <w:tcW w:w="140" w:type="dxa"/>
            <w:vAlign w:val="bottom"/>
          </w:tcPr>
          <w:p>
            <w:pPr>
              <w:spacing w:after="0"/>
              <w:rPr>
                <w:sz w:val="18"/>
                <w:szCs w:val="18"/>
                <w:color w:val="auto"/>
              </w:rPr>
            </w:pPr>
          </w:p>
        </w:tc>
        <w:tc>
          <w:tcPr>
            <w:tcW w:w="1740" w:type="dxa"/>
            <w:vAlign w:val="bottom"/>
            <w:tcBorders>
              <w:right w:val="single" w:sz="8" w:color="auto"/>
            </w:tcBorders>
            <w:gridSpan w:val="2"/>
          </w:tcPr>
          <w:p>
            <w:pPr>
              <w:jc w:val="right"/>
              <w:ind w:right="740"/>
              <w:spacing w:after="0"/>
              <w:rPr>
                <w:sz w:val="20"/>
                <w:szCs w:val="20"/>
                <w:color w:val="auto"/>
              </w:rPr>
            </w:pPr>
            <w:r>
              <w:rPr>
                <w:rFonts w:ascii="Arial" w:cs="Arial" w:eastAsia="Arial" w:hAnsi="Arial"/>
                <w:sz w:val="18"/>
                <w:szCs w:val="18"/>
                <w:color w:val="auto"/>
              </w:rPr>
              <w:t>89</w:t>
            </w: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ind w:right="40"/>
              <w:spacing w:after="0"/>
              <w:rPr>
                <w:sz w:val="20"/>
                <w:szCs w:val="20"/>
                <w:color w:val="auto"/>
              </w:rPr>
            </w:pPr>
            <w:r>
              <w:rPr>
                <w:rFonts w:ascii="Arial" w:cs="Arial" w:eastAsia="Arial" w:hAnsi="Arial"/>
                <w:sz w:val="18"/>
                <w:szCs w:val="18"/>
                <w:color w:val="auto"/>
              </w:rPr>
              <w:t>(153)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20" w:type="dxa"/>
            <w:vAlign w:val="bottom"/>
            <w:shd w:val="clear" w:color="auto" w:fill="CCEEFF"/>
          </w:tcPr>
          <w:p>
            <w:pPr>
              <w:spacing w:after="0"/>
              <w:rPr>
                <w:sz w:val="20"/>
                <w:szCs w:val="20"/>
                <w:color w:val="auto"/>
              </w:rPr>
            </w:pPr>
            <w:r>
              <w:rPr>
                <w:rFonts w:ascii="Arial" w:cs="Arial" w:eastAsia="Arial" w:hAnsi="Arial"/>
                <w:sz w:val="18"/>
                <w:szCs w:val="18"/>
                <w:color w:val="auto"/>
              </w:rPr>
              <w:t>Effect of foreign currency translation</w:t>
            </w:r>
          </w:p>
        </w:tc>
        <w:tc>
          <w:tcPr>
            <w:tcW w:w="140" w:type="dxa"/>
            <w:vAlign w:val="bottom"/>
            <w:shd w:val="clear" w:color="auto" w:fill="CCEEFF"/>
          </w:tcPr>
          <w:p>
            <w:pPr>
              <w:spacing w:after="0"/>
              <w:rPr>
                <w:sz w:val="18"/>
                <w:szCs w:val="18"/>
                <w:color w:val="auto"/>
              </w:rPr>
            </w:pPr>
          </w:p>
        </w:tc>
        <w:tc>
          <w:tcPr>
            <w:tcW w:w="1620" w:type="dxa"/>
            <w:vAlign w:val="bottom"/>
            <w:gridSpan w:val="2"/>
            <w:shd w:val="clear" w:color="auto" w:fill="CCEEFF"/>
          </w:tcPr>
          <w:p>
            <w:pPr>
              <w:jc w:val="right"/>
              <w:ind w:right="512"/>
              <w:spacing w:after="0"/>
              <w:rPr>
                <w:sz w:val="20"/>
                <w:szCs w:val="20"/>
                <w:color w:val="auto"/>
              </w:rPr>
            </w:pPr>
            <w:r>
              <w:rPr>
                <w:rFonts w:ascii="Arial" w:cs="Arial" w:eastAsia="Arial" w:hAnsi="Arial"/>
                <w:sz w:val="18"/>
                <w:szCs w:val="18"/>
                <w:color w:val="auto"/>
              </w:rPr>
              <w:t>(6)</w:t>
            </w:r>
          </w:p>
        </w:tc>
        <w:tc>
          <w:tcPr>
            <w:tcW w:w="140" w:type="dxa"/>
            <w:vAlign w:val="bottom"/>
            <w:shd w:val="clear" w:color="auto" w:fill="CCEEFF"/>
          </w:tcPr>
          <w:p>
            <w:pPr>
              <w:spacing w:after="0"/>
              <w:rPr>
                <w:sz w:val="18"/>
                <w:szCs w:val="18"/>
                <w:color w:val="auto"/>
              </w:rPr>
            </w:pPr>
          </w:p>
        </w:tc>
        <w:tc>
          <w:tcPr>
            <w:tcW w:w="1740" w:type="dxa"/>
            <w:vAlign w:val="bottom"/>
            <w:tcBorders>
              <w:right w:val="single" w:sz="8" w:color="auto"/>
            </w:tcBorders>
            <w:gridSpan w:val="2"/>
            <w:shd w:val="clear" w:color="auto" w:fill="CCEEFF"/>
          </w:tcPr>
          <w:p>
            <w:pPr>
              <w:jc w:val="right"/>
              <w:ind w:right="740"/>
              <w:spacing w:after="0"/>
              <w:rPr>
                <w:sz w:val="20"/>
                <w:szCs w:val="20"/>
                <w:color w:val="auto"/>
              </w:rPr>
            </w:pPr>
            <w:r>
              <w:rPr>
                <w:rFonts w:ascii="Arial" w:cs="Arial" w:eastAsia="Arial" w:hAnsi="Arial"/>
                <w:sz w:val="18"/>
                <w:szCs w:val="18"/>
                <w:color w:val="auto"/>
              </w:rPr>
              <w:t>140</w:t>
            </w: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20" w:type="dxa"/>
            <w:vAlign w:val="bottom"/>
          </w:tcPr>
          <w:p>
            <w:pPr>
              <w:spacing w:after="0"/>
              <w:rPr>
                <w:sz w:val="20"/>
                <w:szCs w:val="20"/>
                <w:color w:val="auto"/>
              </w:rPr>
            </w:pPr>
            <w:r>
              <w:rPr>
                <w:rFonts w:ascii="Arial" w:cs="Arial" w:eastAsia="Arial" w:hAnsi="Arial"/>
                <w:sz w:val="18"/>
                <w:szCs w:val="18"/>
                <w:color w:val="auto"/>
              </w:rPr>
              <w:t>Liability adjustment, net due to the deconsolidation of Saab</w:t>
            </w:r>
          </w:p>
        </w:tc>
        <w:tc>
          <w:tcPr>
            <w:tcW w:w="1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740" w:type="dxa"/>
            <w:vAlign w:val="bottom"/>
            <w:tcBorders>
              <w:right w:val="single" w:sz="8" w:color="auto"/>
            </w:tcBorders>
            <w:gridSpan w:val="2"/>
          </w:tcPr>
          <w:p>
            <w:pPr>
              <w:jc w:val="right"/>
              <w:ind w:right="740"/>
              <w:spacing w:after="0"/>
              <w:rPr>
                <w:sz w:val="20"/>
                <w:szCs w:val="20"/>
                <w:color w:val="auto"/>
              </w:rPr>
            </w:pPr>
            <w:r>
              <w:rPr>
                <w:rFonts w:ascii="Arial" w:cs="Arial" w:eastAsia="Arial" w:hAnsi="Arial"/>
                <w:sz w:val="18"/>
                <w:szCs w:val="18"/>
                <w:color w:val="auto"/>
              </w:rPr>
              <w:t>—</w:t>
            </w: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ind w:right="40"/>
              <w:spacing w:after="0"/>
              <w:rPr>
                <w:sz w:val="20"/>
                <w:szCs w:val="20"/>
                <w:color w:val="auto"/>
              </w:rPr>
            </w:pPr>
            <w:r>
              <w:rPr>
                <w:rFonts w:ascii="Arial" w:cs="Arial" w:eastAsia="Arial" w:hAnsi="Arial"/>
                <w:sz w:val="18"/>
                <w:szCs w:val="18"/>
                <w:color w:val="auto"/>
              </w:rPr>
              <w:t>(77)</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4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6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740" w:type="dxa"/>
            <w:vAlign w:val="bottom"/>
            <w:tcBorders>
              <w:right w:val="single" w:sz="8" w:color="auto"/>
            </w:tcBorders>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420" w:type="dxa"/>
            <w:vAlign w:val="bottom"/>
            <w:shd w:val="clear" w:color="auto" w:fill="CCEEFF"/>
          </w:tcPr>
          <w:p>
            <w:pPr>
              <w:spacing w:after="0"/>
              <w:rPr>
                <w:sz w:val="20"/>
                <w:szCs w:val="20"/>
                <w:color w:val="auto"/>
              </w:rPr>
            </w:pPr>
            <w:r>
              <w:rPr>
                <w:rFonts w:ascii="Arial" w:cs="Arial" w:eastAsia="Arial" w:hAnsi="Arial"/>
                <w:sz w:val="18"/>
                <w:szCs w:val="18"/>
                <w:color w:val="auto"/>
              </w:rPr>
              <w:t>Ending balance</w:t>
            </w: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6,756</w:t>
            </w:r>
          </w:p>
        </w:tc>
        <w:tc>
          <w:tcPr>
            <w:tcW w:w="6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740" w:type="dxa"/>
            <w:vAlign w:val="bottom"/>
            <w:tcBorders>
              <w:right w:val="single" w:sz="8" w:color="auto"/>
            </w:tcBorders>
            <w:gridSpan w:val="2"/>
            <w:shd w:val="clear" w:color="auto" w:fill="CCEEFF"/>
          </w:tcPr>
          <w:p>
            <w:pPr>
              <w:jc w:val="right"/>
              <w:ind w:right="740"/>
              <w:spacing w:after="0"/>
              <w:rPr>
                <w:sz w:val="20"/>
                <w:szCs w:val="20"/>
                <w:color w:val="auto"/>
              </w:rPr>
            </w:pPr>
            <w:r>
              <w:rPr>
                <w:rFonts w:ascii="Arial" w:cs="Arial" w:eastAsia="Arial" w:hAnsi="Arial"/>
                <w:sz w:val="18"/>
                <w:szCs w:val="18"/>
                <w:color w:val="auto"/>
              </w:rPr>
              <w:t>7,062</w:t>
            </w: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7,542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20" w:type="dxa"/>
            <w:vAlign w:val="bottom"/>
          </w:tcPr>
          <w:p>
            <w:pPr>
              <w:spacing w:after="0"/>
              <w:rPr>
                <w:sz w:val="20"/>
                <w:szCs w:val="20"/>
                <w:color w:val="auto"/>
              </w:rPr>
            </w:pPr>
            <w:r>
              <w:rPr>
                <w:rFonts w:ascii="Arial" w:cs="Arial" w:eastAsia="Arial" w:hAnsi="Arial"/>
                <w:sz w:val="18"/>
                <w:szCs w:val="18"/>
                <w:color w:val="auto"/>
              </w:rPr>
              <w:t>Effect of application of fresh-start reporting</w:t>
            </w:r>
          </w:p>
        </w:tc>
        <w:tc>
          <w:tcPr>
            <w:tcW w:w="1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740" w:type="dxa"/>
            <w:vAlign w:val="bottom"/>
            <w:tcBorders>
              <w:right w:val="single" w:sz="8" w:color="auto"/>
            </w:tcBorders>
            <w:gridSpan w:val="2"/>
          </w:tcPr>
          <w:p>
            <w:pPr>
              <w:jc w:val="right"/>
              <w:ind w:right="740"/>
              <w:spacing w:after="0"/>
              <w:rPr>
                <w:sz w:val="20"/>
                <w:szCs w:val="20"/>
                <w:color w:val="auto"/>
              </w:rPr>
            </w:pPr>
            <w:r>
              <w:rPr>
                <w:rFonts w:ascii="Arial" w:cs="Arial" w:eastAsia="Arial" w:hAnsi="Arial"/>
                <w:sz w:val="18"/>
                <w:szCs w:val="18"/>
                <w:color w:val="auto"/>
              </w:rPr>
              <w:t>—</w:t>
            </w: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ind w:right="40"/>
              <w:spacing w:after="0"/>
              <w:rPr>
                <w:sz w:val="20"/>
                <w:szCs w:val="20"/>
                <w:color w:val="auto"/>
              </w:rPr>
            </w:pPr>
            <w:r>
              <w:rPr>
                <w:rFonts w:ascii="Arial" w:cs="Arial" w:eastAsia="Arial" w:hAnsi="Arial"/>
                <w:sz w:val="18"/>
                <w:szCs w:val="18"/>
                <w:color w:val="auto"/>
              </w:rPr>
              <w:t>(349)</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4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6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740" w:type="dxa"/>
            <w:vAlign w:val="bottom"/>
            <w:tcBorders>
              <w:right w:val="single" w:sz="8" w:color="auto"/>
            </w:tcBorders>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420" w:type="dxa"/>
            <w:vAlign w:val="bottom"/>
            <w:shd w:val="clear" w:color="auto" w:fill="CCEEFF"/>
          </w:tcPr>
          <w:p>
            <w:pPr>
              <w:spacing w:after="0"/>
              <w:rPr>
                <w:sz w:val="20"/>
                <w:szCs w:val="20"/>
                <w:color w:val="auto"/>
              </w:rPr>
            </w:pPr>
            <w:r>
              <w:rPr>
                <w:rFonts w:ascii="Arial" w:cs="Arial" w:eastAsia="Arial" w:hAnsi="Arial"/>
                <w:sz w:val="18"/>
                <w:szCs w:val="18"/>
                <w:color w:val="auto"/>
              </w:rPr>
              <w:t>Ending balance including effect of application of fresh-start reporting</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6,756</w:t>
            </w:r>
          </w:p>
        </w:tc>
        <w:tc>
          <w:tcPr>
            <w:tcW w:w="6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740" w:type="dxa"/>
            <w:vAlign w:val="bottom"/>
            <w:tcBorders>
              <w:right w:val="single" w:sz="8" w:color="auto"/>
            </w:tcBorders>
            <w:gridSpan w:val="2"/>
            <w:shd w:val="clear" w:color="auto" w:fill="CCEEFF"/>
          </w:tcPr>
          <w:p>
            <w:pPr>
              <w:jc w:val="right"/>
              <w:ind w:right="740"/>
              <w:spacing w:after="0"/>
              <w:rPr>
                <w:sz w:val="20"/>
                <w:szCs w:val="20"/>
                <w:color w:val="auto"/>
              </w:rPr>
            </w:pPr>
            <w:r>
              <w:rPr>
                <w:rFonts w:ascii="Arial" w:cs="Arial" w:eastAsia="Arial" w:hAnsi="Arial"/>
                <w:sz w:val="18"/>
                <w:szCs w:val="18"/>
                <w:color w:val="auto"/>
              </w:rPr>
              <w:t>7,062</w:t>
            </w: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7,193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4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right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15. Pensions and Other Postretirement Benefits</w:t>
      </w:r>
    </w:p>
    <w:p>
      <w:pPr>
        <w:spacing w:after="0" w:line="177" w:lineRule="exact"/>
        <w:rPr>
          <w:sz w:val="20"/>
          <w:szCs w:val="20"/>
          <w:color w:val="auto"/>
        </w:rPr>
      </w:pPr>
    </w:p>
    <w:p>
      <w:pPr>
        <w:ind w:left="240"/>
        <w:spacing w:after="0"/>
        <w:rPr>
          <w:sz w:val="20"/>
          <w:szCs w:val="20"/>
          <w:color w:val="auto"/>
        </w:rPr>
      </w:pPr>
      <w:r>
        <w:rPr>
          <w:rFonts w:ascii="Arial" w:cs="Arial" w:eastAsia="Arial" w:hAnsi="Arial"/>
          <w:sz w:val="18"/>
          <w:szCs w:val="18"/>
          <w:color w:val="auto"/>
        </w:rPr>
        <w:t>The following tables summarize the components of pension and other postretirement benefits (OPEB) (income) expense (dollars in millions):</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4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780" w:type="dxa"/>
            <w:vAlign w:val="bottom"/>
            <w:gridSpan w:val="3"/>
          </w:tcPr>
          <w:p>
            <w:pPr>
              <w:spacing w:after="0"/>
              <w:rPr>
                <w:sz w:val="20"/>
                <w:szCs w:val="20"/>
                <w:color w:val="auto"/>
              </w:rPr>
            </w:pPr>
            <w:r>
              <w:rPr>
                <w:rFonts w:ascii="Arial" w:cs="Arial" w:eastAsia="Arial" w:hAnsi="Arial"/>
                <w:sz w:val="14"/>
                <w:szCs w:val="14"/>
                <w:b w:val="1"/>
                <w:bCs w:val="1"/>
                <w:color w:val="auto"/>
              </w:rPr>
              <w:t>U.S. Plans</w:t>
            </w:r>
          </w:p>
        </w:tc>
        <w:tc>
          <w:tcPr>
            <w:tcW w:w="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34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2120" w:type="dxa"/>
            <w:vAlign w:val="bottom"/>
            <w:tcBorders>
              <w:bottom w:val="single" w:sz="8" w:color="auto"/>
            </w:tcBorders>
            <w:gridSpan w:val="4"/>
          </w:tcPr>
          <w:p>
            <w:pPr>
              <w:jc w:val="right"/>
              <w:ind w:right="1020"/>
              <w:spacing w:after="0"/>
              <w:rPr>
                <w:sz w:val="20"/>
                <w:szCs w:val="20"/>
                <w:color w:val="auto"/>
              </w:rPr>
            </w:pPr>
            <w:r>
              <w:rPr>
                <w:rFonts w:ascii="Arial" w:cs="Arial" w:eastAsia="Arial" w:hAnsi="Arial"/>
                <w:sz w:val="14"/>
                <w:szCs w:val="14"/>
                <w:b w:val="1"/>
                <w:bCs w:val="1"/>
                <w:color w:val="auto"/>
                <w:w w:val="95"/>
              </w:rPr>
              <w:t>Pension Benefits</w:t>
            </w:r>
          </w:p>
        </w:tc>
        <w:tc>
          <w:tcPr>
            <w:tcW w:w="4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4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1000" w:type="dxa"/>
            <w:vAlign w:val="bottom"/>
            <w:tcBorders>
              <w:bottom w:val="single" w:sz="8" w:color="auto"/>
            </w:tcBorders>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1180" w:type="dxa"/>
            <w:vAlign w:val="bottom"/>
            <w:tcBorders>
              <w:bottom w:val="single" w:sz="8" w:color="auto"/>
            </w:tcBorders>
            <w:gridSpan w:val="2"/>
          </w:tcPr>
          <w:p>
            <w:pPr>
              <w:jc w:val="center"/>
              <w:ind w:right="380"/>
              <w:spacing w:after="0" w:line="142" w:lineRule="exact"/>
              <w:rPr>
                <w:sz w:val="20"/>
                <w:szCs w:val="20"/>
                <w:color w:val="auto"/>
              </w:rPr>
            </w:pPr>
            <w:r>
              <w:rPr>
                <w:rFonts w:ascii="Arial" w:cs="Arial" w:eastAsia="Arial" w:hAnsi="Arial"/>
                <w:sz w:val="14"/>
                <w:szCs w:val="14"/>
                <w:b w:val="1"/>
                <w:bCs w:val="1"/>
                <w:color w:val="auto"/>
                <w:w w:val="79"/>
              </w:rPr>
              <w:t>Successor</w:t>
            </w:r>
          </w:p>
        </w:tc>
        <w:tc>
          <w:tcPr>
            <w:tcW w:w="34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980" w:type="dxa"/>
            <w:vAlign w:val="bottom"/>
            <w:tcBorders>
              <w:bottom w:val="single" w:sz="8" w:color="auto"/>
            </w:tcBorders>
          </w:tcPr>
          <w:p>
            <w:pPr>
              <w:spacing w:after="0"/>
              <w:rPr>
                <w:sz w:val="12"/>
                <w:szCs w:val="12"/>
                <w:color w:val="auto"/>
              </w:rPr>
            </w:pPr>
          </w:p>
        </w:tc>
        <w:tc>
          <w:tcPr>
            <w:tcW w:w="660" w:type="dxa"/>
            <w:vAlign w:val="bottom"/>
            <w:tcBorders>
              <w:right w:val="single" w:sz="8" w:color="auto"/>
            </w:tcBorders>
          </w:tcPr>
          <w:p>
            <w:pPr>
              <w:spacing w:after="0"/>
              <w:rPr>
                <w:sz w:val="12"/>
                <w:szCs w:val="12"/>
                <w:color w:val="auto"/>
              </w:rPr>
            </w:pPr>
          </w:p>
        </w:tc>
        <w:tc>
          <w:tcPr>
            <w:tcW w:w="44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42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gridSpan w:val="2"/>
          </w:tcPr>
          <w:p>
            <w:pPr>
              <w:jc w:val="right"/>
              <w:spacing w:after="0" w:line="142" w:lineRule="exact"/>
              <w:rPr>
                <w:sz w:val="20"/>
                <w:szCs w:val="20"/>
                <w:color w:val="auto"/>
              </w:rPr>
            </w:pPr>
            <w:r>
              <w:rPr>
                <w:rFonts w:ascii="Arial" w:cs="Arial" w:eastAsia="Arial" w:hAnsi="Arial"/>
                <w:sz w:val="14"/>
                <w:szCs w:val="14"/>
                <w:b w:val="1"/>
                <w:bCs w:val="1"/>
                <w:color w:val="auto"/>
                <w:w w:val="80"/>
              </w:rPr>
              <w:t>Predecessor</w:t>
            </w:r>
          </w:p>
        </w:tc>
        <w:tc>
          <w:tcPr>
            <w:tcW w:w="52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34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660" w:type="dxa"/>
            <w:vAlign w:val="bottom"/>
            <w:tcBorders>
              <w:right w:val="single" w:sz="8" w:color="auto"/>
            </w:tcBorders>
          </w:tcPr>
          <w:p>
            <w:pPr>
              <w:spacing w:after="0"/>
              <w:rPr>
                <w:sz w:val="11"/>
                <w:szCs w:val="11"/>
                <w:color w:val="auto"/>
              </w:rPr>
            </w:pPr>
          </w:p>
        </w:tc>
        <w:tc>
          <w:tcPr>
            <w:tcW w:w="440" w:type="dxa"/>
            <w:vAlign w:val="bottom"/>
          </w:tcPr>
          <w:p>
            <w:pPr>
              <w:spacing w:after="0"/>
              <w:rPr>
                <w:sz w:val="11"/>
                <w:szCs w:val="11"/>
                <w:color w:val="auto"/>
              </w:rPr>
            </w:pPr>
          </w:p>
        </w:tc>
        <w:tc>
          <w:tcPr>
            <w:tcW w:w="1080" w:type="dxa"/>
            <w:vAlign w:val="bottom"/>
            <w:gridSpan w:val="3"/>
          </w:tcPr>
          <w:p>
            <w:pPr>
              <w:jc w:val="center"/>
              <w:ind w:right="512"/>
              <w:spacing w:after="0" w:line="129" w:lineRule="exact"/>
              <w:rPr>
                <w:sz w:val="20"/>
                <w:szCs w:val="20"/>
                <w:color w:val="auto"/>
              </w:rPr>
            </w:pPr>
            <w:r>
              <w:rPr>
                <w:rFonts w:ascii="Arial" w:cs="Arial" w:eastAsia="Arial" w:hAnsi="Arial"/>
                <w:sz w:val="14"/>
                <w:szCs w:val="14"/>
                <w:b w:val="1"/>
                <w:bCs w:val="1"/>
                <w:color w:val="auto"/>
                <w:w w:val="87"/>
              </w:rPr>
              <w:t>July 1,</w:t>
            </w:r>
          </w:p>
        </w:tc>
        <w:tc>
          <w:tcPr>
            <w:tcW w:w="660" w:type="dxa"/>
            <w:vAlign w:val="bottom"/>
            <w:gridSpan w:val="2"/>
          </w:tcPr>
          <w:p>
            <w:pPr>
              <w:jc w:val="center"/>
              <w:spacing w:after="0" w:line="129" w:lineRule="exact"/>
              <w:rPr>
                <w:sz w:val="20"/>
                <w:szCs w:val="20"/>
                <w:color w:val="auto"/>
              </w:rPr>
            </w:pPr>
            <w:r>
              <w:rPr>
                <w:rFonts w:ascii="Arial" w:cs="Arial" w:eastAsia="Arial" w:hAnsi="Arial"/>
                <w:sz w:val="14"/>
                <w:szCs w:val="14"/>
                <w:b w:val="1"/>
                <w:bCs w:val="1"/>
                <w:color w:val="auto"/>
                <w:w w:val="89"/>
              </w:rPr>
              <w:t>January 1,</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4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660" w:type="dxa"/>
            <w:vAlign w:val="bottom"/>
            <w:tcBorders>
              <w:right w:val="single" w:sz="8" w:color="auto"/>
            </w:tcBorders>
          </w:tcPr>
          <w:p>
            <w:pPr>
              <w:spacing w:after="0"/>
              <w:rPr>
                <w:sz w:val="12"/>
                <w:szCs w:val="12"/>
                <w:color w:val="auto"/>
              </w:rPr>
            </w:pPr>
          </w:p>
        </w:tc>
        <w:tc>
          <w:tcPr>
            <w:tcW w:w="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20" w:type="dxa"/>
            <w:vAlign w:val="bottom"/>
          </w:tcPr>
          <w:p>
            <w:pPr>
              <w:jc w:val="center"/>
              <w:ind w:right="16"/>
              <w:spacing w:after="0" w:line="149" w:lineRule="exact"/>
              <w:rPr>
                <w:sz w:val="20"/>
                <w:szCs w:val="20"/>
                <w:color w:val="auto"/>
              </w:rPr>
            </w:pPr>
            <w:r>
              <w:rPr>
                <w:rFonts w:ascii="Arial" w:cs="Arial" w:eastAsia="Arial" w:hAnsi="Arial"/>
                <w:sz w:val="14"/>
                <w:szCs w:val="14"/>
                <w:b w:val="1"/>
                <w:bCs w:val="1"/>
                <w:color w:val="auto"/>
                <w:w w:val="89"/>
              </w:rPr>
              <w:t>2009</w:t>
            </w:r>
          </w:p>
        </w:tc>
        <w:tc>
          <w:tcPr>
            <w:tcW w:w="5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20" w:type="dxa"/>
            <w:vAlign w:val="bottom"/>
          </w:tcPr>
          <w:p>
            <w:pPr>
              <w:jc w:val="center"/>
              <w:ind w:right="78"/>
              <w:spacing w:after="0" w:line="149" w:lineRule="exact"/>
              <w:rPr>
                <w:sz w:val="20"/>
                <w:szCs w:val="20"/>
                <w:color w:val="auto"/>
              </w:rPr>
            </w:pPr>
            <w:r>
              <w:rPr>
                <w:rFonts w:ascii="Arial" w:cs="Arial" w:eastAsia="Arial" w:hAnsi="Arial"/>
                <w:sz w:val="14"/>
                <w:szCs w:val="14"/>
                <w:b w:val="1"/>
                <w:bCs w:val="1"/>
                <w:color w:val="auto"/>
                <w:w w:val="89"/>
              </w:rPr>
              <w:t>2009</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4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80" w:type="dxa"/>
            <w:vAlign w:val="bottom"/>
            <w:gridSpan w:val="2"/>
          </w:tcPr>
          <w:p>
            <w:pPr>
              <w:jc w:val="right"/>
              <w:ind w:right="440"/>
              <w:spacing w:after="0" w:line="149" w:lineRule="exact"/>
              <w:rPr>
                <w:sz w:val="20"/>
                <w:szCs w:val="20"/>
                <w:color w:val="auto"/>
              </w:rPr>
            </w:pPr>
            <w:r>
              <w:rPr>
                <w:rFonts w:ascii="Arial" w:cs="Arial" w:eastAsia="Arial" w:hAnsi="Arial"/>
                <w:sz w:val="14"/>
                <w:szCs w:val="14"/>
                <w:b w:val="1"/>
                <w:bCs w:val="1"/>
                <w:color w:val="auto"/>
                <w:w w:val="89"/>
              </w:rPr>
              <w:t>Three Months</w:t>
            </w:r>
          </w:p>
        </w:tc>
        <w:tc>
          <w:tcPr>
            <w:tcW w:w="2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80" w:type="dxa"/>
            <w:vAlign w:val="bottom"/>
            <w:gridSpan w:val="2"/>
          </w:tcPr>
          <w:p>
            <w:pPr>
              <w:jc w:val="center"/>
              <w:ind w:right="400"/>
              <w:spacing w:after="0" w:line="149" w:lineRule="exact"/>
              <w:rPr>
                <w:sz w:val="20"/>
                <w:szCs w:val="20"/>
                <w:color w:val="auto"/>
              </w:rPr>
            </w:pPr>
            <w:r>
              <w:rPr>
                <w:rFonts w:ascii="Arial" w:cs="Arial" w:eastAsia="Arial" w:hAnsi="Arial"/>
                <w:sz w:val="14"/>
                <w:szCs w:val="14"/>
                <w:b w:val="1"/>
                <w:bCs w:val="1"/>
                <w:color w:val="auto"/>
                <w:w w:val="88"/>
              </w:rPr>
              <w:t>Nine Months</w:t>
            </w:r>
          </w:p>
        </w:tc>
        <w:tc>
          <w:tcPr>
            <w:tcW w:w="3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40" w:type="dxa"/>
            <w:vAlign w:val="bottom"/>
            <w:tcBorders>
              <w:right w:val="single" w:sz="8" w:color="auto"/>
            </w:tcBorders>
            <w:gridSpan w:val="2"/>
          </w:tcPr>
          <w:p>
            <w:pPr>
              <w:jc w:val="right"/>
              <w:ind w:right="840"/>
              <w:spacing w:after="0" w:line="149" w:lineRule="exact"/>
              <w:rPr>
                <w:sz w:val="20"/>
                <w:szCs w:val="20"/>
                <w:color w:val="auto"/>
              </w:rPr>
            </w:pPr>
            <w:r>
              <w:rPr>
                <w:rFonts w:ascii="Arial" w:cs="Arial" w:eastAsia="Arial" w:hAnsi="Arial"/>
                <w:sz w:val="14"/>
                <w:szCs w:val="14"/>
                <w:b w:val="1"/>
                <w:bCs w:val="1"/>
                <w:color w:val="auto"/>
                <w:w w:val="90"/>
              </w:rPr>
              <w:t>July 10, 2009</w:t>
            </w:r>
          </w:p>
        </w:tc>
        <w:tc>
          <w:tcPr>
            <w:tcW w:w="440" w:type="dxa"/>
            <w:vAlign w:val="bottom"/>
          </w:tcPr>
          <w:p>
            <w:pPr>
              <w:spacing w:after="0"/>
              <w:rPr>
                <w:sz w:val="12"/>
                <w:szCs w:val="12"/>
                <w:color w:val="auto"/>
              </w:rPr>
            </w:pPr>
          </w:p>
        </w:tc>
        <w:tc>
          <w:tcPr>
            <w:tcW w:w="1080" w:type="dxa"/>
            <w:vAlign w:val="bottom"/>
            <w:gridSpan w:val="3"/>
          </w:tcPr>
          <w:p>
            <w:pPr>
              <w:jc w:val="center"/>
              <w:ind w:right="492"/>
              <w:spacing w:after="0" w:line="149" w:lineRule="exact"/>
              <w:rPr>
                <w:sz w:val="20"/>
                <w:szCs w:val="20"/>
                <w:color w:val="auto"/>
              </w:rPr>
            </w:pPr>
            <w:r>
              <w:rPr>
                <w:rFonts w:ascii="Arial" w:cs="Arial" w:eastAsia="Arial" w:hAnsi="Arial"/>
                <w:sz w:val="14"/>
                <w:szCs w:val="14"/>
                <w:b w:val="1"/>
                <w:bCs w:val="1"/>
                <w:color w:val="auto"/>
                <w:w w:val="91"/>
              </w:rPr>
              <w:t>Through</w:t>
            </w:r>
          </w:p>
        </w:tc>
        <w:tc>
          <w:tcPr>
            <w:tcW w:w="760" w:type="dxa"/>
            <w:vAlign w:val="bottom"/>
            <w:gridSpan w:val="3"/>
          </w:tcPr>
          <w:p>
            <w:pPr>
              <w:jc w:val="center"/>
              <w:ind w:right="120"/>
              <w:spacing w:after="0" w:line="149" w:lineRule="exact"/>
              <w:rPr>
                <w:sz w:val="20"/>
                <w:szCs w:val="20"/>
                <w:color w:val="auto"/>
              </w:rPr>
            </w:pPr>
            <w:r>
              <w:rPr>
                <w:rFonts w:ascii="Arial" w:cs="Arial" w:eastAsia="Arial" w:hAnsi="Arial"/>
                <w:sz w:val="14"/>
                <w:szCs w:val="14"/>
                <w:b w:val="1"/>
                <w:bCs w:val="1"/>
                <w:color w:val="auto"/>
                <w:w w:val="91"/>
              </w:rPr>
              <w:t>Through</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4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80" w:type="dxa"/>
            <w:vAlign w:val="bottom"/>
            <w:gridSpan w:val="2"/>
          </w:tcPr>
          <w:p>
            <w:pPr>
              <w:jc w:val="right"/>
              <w:ind w:right="660"/>
              <w:spacing w:after="0" w:line="149" w:lineRule="exact"/>
              <w:rPr>
                <w:sz w:val="20"/>
                <w:szCs w:val="20"/>
                <w:color w:val="auto"/>
              </w:rPr>
            </w:pPr>
            <w:r>
              <w:rPr>
                <w:rFonts w:ascii="Arial" w:cs="Arial" w:eastAsia="Arial" w:hAnsi="Arial"/>
                <w:sz w:val="14"/>
                <w:szCs w:val="14"/>
                <w:b w:val="1"/>
                <w:bCs w:val="1"/>
                <w:color w:val="auto"/>
              </w:rPr>
              <w:t>Ended</w:t>
            </w:r>
          </w:p>
        </w:tc>
        <w:tc>
          <w:tcPr>
            <w:tcW w:w="2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80" w:type="dxa"/>
            <w:vAlign w:val="bottom"/>
            <w:gridSpan w:val="2"/>
          </w:tcPr>
          <w:p>
            <w:pPr>
              <w:jc w:val="center"/>
              <w:ind w:right="400"/>
              <w:spacing w:after="0" w:line="149" w:lineRule="exact"/>
              <w:rPr>
                <w:sz w:val="20"/>
                <w:szCs w:val="20"/>
                <w:color w:val="auto"/>
              </w:rPr>
            </w:pPr>
            <w:r>
              <w:rPr>
                <w:rFonts w:ascii="Arial" w:cs="Arial" w:eastAsia="Arial" w:hAnsi="Arial"/>
                <w:sz w:val="14"/>
                <w:szCs w:val="14"/>
                <w:b w:val="1"/>
                <w:bCs w:val="1"/>
                <w:color w:val="auto"/>
                <w:w w:val="88"/>
              </w:rPr>
              <w:t>Ended</w:t>
            </w:r>
          </w:p>
        </w:tc>
        <w:tc>
          <w:tcPr>
            <w:tcW w:w="3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40" w:type="dxa"/>
            <w:vAlign w:val="bottom"/>
            <w:tcBorders>
              <w:right w:val="single" w:sz="8" w:color="auto"/>
            </w:tcBorders>
            <w:gridSpan w:val="2"/>
          </w:tcPr>
          <w:p>
            <w:pPr>
              <w:jc w:val="right"/>
              <w:ind w:right="960"/>
              <w:spacing w:after="0" w:line="149" w:lineRule="exact"/>
              <w:rPr>
                <w:sz w:val="20"/>
                <w:szCs w:val="20"/>
                <w:color w:val="auto"/>
              </w:rPr>
            </w:pPr>
            <w:r>
              <w:rPr>
                <w:rFonts w:ascii="Arial" w:cs="Arial" w:eastAsia="Arial" w:hAnsi="Arial"/>
                <w:sz w:val="14"/>
                <w:szCs w:val="14"/>
                <w:b w:val="1"/>
                <w:bCs w:val="1"/>
                <w:color w:val="auto"/>
              </w:rPr>
              <w:t>Through</w:t>
            </w:r>
          </w:p>
        </w:tc>
        <w:tc>
          <w:tcPr>
            <w:tcW w:w="440" w:type="dxa"/>
            <w:vAlign w:val="bottom"/>
          </w:tcPr>
          <w:p>
            <w:pPr>
              <w:spacing w:after="0"/>
              <w:rPr>
                <w:sz w:val="12"/>
                <w:szCs w:val="12"/>
                <w:color w:val="auto"/>
              </w:rPr>
            </w:pPr>
          </w:p>
        </w:tc>
        <w:tc>
          <w:tcPr>
            <w:tcW w:w="1080" w:type="dxa"/>
            <w:vAlign w:val="bottom"/>
            <w:gridSpan w:val="3"/>
          </w:tcPr>
          <w:p>
            <w:pPr>
              <w:jc w:val="center"/>
              <w:ind w:right="492"/>
              <w:spacing w:after="0" w:line="149" w:lineRule="exact"/>
              <w:rPr>
                <w:sz w:val="20"/>
                <w:szCs w:val="20"/>
                <w:color w:val="auto"/>
              </w:rPr>
            </w:pPr>
            <w:r>
              <w:rPr>
                <w:rFonts w:ascii="Arial" w:cs="Arial" w:eastAsia="Arial" w:hAnsi="Arial"/>
                <w:sz w:val="14"/>
                <w:szCs w:val="14"/>
                <w:b w:val="1"/>
                <w:bCs w:val="1"/>
                <w:color w:val="auto"/>
                <w:w w:val="91"/>
              </w:rPr>
              <w:t>July 9,</w:t>
            </w:r>
          </w:p>
        </w:tc>
        <w:tc>
          <w:tcPr>
            <w:tcW w:w="140" w:type="dxa"/>
            <w:vAlign w:val="bottom"/>
          </w:tcPr>
          <w:p>
            <w:pPr>
              <w:spacing w:after="0"/>
              <w:rPr>
                <w:sz w:val="12"/>
                <w:szCs w:val="12"/>
                <w:color w:val="auto"/>
              </w:rPr>
            </w:pPr>
          </w:p>
        </w:tc>
        <w:tc>
          <w:tcPr>
            <w:tcW w:w="62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87"/>
              </w:rPr>
              <w:t>July 9,</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34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400" w:type="dxa"/>
            <w:vAlign w:val="bottom"/>
            <w:gridSpan w:val="3"/>
          </w:tcPr>
          <w:p>
            <w:pPr>
              <w:spacing w:after="0"/>
              <w:rPr>
                <w:sz w:val="20"/>
                <w:szCs w:val="20"/>
                <w:color w:val="auto"/>
              </w:rPr>
            </w:pPr>
            <w:r>
              <w:rPr>
                <w:rFonts w:ascii="Arial" w:cs="Arial" w:eastAsia="Arial" w:hAnsi="Arial"/>
                <w:sz w:val="14"/>
                <w:szCs w:val="14"/>
                <w:b w:val="1"/>
                <w:bCs w:val="1"/>
                <w:color w:val="auto"/>
              </w:rPr>
              <w:t>September 30, 2010</w:t>
            </w:r>
          </w:p>
        </w:tc>
        <w:tc>
          <w:tcPr>
            <w:tcW w:w="260" w:type="dxa"/>
            <w:vAlign w:val="bottom"/>
          </w:tcPr>
          <w:p>
            <w:pPr>
              <w:spacing w:after="0"/>
              <w:rPr>
                <w:sz w:val="14"/>
                <w:szCs w:val="14"/>
                <w:color w:val="auto"/>
              </w:rPr>
            </w:pPr>
          </w:p>
        </w:tc>
        <w:tc>
          <w:tcPr>
            <w:tcW w:w="1360" w:type="dxa"/>
            <w:vAlign w:val="bottom"/>
            <w:gridSpan w:val="3"/>
          </w:tcPr>
          <w:p>
            <w:pPr>
              <w:jc w:val="center"/>
              <w:ind w:right="200"/>
              <w:spacing w:after="0"/>
              <w:rPr>
                <w:sz w:val="20"/>
                <w:szCs w:val="20"/>
                <w:color w:val="auto"/>
              </w:rPr>
            </w:pPr>
            <w:r>
              <w:rPr>
                <w:rFonts w:ascii="Arial" w:cs="Arial" w:eastAsia="Arial" w:hAnsi="Arial"/>
                <w:sz w:val="14"/>
                <w:szCs w:val="14"/>
                <w:b w:val="1"/>
                <w:bCs w:val="1"/>
                <w:color w:val="auto"/>
                <w:w w:val="85"/>
              </w:rPr>
              <w:t>September 30, 2010</w:t>
            </w:r>
          </w:p>
        </w:tc>
        <w:tc>
          <w:tcPr>
            <w:tcW w:w="340" w:type="dxa"/>
            <w:vAlign w:val="bottom"/>
          </w:tcPr>
          <w:p>
            <w:pPr>
              <w:spacing w:after="0"/>
              <w:rPr>
                <w:sz w:val="14"/>
                <w:szCs w:val="14"/>
                <w:color w:val="auto"/>
              </w:rPr>
            </w:pPr>
          </w:p>
        </w:tc>
        <w:tc>
          <w:tcPr>
            <w:tcW w:w="1780" w:type="dxa"/>
            <w:vAlign w:val="bottom"/>
            <w:tcBorders>
              <w:right w:val="single" w:sz="8" w:color="auto"/>
            </w:tcBorders>
            <w:gridSpan w:val="3"/>
          </w:tcPr>
          <w:p>
            <w:pPr>
              <w:spacing w:after="0"/>
              <w:rPr>
                <w:sz w:val="20"/>
                <w:szCs w:val="20"/>
                <w:color w:val="auto"/>
              </w:rPr>
            </w:pPr>
            <w:r>
              <w:rPr>
                <w:rFonts w:ascii="Arial" w:cs="Arial" w:eastAsia="Arial" w:hAnsi="Arial"/>
                <w:sz w:val="14"/>
                <w:szCs w:val="14"/>
                <w:b w:val="1"/>
                <w:bCs w:val="1"/>
                <w:color w:val="auto"/>
              </w:rPr>
              <w:t>September 30, 2009</w:t>
            </w:r>
          </w:p>
        </w:tc>
        <w:tc>
          <w:tcPr>
            <w:tcW w:w="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20" w:type="dxa"/>
            <w:vAlign w:val="bottom"/>
          </w:tcPr>
          <w:p>
            <w:pPr>
              <w:jc w:val="center"/>
              <w:ind w:right="16"/>
              <w:spacing w:after="0"/>
              <w:rPr>
                <w:sz w:val="20"/>
                <w:szCs w:val="20"/>
                <w:color w:val="auto"/>
              </w:rPr>
            </w:pPr>
            <w:r>
              <w:rPr>
                <w:rFonts w:ascii="Arial" w:cs="Arial" w:eastAsia="Arial" w:hAnsi="Arial"/>
                <w:sz w:val="14"/>
                <w:szCs w:val="14"/>
                <w:b w:val="1"/>
                <w:bCs w:val="1"/>
                <w:color w:val="auto"/>
                <w:w w:val="89"/>
              </w:rPr>
              <w:t>2009</w:t>
            </w:r>
          </w:p>
        </w:tc>
        <w:tc>
          <w:tcPr>
            <w:tcW w:w="5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20" w:type="dxa"/>
            <w:vAlign w:val="bottom"/>
          </w:tcPr>
          <w:p>
            <w:pPr>
              <w:jc w:val="center"/>
              <w:ind w:right="78"/>
              <w:spacing w:after="0"/>
              <w:rPr>
                <w:sz w:val="20"/>
                <w:szCs w:val="20"/>
                <w:color w:val="auto"/>
              </w:rPr>
            </w:pPr>
            <w:r>
              <w:rPr>
                <w:rFonts w:ascii="Arial" w:cs="Arial" w:eastAsia="Arial" w:hAnsi="Arial"/>
                <w:sz w:val="14"/>
                <w:szCs w:val="14"/>
                <w:b w:val="1"/>
                <w:bCs w:val="1"/>
                <w:color w:val="auto"/>
                <w:w w:val="89"/>
              </w:rPr>
              <w:t>2009</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4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Components of (Income) expense</w:t>
            </w:r>
          </w:p>
        </w:tc>
        <w:tc>
          <w:tcPr>
            <w:tcW w:w="52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660" w:type="dxa"/>
            <w:vAlign w:val="bottom"/>
            <w:tcBorders>
              <w:right w:val="single" w:sz="8" w:color="auto"/>
            </w:tcBorders>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60" w:type="dxa"/>
            <w:vAlign w:val="bottom"/>
          </w:tcPr>
          <w:p>
            <w:pPr>
              <w:spacing w:after="0"/>
              <w:rPr>
                <w:sz w:val="20"/>
                <w:szCs w:val="20"/>
                <w:color w:val="auto"/>
              </w:rPr>
            </w:pPr>
            <w:r>
              <w:rPr>
                <w:rFonts w:ascii="Arial" w:cs="Arial" w:eastAsia="Arial" w:hAnsi="Arial"/>
                <w:sz w:val="18"/>
                <w:szCs w:val="18"/>
                <w:color w:val="auto"/>
              </w:rPr>
              <w:t>Service cost</w:t>
            </w:r>
          </w:p>
        </w:tc>
        <w:tc>
          <w:tcPr>
            <w:tcW w:w="640" w:type="dxa"/>
            <w:vAlign w:val="bottom"/>
            <w:gridSpan w:val="2"/>
          </w:tcPr>
          <w:p>
            <w:pPr>
              <w:ind w:left="520"/>
              <w:spacing w:after="0"/>
              <w:rPr>
                <w:sz w:val="20"/>
                <w:szCs w:val="20"/>
                <w:color w:val="auto"/>
              </w:rPr>
            </w:pPr>
            <w:r>
              <w:rPr>
                <w:rFonts w:ascii="Arial" w:cs="Arial" w:eastAsia="Arial" w:hAnsi="Arial"/>
                <w:sz w:val="18"/>
                <w:szCs w:val="18"/>
                <w:color w:val="auto"/>
                <w:w w:val="99"/>
              </w:rPr>
              <w:t>$</w:t>
            </w:r>
          </w:p>
        </w:tc>
        <w:tc>
          <w:tcPr>
            <w:tcW w:w="1280" w:type="dxa"/>
            <w:vAlign w:val="bottom"/>
            <w:gridSpan w:val="2"/>
          </w:tcPr>
          <w:p>
            <w:pPr>
              <w:jc w:val="right"/>
              <w:ind w:right="280"/>
              <w:spacing w:after="0"/>
              <w:rPr>
                <w:sz w:val="20"/>
                <w:szCs w:val="20"/>
                <w:color w:val="auto"/>
              </w:rPr>
            </w:pPr>
            <w:r>
              <w:rPr>
                <w:rFonts w:ascii="Arial" w:cs="Arial" w:eastAsia="Arial" w:hAnsi="Arial"/>
                <w:sz w:val="18"/>
                <w:szCs w:val="18"/>
                <w:color w:val="auto"/>
              </w:rPr>
              <w:t>128</w:t>
            </w:r>
          </w:p>
        </w:tc>
        <w:tc>
          <w:tcPr>
            <w:tcW w:w="440" w:type="dxa"/>
            <w:vAlign w:val="bottom"/>
            <w:gridSpan w:val="2"/>
          </w:tcPr>
          <w:p>
            <w:pPr>
              <w:jc w:val="center"/>
              <w:ind w:left="92"/>
              <w:spacing w:after="0"/>
              <w:rPr>
                <w:sz w:val="20"/>
                <w:szCs w:val="20"/>
                <w:color w:val="auto"/>
              </w:rPr>
            </w:pPr>
            <w:r>
              <w:rPr>
                <w:rFonts w:ascii="Arial" w:cs="Arial" w:eastAsia="Arial" w:hAnsi="Arial"/>
                <w:sz w:val="18"/>
                <w:szCs w:val="18"/>
                <w:color w:val="auto"/>
                <w:w w:val="99"/>
              </w:rPr>
              <w:t>$</w:t>
            </w: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387</w:t>
            </w:r>
          </w:p>
        </w:tc>
        <w:tc>
          <w:tcPr>
            <w:tcW w:w="480" w:type="dxa"/>
            <w:vAlign w:val="bottom"/>
            <w:gridSpan w:val="2"/>
          </w:tcPr>
          <w:p>
            <w:pPr>
              <w:ind w:left="340"/>
              <w:spacing w:after="0"/>
              <w:rPr>
                <w:sz w:val="20"/>
                <w:szCs w:val="20"/>
                <w:color w:val="auto"/>
              </w:rPr>
            </w:pPr>
            <w:r>
              <w:rPr>
                <w:rFonts w:ascii="Arial" w:cs="Arial" w:eastAsia="Arial" w:hAnsi="Arial"/>
                <w:sz w:val="18"/>
                <w:szCs w:val="18"/>
                <w:color w:val="auto"/>
              </w:rPr>
              <w:t>$</w:t>
            </w:r>
          </w:p>
        </w:tc>
        <w:tc>
          <w:tcPr>
            <w:tcW w:w="1640" w:type="dxa"/>
            <w:vAlign w:val="bottom"/>
            <w:tcBorders>
              <w:right w:val="single" w:sz="8" w:color="auto"/>
            </w:tcBorders>
            <w:gridSpan w:val="2"/>
          </w:tcPr>
          <w:p>
            <w:pPr>
              <w:jc w:val="right"/>
              <w:ind w:right="660"/>
              <w:spacing w:after="0"/>
              <w:rPr>
                <w:sz w:val="20"/>
                <w:szCs w:val="20"/>
                <w:color w:val="auto"/>
              </w:rPr>
            </w:pPr>
            <w:r>
              <w:rPr>
                <w:rFonts w:ascii="Arial" w:cs="Arial" w:eastAsia="Arial" w:hAnsi="Arial"/>
                <w:sz w:val="18"/>
                <w:szCs w:val="18"/>
                <w:color w:val="auto"/>
              </w:rPr>
              <w:t>119</w:t>
            </w:r>
          </w:p>
        </w:tc>
        <w:tc>
          <w:tcPr>
            <w:tcW w:w="5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20" w:type="dxa"/>
            <w:vAlign w:val="bottom"/>
          </w:tcPr>
          <w:p>
            <w:pPr>
              <w:jc w:val="right"/>
              <w:spacing w:after="0"/>
              <w:rPr>
                <w:sz w:val="20"/>
                <w:szCs w:val="20"/>
                <w:color w:val="auto"/>
              </w:rPr>
            </w:pPr>
            <w:r>
              <w:rPr>
                <w:rFonts w:ascii="Arial" w:cs="Arial" w:eastAsia="Arial" w:hAnsi="Arial"/>
                <w:sz w:val="18"/>
                <w:szCs w:val="18"/>
                <w:color w:val="auto"/>
              </w:rPr>
              <w:t>10</w:t>
            </w:r>
          </w:p>
        </w:tc>
        <w:tc>
          <w:tcPr>
            <w:tcW w:w="56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gridSpan w:val="2"/>
          </w:tcPr>
          <w:p>
            <w:pPr>
              <w:jc w:val="right"/>
              <w:ind w:right="100"/>
              <w:spacing w:after="0"/>
              <w:rPr>
                <w:sz w:val="20"/>
                <w:szCs w:val="20"/>
                <w:color w:val="auto"/>
              </w:rPr>
            </w:pPr>
            <w:r>
              <w:rPr>
                <w:rFonts w:ascii="Arial" w:cs="Arial" w:eastAsia="Arial" w:hAnsi="Arial"/>
                <w:sz w:val="18"/>
                <w:szCs w:val="18"/>
                <w:color w:val="auto"/>
              </w:rPr>
              <w:t>243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60" w:type="dxa"/>
            <w:vAlign w:val="bottom"/>
            <w:shd w:val="clear" w:color="auto" w:fill="CCEEFF"/>
          </w:tcPr>
          <w:p>
            <w:pPr>
              <w:spacing w:after="0"/>
              <w:rPr>
                <w:sz w:val="20"/>
                <w:szCs w:val="20"/>
                <w:color w:val="auto"/>
              </w:rPr>
            </w:pPr>
            <w:r>
              <w:rPr>
                <w:rFonts w:ascii="Arial" w:cs="Arial" w:eastAsia="Arial" w:hAnsi="Arial"/>
                <w:sz w:val="18"/>
                <w:szCs w:val="18"/>
                <w:color w:val="auto"/>
              </w:rPr>
              <w:t>Interest cost</w:t>
            </w:r>
          </w:p>
        </w:tc>
        <w:tc>
          <w:tcPr>
            <w:tcW w:w="5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1,338</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4,014</w:t>
            </w:r>
          </w:p>
        </w:tc>
        <w:tc>
          <w:tcPr>
            <w:tcW w:w="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40" w:type="dxa"/>
            <w:vAlign w:val="bottom"/>
            <w:tcBorders>
              <w:right w:val="single" w:sz="8" w:color="auto"/>
            </w:tcBorders>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1,235</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143</w:t>
            </w:r>
          </w:p>
        </w:tc>
        <w:tc>
          <w:tcPr>
            <w:tcW w:w="5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3,077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60" w:type="dxa"/>
            <w:vAlign w:val="bottom"/>
          </w:tcPr>
          <w:p>
            <w:pPr>
              <w:spacing w:after="0"/>
              <w:rPr>
                <w:sz w:val="20"/>
                <w:szCs w:val="20"/>
                <w:color w:val="auto"/>
              </w:rPr>
            </w:pPr>
            <w:r>
              <w:rPr>
                <w:rFonts w:ascii="Arial" w:cs="Arial" w:eastAsia="Arial" w:hAnsi="Arial"/>
                <w:sz w:val="18"/>
                <w:szCs w:val="18"/>
                <w:color w:val="auto"/>
              </w:rPr>
              <w:t>Expected return on plan assets</w:t>
            </w:r>
          </w:p>
        </w:tc>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8"/>
                <w:szCs w:val="18"/>
                <w:color w:val="auto"/>
              </w:rPr>
              <w:t>(1,639)</w:t>
            </w: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gridSpan w:val="2"/>
          </w:tcPr>
          <w:p>
            <w:pPr>
              <w:jc w:val="right"/>
              <w:ind w:right="160"/>
              <w:spacing w:after="0"/>
              <w:rPr>
                <w:sz w:val="20"/>
                <w:szCs w:val="20"/>
                <w:color w:val="auto"/>
              </w:rPr>
            </w:pPr>
            <w:r>
              <w:rPr>
                <w:rFonts w:ascii="Arial" w:cs="Arial" w:eastAsia="Arial" w:hAnsi="Arial"/>
                <w:sz w:val="18"/>
                <w:szCs w:val="18"/>
                <w:color w:val="auto"/>
              </w:rPr>
              <w:t>(4,914)</w:t>
            </w: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40" w:type="dxa"/>
            <w:vAlign w:val="bottom"/>
            <w:tcBorders>
              <w:right w:val="single" w:sz="8" w:color="auto"/>
            </w:tcBorders>
            <w:gridSpan w:val="2"/>
          </w:tcPr>
          <w:p>
            <w:pPr>
              <w:jc w:val="right"/>
              <w:ind w:right="600"/>
              <w:spacing w:after="0"/>
              <w:rPr>
                <w:sz w:val="20"/>
                <w:szCs w:val="20"/>
                <w:color w:val="auto"/>
              </w:rPr>
            </w:pPr>
            <w:r>
              <w:rPr>
                <w:rFonts w:ascii="Arial" w:cs="Arial" w:eastAsia="Arial" w:hAnsi="Arial"/>
                <w:sz w:val="18"/>
                <w:szCs w:val="18"/>
                <w:color w:val="auto"/>
              </w:rPr>
              <w:t>(1,437)</w:t>
            </w: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right"/>
              <w:ind w:right="432"/>
              <w:spacing w:after="0"/>
              <w:rPr>
                <w:sz w:val="20"/>
                <w:szCs w:val="20"/>
                <w:color w:val="auto"/>
              </w:rPr>
            </w:pPr>
            <w:r>
              <w:rPr>
                <w:rFonts w:ascii="Arial" w:cs="Arial" w:eastAsia="Arial" w:hAnsi="Arial"/>
                <w:sz w:val="18"/>
                <w:szCs w:val="18"/>
                <w:color w:val="auto"/>
              </w:rPr>
              <w:t>(169)</w:t>
            </w:r>
          </w:p>
        </w:tc>
        <w:tc>
          <w:tcPr>
            <w:tcW w:w="140" w:type="dxa"/>
            <w:vAlign w:val="bottom"/>
          </w:tcPr>
          <w:p>
            <w:pPr>
              <w:spacing w:after="0"/>
              <w:rPr>
                <w:sz w:val="18"/>
                <w:szCs w:val="18"/>
                <w:color w:val="auto"/>
              </w:rPr>
            </w:pPr>
          </w:p>
        </w:tc>
        <w:tc>
          <w:tcPr>
            <w:tcW w:w="620" w:type="dxa"/>
            <w:vAlign w:val="bottom"/>
            <w:gridSpan w:val="2"/>
          </w:tcPr>
          <w:p>
            <w:pPr>
              <w:jc w:val="right"/>
              <w:ind w:right="40"/>
              <w:spacing w:after="0"/>
              <w:rPr>
                <w:sz w:val="20"/>
                <w:szCs w:val="20"/>
                <w:color w:val="auto"/>
              </w:rPr>
            </w:pPr>
            <w:r>
              <w:rPr>
                <w:rFonts w:ascii="Arial" w:cs="Arial" w:eastAsia="Arial" w:hAnsi="Arial"/>
                <w:sz w:val="18"/>
                <w:szCs w:val="18"/>
                <w:color w:val="auto"/>
                <w:w w:val="98"/>
              </w:rPr>
              <w:t>(3,810)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60" w:type="dxa"/>
            <w:vAlign w:val="bottom"/>
            <w:shd w:val="clear" w:color="auto" w:fill="CCEEFF"/>
          </w:tcPr>
          <w:p>
            <w:pPr>
              <w:spacing w:after="0"/>
              <w:rPr>
                <w:sz w:val="20"/>
                <w:szCs w:val="20"/>
                <w:color w:val="auto"/>
              </w:rPr>
            </w:pPr>
            <w:r>
              <w:rPr>
                <w:rFonts w:ascii="Arial" w:cs="Arial" w:eastAsia="Arial" w:hAnsi="Arial"/>
                <w:sz w:val="18"/>
                <w:szCs w:val="18"/>
                <w:color w:val="auto"/>
              </w:rPr>
              <w:t>Amortization of prior service cost (credit)</w:t>
            </w:r>
          </w:p>
        </w:tc>
        <w:tc>
          <w:tcPr>
            <w:tcW w:w="5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w:t>
            </w:r>
          </w:p>
        </w:tc>
        <w:tc>
          <w:tcPr>
            <w:tcW w:w="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40" w:type="dxa"/>
            <w:vAlign w:val="bottom"/>
            <w:tcBorders>
              <w:right w:val="single" w:sz="8" w:color="auto"/>
            </w:tcBorders>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5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429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60" w:type="dxa"/>
            <w:vAlign w:val="bottom"/>
          </w:tcPr>
          <w:p>
            <w:pPr>
              <w:spacing w:after="0"/>
              <w:rPr>
                <w:sz w:val="20"/>
                <w:szCs w:val="20"/>
                <w:color w:val="auto"/>
              </w:rPr>
            </w:pPr>
            <w:r>
              <w:rPr>
                <w:rFonts w:ascii="Arial" w:cs="Arial" w:eastAsia="Arial" w:hAnsi="Arial"/>
                <w:sz w:val="18"/>
                <w:szCs w:val="18"/>
                <w:color w:val="auto"/>
              </w:rPr>
              <w:t>Amortization of transition obligation</w:t>
            </w:r>
          </w:p>
        </w:tc>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8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40" w:type="dxa"/>
            <w:vAlign w:val="bottom"/>
            <w:tcBorders>
              <w:right w:val="single" w:sz="8" w:color="auto"/>
            </w:tcBorders>
            <w:gridSpan w:val="2"/>
          </w:tcPr>
          <w:p>
            <w:pPr>
              <w:jc w:val="right"/>
              <w:ind w:right="660"/>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right"/>
              <w:ind w:right="492"/>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6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60" w:type="dxa"/>
            <w:vAlign w:val="bottom"/>
            <w:shd w:val="clear" w:color="auto" w:fill="CCEEFF"/>
          </w:tcPr>
          <w:p>
            <w:pPr>
              <w:spacing w:after="0"/>
              <w:rPr>
                <w:sz w:val="20"/>
                <w:szCs w:val="20"/>
                <w:color w:val="auto"/>
              </w:rPr>
            </w:pPr>
            <w:r>
              <w:rPr>
                <w:rFonts w:ascii="Arial" w:cs="Arial" w:eastAsia="Arial" w:hAnsi="Arial"/>
                <w:sz w:val="18"/>
                <w:szCs w:val="18"/>
                <w:color w:val="auto"/>
              </w:rPr>
              <w:t>Recognized net actuarial loss</w:t>
            </w:r>
          </w:p>
        </w:tc>
        <w:tc>
          <w:tcPr>
            <w:tcW w:w="5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40" w:type="dxa"/>
            <w:vAlign w:val="bottom"/>
            <w:tcBorders>
              <w:right w:val="single" w:sz="8" w:color="auto"/>
            </w:tcBorders>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w:t>
            </w:r>
          </w:p>
        </w:tc>
        <w:tc>
          <w:tcPr>
            <w:tcW w:w="5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60" w:type="dxa"/>
            <w:vAlign w:val="bottom"/>
          </w:tcPr>
          <w:p>
            <w:pPr>
              <w:spacing w:after="0"/>
              <w:rPr>
                <w:sz w:val="20"/>
                <w:szCs w:val="20"/>
                <w:color w:val="auto"/>
              </w:rPr>
            </w:pPr>
            <w:r>
              <w:rPr>
                <w:rFonts w:ascii="Arial" w:cs="Arial" w:eastAsia="Arial" w:hAnsi="Arial"/>
                <w:sz w:val="18"/>
                <w:szCs w:val="18"/>
                <w:color w:val="auto"/>
              </w:rPr>
              <w:t>Curtailments, settlements and other</w:t>
            </w:r>
          </w:p>
        </w:tc>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8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40" w:type="dxa"/>
            <w:vAlign w:val="bottom"/>
            <w:tcBorders>
              <w:right w:val="single" w:sz="8" w:color="auto"/>
            </w:tcBorders>
            <w:gridSpan w:val="2"/>
          </w:tcPr>
          <w:p>
            <w:pPr>
              <w:jc w:val="right"/>
              <w:ind w:right="660"/>
              <w:spacing w:after="0"/>
              <w:rPr>
                <w:sz w:val="20"/>
                <w:szCs w:val="20"/>
                <w:color w:val="auto"/>
              </w:rPr>
            </w:pPr>
            <w:r>
              <w:rPr>
                <w:rFonts w:ascii="Arial" w:cs="Arial" w:eastAsia="Arial" w:hAnsi="Arial"/>
                <w:sz w:val="18"/>
                <w:szCs w:val="18"/>
                <w:color w:val="auto"/>
              </w:rPr>
              <w:t>209</w:t>
            </w: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2</w:t>
            </w:r>
          </w:p>
        </w:tc>
        <w:tc>
          <w:tcPr>
            <w:tcW w:w="5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gridSpan w:val="2"/>
          </w:tcPr>
          <w:p>
            <w:pPr>
              <w:jc w:val="right"/>
              <w:ind w:right="100"/>
              <w:spacing w:after="0"/>
              <w:rPr>
                <w:sz w:val="20"/>
                <w:szCs w:val="20"/>
                <w:color w:val="auto"/>
              </w:rPr>
            </w:pPr>
            <w:r>
              <w:rPr>
                <w:rFonts w:ascii="Arial" w:cs="Arial" w:eastAsia="Arial" w:hAnsi="Arial"/>
                <w:sz w:val="18"/>
                <w:szCs w:val="18"/>
                <w:color w:val="auto"/>
              </w:rPr>
              <w:t>1,720</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3460" w:type="dxa"/>
            <w:vAlign w:val="bottom"/>
          </w:tcPr>
          <w:p>
            <w:pPr>
              <w:spacing w:after="0"/>
              <w:rPr>
                <w:sz w:val="2"/>
                <w:szCs w:val="2"/>
                <w:color w:val="auto"/>
              </w:rPr>
            </w:pPr>
          </w:p>
        </w:tc>
        <w:tc>
          <w:tcPr>
            <w:tcW w:w="5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660" w:type="dxa"/>
            <w:vAlign w:val="bottom"/>
            <w:tcBorders>
              <w:right w:val="single" w:sz="8" w:color="auto"/>
            </w:tcBorders>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5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3460" w:type="dxa"/>
            <w:vAlign w:val="bottom"/>
            <w:shd w:val="clear" w:color="auto" w:fill="CCEEFF"/>
          </w:tcPr>
          <w:p>
            <w:pPr>
              <w:spacing w:after="0"/>
              <w:rPr>
                <w:sz w:val="20"/>
                <w:szCs w:val="20"/>
                <w:color w:val="auto"/>
              </w:rPr>
            </w:pPr>
            <w:r>
              <w:rPr>
                <w:rFonts w:ascii="Arial" w:cs="Arial" w:eastAsia="Arial" w:hAnsi="Arial"/>
                <w:sz w:val="18"/>
                <w:szCs w:val="18"/>
                <w:color w:val="auto"/>
              </w:rPr>
              <w:t>Net periodic pension (income) expense</w:t>
            </w:r>
          </w:p>
        </w:tc>
        <w:tc>
          <w:tcPr>
            <w:tcW w:w="640" w:type="dxa"/>
            <w:vAlign w:val="bottom"/>
            <w:gridSpan w:val="2"/>
            <w:shd w:val="clear" w:color="auto" w:fill="CCEEFF"/>
          </w:tcPr>
          <w:p>
            <w:pPr>
              <w:ind w:left="520"/>
              <w:spacing w:after="0"/>
              <w:rPr>
                <w:sz w:val="20"/>
                <w:szCs w:val="20"/>
                <w:color w:val="auto"/>
              </w:rPr>
            </w:pPr>
            <w:r>
              <w:rPr>
                <w:rFonts w:ascii="Arial" w:cs="Arial" w:eastAsia="Arial" w:hAnsi="Arial"/>
                <w:sz w:val="18"/>
                <w:szCs w:val="18"/>
                <w:color w:val="auto"/>
                <w:w w:val="99"/>
              </w:rPr>
              <w:t>$</w:t>
            </w:r>
          </w:p>
        </w:tc>
        <w:tc>
          <w:tcPr>
            <w:tcW w:w="12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(173)</w:t>
            </w:r>
          </w:p>
        </w:tc>
        <w:tc>
          <w:tcPr>
            <w:tcW w:w="440" w:type="dxa"/>
            <w:vAlign w:val="bottom"/>
            <w:gridSpan w:val="2"/>
            <w:shd w:val="clear" w:color="auto" w:fill="CCEEFF"/>
          </w:tcPr>
          <w:p>
            <w:pPr>
              <w:jc w:val="center"/>
              <w:ind w:left="92"/>
              <w:spacing w:after="0"/>
              <w:rPr>
                <w:sz w:val="20"/>
                <w:szCs w:val="20"/>
                <w:color w:val="auto"/>
              </w:rPr>
            </w:pPr>
            <w:r>
              <w:rPr>
                <w:rFonts w:ascii="Arial" w:cs="Arial" w:eastAsia="Arial" w:hAnsi="Arial"/>
                <w:sz w:val="18"/>
                <w:szCs w:val="18"/>
                <w:color w:val="auto"/>
                <w:w w:val="99"/>
              </w:rPr>
              <w:t>$</w:t>
            </w:r>
          </w:p>
        </w:tc>
        <w:tc>
          <w:tcPr>
            <w:tcW w:w="11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(514)</w:t>
            </w:r>
          </w:p>
        </w:tc>
        <w:tc>
          <w:tcPr>
            <w:tcW w:w="48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w:t>
            </w:r>
          </w:p>
        </w:tc>
        <w:tc>
          <w:tcPr>
            <w:tcW w:w="1640" w:type="dxa"/>
            <w:vAlign w:val="bottom"/>
            <w:tcBorders>
              <w:right w:val="single" w:sz="8" w:color="auto"/>
            </w:tcBorders>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126</w:t>
            </w:r>
          </w:p>
        </w:tc>
        <w:tc>
          <w:tcPr>
            <w:tcW w:w="5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w:t>
            </w:r>
          </w:p>
        </w:tc>
        <w:tc>
          <w:tcPr>
            <w:tcW w:w="56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2,374</w:t>
            </w: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3460" w:type="dxa"/>
            <w:vAlign w:val="bottom"/>
          </w:tcPr>
          <w:p>
            <w:pPr>
              <w:spacing w:after="0"/>
              <w:rPr>
                <w:sz w:val="3"/>
                <w:szCs w:val="3"/>
                <w:color w:val="auto"/>
              </w:rPr>
            </w:pPr>
          </w:p>
        </w:tc>
        <w:tc>
          <w:tcPr>
            <w:tcW w:w="520" w:type="dxa"/>
            <w:vAlign w:val="bottom"/>
          </w:tcPr>
          <w:p>
            <w:pPr>
              <w:spacing w:after="0"/>
              <w:rPr>
                <w:sz w:val="3"/>
                <w:szCs w:val="3"/>
                <w:color w:val="auto"/>
              </w:rPr>
            </w:pPr>
          </w:p>
        </w:tc>
        <w:tc>
          <w:tcPr>
            <w:tcW w:w="120" w:type="dxa"/>
            <w:vAlign w:val="bottom"/>
            <w:tcBorders>
              <w:top w:val="single" w:sz="8" w:color="auto"/>
              <w:bottom w:val="single" w:sz="8" w:color="auto"/>
            </w:tcBorders>
          </w:tcPr>
          <w:p>
            <w:pPr>
              <w:spacing w:after="0"/>
              <w:rPr>
                <w:sz w:val="3"/>
                <w:szCs w:val="3"/>
                <w:color w:val="auto"/>
              </w:rPr>
            </w:pPr>
          </w:p>
        </w:tc>
        <w:tc>
          <w:tcPr>
            <w:tcW w:w="1000" w:type="dxa"/>
            <w:vAlign w:val="bottom"/>
            <w:tcBorders>
              <w:top w:val="single" w:sz="8" w:color="auto"/>
              <w:bottom w:val="single" w:sz="8" w:color="auto"/>
            </w:tcBorders>
          </w:tcPr>
          <w:p>
            <w:pPr>
              <w:spacing w:after="0"/>
              <w:rPr>
                <w:sz w:val="3"/>
                <w:szCs w:val="3"/>
                <w:color w:val="auto"/>
              </w:rPr>
            </w:pPr>
          </w:p>
        </w:tc>
        <w:tc>
          <w:tcPr>
            <w:tcW w:w="280" w:type="dxa"/>
            <w:vAlign w:val="bottom"/>
          </w:tcPr>
          <w:p>
            <w:pPr>
              <w:spacing w:after="0"/>
              <w:rPr>
                <w:sz w:val="3"/>
                <w:szCs w:val="3"/>
                <w:color w:val="auto"/>
              </w:rPr>
            </w:pPr>
          </w:p>
        </w:tc>
        <w:tc>
          <w:tcPr>
            <w:tcW w:w="260" w:type="dxa"/>
            <w:vAlign w:val="bottom"/>
          </w:tcPr>
          <w:p>
            <w:pPr>
              <w:spacing w:after="0"/>
              <w:rPr>
                <w:sz w:val="3"/>
                <w:szCs w:val="3"/>
                <w:color w:val="auto"/>
              </w:rPr>
            </w:pPr>
          </w:p>
        </w:tc>
        <w:tc>
          <w:tcPr>
            <w:tcW w:w="180" w:type="dxa"/>
            <w:vAlign w:val="bottom"/>
            <w:tcBorders>
              <w:top w:val="single" w:sz="8" w:color="auto"/>
              <w:bottom w:val="single" w:sz="8" w:color="auto"/>
            </w:tcBorders>
          </w:tcPr>
          <w:p>
            <w:pPr>
              <w:spacing w:after="0"/>
              <w:rPr>
                <w:sz w:val="3"/>
                <w:szCs w:val="3"/>
                <w:color w:val="auto"/>
              </w:rPr>
            </w:pPr>
          </w:p>
        </w:tc>
        <w:tc>
          <w:tcPr>
            <w:tcW w:w="960" w:type="dxa"/>
            <w:vAlign w:val="bottom"/>
            <w:tcBorders>
              <w:top w:val="single" w:sz="8" w:color="auto"/>
              <w:bottom w:val="single" w:sz="8" w:color="auto"/>
            </w:tcBorders>
          </w:tcPr>
          <w:p>
            <w:pPr>
              <w:spacing w:after="0"/>
              <w:rPr>
                <w:sz w:val="3"/>
                <w:szCs w:val="3"/>
                <w:color w:val="auto"/>
              </w:rPr>
            </w:pPr>
          </w:p>
        </w:tc>
        <w:tc>
          <w:tcPr>
            <w:tcW w:w="220" w:type="dxa"/>
            <w:vAlign w:val="bottom"/>
          </w:tcPr>
          <w:p>
            <w:pPr>
              <w:spacing w:after="0"/>
              <w:rPr>
                <w:sz w:val="3"/>
                <w:szCs w:val="3"/>
                <w:color w:val="auto"/>
              </w:rPr>
            </w:pPr>
          </w:p>
        </w:tc>
        <w:tc>
          <w:tcPr>
            <w:tcW w:w="340" w:type="dxa"/>
            <w:vAlign w:val="bottom"/>
          </w:tcPr>
          <w:p>
            <w:pPr>
              <w:spacing w:after="0"/>
              <w:rPr>
                <w:sz w:val="3"/>
                <w:szCs w:val="3"/>
                <w:color w:val="auto"/>
              </w:rPr>
            </w:pPr>
          </w:p>
        </w:tc>
        <w:tc>
          <w:tcPr>
            <w:tcW w:w="140" w:type="dxa"/>
            <w:vAlign w:val="bottom"/>
            <w:tcBorders>
              <w:top w:val="single" w:sz="8" w:color="auto"/>
              <w:bottom w:val="single" w:sz="8" w:color="auto"/>
            </w:tcBorders>
          </w:tcPr>
          <w:p>
            <w:pPr>
              <w:spacing w:after="0"/>
              <w:rPr>
                <w:sz w:val="3"/>
                <w:szCs w:val="3"/>
                <w:color w:val="auto"/>
              </w:rPr>
            </w:pPr>
          </w:p>
        </w:tc>
        <w:tc>
          <w:tcPr>
            <w:tcW w:w="980" w:type="dxa"/>
            <w:vAlign w:val="bottom"/>
            <w:tcBorders>
              <w:top w:val="single" w:sz="8" w:color="auto"/>
              <w:bottom w:val="single" w:sz="8" w:color="auto"/>
            </w:tcBorders>
          </w:tcPr>
          <w:p>
            <w:pPr>
              <w:spacing w:after="0"/>
              <w:rPr>
                <w:sz w:val="3"/>
                <w:szCs w:val="3"/>
                <w:color w:val="auto"/>
              </w:rPr>
            </w:pPr>
          </w:p>
        </w:tc>
        <w:tc>
          <w:tcPr>
            <w:tcW w:w="660" w:type="dxa"/>
            <w:vAlign w:val="bottom"/>
            <w:tcBorders>
              <w:right w:val="single" w:sz="8" w:color="auto"/>
            </w:tcBorders>
          </w:tcPr>
          <w:p>
            <w:pPr>
              <w:spacing w:after="0"/>
              <w:rPr>
                <w:sz w:val="3"/>
                <w:szCs w:val="3"/>
                <w:color w:val="auto"/>
              </w:rPr>
            </w:pPr>
          </w:p>
        </w:tc>
        <w:tc>
          <w:tcPr>
            <w:tcW w:w="440" w:type="dxa"/>
            <w:vAlign w:val="bottom"/>
          </w:tcPr>
          <w:p>
            <w:pPr>
              <w:spacing w:after="0"/>
              <w:rPr>
                <w:sz w:val="3"/>
                <w:szCs w:val="3"/>
                <w:color w:val="auto"/>
              </w:rPr>
            </w:pPr>
          </w:p>
        </w:tc>
        <w:tc>
          <w:tcPr>
            <w:tcW w:w="100" w:type="dxa"/>
            <w:vAlign w:val="bottom"/>
            <w:tcBorders>
              <w:top w:val="single" w:sz="8" w:color="auto"/>
              <w:bottom w:val="single" w:sz="8" w:color="auto"/>
            </w:tcBorders>
          </w:tcPr>
          <w:p>
            <w:pPr>
              <w:spacing w:after="0"/>
              <w:rPr>
                <w:sz w:val="3"/>
                <w:szCs w:val="3"/>
                <w:color w:val="auto"/>
              </w:rPr>
            </w:pPr>
          </w:p>
        </w:tc>
        <w:tc>
          <w:tcPr>
            <w:tcW w:w="420" w:type="dxa"/>
            <w:vAlign w:val="bottom"/>
            <w:tcBorders>
              <w:top w:val="single" w:sz="8" w:color="auto"/>
              <w:bottom w:val="single" w:sz="8" w:color="auto"/>
            </w:tcBorders>
          </w:tcPr>
          <w:p>
            <w:pPr>
              <w:spacing w:after="0"/>
              <w:rPr>
                <w:sz w:val="3"/>
                <w:szCs w:val="3"/>
                <w:color w:val="auto"/>
              </w:rPr>
            </w:pPr>
          </w:p>
        </w:tc>
        <w:tc>
          <w:tcPr>
            <w:tcW w:w="560" w:type="dxa"/>
            <w:vAlign w:val="bottom"/>
          </w:tcPr>
          <w:p>
            <w:pPr>
              <w:spacing w:after="0"/>
              <w:rPr>
                <w:sz w:val="3"/>
                <w:szCs w:val="3"/>
                <w:color w:val="auto"/>
              </w:rPr>
            </w:pPr>
          </w:p>
        </w:tc>
        <w:tc>
          <w:tcPr>
            <w:tcW w:w="140" w:type="dxa"/>
            <w:vAlign w:val="bottom"/>
            <w:tcBorders>
              <w:top w:val="single" w:sz="8" w:color="auto"/>
              <w:bottom w:val="single" w:sz="8" w:color="auto"/>
            </w:tcBorders>
          </w:tcPr>
          <w:p>
            <w:pPr>
              <w:spacing w:after="0"/>
              <w:rPr>
                <w:sz w:val="3"/>
                <w:szCs w:val="3"/>
                <w:color w:val="auto"/>
              </w:rPr>
            </w:pPr>
          </w:p>
        </w:tc>
        <w:tc>
          <w:tcPr>
            <w:tcW w:w="520" w:type="dxa"/>
            <w:vAlign w:val="bottom"/>
            <w:tcBorders>
              <w:top w:val="single" w:sz="8" w:color="auto"/>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37"/>
        </w:trPr>
        <w:tc>
          <w:tcPr>
            <w:tcW w:w="20" w:type="dxa"/>
            <w:vAlign w:val="bottom"/>
          </w:tcPr>
          <w:p>
            <w:pPr>
              <w:spacing w:after="0"/>
              <w:rPr>
                <w:sz w:val="24"/>
                <w:szCs w:val="24"/>
                <w:color w:val="auto"/>
              </w:rPr>
            </w:pPr>
          </w:p>
        </w:tc>
        <w:tc>
          <w:tcPr>
            <w:tcW w:w="34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40" w:type="dxa"/>
            <w:vAlign w:val="bottom"/>
            <w:gridSpan w:val="2"/>
          </w:tcPr>
          <w:p>
            <w:pPr>
              <w:jc w:val="center"/>
              <w:ind w:left="92"/>
              <w:spacing w:after="0"/>
              <w:rPr>
                <w:sz w:val="20"/>
                <w:szCs w:val="20"/>
                <w:color w:val="auto"/>
              </w:rPr>
            </w:pPr>
            <w:r>
              <w:rPr>
                <w:rFonts w:ascii="Arial" w:cs="Arial" w:eastAsia="Arial" w:hAnsi="Arial"/>
                <w:sz w:val="18"/>
                <w:szCs w:val="18"/>
                <w:color w:val="auto"/>
                <w:w w:val="89"/>
              </w:rPr>
              <w:t>31</w:t>
            </w:r>
          </w:p>
        </w:tc>
        <w:tc>
          <w:tcPr>
            <w:tcW w:w="9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33" w:name="page34"/>
    <w:bookmarkEnd w:id="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32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7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80" w:type="dxa"/>
            <w:vAlign w:val="bottom"/>
            <w:gridSpan w:val="2"/>
          </w:tcPr>
          <w:p>
            <w:pPr>
              <w:jc w:val="center"/>
              <w:ind w:left="20"/>
              <w:spacing w:after="0"/>
              <w:rPr>
                <w:sz w:val="20"/>
                <w:szCs w:val="20"/>
                <w:color w:val="auto"/>
              </w:rPr>
            </w:pPr>
            <w:r>
              <w:rPr>
                <w:rFonts w:ascii="Arial" w:cs="Arial" w:eastAsia="Arial" w:hAnsi="Arial"/>
                <w:sz w:val="14"/>
                <w:szCs w:val="14"/>
                <w:b w:val="1"/>
                <w:bCs w:val="1"/>
                <w:color w:val="auto"/>
                <w:w w:val="87"/>
              </w:rPr>
              <w:t>Non-U.S. Plans</w:t>
            </w:r>
          </w:p>
        </w:tc>
        <w:tc>
          <w:tcPr>
            <w:tcW w:w="2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378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gridSpan w:val="2"/>
          </w:tcPr>
          <w:p>
            <w:pPr>
              <w:jc w:val="center"/>
              <w:ind w:left="20"/>
              <w:spacing w:after="0"/>
              <w:rPr>
                <w:sz w:val="20"/>
                <w:szCs w:val="20"/>
                <w:color w:val="auto"/>
              </w:rPr>
            </w:pPr>
            <w:r>
              <w:rPr>
                <w:rFonts w:ascii="Arial" w:cs="Arial" w:eastAsia="Arial" w:hAnsi="Arial"/>
                <w:sz w:val="14"/>
                <w:szCs w:val="14"/>
                <w:b w:val="1"/>
                <w:bCs w:val="1"/>
                <w:color w:val="auto"/>
                <w:w w:val="84"/>
              </w:rPr>
              <w:t>Pension Benefits</w:t>
            </w:r>
          </w:p>
        </w:tc>
        <w:tc>
          <w:tcPr>
            <w:tcW w:w="28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78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1000" w:type="dxa"/>
            <w:vAlign w:val="bottom"/>
            <w:tcBorders>
              <w:bottom w:val="single" w:sz="8" w:color="auto"/>
            </w:tcBorders>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280" w:type="dxa"/>
            <w:vAlign w:val="bottom"/>
            <w:tcBorders>
              <w:bottom w:val="single" w:sz="8" w:color="auto"/>
            </w:tcBorders>
            <w:gridSpan w:val="2"/>
          </w:tcPr>
          <w:p>
            <w:pPr>
              <w:jc w:val="center"/>
              <w:ind w:right="360"/>
              <w:spacing w:after="0" w:line="142" w:lineRule="exact"/>
              <w:rPr>
                <w:sz w:val="20"/>
                <w:szCs w:val="20"/>
                <w:color w:val="auto"/>
              </w:rPr>
            </w:pPr>
            <w:r>
              <w:rPr>
                <w:rFonts w:ascii="Arial" w:cs="Arial" w:eastAsia="Arial" w:hAnsi="Arial"/>
                <w:sz w:val="14"/>
                <w:szCs w:val="14"/>
                <w:b w:val="1"/>
                <w:bCs w:val="1"/>
                <w:color w:val="auto"/>
                <w:w w:val="79"/>
              </w:rPr>
              <w:t>Successor</w:t>
            </w:r>
          </w:p>
        </w:tc>
        <w:tc>
          <w:tcPr>
            <w:tcW w:w="34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700" w:type="dxa"/>
            <w:vAlign w:val="bottom"/>
            <w:tcBorders>
              <w:right w:val="single" w:sz="8" w:color="auto"/>
            </w:tcBorders>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42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gridSpan w:val="2"/>
          </w:tcPr>
          <w:p>
            <w:pPr>
              <w:ind w:left="20"/>
              <w:spacing w:after="0" w:line="142" w:lineRule="exact"/>
              <w:rPr>
                <w:sz w:val="20"/>
                <w:szCs w:val="20"/>
                <w:color w:val="auto"/>
              </w:rPr>
            </w:pPr>
            <w:r>
              <w:rPr>
                <w:rFonts w:ascii="Arial" w:cs="Arial" w:eastAsia="Arial" w:hAnsi="Arial"/>
                <w:sz w:val="14"/>
                <w:szCs w:val="14"/>
                <w:b w:val="1"/>
                <w:bCs w:val="1"/>
                <w:color w:val="auto"/>
                <w:w w:val="80"/>
              </w:rPr>
              <w:t>Predecessor</w:t>
            </w:r>
          </w:p>
        </w:tc>
        <w:tc>
          <w:tcPr>
            <w:tcW w:w="54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37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Borders>
              <w:right w:val="single" w:sz="8" w:color="auto"/>
            </w:tcBorders>
          </w:tcPr>
          <w:p>
            <w:pPr>
              <w:spacing w:after="0"/>
              <w:rPr>
                <w:sz w:val="11"/>
                <w:szCs w:val="11"/>
                <w:color w:val="auto"/>
              </w:rPr>
            </w:pPr>
          </w:p>
        </w:tc>
        <w:tc>
          <w:tcPr>
            <w:tcW w:w="480" w:type="dxa"/>
            <w:vAlign w:val="bottom"/>
          </w:tcPr>
          <w:p>
            <w:pPr>
              <w:spacing w:after="0"/>
              <w:rPr>
                <w:sz w:val="11"/>
                <w:szCs w:val="11"/>
                <w:color w:val="auto"/>
              </w:rPr>
            </w:pPr>
          </w:p>
        </w:tc>
        <w:tc>
          <w:tcPr>
            <w:tcW w:w="1120" w:type="dxa"/>
            <w:vAlign w:val="bottom"/>
            <w:gridSpan w:val="3"/>
          </w:tcPr>
          <w:p>
            <w:pPr>
              <w:jc w:val="center"/>
              <w:ind w:right="552"/>
              <w:spacing w:after="0" w:line="129" w:lineRule="exact"/>
              <w:rPr>
                <w:sz w:val="20"/>
                <w:szCs w:val="20"/>
                <w:color w:val="auto"/>
              </w:rPr>
            </w:pPr>
            <w:r>
              <w:rPr>
                <w:rFonts w:ascii="Arial" w:cs="Arial" w:eastAsia="Arial" w:hAnsi="Arial"/>
                <w:sz w:val="14"/>
                <w:szCs w:val="14"/>
                <w:b w:val="1"/>
                <w:bCs w:val="1"/>
                <w:color w:val="auto"/>
                <w:w w:val="87"/>
              </w:rPr>
              <w:t>July 1,</w:t>
            </w:r>
          </w:p>
        </w:tc>
        <w:tc>
          <w:tcPr>
            <w:tcW w:w="660" w:type="dxa"/>
            <w:vAlign w:val="bottom"/>
            <w:gridSpan w:val="2"/>
          </w:tcPr>
          <w:p>
            <w:pPr>
              <w:spacing w:after="0" w:line="129" w:lineRule="exact"/>
              <w:rPr>
                <w:sz w:val="20"/>
                <w:szCs w:val="20"/>
                <w:color w:val="auto"/>
              </w:rPr>
            </w:pPr>
            <w:r>
              <w:rPr>
                <w:rFonts w:ascii="Arial" w:cs="Arial" w:eastAsia="Arial" w:hAnsi="Arial"/>
                <w:sz w:val="14"/>
                <w:szCs w:val="14"/>
                <w:b w:val="1"/>
                <w:bCs w:val="1"/>
                <w:color w:val="auto"/>
                <w:w w:val="92"/>
              </w:rPr>
              <w:t>January 1,</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00" w:type="dxa"/>
            <w:vAlign w:val="bottom"/>
            <w:tcBorders>
              <w:right w:val="single" w:sz="8" w:color="auto"/>
            </w:tcBorders>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20" w:type="dxa"/>
            <w:vAlign w:val="bottom"/>
          </w:tcPr>
          <w:p>
            <w:pPr>
              <w:jc w:val="center"/>
              <w:ind w:right="16"/>
              <w:spacing w:after="0" w:line="149" w:lineRule="exact"/>
              <w:rPr>
                <w:sz w:val="20"/>
                <w:szCs w:val="20"/>
                <w:color w:val="auto"/>
              </w:rPr>
            </w:pPr>
            <w:r>
              <w:rPr>
                <w:rFonts w:ascii="Arial" w:cs="Arial" w:eastAsia="Arial" w:hAnsi="Arial"/>
                <w:sz w:val="14"/>
                <w:szCs w:val="14"/>
                <w:b w:val="1"/>
                <w:bCs w:val="1"/>
                <w:color w:val="auto"/>
                <w:w w:val="89"/>
              </w:rPr>
              <w:t>2009</w:t>
            </w:r>
          </w:p>
        </w:tc>
        <w:tc>
          <w:tcPr>
            <w:tcW w:w="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jc w:val="center"/>
              <w:ind w:right="58"/>
              <w:spacing w:after="0" w:line="149" w:lineRule="exact"/>
              <w:rPr>
                <w:sz w:val="20"/>
                <w:szCs w:val="20"/>
                <w:color w:val="auto"/>
              </w:rPr>
            </w:pPr>
            <w:r>
              <w:rPr>
                <w:rFonts w:ascii="Arial" w:cs="Arial" w:eastAsia="Arial" w:hAnsi="Arial"/>
                <w:sz w:val="14"/>
                <w:szCs w:val="14"/>
                <w:b w:val="1"/>
                <w:bCs w:val="1"/>
                <w:color w:val="auto"/>
                <w:w w:val="89"/>
              </w:rPr>
              <w:t>2009</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20" w:type="dxa"/>
            <w:vAlign w:val="bottom"/>
            <w:gridSpan w:val="2"/>
          </w:tcPr>
          <w:p>
            <w:pPr>
              <w:jc w:val="center"/>
              <w:ind w:right="460"/>
              <w:spacing w:after="0" w:line="149" w:lineRule="exact"/>
              <w:rPr>
                <w:sz w:val="20"/>
                <w:szCs w:val="20"/>
                <w:color w:val="auto"/>
              </w:rPr>
            </w:pPr>
            <w:r>
              <w:rPr>
                <w:rFonts w:ascii="Arial" w:cs="Arial" w:eastAsia="Arial" w:hAnsi="Arial"/>
                <w:sz w:val="14"/>
                <w:szCs w:val="14"/>
                <w:b w:val="1"/>
                <w:bCs w:val="1"/>
                <w:color w:val="auto"/>
                <w:w w:val="89"/>
              </w:rPr>
              <w:t>Three Months</w:t>
            </w: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80" w:type="dxa"/>
            <w:vAlign w:val="bottom"/>
            <w:gridSpan w:val="2"/>
          </w:tcPr>
          <w:p>
            <w:pPr>
              <w:jc w:val="center"/>
              <w:ind w:right="380"/>
              <w:spacing w:after="0" w:line="149" w:lineRule="exact"/>
              <w:rPr>
                <w:sz w:val="20"/>
                <w:szCs w:val="20"/>
                <w:color w:val="auto"/>
              </w:rPr>
            </w:pPr>
            <w:r>
              <w:rPr>
                <w:rFonts w:ascii="Arial" w:cs="Arial" w:eastAsia="Arial" w:hAnsi="Arial"/>
                <w:sz w:val="14"/>
                <w:szCs w:val="14"/>
                <w:b w:val="1"/>
                <w:bCs w:val="1"/>
                <w:color w:val="auto"/>
                <w:w w:val="88"/>
              </w:rPr>
              <w:t>Nine Months</w:t>
            </w:r>
          </w:p>
        </w:tc>
        <w:tc>
          <w:tcPr>
            <w:tcW w:w="340" w:type="dxa"/>
            <w:vAlign w:val="bottom"/>
          </w:tcPr>
          <w:p>
            <w:pPr>
              <w:spacing w:after="0"/>
              <w:rPr>
                <w:sz w:val="12"/>
                <w:szCs w:val="12"/>
                <w:color w:val="auto"/>
              </w:rPr>
            </w:pPr>
          </w:p>
        </w:tc>
        <w:tc>
          <w:tcPr>
            <w:tcW w:w="1820" w:type="dxa"/>
            <w:vAlign w:val="bottom"/>
            <w:tcBorders>
              <w:right w:val="single" w:sz="8" w:color="auto"/>
            </w:tcBorders>
            <w:gridSpan w:val="3"/>
          </w:tcPr>
          <w:p>
            <w:pPr>
              <w:jc w:val="center"/>
              <w:ind w:right="700"/>
              <w:spacing w:after="0" w:line="149" w:lineRule="exact"/>
              <w:rPr>
                <w:sz w:val="20"/>
                <w:szCs w:val="20"/>
                <w:color w:val="auto"/>
              </w:rPr>
            </w:pPr>
            <w:r>
              <w:rPr>
                <w:rFonts w:ascii="Arial" w:cs="Arial" w:eastAsia="Arial" w:hAnsi="Arial"/>
                <w:sz w:val="14"/>
                <w:szCs w:val="14"/>
                <w:b w:val="1"/>
                <w:bCs w:val="1"/>
                <w:color w:val="auto"/>
                <w:w w:val="87"/>
              </w:rPr>
              <w:t>July 10, 2009</w:t>
            </w:r>
          </w:p>
        </w:tc>
        <w:tc>
          <w:tcPr>
            <w:tcW w:w="480" w:type="dxa"/>
            <w:vAlign w:val="bottom"/>
          </w:tcPr>
          <w:p>
            <w:pPr>
              <w:spacing w:after="0"/>
              <w:rPr>
                <w:sz w:val="12"/>
                <w:szCs w:val="12"/>
                <w:color w:val="auto"/>
              </w:rPr>
            </w:pPr>
          </w:p>
        </w:tc>
        <w:tc>
          <w:tcPr>
            <w:tcW w:w="1120" w:type="dxa"/>
            <w:vAlign w:val="bottom"/>
            <w:gridSpan w:val="3"/>
          </w:tcPr>
          <w:p>
            <w:pPr>
              <w:jc w:val="center"/>
              <w:ind w:right="532"/>
              <w:spacing w:after="0" w:line="149" w:lineRule="exact"/>
              <w:rPr>
                <w:sz w:val="20"/>
                <w:szCs w:val="20"/>
                <w:color w:val="auto"/>
              </w:rPr>
            </w:pPr>
            <w:r>
              <w:rPr>
                <w:rFonts w:ascii="Arial" w:cs="Arial" w:eastAsia="Arial" w:hAnsi="Arial"/>
                <w:sz w:val="14"/>
                <w:szCs w:val="14"/>
                <w:b w:val="1"/>
                <w:bCs w:val="1"/>
                <w:color w:val="auto"/>
                <w:w w:val="91"/>
              </w:rPr>
              <w:t>Through</w:t>
            </w:r>
          </w:p>
        </w:tc>
        <w:tc>
          <w:tcPr>
            <w:tcW w:w="760" w:type="dxa"/>
            <w:vAlign w:val="bottom"/>
            <w:gridSpan w:val="3"/>
          </w:tcPr>
          <w:p>
            <w:pPr>
              <w:jc w:val="center"/>
              <w:ind w:right="120"/>
              <w:spacing w:after="0" w:line="149" w:lineRule="exact"/>
              <w:rPr>
                <w:sz w:val="20"/>
                <w:szCs w:val="20"/>
                <w:color w:val="auto"/>
              </w:rPr>
            </w:pPr>
            <w:r>
              <w:rPr>
                <w:rFonts w:ascii="Arial" w:cs="Arial" w:eastAsia="Arial" w:hAnsi="Arial"/>
                <w:sz w:val="14"/>
                <w:szCs w:val="14"/>
                <w:b w:val="1"/>
                <w:bCs w:val="1"/>
                <w:color w:val="auto"/>
                <w:w w:val="91"/>
              </w:rPr>
              <w:t>Through</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20" w:type="dxa"/>
            <w:vAlign w:val="bottom"/>
            <w:gridSpan w:val="2"/>
          </w:tcPr>
          <w:p>
            <w:pPr>
              <w:jc w:val="center"/>
              <w:ind w:right="460"/>
              <w:spacing w:after="0" w:line="149" w:lineRule="exact"/>
              <w:rPr>
                <w:sz w:val="20"/>
                <w:szCs w:val="20"/>
                <w:color w:val="auto"/>
              </w:rPr>
            </w:pPr>
            <w:r>
              <w:rPr>
                <w:rFonts w:ascii="Arial" w:cs="Arial" w:eastAsia="Arial" w:hAnsi="Arial"/>
                <w:sz w:val="14"/>
                <w:szCs w:val="14"/>
                <w:b w:val="1"/>
                <w:bCs w:val="1"/>
                <w:color w:val="auto"/>
                <w:w w:val="88"/>
              </w:rPr>
              <w:t>Ended</w:t>
            </w: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80" w:type="dxa"/>
            <w:vAlign w:val="bottom"/>
            <w:gridSpan w:val="2"/>
          </w:tcPr>
          <w:p>
            <w:pPr>
              <w:jc w:val="center"/>
              <w:ind w:right="380"/>
              <w:spacing w:after="0" w:line="149" w:lineRule="exact"/>
              <w:rPr>
                <w:sz w:val="20"/>
                <w:szCs w:val="20"/>
                <w:color w:val="auto"/>
              </w:rPr>
            </w:pPr>
            <w:r>
              <w:rPr>
                <w:rFonts w:ascii="Arial" w:cs="Arial" w:eastAsia="Arial" w:hAnsi="Arial"/>
                <w:sz w:val="14"/>
                <w:szCs w:val="14"/>
                <w:b w:val="1"/>
                <w:bCs w:val="1"/>
                <w:color w:val="auto"/>
                <w:w w:val="88"/>
              </w:rPr>
              <w:t>Ended</w:t>
            </w:r>
          </w:p>
        </w:tc>
        <w:tc>
          <w:tcPr>
            <w:tcW w:w="340" w:type="dxa"/>
            <w:vAlign w:val="bottom"/>
          </w:tcPr>
          <w:p>
            <w:pPr>
              <w:spacing w:after="0"/>
              <w:rPr>
                <w:sz w:val="12"/>
                <w:szCs w:val="12"/>
                <w:color w:val="auto"/>
              </w:rPr>
            </w:pPr>
          </w:p>
        </w:tc>
        <w:tc>
          <w:tcPr>
            <w:tcW w:w="840" w:type="dxa"/>
            <w:vAlign w:val="bottom"/>
          </w:tcPr>
          <w:p>
            <w:pPr>
              <w:jc w:val="center"/>
              <w:ind w:left="212"/>
              <w:spacing w:after="0" w:line="149" w:lineRule="exact"/>
              <w:rPr>
                <w:sz w:val="20"/>
                <w:szCs w:val="20"/>
                <w:color w:val="auto"/>
              </w:rPr>
            </w:pPr>
            <w:r>
              <w:rPr>
                <w:rFonts w:ascii="Arial" w:cs="Arial" w:eastAsia="Arial" w:hAnsi="Arial"/>
                <w:sz w:val="14"/>
                <w:szCs w:val="14"/>
                <w:b w:val="1"/>
                <w:bCs w:val="1"/>
                <w:color w:val="auto"/>
                <w:w w:val="91"/>
              </w:rPr>
              <w:t>Through</w:t>
            </w:r>
          </w:p>
        </w:tc>
        <w:tc>
          <w:tcPr>
            <w:tcW w:w="280" w:type="dxa"/>
            <w:vAlign w:val="bottom"/>
          </w:tcPr>
          <w:p>
            <w:pPr>
              <w:spacing w:after="0"/>
              <w:rPr>
                <w:sz w:val="12"/>
                <w:szCs w:val="12"/>
                <w:color w:val="auto"/>
              </w:rPr>
            </w:pPr>
          </w:p>
        </w:tc>
        <w:tc>
          <w:tcPr>
            <w:tcW w:w="700" w:type="dxa"/>
            <w:vAlign w:val="bottom"/>
            <w:tcBorders>
              <w:right w:val="single" w:sz="8" w:color="auto"/>
            </w:tcBorders>
          </w:tcPr>
          <w:p>
            <w:pPr>
              <w:spacing w:after="0"/>
              <w:rPr>
                <w:sz w:val="12"/>
                <w:szCs w:val="12"/>
                <w:color w:val="auto"/>
              </w:rPr>
            </w:pPr>
          </w:p>
        </w:tc>
        <w:tc>
          <w:tcPr>
            <w:tcW w:w="480" w:type="dxa"/>
            <w:vAlign w:val="bottom"/>
          </w:tcPr>
          <w:p>
            <w:pPr>
              <w:spacing w:after="0"/>
              <w:rPr>
                <w:sz w:val="12"/>
                <w:szCs w:val="12"/>
                <w:color w:val="auto"/>
              </w:rPr>
            </w:pPr>
          </w:p>
        </w:tc>
        <w:tc>
          <w:tcPr>
            <w:tcW w:w="1120" w:type="dxa"/>
            <w:vAlign w:val="bottom"/>
            <w:gridSpan w:val="3"/>
          </w:tcPr>
          <w:p>
            <w:pPr>
              <w:jc w:val="center"/>
              <w:ind w:right="532"/>
              <w:spacing w:after="0" w:line="149" w:lineRule="exact"/>
              <w:rPr>
                <w:sz w:val="20"/>
                <w:szCs w:val="20"/>
                <w:color w:val="auto"/>
              </w:rPr>
            </w:pPr>
            <w:r>
              <w:rPr>
                <w:rFonts w:ascii="Arial" w:cs="Arial" w:eastAsia="Arial" w:hAnsi="Arial"/>
                <w:sz w:val="14"/>
                <w:szCs w:val="14"/>
                <w:b w:val="1"/>
                <w:bCs w:val="1"/>
                <w:color w:val="auto"/>
                <w:w w:val="91"/>
              </w:rPr>
              <w:t>July 9,</w:t>
            </w:r>
          </w:p>
        </w:tc>
        <w:tc>
          <w:tcPr>
            <w:tcW w:w="120" w:type="dxa"/>
            <w:vAlign w:val="bottom"/>
          </w:tcPr>
          <w:p>
            <w:pPr>
              <w:spacing w:after="0"/>
              <w:rPr>
                <w:sz w:val="12"/>
                <w:szCs w:val="12"/>
                <w:color w:val="auto"/>
              </w:rPr>
            </w:pPr>
          </w:p>
        </w:tc>
        <w:tc>
          <w:tcPr>
            <w:tcW w:w="64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1"/>
              </w:rPr>
              <w:t>July 9,</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3780" w:type="dxa"/>
            <w:vAlign w:val="bottom"/>
          </w:tcPr>
          <w:p>
            <w:pPr>
              <w:spacing w:after="0"/>
              <w:rPr>
                <w:sz w:val="14"/>
                <w:szCs w:val="14"/>
                <w:color w:val="auto"/>
              </w:rPr>
            </w:pPr>
          </w:p>
        </w:tc>
        <w:tc>
          <w:tcPr>
            <w:tcW w:w="1440" w:type="dxa"/>
            <w:vAlign w:val="bottom"/>
            <w:gridSpan w:val="3"/>
          </w:tcPr>
          <w:p>
            <w:pPr>
              <w:jc w:val="center"/>
              <w:ind w:right="340"/>
              <w:spacing w:after="0"/>
              <w:rPr>
                <w:sz w:val="20"/>
                <w:szCs w:val="20"/>
                <w:color w:val="auto"/>
              </w:rPr>
            </w:pPr>
            <w:r>
              <w:rPr>
                <w:rFonts w:ascii="Arial" w:cs="Arial" w:eastAsia="Arial" w:hAnsi="Arial"/>
                <w:sz w:val="14"/>
                <w:szCs w:val="14"/>
                <w:b w:val="1"/>
                <w:bCs w:val="1"/>
                <w:color w:val="auto"/>
                <w:w w:val="84"/>
              </w:rPr>
              <w:t>September 30, 2010</w:t>
            </w:r>
          </w:p>
        </w:tc>
        <w:tc>
          <w:tcPr>
            <w:tcW w:w="280" w:type="dxa"/>
            <w:vAlign w:val="bottom"/>
          </w:tcPr>
          <w:p>
            <w:pPr>
              <w:spacing w:after="0"/>
              <w:rPr>
                <w:sz w:val="14"/>
                <w:szCs w:val="14"/>
                <w:color w:val="auto"/>
              </w:rPr>
            </w:pPr>
          </w:p>
        </w:tc>
        <w:tc>
          <w:tcPr>
            <w:tcW w:w="1380" w:type="dxa"/>
            <w:vAlign w:val="bottom"/>
            <w:gridSpan w:val="3"/>
          </w:tcPr>
          <w:p>
            <w:pPr>
              <w:spacing w:after="0"/>
              <w:rPr>
                <w:sz w:val="20"/>
                <w:szCs w:val="20"/>
                <w:color w:val="auto"/>
              </w:rPr>
            </w:pPr>
            <w:r>
              <w:rPr>
                <w:rFonts w:ascii="Arial" w:cs="Arial" w:eastAsia="Arial" w:hAnsi="Arial"/>
                <w:sz w:val="14"/>
                <w:szCs w:val="14"/>
                <w:b w:val="1"/>
                <w:bCs w:val="1"/>
                <w:color w:val="auto"/>
              </w:rPr>
              <w:t>September 30, 2010</w:t>
            </w:r>
          </w:p>
        </w:tc>
        <w:tc>
          <w:tcPr>
            <w:tcW w:w="340" w:type="dxa"/>
            <w:vAlign w:val="bottom"/>
          </w:tcPr>
          <w:p>
            <w:pPr>
              <w:spacing w:after="0"/>
              <w:rPr>
                <w:sz w:val="14"/>
                <w:szCs w:val="14"/>
                <w:color w:val="auto"/>
              </w:rPr>
            </w:pPr>
          </w:p>
        </w:tc>
        <w:tc>
          <w:tcPr>
            <w:tcW w:w="1820" w:type="dxa"/>
            <w:vAlign w:val="bottom"/>
            <w:tcBorders>
              <w:right w:val="single" w:sz="8" w:color="auto"/>
            </w:tcBorders>
            <w:gridSpan w:val="3"/>
          </w:tcPr>
          <w:p>
            <w:pPr>
              <w:spacing w:after="0"/>
              <w:rPr>
                <w:sz w:val="20"/>
                <w:szCs w:val="20"/>
                <w:color w:val="auto"/>
              </w:rPr>
            </w:pPr>
            <w:r>
              <w:rPr>
                <w:rFonts w:ascii="Arial" w:cs="Arial" w:eastAsia="Arial" w:hAnsi="Arial"/>
                <w:sz w:val="14"/>
                <w:szCs w:val="14"/>
                <w:b w:val="1"/>
                <w:bCs w:val="1"/>
                <w:color w:val="auto"/>
              </w:rPr>
              <w:t>September 30, 2009</w:t>
            </w:r>
          </w:p>
        </w:tc>
        <w:tc>
          <w:tcPr>
            <w:tcW w:w="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20" w:type="dxa"/>
            <w:vAlign w:val="bottom"/>
          </w:tcPr>
          <w:p>
            <w:pPr>
              <w:jc w:val="center"/>
              <w:ind w:right="16"/>
              <w:spacing w:after="0"/>
              <w:rPr>
                <w:sz w:val="20"/>
                <w:szCs w:val="20"/>
                <w:color w:val="auto"/>
              </w:rPr>
            </w:pPr>
            <w:r>
              <w:rPr>
                <w:rFonts w:ascii="Arial" w:cs="Arial" w:eastAsia="Arial" w:hAnsi="Arial"/>
                <w:sz w:val="14"/>
                <w:szCs w:val="14"/>
                <w:b w:val="1"/>
                <w:bCs w:val="1"/>
                <w:color w:val="auto"/>
                <w:w w:val="89"/>
              </w:rPr>
              <w:t>2009</w:t>
            </w:r>
          </w:p>
        </w:tc>
        <w:tc>
          <w:tcPr>
            <w:tcW w:w="6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40" w:type="dxa"/>
            <w:vAlign w:val="bottom"/>
          </w:tcPr>
          <w:p>
            <w:pPr>
              <w:jc w:val="center"/>
              <w:ind w:right="58"/>
              <w:spacing w:after="0"/>
              <w:rPr>
                <w:sz w:val="20"/>
                <w:szCs w:val="20"/>
                <w:color w:val="auto"/>
              </w:rPr>
            </w:pPr>
            <w:r>
              <w:rPr>
                <w:rFonts w:ascii="Arial" w:cs="Arial" w:eastAsia="Arial" w:hAnsi="Arial"/>
                <w:sz w:val="14"/>
                <w:szCs w:val="14"/>
                <w:b w:val="1"/>
                <w:bCs w:val="1"/>
                <w:color w:val="auto"/>
                <w:w w:val="89"/>
              </w:rPr>
              <w:t>2009</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78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Components of (Income) expense</w:t>
            </w:r>
          </w:p>
        </w:tc>
        <w:tc>
          <w:tcPr>
            <w:tcW w:w="12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320" w:type="dxa"/>
            <w:vAlign w:val="bottom"/>
            <w:tcBorders>
              <w:left w:val="single" w:sz="8" w:color="CCEEFF"/>
            </w:tcBorders>
            <w:shd w:val="clear" w:color="auto" w:fill="CCEEFF"/>
          </w:tcPr>
          <w:p>
            <w:pPr>
              <w:spacing w:after="0"/>
              <w:rPr>
                <w:sz w:val="18"/>
                <w:szCs w:val="18"/>
                <w:color w:val="auto"/>
              </w:rPr>
            </w:pPr>
          </w:p>
        </w:tc>
        <w:tc>
          <w:tcPr>
            <w:tcW w:w="280" w:type="dxa"/>
            <w:vAlign w:val="bottom"/>
            <w:tcBorders>
              <w:right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260" w:type="dxa"/>
            <w:vAlign w:val="bottom"/>
            <w:tcBorders>
              <w:left w:val="single" w:sz="8" w:color="CCEEFF"/>
            </w:tcBorders>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700" w:type="dxa"/>
            <w:vAlign w:val="bottom"/>
            <w:tcBorders>
              <w:left w:val="single" w:sz="8" w:color="CCEEFF"/>
              <w:right w:val="single" w:sz="8" w:color="auto"/>
            </w:tcBorders>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80" w:type="dxa"/>
            <w:vAlign w:val="bottom"/>
          </w:tcPr>
          <w:p>
            <w:pPr>
              <w:spacing w:after="0"/>
              <w:rPr>
                <w:sz w:val="20"/>
                <w:szCs w:val="20"/>
                <w:color w:val="auto"/>
              </w:rPr>
            </w:pPr>
            <w:r>
              <w:rPr>
                <w:rFonts w:ascii="Arial" w:cs="Arial" w:eastAsia="Arial" w:hAnsi="Arial"/>
                <w:sz w:val="18"/>
                <w:szCs w:val="18"/>
                <w:color w:val="auto"/>
              </w:rPr>
              <w:t>Service cost</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98</w:t>
            </w:r>
          </w:p>
        </w:tc>
        <w:tc>
          <w:tcPr>
            <w:tcW w:w="320" w:type="dxa"/>
            <w:vAlign w:val="bottom"/>
          </w:tcPr>
          <w:p>
            <w:pPr>
              <w:spacing w:after="0"/>
              <w:rPr>
                <w:sz w:val="18"/>
                <w:szCs w:val="18"/>
                <w:color w:val="auto"/>
              </w:rPr>
            </w:pPr>
          </w:p>
        </w:tc>
        <w:tc>
          <w:tcPr>
            <w:tcW w:w="380" w:type="dxa"/>
            <w:vAlign w:val="bottom"/>
            <w:gridSpan w:val="2"/>
          </w:tcPr>
          <w:p>
            <w:pPr>
              <w:ind w:left="26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287</w:t>
            </w:r>
          </w:p>
        </w:tc>
        <w:tc>
          <w:tcPr>
            <w:tcW w:w="260" w:type="dxa"/>
            <w:vAlign w:val="bottom"/>
          </w:tcPr>
          <w:p>
            <w:pPr>
              <w:spacing w:after="0"/>
              <w:rPr>
                <w:sz w:val="18"/>
                <w:szCs w:val="18"/>
                <w:color w:val="auto"/>
              </w:rPr>
            </w:pPr>
          </w:p>
        </w:tc>
        <w:tc>
          <w:tcPr>
            <w:tcW w:w="1180" w:type="dxa"/>
            <w:vAlign w:val="bottom"/>
            <w:gridSpan w:val="2"/>
          </w:tcPr>
          <w:p>
            <w:pPr>
              <w:ind w:left="340"/>
              <w:spacing w:after="0"/>
              <w:rPr>
                <w:sz w:val="20"/>
                <w:szCs w:val="20"/>
                <w:color w:val="auto"/>
              </w:rPr>
            </w:pPr>
            <w:r>
              <w:rPr>
                <w:rFonts w:ascii="Arial" w:cs="Arial" w:eastAsia="Arial" w:hAnsi="Arial"/>
                <w:sz w:val="18"/>
                <w:szCs w:val="18"/>
                <w:color w:val="auto"/>
              </w:rPr>
              <w:t>$</w:t>
            </w:r>
          </w:p>
        </w:tc>
        <w:tc>
          <w:tcPr>
            <w:tcW w:w="280" w:type="dxa"/>
            <w:vAlign w:val="bottom"/>
          </w:tcPr>
          <w:p>
            <w:pPr>
              <w:jc w:val="right"/>
              <w:spacing w:after="0"/>
              <w:rPr>
                <w:sz w:val="20"/>
                <w:szCs w:val="20"/>
                <w:color w:val="auto"/>
              </w:rPr>
            </w:pPr>
            <w:r>
              <w:rPr>
                <w:rFonts w:ascii="Arial" w:cs="Arial" w:eastAsia="Arial" w:hAnsi="Arial"/>
                <w:sz w:val="18"/>
                <w:szCs w:val="18"/>
                <w:color w:val="auto"/>
              </w:rPr>
              <w:t>73</w:t>
            </w:r>
          </w:p>
        </w:tc>
        <w:tc>
          <w:tcPr>
            <w:tcW w:w="700" w:type="dxa"/>
            <w:vAlign w:val="bottom"/>
            <w:tcBorders>
              <w:right w:val="single" w:sz="8" w:color="auto"/>
            </w:tcBorders>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gridSpan w:val="2"/>
          </w:tcPr>
          <w:p>
            <w:pPr>
              <w:jc w:val="right"/>
              <w:ind w:right="532"/>
              <w:spacing w:after="0"/>
              <w:rPr>
                <w:sz w:val="20"/>
                <w:szCs w:val="20"/>
                <w:color w:val="auto"/>
              </w:rPr>
            </w:pPr>
            <w:r>
              <w:rPr>
                <w:rFonts w:ascii="Arial" w:cs="Arial" w:eastAsia="Arial" w:hAnsi="Arial"/>
                <w:sz w:val="18"/>
                <w:szCs w:val="18"/>
                <w:color w:val="auto"/>
              </w:rPr>
              <w:t>4</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155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8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Interest cost</w:t>
            </w: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287</w:t>
            </w:r>
          </w:p>
        </w:tc>
        <w:tc>
          <w:tcPr>
            <w:tcW w:w="320" w:type="dxa"/>
            <w:vAlign w:val="bottom"/>
            <w:tcBorders>
              <w:left w:val="single" w:sz="8" w:color="CCEEFF"/>
            </w:tcBorders>
            <w:shd w:val="clear" w:color="auto" w:fill="CCEEFF"/>
          </w:tcPr>
          <w:p>
            <w:pPr>
              <w:spacing w:after="0"/>
              <w:rPr>
                <w:sz w:val="18"/>
                <w:szCs w:val="18"/>
                <w:color w:val="auto"/>
              </w:rPr>
            </w:pPr>
          </w:p>
        </w:tc>
        <w:tc>
          <w:tcPr>
            <w:tcW w:w="28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883</w:t>
            </w:r>
          </w:p>
        </w:tc>
        <w:tc>
          <w:tcPr>
            <w:tcW w:w="260" w:type="dxa"/>
            <w:vAlign w:val="bottom"/>
            <w:tcBorders>
              <w:left w:val="single" w:sz="8" w:color="CCEEFF"/>
            </w:tcBorders>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280</w:t>
            </w:r>
          </w:p>
        </w:tc>
        <w:tc>
          <w:tcPr>
            <w:tcW w:w="700" w:type="dxa"/>
            <w:vAlign w:val="bottom"/>
            <w:tcBorders>
              <w:left w:val="single" w:sz="8" w:color="CCEEFF"/>
              <w:right w:val="single" w:sz="8" w:color="auto"/>
            </w:tcBorders>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532"/>
              <w:spacing w:after="0"/>
              <w:rPr>
                <w:sz w:val="20"/>
                <w:szCs w:val="20"/>
                <w:color w:val="auto"/>
              </w:rPr>
            </w:pPr>
            <w:r>
              <w:rPr>
                <w:rFonts w:ascii="Arial" w:cs="Arial" w:eastAsia="Arial" w:hAnsi="Arial"/>
                <w:sz w:val="18"/>
                <w:szCs w:val="18"/>
                <w:color w:val="auto"/>
              </w:rPr>
              <w:t>30</w:t>
            </w:r>
          </w:p>
        </w:tc>
        <w:tc>
          <w:tcPr>
            <w:tcW w:w="12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596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80" w:type="dxa"/>
            <w:vAlign w:val="bottom"/>
          </w:tcPr>
          <w:p>
            <w:pPr>
              <w:spacing w:after="0"/>
              <w:rPr>
                <w:sz w:val="20"/>
                <w:szCs w:val="20"/>
                <w:color w:val="auto"/>
              </w:rPr>
            </w:pPr>
            <w:r>
              <w:rPr>
                <w:rFonts w:ascii="Arial" w:cs="Arial" w:eastAsia="Arial" w:hAnsi="Arial"/>
                <w:sz w:val="18"/>
                <w:szCs w:val="18"/>
                <w:color w:val="auto"/>
              </w:rPr>
              <w:t>Expected return on plan assets</w:t>
            </w:r>
          </w:p>
        </w:tc>
        <w:tc>
          <w:tcPr>
            <w:tcW w:w="120" w:type="dxa"/>
            <w:vAlign w:val="bottom"/>
          </w:tcPr>
          <w:p>
            <w:pPr>
              <w:spacing w:after="0"/>
              <w:rPr>
                <w:sz w:val="18"/>
                <w:szCs w:val="18"/>
                <w:color w:val="auto"/>
              </w:rPr>
            </w:pPr>
          </w:p>
        </w:tc>
        <w:tc>
          <w:tcPr>
            <w:tcW w:w="1320" w:type="dxa"/>
            <w:vAlign w:val="bottom"/>
            <w:gridSpan w:val="2"/>
          </w:tcPr>
          <w:p>
            <w:pPr>
              <w:jc w:val="right"/>
              <w:ind w:right="280"/>
              <w:spacing w:after="0"/>
              <w:rPr>
                <w:sz w:val="20"/>
                <w:szCs w:val="20"/>
                <w:color w:val="auto"/>
              </w:rPr>
            </w:pPr>
            <w:r>
              <w:rPr>
                <w:rFonts w:ascii="Arial" w:cs="Arial" w:eastAsia="Arial" w:hAnsi="Arial"/>
                <w:sz w:val="18"/>
                <w:szCs w:val="18"/>
                <w:color w:val="auto"/>
              </w:rPr>
              <w:t>(242)</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jc w:val="right"/>
              <w:ind w:right="200"/>
              <w:spacing w:after="0"/>
              <w:rPr>
                <w:sz w:val="20"/>
                <w:szCs w:val="20"/>
                <w:color w:val="auto"/>
              </w:rPr>
            </w:pPr>
            <w:r>
              <w:rPr>
                <w:rFonts w:ascii="Arial" w:cs="Arial" w:eastAsia="Arial" w:hAnsi="Arial"/>
                <w:sz w:val="18"/>
                <w:szCs w:val="18"/>
                <w:color w:val="auto"/>
              </w:rPr>
              <w:t>(733)</w:t>
            </w:r>
          </w:p>
        </w:tc>
        <w:tc>
          <w:tcPr>
            <w:tcW w:w="2160" w:type="dxa"/>
            <w:vAlign w:val="bottom"/>
            <w:tcBorders>
              <w:right w:val="single" w:sz="8" w:color="auto"/>
            </w:tcBorders>
            <w:gridSpan w:val="4"/>
          </w:tcPr>
          <w:p>
            <w:pPr>
              <w:jc w:val="right"/>
              <w:ind w:right="640"/>
              <w:spacing w:after="0"/>
              <w:rPr>
                <w:sz w:val="20"/>
                <w:szCs w:val="20"/>
                <w:color w:val="auto"/>
              </w:rPr>
            </w:pPr>
            <w:r>
              <w:rPr>
                <w:rFonts w:ascii="Arial" w:cs="Arial" w:eastAsia="Arial" w:hAnsi="Arial"/>
                <w:sz w:val="18"/>
                <w:szCs w:val="18"/>
                <w:color w:val="auto"/>
              </w:rPr>
              <w:t>(203)</w:t>
            </w: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472"/>
              <w:spacing w:after="0"/>
              <w:rPr>
                <w:sz w:val="20"/>
                <w:szCs w:val="20"/>
                <w:color w:val="auto"/>
              </w:rPr>
            </w:pPr>
            <w:r>
              <w:rPr>
                <w:rFonts w:ascii="Arial" w:cs="Arial" w:eastAsia="Arial" w:hAnsi="Arial"/>
                <w:sz w:val="18"/>
                <w:szCs w:val="18"/>
                <w:color w:val="auto"/>
              </w:rPr>
              <w:t>(22)</w:t>
            </w:r>
          </w:p>
        </w:tc>
        <w:tc>
          <w:tcPr>
            <w:tcW w:w="120" w:type="dxa"/>
            <w:vAlign w:val="bottom"/>
          </w:tcPr>
          <w:p>
            <w:pPr>
              <w:spacing w:after="0"/>
              <w:rPr>
                <w:sz w:val="18"/>
                <w:szCs w:val="18"/>
                <w:color w:val="auto"/>
              </w:rPr>
            </w:pPr>
          </w:p>
        </w:tc>
        <w:tc>
          <w:tcPr>
            <w:tcW w:w="640" w:type="dxa"/>
            <w:vAlign w:val="bottom"/>
            <w:gridSpan w:val="2"/>
          </w:tcPr>
          <w:p>
            <w:pPr>
              <w:jc w:val="right"/>
              <w:ind w:right="40"/>
              <w:spacing w:after="0"/>
              <w:rPr>
                <w:sz w:val="20"/>
                <w:szCs w:val="20"/>
                <w:color w:val="auto"/>
              </w:rPr>
            </w:pPr>
            <w:r>
              <w:rPr>
                <w:rFonts w:ascii="Arial" w:cs="Arial" w:eastAsia="Arial" w:hAnsi="Arial"/>
                <w:sz w:val="18"/>
                <w:szCs w:val="18"/>
                <w:color w:val="auto"/>
              </w:rPr>
              <w:t>(364)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8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Amortization of prior service cost (credit)</w:t>
            </w:r>
          </w:p>
        </w:tc>
        <w:tc>
          <w:tcPr>
            <w:tcW w:w="1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28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w:t>
            </w:r>
          </w:p>
        </w:tc>
        <w:tc>
          <w:tcPr>
            <w:tcW w:w="3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980" w:type="dxa"/>
            <w:vAlign w:val="bottom"/>
            <w:tcBorders>
              <w:right w:val="single" w:sz="8" w:color="auto"/>
            </w:tcBorders>
            <w:gridSpan w:val="2"/>
            <w:shd w:val="clear" w:color="auto" w:fill="CCEEFF"/>
          </w:tcPr>
          <w:p>
            <w:pPr>
              <w:jc w:val="right"/>
              <w:ind w:right="700"/>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72"/>
              <w:spacing w:after="0"/>
              <w:rPr>
                <w:sz w:val="20"/>
                <w:szCs w:val="20"/>
                <w:color w:val="auto"/>
              </w:rPr>
            </w:pPr>
            <w:r>
              <w:rPr>
                <w:rFonts w:ascii="Arial" w:cs="Arial" w:eastAsia="Arial" w:hAnsi="Arial"/>
                <w:sz w:val="18"/>
                <w:szCs w:val="18"/>
                <w:color w:val="auto"/>
              </w:rPr>
              <w:t>(5)</w:t>
            </w:r>
          </w:p>
        </w:tc>
        <w:tc>
          <w:tcPr>
            <w:tcW w:w="12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80" w:type="dxa"/>
            <w:vAlign w:val="bottom"/>
          </w:tcPr>
          <w:p>
            <w:pPr>
              <w:spacing w:after="0"/>
              <w:rPr>
                <w:sz w:val="20"/>
                <w:szCs w:val="20"/>
                <w:color w:val="auto"/>
              </w:rPr>
            </w:pPr>
            <w:r>
              <w:rPr>
                <w:rFonts w:ascii="Arial" w:cs="Arial" w:eastAsia="Arial" w:hAnsi="Arial"/>
                <w:sz w:val="18"/>
                <w:szCs w:val="18"/>
                <w:color w:val="auto"/>
              </w:rPr>
              <w:t>Amortization of transition obligation</w:t>
            </w:r>
          </w:p>
        </w:tc>
        <w:tc>
          <w:tcPr>
            <w:tcW w:w="120" w:type="dxa"/>
            <w:vAlign w:val="bottom"/>
          </w:tcPr>
          <w:p>
            <w:pPr>
              <w:spacing w:after="0"/>
              <w:rPr>
                <w:sz w:val="18"/>
                <w:szCs w:val="18"/>
                <w:color w:val="auto"/>
              </w:rPr>
            </w:pPr>
          </w:p>
        </w:tc>
        <w:tc>
          <w:tcPr>
            <w:tcW w:w="132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980" w:type="dxa"/>
            <w:vAlign w:val="bottom"/>
            <w:tcBorders>
              <w:right w:val="single" w:sz="8" w:color="auto"/>
            </w:tcBorders>
            <w:gridSpan w:val="2"/>
          </w:tcPr>
          <w:p>
            <w:pPr>
              <w:jc w:val="right"/>
              <w:ind w:right="700"/>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532"/>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8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Recognized net actuarial loss</w:t>
            </w: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320" w:type="dxa"/>
            <w:vAlign w:val="bottom"/>
            <w:tcBorders>
              <w:left w:val="single" w:sz="8" w:color="CCEEFF"/>
            </w:tcBorders>
            <w:shd w:val="clear" w:color="auto" w:fill="CCEEFF"/>
          </w:tcPr>
          <w:p>
            <w:pPr>
              <w:spacing w:after="0"/>
              <w:rPr>
                <w:sz w:val="18"/>
                <w:szCs w:val="18"/>
                <w:color w:val="auto"/>
              </w:rPr>
            </w:pPr>
          </w:p>
        </w:tc>
        <w:tc>
          <w:tcPr>
            <w:tcW w:w="28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260" w:type="dxa"/>
            <w:vAlign w:val="bottom"/>
            <w:tcBorders>
              <w:left w:val="single" w:sz="8" w:color="CCEEFF"/>
            </w:tcBorders>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980" w:type="dxa"/>
            <w:vAlign w:val="bottom"/>
            <w:tcBorders>
              <w:right w:val="single" w:sz="8" w:color="auto"/>
            </w:tcBorders>
            <w:gridSpan w:val="2"/>
            <w:shd w:val="clear" w:color="auto" w:fill="CCEEFF"/>
          </w:tcPr>
          <w:p>
            <w:pPr>
              <w:jc w:val="right"/>
              <w:ind w:right="700"/>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532"/>
              <w:spacing w:after="0"/>
              <w:rPr>
                <w:sz w:val="20"/>
                <w:szCs w:val="20"/>
                <w:color w:val="auto"/>
              </w:rPr>
            </w:pPr>
            <w:r>
              <w:rPr>
                <w:rFonts w:ascii="Arial" w:cs="Arial" w:eastAsia="Arial" w:hAnsi="Arial"/>
                <w:sz w:val="18"/>
                <w:szCs w:val="18"/>
                <w:color w:val="auto"/>
              </w:rPr>
              <w:t>11</w:t>
            </w:r>
          </w:p>
        </w:tc>
        <w:tc>
          <w:tcPr>
            <w:tcW w:w="12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80" w:type="dxa"/>
            <w:vAlign w:val="bottom"/>
          </w:tcPr>
          <w:p>
            <w:pPr>
              <w:spacing w:after="0"/>
              <w:rPr>
                <w:sz w:val="20"/>
                <w:szCs w:val="20"/>
                <w:color w:val="auto"/>
              </w:rPr>
            </w:pPr>
            <w:r>
              <w:rPr>
                <w:rFonts w:ascii="Arial" w:cs="Arial" w:eastAsia="Arial" w:hAnsi="Arial"/>
                <w:sz w:val="18"/>
                <w:szCs w:val="18"/>
                <w:color w:val="auto"/>
              </w:rPr>
              <w:t>Curtailments, settlements and other</w:t>
            </w:r>
          </w:p>
        </w:tc>
        <w:tc>
          <w:tcPr>
            <w:tcW w:w="120" w:type="dxa"/>
            <w:vAlign w:val="bottom"/>
          </w:tcPr>
          <w:p>
            <w:pPr>
              <w:spacing w:after="0"/>
              <w:rPr>
                <w:sz w:val="18"/>
                <w:szCs w:val="18"/>
                <w:color w:val="auto"/>
              </w:rPr>
            </w:pPr>
          </w:p>
        </w:tc>
        <w:tc>
          <w:tcPr>
            <w:tcW w:w="1320" w:type="dxa"/>
            <w:vAlign w:val="bottom"/>
            <w:gridSpan w:val="2"/>
          </w:tcPr>
          <w:p>
            <w:pPr>
              <w:jc w:val="right"/>
              <w:ind w:right="280"/>
              <w:spacing w:after="0"/>
              <w:rPr>
                <w:sz w:val="20"/>
                <w:szCs w:val="20"/>
                <w:color w:val="auto"/>
              </w:rPr>
            </w:pPr>
            <w:r>
              <w:rPr>
                <w:rFonts w:ascii="Arial" w:cs="Arial" w:eastAsia="Arial" w:hAnsi="Arial"/>
                <w:sz w:val="18"/>
                <w:szCs w:val="18"/>
                <w:color w:val="auto"/>
              </w:rPr>
              <w:t>(9)</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30</w:t>
            </w:r>
          </w:p>
        </w:tc>
        <w:tc>
          <w:tcPr>
            <w:tcW w:w="2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3</w:t>
            </w:r>
          </w:p>
        </w:tc>
        <w:tc>
          <w:tcPr>
            <w:tcW w:w="700" w:type="dxa"/>
            <w:vAlign w:val="bottom"/>
            <w:tcBorders>
              <w:right w:val="single" w:sz="8" w:color="auto"/>
            </w:tcBorders>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532"/>
              <w:spacing w:after="0"/>
              <w:rPr>
                <w:sz w:val="20"/>
                <w:szCs w:val="20"/>
                <w:color w:val="auto"/>
              </w:rPr>
            </w:pPr>
            <w:r>
              <w:rPr>
                <w:rFonts w:ascii="Arial" w:cs="Arial" w:eastAsia="Arial" w:hAnsi="Arial"/>
                <w:sz w:val="18"/>
                <w:szCs w:val="18"/>
                <w:color w:val="auto"/>
              </w:rPr>
              <w:t>5</w:t>
            </w:r>
          </w:p>
        </w:tc>
        <w:tc>
          <w:tcPr>
            <w:tcW w:w="12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97</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3780" w:type="dxa"/>
            <w:vAlign w:val="bottom"/>
            <w:tcBorders>
              <w:right w:val="single" w:sz="8" w:color="auto"/>
            </w:tcBorders>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280" w:type="dxa"/>
            <w:vAlign w:val="bottom"/>
            <w:tcBorders>
              <w:right w:val="single" w:sz="8" w:color="auto"/>
            </w:tcBorders>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340" w:type="dxa"/>
            <w:vAlign w:val="bottom"/>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700" w:type="dxa"/>
            <w:vAlign w:val="bottom"/>
            <w:tcBorders>
              <w:right w:val="single" w:sz="8" w:color="auto"/>
            </w:tcBorders>
          </w:tcPr>
          <w:p>
            <w:pPr>
              <w:spacing w:after="0"/>
              <w:rPr>
                <w:sz w:val="2"/>
                <w:szCs w:val="2"/>
                <w:color w:val="auto"/>
              </w:rPr>
            </w:pPr>
          </w:p>
        </w:tc>
        <w:tc>
          <w:tcPr>
            <w:tcW w:w="4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378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periodic pension expense</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141</w:t>
            </w:r>
          </w:p>
        </w:tc>
        <w:tc>
          <w:tcPr>
            <w:tcW w:w="320" w:type="dxa"/>
            <w:vAlign w:val="bottom"/>
            <w:tcBorders>
              <w:left w:val="single" w:sz="8" w:color="CCEEFF"/>
            </w:tcBorders>
            <w:shd w:val="clear" w:color="auto" w:fill="CCEEFF"/>
          </w:tcPr>
          <w:p>
            <w:pPr>
              <w:spacing w:after="0"/>
              <w:rPr>
                <w:sz w:val="18"/>
                <w:szCs w:val="18"/>
                <w:color w:val="auto"/>
              </w:rPr>
            </w:pPr>
          </w:p>
        </w:tc>
        <w:tc>
          <w:tcPr>
            <w:tcW w:w="28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478</w:t>
            </w:r>
          </w:p>
        </w:tc>
        <w:tc>
          <w:tcPr>
            <w:tcW w:w="260" w:type="dxa"/>
            <w:vAlign w:val="bottom"/>
            <w:tcBorders>
              <w:left w:val="single" w:sz="8" w:color="CCEEFF"/>
            </w:tcBorders>
            <w:shd w:val="clear" w:color="auto" w:fill="CCEEFF"/>
          </w:tcPr>
          <w:p>
            <w:pPr>
              <w:spacing w:after="0"/>
              <w:rPr>
                <w:sz w:val="18"/>
                <w:szCs w:val="18"/>
                <w:color w:val="auto"/>
              </w:rPr>
            </w:pPr>
          </w:p>
        </w:tc>
        <w:tc>
          <w:tcPr>
            <w:tcW w:w="118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153</w:t>
            </w:r>
          </w:p>
        </w:tc>
        <w:tc>
          <w:tcPr>
            <w:tcW w:w="700" w:type="dxa"/>
            <w:vAlign w:val="bottom"/>
            <w:tcBorders>
              <w:left w:val="single" w:sz="8" w:color="CCEEFF"/>
              <w:right w:val="single" w:sz="8" w:color="auto"/>
            </w:tcBorders>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gridSpan w:val="2"/>
            <w:shd w:val="clear" w:color="auto" w:fill="CCEEFF"/>
          </w:tcPr>
          <w:p>
            <w:pPr>
              <w:jc w:val="right"/>
              <w:ind w:right="532"/>
              <w:spacing w:after="0"/>
              <w:rPr>
                <w:sz w:val="20"/>
                <w:szCs w:val="20"/>
                <w:color w:val="auto"/>
              </w:rPr>
            </w:pPr>
            <w:r>
              <w:rPr>
                <w:rFonts w:ascii="Arial" w:cs="Arial" w:eastAsia="Arial" w:hAnsi="Arial"/>
                <w:sz w:val="18"/>
                <w:szCs w:val="18"/>
                <w:color w:val="auto"/>
              </w:rPr>
              <w:t>24</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667</w:t>
            </w: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3780" w:type="dxa"/>
            <w:vAlign w:val="bottom"/>
          </w:tcPr>
          <w:p>
            <w:pPr>
              <w:spacing w:after="0"/>
              <w:rPr>
                <w:sz w:val="3"/>
                <w:szCs w:val="3"/>
                <w:color w:val="auto"/>
              </w:rPr>
            </w:pPr>
          </w:p>
        </w:tc>
        <w:tc>
          <w:tcPr>
            <w:tcW w:w="120" w:type="dxa"/>
            <w:vAlign w:val="bottom"/>
            <w:tcBorders>
              <w:top w:val="single" w:sz="8" w:color="auto"/>
              <w:bottom w:val="single" w:sz="8" w:color="auto"/>
            </w:tcBorders>
          </w:tcPr>
          <w:p>
            <w:pPr>
              <w:spacing w:after="0"/>
              <w:rPr>
                <w:sz w:val="3"/>
                <w:szCs w:val="3"/>
                <w:color w:val="auto"/>
              </w:rPr>
            </w:pPr>
          </w:p>
        </w:tc>
        <w:tc>
          <w:tcPr>
            <w:tcW w:w="1000" w:type="dxa"/>
            <w:vAlign w:val="bottom"/>
            <w:tcBorders>
              <w:top w:val="single" w:sz="8" w:color="auto"/>
              <w:bottom w:val="single" w:sz="8" w:color="auto"/>
            </w:tcBorders>
          </w:tcPr>
          <w:p>
            <w:pPr>
              <w:spacing w:after="0"/>
              <w:rPr>
                <w:sz w:val="3"/>
                <w:szCs w:val="3"/>
                <w:color w:val="auto"/>
              </w:rPr>
            </w:pPr>
          </w:p>
        </w:tc>
        <w:tc>
          <w:tcPr>
            <w:tcW w:w="320" w:type="dxa"/>
            <w:vAlign w:val="bottom"/>
          </w:tcPr>
          <w:p>
            <w:pPr>
              <w:spacing w:after="0"/>
              <w:rPr>
                <w:sz w:val="3"/>
                <w:szCs w:val="3"/>
                <w:color w:val="auto"/>
              </w:rPr>
            </w:pPr>
          </w:p>
        </w:tc>
        <w:tc>
          <w:tcPr>
            <w:tcW w:w="280" w:type="dxa"/>
            <w:vAlign w:val="bottom"/>
          </w:tcPr>
          <w:p>
            <w:pPr>
              <w:spacing w:after="0"/>
              <w:rPr>
                <w:sz w:val="3"/>
                <w:szCs w:val="3"/>
                <w:color w:val="auto"/>
              </w:rPr>
            </w:pPr>
          </w:p>
        </w:tc>
        <w:tc>
          <w:tcPr>
            <w:tcW w:w="100" w:type="dxa"/>
            <w:vAlign w:val="bottom"/>
            <w:tcBorders>
              <w:top w:val="single" w:sz="8" w:color="auto"/>
              <w:bottom w:val="single" w:sz="8" w:color="auto"/>
            </w:tcBorders>
          </w:tcPr>
          <w:p>
            <w:pPr>
              <w:spacing w:after="0"/>
              <w:rPr>
                <w:sz w:val="3"/>
                <w:szCs w:val="3"/>
                <w:color w:val="auto"/>
              </w:rPr>
            </w:pPr>
          </w:p>
        </w:tc>
        <w:tc>
          <w:tcPr>
            <w:tcW w:w="1020" w:type="dxa"/>
            <w:vAlign w:val="bottom"/>
            <w:tcBorders>
              <w:top w:val="single" w:sz="8" w:color="auto"/>
              <w:bottom w:val="single" w:sz="8" w:color="auto"/>
            </w:tcBorders>
          </w:tcPr>
          <w:p>
            <w:pPr>
              <w:spacing w:after="0"/>
              <w:rPr>
                <w:sz w:val="3"/>
                <w:szCs w:val="3"/>
                <w:color w:val="auto"/>
              </w:rPr>
            </w:pPr>
          </w:p>
        </w:tc>
        <w:tc>
          <w:tcPr>
            <w:tcW w:w="260" w:type="dxa"/>
            <w:vAlign w:val="bottom"/>
          </w:tcPr>
          <w:p>
            <w:pPr>
              <w:spacing w:after="0"/>
              <w:rPr>
                <w:sz w:val="3"/>
                <w:szCs w:val="3"/>
                <w:color w:val="auto"/>
              </w:rPr>
            </w:pPr>
          </w:p>
        </w:tc>
        <w:tc>
          <w:tcPr>
            <w:tcW w:w="340" w:type="dxa"/>
            <w:vAlign w:val="bottom"/>
          </w:tcPr>
          <w:p>
            <w:pPr>
              <w:spacing w:after="0"/>
              <w:rPr>
                <w:sz w:val="3"/>
                <w:szCs w:val="3"/>
                <w:color w:val="auto"/>
              </w:rPr>
            </w:pPr>
          </w:p>
        </w:tc>
        <w:tc>
          <w:tcPr>
            <w:tcW w:w="840" w:type="dxa"/>
            <w:vAlign w:val="bottom"/>
            <w:tcBorders>
              <w:top w:val="single" w:sz="8" w:color="auto"/>
              <w:bottom w:val="single" w:sz="8" w:color="auto"/>
            </w:tcBorders>
          </w:tcPr>
          <w:p>
            <w:pPr>
              <w:spacing w:after="0"/>
              <w:rPr>
                <w:sz w:val="3"/>
                <w:szCs w:val="3"/>
                <w:color w:val="auto"/>
              </w:rPr>
            </w:pPr>
          </w:p>
        </w:tc>
        <w:tc>
          <w:tcPr>
            <w:tcW w:w="280" w:type="dxa"/>
            <w:vAlign w:val="bottom"/>
            <w:tcBorders>
              <w:top w:val="single" w:sz="8" w:color="auto"/>
              <w:bottom w:val="single" w:sz="8" w:color="auto"/>
            </w:tcBorders>
          </w:tcPr>
          <w:p>
            <w:pPr>
              <w:spacing w:after="0"/>
              <w:rPr>
                <w:sz w:val="3"/>
                <w:szCs w:val="3"/>
                <w:color w:val="auto"/>
              </w:rPr>
            </w:pPr>
          </w:p>
        </w:tc>
        <w:tc>
          <w:tcPr>
            <w:tcW w:w="700" w:type="dxa"/>
            <w:vAlign w:val="bottom"/>
            <w:tcBorders>
              <w:right w:val="single" w:sz="8" w:color="auto"/>
            </w:tcBorders>
          </w:tcPr>
          <w:p>
            <w:pPr>
              <w:spacing w:after="0"/>
              <w:rPr>
                <w:sz w:val="3"/>
                <w:szCs w:val="3"/>
                <w:color w:val="auto"/>
              </w:rPr>
            </w:pPr>
          </w:p>
        </w:tc>
        <w:tc>
          <w:tcPr>
            <w:tcW w:w="480" w:type="dxa"/>
            <w:vAlign w:val="bottom"/>
          </w:tcPr>
          <w:p>
            <w:pPr>
              <w:spacing w:after="0"/>
              <w:rPr>
                <w:sz w:val="3"/>
                <w:szCs w:val="3"/>
                <w:color w:val="auto"/>
              </w:rPr>
            </w:pPr>
          </w:p>
        </w:tc>
        <w:tc>
          <w:tcPr>
            <w:tcW w:w="100" w:type="dxa"/>
            <w:vAlign w:val="bottom"/>
            <w:tcBorders>
              <w:top w:val="single" w:sz="8" w:color="auto"/>
              <w:bottom w:val="single" w:sz="8" w:color="auto"/>
            </w:tcBorders>
          </w:tcPr>
          <w:p>
            <w:pPr>
              <w:spacing w:after="0"/>
              <w:rPr>
                <w:sz w:val="3"/>
                <w:szCs w:val="3"/>
                <w:color w:val="auto"/>
              </w:rPr>
            </w:pPr>
          </w:p>
        </w:tc>
        <w:tc>
          <w:tcPr>
            <w:tcW w:w="420" w:type="dxa"/>
            <w:vAlign w:val="bottom"/>
            <w:tcBorders>
              <w:top w:val="single" w:sz="8" w:color="auto"/>
              <w:bottom w:val="single" w:sz="8" w:color="auto"/>
            </w:tcBorders>
          </w:tcPr>
          <w:p>
            <w:pPr>
              <w:spacing w:after="0"/>
              <w:rPr>
                <w:sz w:val="3"/>
                <w:szCs w:val="3"/>
                <w:color w:val="auto"/>
              </w:rPr>
            </w:pPr>
          </w:p>
        </w:tc>
        <w:tc>
          <w:tcPr>
            <w:tcW w:w="600" w:type="dxa"/>
            <w:vAlign w:val="bottom"/>
          </w:tcPr>
          <w:p>
            <w:pPr>
              <w:spacing w:after="0"/>
              <w:rPr>
                <w:sz w:val="3"/>
                <w:szCs w:val="3"/>
                <w:color w:val="auto"/>
              </w:rPr>
            </w:pPr>
          </w:p>
        </w:tc>
        <w:tc>
          <w:tcPr>
            <w:tcW w:w="120" w:type="dxa"/>
            <w:vAlign w:val="bottom"/>
            <w:tcBorders>
              <w:top w:val="single" w:sz="8" w:color="auto"/>
              <w:bottom w:val="single" w:sz="8" w:color="auto"/>
            </w:tcBorders>
          </w:tcPr>
          <w:p>
            <w:pPr>
              <w:spacing w:after="0"/>
              <w:rPr>
                <w:sz w:val="3"/>
                <w:szCs w:val="3"/>
                <w:color w:val="auto"/>
              </w:rPr>
            </w:pPr>
          </w:p>
        </w:tc>
        <w:tc>
          <w:tcPr>
            <w:tcW w:w="540" w:type="dxa"/>
            <w:vAlign w:val="bottom"/>
            <w:tcBorders>
              <w:top w:val="single" w:sz="8" w:color="auto"/>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12"/>
        </w:trPr>
        <w:tc>
          <w:tcPr>
            <w:tcW w:w="20" w:type="dxa"/>
            <w:vAlign w:val="bottom"/>
          </w:tcPr>
          <w:p>
            <w:pPr>
              <w:spacing w:after="0"/>
              <w:rPr>
                <w:sz w:val="24"/>
                <w:szCs w:val="24"/>
                <w:color w:val="auto"/>
              </w:rPr>
            </w:pPr>
          </w:p>
        </w:tc>
        <w:tc>
          <w:tcPr>
            <w:tcW w:w="3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40" w:type="dxa"/>
            <w:vAlign w:val="bottom"/>
          </w:tcPr>
          <w:p>
            <w:pPr>
              <w:jc w:val="center"/>
              <w:ind w:right="132"/>
              <w:spacing w:after="0"/>
              <w:rPr>
                <w:sz w:val="20"/>
                <w:szCs w:val="20"/>
                <w:color w:val="auto"/>
              </w:rPr>
            </w:pPr>
            <w:r>
              <w:rPr>
                <w:rFonts w:ascii="Arial" w:cs="Arial" w:eastAsia="Arial" w:hAnsi="Arial"/>
                <w:sz w:val="14"/>
                <w:szCs w:val="14"/>
                <w:b w:val="1"/>
                <w:bCs w:val="1"/>
                <w:color w:val="auto"/>
                <w:w w:val="87"/>
              </w:rPr>
              <w:t>U.S. Plans</w:t>
            </w:r>
          </w:p>
        </w:tc>
        <w:tc>
          <w:tcPr>
            <w:tcW w:w="2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378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gridSpan w:val="2"/>
          </w:tcPr>
          <w:p>
            <w:pPr>
              <w:jc w:val="center"/>
              <w:ind w:left="60"/>
              <w:spacing w:after="0"/>
              <w:rPr>
                <w:sz w:val="20"/>
                <w:szCs w:val="20"/>
                <w:color w:val="auto"/>
              </w:rPr>
            </w:pPr>
            <w:r>
              <w:rPr>
                <w:rFonts w:ascii="Arial" w:cs="Arial" w:eastAsia="Arial" w:hAnsi="Arial"/>
                <w:sz w:val="14"/>
                <w:szCs w:val="14"/>
                <w:b w:val="1"/>
                <w:bCs w:val="1"/>
                <w:color w:val="auto"/>
                <w:w w:val="87"/>
              </w:rPr>
              <w:t>Other Benefits</w:t>
            </w:r>
          </w:p>
        </w:tc>
        <w:tc>
          <w:tcPr>
            <w:tcW w:w="28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78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1000" w:type="dxa"/>
            <w:vAlign w:val="bottom"/>
            <w:tcBorders>
              <w:bottom w:val="single" w:sz="8" w:color="auto"/>
            </w:tcBorders>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280" w:type="dxa"/>
            <w:vAlign w:val="bottom"/>
            <w:tcBorders>
              <w:bottom w:val="single" w:sz="8" w:color="auto"/>
            </w:tcBorders>
            <w:gridSpan w:val="2"/>
          </w:tcPr>
          <w:p>
            <w:pPr>
              <w:jc w:val="center"/>
              <w:ind w:right="360"/>
              <w:spacing w:after="0" w:line="142" w:lineRule="exact"/>
              <w:rPr>
                <w:sz w:val="20"/>
                <w:szCs w:val="20"/>
                <w:color w:val="auto"/>
              </w:rPr>
            </w:pPr>
            <w:r>
              <w:rPr>
                <w:rFonts w:ascii="Arial" w:cs="Arial" w:eastAsia="Arial" w:hAnsi="Arial"/>
                <w:sz w:val="14"/>
                <w:szCs w:val="14"/>
                <w:b w:val="1"/>
                <w:bCs w:val="1"/>
                <w:color w:val="auto"/>
                <w:w w:val="79"/>
              </w:rPr>
              <w:t>Successor</w:t>
            </w:r>
          </w:p>
        </w:tc>
        <w:tc>
          <w:tcPr>
            <w:tcW w:w="34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700" w:type="dxa"/>
            <w:vAlign w:val="bottom"/>
            <w:tcBorders>
              <w:right w:val="single" w:sz="8" w:color="auto"/>
            </w:tcBorders>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42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gridSpan w:val="2"/>
          </w:tcPr>
          <w:p>
            <w:pPr>
              <w:ind w:left="20"/>
              <w:spacing w:after="0" w:line="142" w:lineRule="exact"/>
              <w:rPr>
                <w:sz w:val="20"/>
                <w:szCs w:val="20"/>
                <w:color w:val="auto"/>
              </w:rPr>
            </w:pPr>
            <w:r>
              <w:rPr>
                <w:rFonts w:ascii="Arial" w:cs="Arial" w:eastAsia="Arial" w:hAnsi="Arial"/>
                <w:sz w:val="14"/>
                <w:szCs w:val="14"/>
                <w:b w:val="1"/>
                <w:bCs w:val="1"/>
                <w:color w:val="auto"/>
                <w:w w:val="80"/>
              </w:rPr>
              <w:t>Predecessor</w:t>
            </w:r>
          </w:p>
        </w:tc>
        <w:tc>
          <w:tcPr>
            <w:tcW w:w="54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37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Borders>
              <w:right w:val="single" w:sz="8" w:color="auto"/>
            </w:tcBorders>
          </w:tcPr>
          <w:p>
            <w:pPr>
              <w:spacing w:after="0"/>
              <w:rPr>
                <w:sz w:val="11"/>
                <w:szCs w:val="11"/>
                <w:color w:val="auto"/>
              </w:rPr>
            </w:pPr>
          </w:p>
        </w:tc>
        <w:tc>
          <w:tcPr>
            <w:tcW w:w="480" w:type="dxa"/>
            <w:vAlign w:val="bottom"/>
          </w:tcPr>
          <w:p>
            <w:pPr>
              <w:spacing w:after="0"/>
              <w:rPr>
                <w:sz w:val="11"/>
                <w:szCs w:val="11"/>
                <w:color w:val="auto"/>
              </w:rPr>
            </w:pPr>
          </w:p>
        </w:tc>
        <w:tc>
          <w:tcPr>
            <w:tcW w:w="1120" w:type="dxa"/>
            <w:vAlign w:val="bottom"/>
            <w:gridSpan w:val="3"/>
          </w:tcPr>
          <w:p>
            <w:pPr>
              <w:jc w:val="center"/>
              <w:ind w:right="552"/>
              <w:spacing w:after="0" w:line="129" w:lineRule="exact"/>
              <w:rPr>
                <w:sz w:val="20"/>
                <w:szCs w:val="20"/>
                <w:color w:val="auto"/>
              </w:rPr>
            </w:pPr>
            <w:r>
              <w:rPr>
                <w:rFonts w:ascii="Arial" w:cs="Arial" w:eastAsia="Arial" w:hAnsi="Arial"/>
                <w:sz w:val="14"/>
                <w:szCs w:val="14"/>
                <w:b w:val="1"/>
                <w:bCs w:val="1"/>
                <w:color w:val="auto"/>
                <w:w w:val="87"/>
              </w:rPr>
              <w:t>July 1,</w:t>
            </w:r>
          </w:p>
        </w:tc>
        <w:tc>
          <w:tcPr>
            <w:tcW w:w="660" w:type="dxa"/>
            <w:vAlign w:val="bottom"/>
            <w:gridSpan w:val="2"/>
          </w:tcPr>
          <w:p>
            <w:pPr>
              <w:jc w:val="center"/>
              <w:spacing w:after="0" w:line="129" w:lineRule="exact"/>
              <w:rPr>
                <w:sz w:val="20"/>
                <w:szCs w:val="20"/>
                <w:color w:val="auto"/>
              </w:rPr>
            </w:pPr>
            <w:r>
              <w:rPr>
                <w:rFonts w:ascii="Arial" w:cs="Arial" w:eastAsia="Arial" w:hAnsi="Arial"/>
                <w:sz w:val="14"/>
                <w:szCs w:val="14"/>
                <w:b w:val="1"/>
                <w:bCs w:val="1"/>
                <w:color w:val="auto"/>
                <w:w w:val="89"/>
              </w:rPr>
              <w:t>January 1,</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00" w:type="dxa"/>
            <w:vAlign w:val="bottom"/>
            <w:tcBorders>
              <w:right w:val="single" w:sz="8" w:color="auto"/>
            </w:tcBorders>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20" w:type="dxa"/>
            <w:vAlign w:val="bottom"/>
          </w:tcPr>
          <w:p>
            <w:pPr>
              <w:jc w:val="center"/>
              <w:ind w:right="16"/>
              <w:spacing w:after="0" w:line="149" w:lineRule="exact"/>
              <w:rPr>
                <w:sz w:val="20"/>
                <w:szCs w:val="20"/>
                <w:color w:val="auto"/>
              </w:rPr>
            </w:pPr>
            <w:r>
              <w:rPr>
                <w:rFonts w:ascii="Arial" w:cs="Arial" w:eastAsia="Arial" w:hAnsi="Arial"/>
                <w:sz w:val="14"/>
                <w:szCs w:val="14"/>
                <w:b w:val="1"/>
                <w:bCs w:val="1"/>
                <w:color w:val="auto"/>
                <w:w w:val="89"/>
              </w:rPr>
              <w:t>2009</w:t>
            </w:r>
          </w:p>
        </w:tc>
        <w:tc>
          <w:tcPr>
            <w:tcW w:w="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jc w:val="center"/>
              <w:ind w:right="58"/>
              <w:spacing w:after="0" w:line="149" w:lineRule="exact"/>
              <w:rPr>
                <w:sz w:val="20"/>
                <w:szCs w:val="20"/>
                <w:color w:val="auto"/>
              </w:rPr>
            </w:pPr>
            <w:r>
              <w:rPr>
                <w:rFonts w:ascii="Arial" w:cs="Arial" w:eastAsia="Arial" w:hAnsi="Arial"/>
                <w:sz w:val="14"/>
                <w:szCs w:val="14"/>
                <w:b w:val="1"/>
                <w:bCs w:val="1"/>
                <w:color w:val="auto"/>
                <w:w w:val="89"/>
              </w:rPr>
              <w:t>2009</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20" w:type="dxa"/>
            <w:vAlign w:val="bottom"/>
            <w:gridSpan w:val="2"/>
          </w:tcPr>
          <w:p>
            <w:pPr>
              <w:jc w:val="center"/>
              <w:ind w:right="420"/>
              <w:spacing w:after="0" w:line="149" w:lineRule="exact"/>
              <w:rPr>
                <w:sz w:val="20"/>
                <w:szCs w:val="20"/>
                <w:color w:val="auto"/>
              </w:rPr>
            </w:pPr>
            <w:r>
              <w:rPr>
                <w:rFonts w:ascii="Arial" w:cs="Arial" w:eastAsia="Arial" w:hAnsi="Arial"/>
                <w:sz w:val="14"/>
                <w:szCs w:val="14"/>
                <w:b w:val="1"/>
                <w:bCs w:val="1"/>
                <w:color w:val="auto"/>
                <w:w w:val="89"/>
              </w:rPr>
              <w:t>Three Months</w:t>
            </w: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8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88"/>
              </w:rPr>
              <w:t>Nine Months</w:t>
            </w:r>
          </w:p>
        </w:tc>
        <w:tc>
          <w:tcPr>
            <w:tcW w:w="340" w:type="dxa"/>
            <w:vAlign w:val="bottom"/>
          </w:tcPr>
          <w:p>
            <w:pPr>
              <w:spacing w:after="0"/>
              <w:rPr>
                <w:sz w:val="12"/>
                <w:szCs w:val="12"/>
                <w:color w:val="auto"/>
              </w:rPr>
            </w:pPr>
          </w:p>
        </w:tc>
        <w:tc>
          <w:tcPr>
            <w:tcW w:w="1820" w:type="dxa"/>
            <w:vAlign w:val="bottom"/>
            <w:tcBorders>
              <w:right w:val="single" w:sz="8" w:color="auto"/>
            </w:tcBorders>
            <w:gridSpan w:val="3"/>
          </w:tcPr>
          <w:p>
            <w:pPr>
              <w:jc w:val="center"/>
              <w:ind w:right="700"/>
              <w:spacing w:after="0" w:line="149" w:lineRule="exact"/>
              <w:rPr>
                <w:sz w:val="20"/>
                <w:szCs w:val="20"/>
                <w:color w:val="auto"/>
              </w:rPr>
            </w:pPr>
            <w:r>
              <w:rPr>
                <w:rFonts w:ascii="Arial" w:cs="Arial" w:eastAsia="Arial" w:hAnsi="Arial"/>
                <w:sz w:val="14"/>
                <w:szCs w:val="14"/>
                <w:b w:val="1"/>
                <w:bCs w:val="1"/>
                <w:color w:val="auto"/>
                <w:w w:val="87"/>
              </w:rPr>
              <w:t>July 10, 2009</w:t>
            </w:r>
          </w:p>
        </w:tc>
        <w:tc>
          <w:tcPr>
            <w:tcW w:w="480" w:type="dxa"/>
            <w:vAlign w:val="bottom"/>
          </w:tcPr>
          <w:p>
            <w:pPr>
              <w:spacing w:after="0"/>
              <w:rPr>
                <w:sz w:val="12"/>
                <w:szCs w:val="12"/>
                <w:color w:val="auto"/>
              </w:rPr>
            </w:pPr>
          </w:p>
        </w:tc>
        <w:tc>
          <w:tcPr>
            <w:tcW w:w="1120" w:type="dxa"/>
            <w:vAlign w:val="bottom"/>
            <w:gridSpan w:val="3"/>
          </w:tcPr>
          <w:p>
            <w:pPr>
              <w:jc w:val="center"/>
              <w:ind w:right="532"/>
              <w:spacing w:after="0" w:line="149" w:lineRule="exact"/>
              <w:rPr>
                <w:sz w:val="20"/>
                <w:szCs w:val="20"/>
                <w:color w:val="auto"/>
              </w:rPr>
            </w:pPr>
            <w:r>
              <w:rPr>
                <w:rFonts w:ascii="Arial" w:cs="Arial" w:eastAsia="Arial" w:hAnsi="Arial"/>
                <w:sz w:val="14"/>
                <w:szCs w:val="14"/>
                <w:b w:val="1"/>
                <w:bCs w:val="1"/>
                <w:color w:val="auto"/>
                <w:w w:val="91"/>
              </w:rPr>
              <w:t>Through</w:t>
            </w:r>
          </w:p>
        </w:tc>
        <w:tc>
          <w:tcPr>
            <w:tcW w:w="760" w:type="dxa"/>
            <w:vAlign w:val="bottom"/>
            <w:gridSpan w:val="3"/>
          </w:tcPr>
          <w:p>
            <w:pPr>
              <w:jc w:val="center"/>
              <w:ind w:right="120"/>
              <w:spacing w:after="0" w:line="149" w:lineRule="exact"/>
              <w:rPr>
                <w:sz w:val="20"/>
                <w:szCs w:val="20"/>
                <w:color w:val="auto"/>
              </w:rPr>
            </w:pPr>
            <w:r>
              <w:rPr>
                <w:rFonts w:ascii="Arial" w:cs="Arial" w:eastAsia="Arial" w:hAnsi="Arial"/>
                <w:sz w:val="14"/>
                <w:szCs w:val="14"/>
                <w:b w:val="1"/>
                <w:bCs w:val="1"/>
                <w:color w:val="auto"/>
                <w:w w:val="91"/>
              </w:rPr>
              <w:t>Through</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20" w:type="dxa"/>
            <w:vAlign w:val="bottom"/>
            <w:gridSpan w:val="2"/>
          </w:tcPr>
          <w:p>
            <w:pPr>
              <w:jc w:val="center"/>
              <w:ind w:right="420"/>
              <w:spacing w:after="0" w:line="149" w:lineRule="exact"/>
              <w:rPr>
                <w:sz w:val="20"/>
                <w:szCs w:val="20"/>
                <w:color w:val="auto"/>
              </w:rPr>
            </w:pPr>
            <w:r>
              <w:rPr>
                <w:rFonts w:ascii="Arial" w:cs="Arial" w:eastAsia="Arial" w:hAnsi="Arial"/>
                <w:sz w:val="14"/>
                <w:szCs w:val="14"/>
                <w:b w:val="1"/>
                <w:bCs w:val="1"/>
                <w:color w:val="auto"/>
                <w:w w:val="88"/>
              </w:rPr>
              <w:t>Ended</w:t>
            </w: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8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88"/>
              </w:rPr>
              <w:t>Ended</w:t>
            </w:r>
          </w:p>
        </w:tc>
        <w:tc>
          <w:tcPr>
            <w:tcW w:w="340" w:type="dxa"/>
            <w:vAlign w:val="bottom"/>
          </w:tcPr>
          <w:p>
            <w:pPr>
              <w:spacing w:after="0"/>
              <w:rPr>
                <w:sz w:val="12"/>
                <w:szCs w:val="12"/>
                <w:color w:val="auto"/>
              </w:rPr>
            </w:pPr>
          </w:p>
        </w:tc>
        <w:tc>
          <w:tcPr>
            <w:tcW w:w="840" w:type="dxa"/>
            <w:vAlign w:val="bottom"/>
          </w:tcPr>
          <w:p>
            <w:pPr>
              <w:jc w:val="center"/>
              <w:ind w:left="212"/>
              <w:spacing w:after="0" w:line="149" w:lineRule="exact"/>
              <w:rPr>
                <w:sz w:val="20"/>
                <w:szCs w:val="20"/>
                <w:color w:val="auto"/>
              </w:rPr>
            </w:pPr>
            <w:r>
              <w:rPr>
                <w:rFonts w:ascii="Arial" w:cs="Arial" w:eastAsia="Arial" w:hAnsi="Arial"/>
                <w:sz w:val="14"/>
                <w:szCs w:val="14"/>
                <w:b w:val="1"/>
                <w:bCs w:val="1"/>
                <w:color w:val="auto"/>
                <w:w w:val="91"/>
              </w:rPr>
              <w:t>Through</w:t>
            </w:r>
          </w:p>
        </w:tc>
        <w:tc>
          <w:tcPr>
            <w:tcW w:w="280" w:type="dxa"/>
            <w:vAlign w:val="bottom"/>
          </w:tcPr>
          <w:p>
            <w:pPr>
              <w:spacing w:after="0"/>
              <w:rPr>
                <w:sz w:val="12"/>
                <w:szCs w:val="12"/>
                <w:color w:val="auto"/>
              </w:rPr>
            </w:pPr>
          </w:p>
        </w:tc>
        <w:tc>
          <w:tcPr>
            <w:tcW w:w="700" w:type="dxa"/>
            <w:vAlign w:val="bottom"/>
            <w:tcBorders>
              <w:right w:val="single" w:sz="8" w:color="auto"/>
            </w:tcBorders>
          </w:tcPr>
          <w:p>
            <w:pPr>
              <w:spacing w:after="0"/>
              <w:rPr>
                <w:sz w:val="12"/>
                <w:szCs w:val="12"/>
                <w:color w:val="auto"/>
              </w:rPr>
            </w:pPr>
          </w:p>
        </w:tc>
        <w:tc>
          <w:tcPr>
            <w:tcW w:w="480" w:type="dxa"/>
            <w:vAlign w:val="bottom"/>
          </w:tcPr>
          <w:p>
            <w:pPr>
              <w:spacing w:after="0"/>
              <w:rPr>
                <w:sz w:val="12"/>
                <w:szCs w:val="12"/>
                <w:color w:val="auto"/>
              </w:rPr>
            </w:pPr>
          </w:p>
        </w:tc>
        <w:tc>
          <w:tcPr>
            <w:tcW w:w="1120" w:type="dxa"/>
            <w:vAlign w:val="bottom"/>
            <w:gridSpan w:val="3"/>
          </w:tcPr>
          <w:p>
            <w:pPr>
              <w:jc w:val="center"/>
              <w:ind w:right="532"/>
              <w:spacing w:after="0" w:line="149" w:lineRule="exact"/>
              <w:rPr>
                <w:sz w:val="20"/>
                <w:szCs w:val="20"/>
                <w:color w:val="auto"/>
              </w:rPr>
            </w:pPr>
            <w:r>
              <w:rPr>
                <w:rFonts w:ascii="Arial" w:cs="Arial" w:eastAsia="Arial" w:hAnsi="Arial"/>
                <w:sz w:val="14"/>
                <w:szCs w:val="14"/>
                <w:b w:val="1"/>
                <w:bCs w:val="1"/>
                <w:color w:val="auto"/>
                <w:w w:val="91"/>
              </w:rPr>
              <w:t>July 9,</w:t>
            </w:r>
          </w:p>
        </w:tc>
        <w:tc>
          <w:tcPr>
            <w:tcW w:w="120" w:type="dxa"/>
            <w:vAlign w:val="bottom"/>
          </w:tcPr>
          <w:p>
            <w:pPr>
              <w:spacing w:after="0"/>
              <w:rPr>
                <w:sz w:val="12"/>
                <w:szCs w:val="12"/>
                <w:color w:val="auto"/>
              </w:rPr>
            </w:pPr>
          </w:p>
        </w:tc>
        <w:tc>
          <w:tcPr>
            <w:tcW w:w="64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1"/>
              </w:rPr>
              <w:t>July 9,</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3780" w:type="dxa"/>
            <w:vAlign w:val="bottom"/>
          </w:tcPr>
          <w:p>
            <w:pPr>
              <w:spacing w:after="0"/>
              <w:rPr>
                <w:sz w:val="14"/>
                <w:szCs w:val="14"/>
                <w:color w:val="auto"/>
              </w:rPr>
            </w:pPr>
          </w:p>
        </w:tc>
        <w:tc>
          <w:tcPr>
            <w:tcW w:w="1440" w:type="dxa"/>
            <w:vAlign w:val="bottom"/>
            <w:gridSpan w:val="3"/>
          </w:tcPr>
          <w:p>
            <w:pPr>
              <w:jc w:val="center"/>
              <w:ind w:right="300"/>
              <w:spacing w:after="0"/>
              <w:rPr>
                <w:sz w:val="20"/>
                <w:szCs w:val="20"/>
                <w:color w:val="auto"/>
              </w:rPr>
            </w:pPr>
            <w:r>
              <w:rPr>
                <w:rFonts w:ascii="Arial" w:cs="Arial" w:eastAsia="Arial" w:hAnsi="Arial"/>
                <w:sz w:val="14"/>
                <w:szCs w:val="14"/>
                <w:b w:val="1"/>
                <w:bCs w:val="1"/>
                <w:color w:val="auto"/>
                <w:w w:val="87"/>
              </w:rPr>
              <w:t>September 30, 2010</w:t>
            </w:r>
          </w:p>
        </w:tc>
        <w:tc>
          <w:tcPr>
            <w:tcW w:w="280" w:type="dxa"/>
            <w:vAlign w:val="bottom"/>
          </w:tcPr>
          <w:p>
            <w:pPr>
              <w:spacing w:after="0"/>
              <w:rPr>
                <w:sz w:val="14"/>
                <w:szCs w:val="14"/>
                <w:color w:val="auto"/>
              </w:rPr>
            </w:pPr>
          </w:p>
        </w:tc>
        <w:tc>
          <w:tcPr>
            <w:tcW w:w="1380" w:type="dxa"/>
            <w:vAlign w:val="bottom"/>
            <w:gridSpan w:val="3"/>
          </w:tcPr>
          <w:p>
            <w:pPr>
              <w:spacing w:after="0"/>
              <w:rPr>
                <w:sz w:val="20"/>
                <w:szCs w:val="20"/>
                <w:color w:val="auto"/>
              </w:rPr>
            </w:pPr>
            <w:r>
              <w:rPr>
                <w:rFonts w:ascii="Arial" w:cs="Arial" w:eastAsia="Arial" w:hAnsi="Arial"/>
                <w:sz w:val="14"/>
                <w:szCs w:val="14"/>
                <w:b w:val="1"/>
                <w:bCs w:val="1"/>
                <w:color w:val="auto"/>
              </w:rPr>
              <w:t>September 30, 2010</w:t>
            </w:r>
          </w:p>
        </w:tc>
        <w:tc>
          <w:tcPr>
            <w:tcW w:w="340" w:type="dxa"/>
            <w:vAlign w:val="bottom"/>
          </w:tcPr>
          <w:p>
            <w:pPr>
              <w:spacing w:after="0"/>
              <w:rPr>
                <w:sz w:val="14"/>
                <w:szCs w:val="14"/>
                <w:color w:val="auto"/>
              </w:rPr>
            </w:pPr>
          </w:p>
        </w:tc>
        <w:tc>
          <w:tcPr>
            <w:tcW w:w="1820" w:type="dxa"/>
            <w:vAlign w:val="bottom"/>
            <w:tcBorders>
              <w:right w:val="single" w:sz="8" w:color="auto"/>
            </w:tcBorders>
            <w:gridSpan w:val="3"/>
          </w:tcPr>
          <w:p>
            <w:pPr>
              <w:spacing w:after="0"/>
              <w:rPr>
                <w:sz w:val="20"/>
                <w:szCs w:val="20"/>
                <w:color w:val="auto"/>
              </w:rPr>
            </w:pPr>
            <w:r>
              <w:rPr>
                <w:rFonts w:ascii="Arial" w:cs="Arial" w:eastAsia="Arial" w:hAnsi="Arial"/>
                <w:sz w:val="14"/>
                <w:szCs w:val="14"/>
                <w:b w:val="1"/>
                <w:bCs w:val="1"/>
                <w:color w:val="auto"/>
              </w:rPr>
              <w:t>September 30, 2009</w:t>
            </w:r>
          </w:p>
        </w:tc>
        <w:tc>
          <w:tcPr>
            <w:tcW w:w="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20" w:type="dxa"/>
            <w:vAlign w:val="bottom"/>
          </w:tcPr>
          <w:p>
            <w:pPr>
              <w:jc w:val="center"/>
              <w:ind w:right="16"/>
              <w:spacing w:after="0"/>
              <w:rPr>
                <w:sz w:val="20"/>
                <w:szCs w:val="20"/>
                <w:color w:val="auto"/>
              </w:rPr>
            </w:pPr>
            <w:r>
              <w:rPr>
                <w:rFonts w:ascii="Arial" w:cs="Arial" w:eastAsia="Arial" w:hAnsi="Arial"/>
                <w:sz w:val="14"/>
                <w:szCs w:val="14"/>
                <w:b w:val="1"/>
                <w:bCs w:val="1"/>
                <w:color w:val="auto"/>
                <w:w w:val="89"/>
              </w:rPr>
              <w:t>2009</w:t>
            </w:r>
          </w:p>
        </w:tc>
        <w:tc>
          <w:tcPr>
            <w:tcW w:w="6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40" w:type="dxa"/>
            <w:vAlign w:val="bottom"/>
          </w:tcPr>
          <w:p>
            <w:pPr>
              <w:jc w:val="center"/>
              <w:ind w:right="58"/>
              <w:spacing w:after="0"/>
              <w:rPr>
                <w:sz w:val="20"/>
                <w:szCs w:val="20"/>
                <w:color w:val="auto"/>
              </w:rPr>
            </w:pPr>
            <w:r>
              <w:rPr>
                <w:rFonts w:ascii="Arial" w:cs="Arial" w:eastAsia="Arial" w:hAnsi="Arial"/>
                <w:sz w:val="14"/>
                <w:szCs w:val="14"/>
                <w:b w:val="1"/>
                <w:bCs w:val="1"/>
                <w:color w:val="auto"/>
                <w:w w:val="89"/>
              </w:rPr>
              <w:t>2009</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78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Components of (Income) expense</w:t>
            </w:r>
          </w:p>
        </w:tc>
        <w:tc>
          <w:tcPr>
            <w:tcW w:w="12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320" w:type="dxa"/>
            <w:vAlign w:val="bottom"/>
            <w:tcBorders>
              <w:left w:val="single" w:sz="8" w:color="CCEEFF"/>
            </w:tcBorders>
            <w:shd w:val="clear" w:color="auto" w:fill="CCEEFF"/>
          </w:tcPr>
          <w:p>
            <w:pPr>
              <w:spacing w:after="0"/>
              <w:rPr>
                <w:sz w:val="18"/>
                <w:szCs w:val="18"/>
                <w:color w:val="auto"/>
              </w:rPr>
            </w:pPr>
          </w:p>
        </w:tc>
        <w:tc>
          <w:tcPr>
            <w:tcW w:w="280" w:type="dxa"/>
            <w:vAlign w:val="bottom"/>
            <w:tcBorders>
              <w:right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260" w:type="dxa"/>
            <w:vAlign w:val="bottom"/>
            <w:tcBorders>
              <w:left w:val="single" w:sz="8" w:color="CCEEFF"/>
            </w:tcBorders>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700" w:type="dxa"/>
            <w:vAlign w:val="bottom"/>
            <w:tcBorders>
              <w:left w:val="single" w:sz="8" w:color="CCEEFF"/>
              <w:right w:val="single" w:sz="8" w:color="auto"/>
            </w:tcBorders>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80" w:type="dxa"/>
            <w:vAlign w:val="bottom"/>
          </w:tcPr>
          <w:p>
            <w:pPr>
              <w:spacing w:after="0"/>
              <w:rPr>
                <w:sz w:val="20"/>
                <w:szCs w:val="20"/>
                <w:color w:val="auto"/>
              </w:rPr>
            </w:pPr>
            <w:r>
              <w:rPr>
                <w:rFonts w:ascii="Arial" w:cs="Arial" w:eastAsia="Arial" w:hAnsi="Arial"/>
                <w:sz w:val="18"/>
                <w:szCs w:val="18"/>
                <w:color w:val="auto"/>
              </w:rPr>
              <w:t>Service cost</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8</w:t>
            </w:r>
          </w:p>
        </w:tc>
        <w:tc>
          <w:tcPr>
            <w:tcW w:w="320" w:type="dxa"/>
            <w:vAlign w:val="bottom"/>
          </w:tcPr>
          <w:p>
            <w:pPr>
              <w:spacing w:after="0"/>
              <w:rPr>
                <w:sz w:val="18"/>
                <w:szCs w:val="18"/>
                <w:color w:val="auto"/>
              </w:rPr>
            </w:pPr>
          </w:p>
        </w:tc>
        <w:tc>
          <w:tcPr>
            <w:tcW w:w="380" w:type="dxa"/>
            <w:vAlign w:val="bottom"/>
            <w:gridSpan w:val="2"/>
          </w:tcPr>
          <w:p>
            <w:pPr>
              <w:ind w:left="280"/>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18</w:t>
            </w:r>
          </w:p>
        </w:tc>
        <w:tc>
          <w:tcPr>
            <w:tcW w:w="260" w:type="dxa"/>
            <w:vAlign w:val="bottom"/>
          </w:tcPr>
          <w:p>
            <w:pPr>
              <w:spacing w:after="0"/>
              <w:rPr>
                <w:sz w:val="18"/>
                <w:szCs w:val="18"/>
                <w:color w:val="auto"/>
              </w:rPr>
            </w:pPr>
          </w:p>
        </w:tc>
        <w:tc>
          <w:tcPr>
            <w:tcW w:w="1180" w:type="dxa"/>
            <w:vAlign w:val="bottom"/>
            <w:gridSpan w:val="2"/>
          </w:tcPr>
          <w:p>
            <w:pPr>
              <w:ind w:left="340"/>
              <w:spacing w:after="0"/>
              <w:rPr>
                <w:sz w:val="20"/>
                <w:szCs w:val="20"/>
                <w:color w:val="auto"/>
              </w:rPr>
            </w:pPr>
            <w:r>
              <w:rPr>
                <w:rFonts w:ascii="Arial" w:cs="Arial" w:eastAsia="Arial" w:hAnsi="Arial"/>
                <w:sz w:val="18"/>
                <w:szCs w:val="18"/>
                <w:color w:val="auto"/>
              </w:rPr>
              <w:t>$</w:t>
            </w:r>
          </w:p>
        </w:tc>
        <w:tc>
          <w:tcPr>
            <w:tcW w:w="280" w:type="dxa"/>
            <w:vAlign w:val="bottom"/>
          </w:tcPr>
          <w:p>
            <w:pPr>
              <w:jc w:val="right"/>
              <w:spacing w:after="0"/>
              <w:rPr>
                <w:sz w:val="20"/>
                <w:szCs w:val="20"/>
                <w:color w:val="auto"/>
              </w:rPr>
            </w:pPr>
            <w:r>
              <w:rPr>
                <w:rFonts w:ascii="Arial" w:cs="Arial" w:eastAsia="Arial" w:hAnsi="Arial"/>
                <w:sz w:val="18"/>
                <w:szCs w:val="18"/>
                <w:color w:val="auto"/>
              </w:rPr>
              <w:t>28</w:t>
            </w:r>
          </w:p>
        </w:tc>
        <w:tc>
          <w:tcPr>
            <w:tcW w:w="700" w:type="dxa"/>
            <w:vAlign w:val="bottom"/>
            <w:tcBorders>
              <w:right w:val="single" w:sz="8" w:color="auto"/>
            </w:tcBorders>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gridSpan w:val="2"/>
          </w:tcPr>
          <w:p>
            <w:pPr>
              <w:jc w:val="right"/>
              <w:ind w:right="532"/>
              <w:spacing w:after="0"/>
              <w:rPr>
                <w:sz w:val="20"/>
                <w:szCs w:val="20"/>
                <w:color w:val="auto"/>
              </w:rPr>
            </w:pPr>
            <w:r>
              <w:rPr>
                <w:rFonts w:ascii="Arial" w:cs="Arial" w:eastAsia="Arial" w:hAnsi="Arial"/>
                <w:sz w:val="18"/>
                <w:szCs w:val="18"/>
                <w:color w:val="auto"/>
              </w:rPr>
              <w:t>3</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69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8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Interest cost</w:t>
            </w: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w:t>
            </w:r>
          </w:p>
        </w:tc>
        <w:tc>
          <w:tcPr>
            <w:tcW w:w="320" w:type="dxa"/>
            <w:vAlign w:val="bottom"/>
            <w:tcBorders>
              <w:left w:val="single" w:sz="8" w:color="CCEEFF"/>
            </w:tcBorders>
            <w:shd w:val="clear" w:color="auto" w:fill="CCEEFF"/>
          </w:tcPr>
          <w:p>
            <w:pPr>
              <w:spacing w:after="0"/>
              <w:rPr>
                <w:sz w:val="18"/>
                <w:szCs w:val="18"/>
                <w:color w:val="auto"/>
              </w:rPr>
            </w:pPr>
          </w:p>
        </w:tc>
        <w:tc>
          <w:tcPr>
            <w:tcW w:w="28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216</w:t>
            </w:r>
          </w:p>
        </w:tc>
        <w:tc>
          <w:tcPr>
            <w:tcW w:w="260" w:type="dxa"/>
            <w:vAlign w:val="bottom"/>
            <w:tcBorders>
              <w:left w:val="single" w:sz="8" w:color="CCEEFF"/>
            </w:tcBorders>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412</w:t>
            </w:r>
          </w:p>
        </w:tc>
        <w:tc>
          <w:tcPr>
            <w:tcW w:w="700" w:type="dxa"/>
            <w:vAlign w:val="bottom"/>
            <w:tcBorders>
              <w:left w:val="single" w:sz="8" w:color="CCEEFF"/>
              <w:right w:val="single" w:sz="8" w:color="auto"/>
            </w:tcBorders>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532"/>
              <w:spacing w:after="0"/>
              <w:rPr>
                <w:sz w:val="20"/>
                <w:szCs w:val="20"/>
                <w:color w:val="auto"/>
              </w:rPr>
            </w:pPr>
            <w:r>
              <w:rPr>
                <w:rFonts w:ascii="Arial" w:cs="Arial" w:eastAsia="Arial" w:hAnsi="Arial"/>
                <w:sz w:val="18"/>
                <w:szCs w:val="18"/>
                <w:color w:val="auto"/>
              </w:rPr>
              <w:t>74</w:t>
            </w:r>
          </w:p>
        </w:tc>
        <w:tc>
          <w:tcPr>
            <w:tcW w:w="12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80" w:type="dxa"/>
            <w:vAlign w:val="bottom"/>
          </w:tcPr>
          <w:p>
            <w:pPr>
              <w:spacing w:after="0"/>
              <w:rPr>
                <w:sz w:val="20"/>
                <w:szCs w:val="20"/>
                <w:color w:val="auto"/>
              </w:rPr>
            </w:pPr>
            <w:r>
              <w:rPr>
                <w:rFonts w:ascii="Arial" w:cs="Arial" w:eastAsia="Arial" w:hAnsi="Arial"/>
                <w:sz w:val="18"/>
                <w:szCs w:val="18"/>
                <w:color w:val="auto"/>
              </w:rPr>
              <w:t>Expected return on plan assets</w:t>
            </w:r>
          </w:p>
        </w:tc>
        <w:tc>
          <w:tcPr>
            <w:tcW w:w="120" w:type="dxa"/>
            <w:vAlign w:val="bottom"/>
          </w:tcPr>
          <w:p>
            <w:pPr>
              <w:spacing w:after="0"/>
              <w:rPr>
                <w:sz w:val="18"/>
                <w:szCs w:val="18"/>
                <w:color w:val="auto"/>
              </w:rPr>
            </w:pPr>
          </w:p>
        </w:tc>
        <w:tc>
          <w:tcPr>
            <w:tcW w:w="132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160" w:type="dxa"/>
            <w:vAlign w:val="bottom"/>
            <w:tcBorders>
              <w:right w:val="single" w:sz="8" w:color="auto"/>
            </w:tcBorders>
            <w:gridSpan w:val="4"/>
          </w:tcPr>
          <w:p>
            <w:pPr>
              <w:jc w:val="right"/>
              <w:ind w:right="640"/>
              <w:spacing w:after="0"/>
              <w:rPr>
                <w:sz w:val="20"/>
                <w:szCs w:val="20"/>
                <w:color w:val="auto"/>
              </w:rPr>
            </w:pPr>
            <w:r>
              <w:rPr>
                <w:rFonts w:ascii="Arial" w:cs="Arial" w:eastAsia="Arial" w:hAnsi="Arial"/>
                <w:sz w:val="18"/>
                <w:szCs w:val="18"/>
                <w:color w:val="auto"/>
              </w:rPr>
              <w:t>(197)</w:t>
            </w: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472"/>
              <w:spacing w:after="0"/>
              <w:rPr>
                <w:sz w:val="20"/>
                <w:szCs w:val="20"/>
                <w:color w:val="auto"/>
              </w:rPr>
            </w:pPr>
            <w:r>
              <w:rPr>
                <w:rFonts w:ascii="Arial" w:cs="Arial" w:eastAsia="Arial" w:hAnsi="Arial"/>
                <w:sz w:val="18"/>
                <w:szCs w:val="18"/>
                <w:color w:val="auto"/>
              </w:rPr>
              <w:t>(21)</w:t>
            </w:r>
          </w:p>
        </w:tc>
        <w:tc>
          <w:tcPr>
            <w:tcW w:w="120" w:type="dxa"/>
            <w:vAlign w:val="bottom"/>
          </w:tcPr>
          <w:p>
            <w:pPr>
              <w:spacing w:after="0"/>
              <w:rPr>
                <w:sz w:val="18"/>
                <w:szCs w:val="18"/>
                <w:color w:val="auto"/>
              </w:rPr>
            </w:pPr>
          </w:p>
        </w:tc>
        <w:tc>
          <w:tcPr>
            <w:tcW w:w="640" w:type="dxa"/>
            <w:vAlign w:val="bottom"/>
            <w:gridSpan w:val="2"/>
          </w:tcPr>
          <w:p>
            <w:pPr>
              <w:jc w:val="right"/>
              <w:ind w:right="40"/>
              <w:spacing w:after="0"/>
              <w:rPr>
                <w:sz w:val="20"/>
                <w:szCs w:val="20"/>
                <w:color w:val="auto"/>
              </w:rPr>
            </w:pPr>
            <w:r>
              <w:rPr>
                <w:rFonts w:ascii="Arial" w:cs="Arial" w:eastAsia="Arial" w:hAnsi="Arial"/>
                <w:sz w:val="18"/>
                <w:szCs w:val="18"/>
                <w:color w:val="auto"/>
              </w:rPr>
              <w:t>(444)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8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Amortization of prior service cost (credit)</w:t>
            </w:r>
          </w:p>
        </w:tc>
        <w:tc>
          <w:tcPr>
            <w:tcW w:w="1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28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980" w:type="dxa"/>
            <w:vAlign w:val="bottom"/>
            <w:tcBorders>
              <w:right w:val="single" w:sz="8" w:color="auto"/>
            </w:tcBorders>
            <w:gridSpan w:val="2"/>
            <w:shd w:val="clear" w:color="auto" w:fill="CCEEFF"/>
          </w:tcPr>
          <w:p>
            <w:pPr>
              <w:jc w:val="right"/>
              <w:ind w:right="700"/>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72"/>
              <w:spacing w:after="0"/>
              <w:rPr>
                <w:sz w:val="20"/>
                <w:szCs w:val="20"/>
                <w:color w:val="auto"/>
              </w:rPr>
            </w:pPr>
            <w:r>
              <w:rPr>
                <w:rFonts w:ascii="Arial" w:cs="Arial" w:eastAsia="Arial" w:hAnsi="Arial"/>
                <w:sz w:val="18"/>
                <w:szCs w:val="18"/>
                <w:color w:val="auto"/>
              </w:rPr>
              <w:t>(59)</w:t>
            </w:r>
          </w:p>
        </w:tc>
        <w:tc>
          <w:tcPr>
            <w:tcW w:w="12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(1,051)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80" w:type="dxa"/>
            <w:vAlign w:val="bottom"/>
          </w:tcPr>
          <w:p>
            <w:pPr>
              <w:spacing w:after="0"/>
              <w:rPr>
                <w:sz w:val="20"/>
                <w:szCs w:val="20"/>
                <w:color w:val="auto"/>
              </w:rPr>
            </w:pPr>
            <w:r>
              <w:rPr>
                <w:rFonts w:ascii="Arial" w:cs="Arial" w:eastAsia="Arial" w:hAnsi="Arial"/>
                <w:sz w:val="18"/>
                <w:szCs w:val="18"/>
                <w:color w:val="auto"/>
              </w:rPr>
              <w:t>Amortization of transition obligation</w:t>
            </w:r>
          </w:p>
        </w:tc>
        <w:tc>
          <w:tcPr>
            <w:tcW w:w="120" w:type="dxa"/>
            <w:vAlign w:val="bottom"/>
          </w:tcPr>
          <w:p>
            <w:pPr>
              <w:spacing w:after="0"/>
              <w:rPr>
                <w:sz w:val="18"/>
                <w:szCs w:val="18"/>
                <w:color w:val="auto"/>
              </w:rPr>
            </w:pPr>
          </w:p>
        </w:tc>
        <w:tc>
          <w:tcPr>
            <w:tcW w:w="132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980" w:type="dxa"/>
            <w:vAlign w:val="bottom"/>
            <w:tcBorders>
              <w:right w:val="single" w:sz="8" w:color="auto"/>
            </w:tcBorders>
            <w:gridSpan w:val="2"/>
          </w:tcPr>
          <w:p>
            <w:pPr>
              <w:jc w:val="right"/>
              <w:ind w:right="700"/>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532"/>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8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Recognized net actuarial loss</w:t>
            </w:r>
          </w:p>
        </w:tc>
        <w:tc>
          <w:tcPr>
            <w:tcW w:w="1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28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980" w:type="dxa"/>
            <w:vAlign w:val="bottom"/>
            <w:tcBorders>
              <w:right w:val="single" w:sz="8" w:color="auto"/>
            </w:tcBorders>
            <w:gridSpan w:val="2"/>
            <w:shd w:val="clear" w:color="auto" w:fill="CCEEFF"/>
          </w:tcPr>
          <w:p>
            <w:pPr>
              <w:jc w:val="right"/>
              <w:ind w:right="700"/>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532"/>
              <w:spacing w:after="0"/>
              <w:rPr>
                <w:sz w:val="20"/>
                <w:szCs w:val="20"/>
                <w:color w:val="auto"/>
              </w:rPr>
            </w:pPr>
            <w:r>
              <w:rPr>
                <w:rFonts w:ascii="Arial" w:cs="Arial" w:eastAsia="Arial" w:hAnsi="Arial"/>
                <w:sz w:val="18"/>
                <w:szCs w:val="18"/>
                <w:color w:val="auto"/>
              </w:rPr>
              <w:t>3</w:t>
            </w:r>
          </w:p>
        </w:tc>
        <w:tc>
          <w:tcPr>
            <w:tcW w:w="12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80" w:type="dxa"/>
            <w:vAlign w:val="bottom"/>
          </w:tcPr>
          <w:p>
            <w:pPr>
              <w:spacing w:after="0"/>
              <w:rPr>
                <w:sz w:val="20"/>
                <w:szCs w:val="20"/>
                <w:color w:val="auto"/>
              </w:rPr>
            </w:pPr>
            <w:r>
              <w:rPr>
                <w:rFonts w:ascii="Arial" w:cs="Arial" w:eastAsia="Arial" w:hAnsi="Arial"/>
                <w:sz w:val="18"/>
                <w:szCs w:val="18"/>
                <w:color w:val="auto"/>
              </w:rPr>
              <w:t>Curtailments, settlements and other</w:t>
            </w:r>
          </w:p>
        </w:tc>
        <w:tc>
          <w:tcPr>
            <w:tcW w:w="1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10</w:t>
            </w:r>
          </w:p>
        </w:tc>
        <w:tc>
          <w:tcPr>
            <w:tcW w:w="700" w:type="dxa"/>
            <w:vAlign w:val="bottom"/>
            <w:tcBorders>
              <w:right w:val="single" w:sz="8" w:color="auto"/>
            </w:tcBorders>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532"/>
              <w:spacing w:after="0"/>
              <w:rPr>
                <w:sz w:val="20"/>
                <w:szCs w:val="20"/>
                <w:color w:val="auto"/>
              </w:rPr>
            </w:pPr>
            <w:r>
              <w:rPr>
                <w:rFonts w:ascii="Arial" w:cs="Arial" w:eastAsia="Arial" w:hAnsi="Arial"/>
                <w:sz w:val="18"/>
                <w:szCs w:val="18"/>
                <w:color w:val="auto"/>
              </w:rPr>
              <w:t>2</w:t>
            </w:r>
          </w:p>
        </w:tc>
        <w:tc>
          <w:tcPr>
            <w:tcW w:w="12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37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320" w:type="dxa"/>
            <w:vAlign w:val="bottom"/>
            <w:tcBorders>
              <w:left w:val="single" w:sz="8" w:color="auto"/>
            </w:tcBorders>
          </w:tcPr>
          <w:p>
            <w:pPr>
              <w:spacing w:after="0"/>
              <w:rPr>
                <w:sz w:val="2"/>
                <w:szCs w:val="2"/>
                <w:color w:val="auto"/>
              </w:rPr>
            </w:pPr>
          </w:p>
        </w:tc>
        <w:tc>
          <w:tcPr>
            <w:tcW w:w="2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260" w:type="dxa"/>
            <w:vAlign w:val="bottom"/>
            <w:tcBorders>
              <w:left w:val="single" w:sz="8" w:color="auto"/>
            </w:tcBorders>
          </w:tcPr>
          <w:p>
            <w:pPr>
              <w:spacing w:after="0"/>
              <w:rPr>
                <w:sz w:val="2"/>
                <w:szCs w:val="2"/>
                <w:color w:val="auto"/>
              </w:rPr>
            </w:pPr>
          </w:p>
        </w:tc>
        <w:tc>
          <w:tcPr>
            <w:tcW w:w="340" w:type="dxa"/>
            <w:vAlign w:val="bottom"/>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700" w:type="dxa"/>
            <w:vAlign w:val="bottom"/>
            <w:tcBorders>
              <w:right w:val="single" w:sz="8" w:color="auto"/>
            </w:tcBorders>
          </w:tcPr>
          <w:p>
            <w:pPr>
              <w:spacing w:after="0"/>
              <w:rPr>
                <w:sz w:val="2"/>
                <w:szCs w:val="2"/>
                <w:color w:val="auto"/>
              </w:rPr>
            </w:pPr>
          </w:p>
        </w:tc>
        <w:tc>
          <w:tcPr>
            <w:tcW w:w="4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378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periodic OPEB expense</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w:t>
            </w:r>
          </w:p>
        </w:tc>
        <w:tc>
          <w:tcPr>
            <w:tcW w:w="320" w:type="dxa"/>
            <w:vAlign w:val="bottom"/>
            <w:tcBorders>
              <w:left w:val="single" w:sz="8" w:color="CCEEFF"/>
            </w:tcBorders>
            <w:shd w:val="clear" w:color="auto" w:fill="CCEEFF"/>
          </w:tcPr>
          <w:p>
            <w:pPr>
              <w:spacing w:after="0"/>
              <w:rPr>
                <w:sz w:val="18"/>
                <w:szCs w:val="18"/>
                <w:color w:val="auto"/>
              </w:rPr>
            </w:pPr>
          </w:p>
        </w:tc>
        <w:tc>
          <w:tcPr>
            <w:tcW w:w="38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234</w:t>
            </w:r>
          </w:p>
        </w:tc>
        <w:tc>
          <w:tcPr>
            <w:tcW w:w="260" w:type="dxa"/>
            <w:vAlign w:val="bottom"/>
            <w:tcBorders>
              <w:left w:val="single" w:sz="8" w:color="CCEEFF"/>
            </w:tcBorders>
            <w:shd w:val="clear" w:color="auto" w:fill="CCEEFF"/>
          </w:tcPr>
          <w:p>
            <w:pPr>
              <w:spacing w:after="0"/>
              <w:rPr>
                <w:sz w:val="18"/>
                <w:szCs w:val="18"/>
                <w:color w:val="auto"/>
              </w:rPr>
            </w:pPr>
          </w:p>
        </w:tc>
        <w:tc>
          <w:tcPr>
            <w:tcW w:w="118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253</w:t>
            </w:r>
          </w:p>
        </w:tc>
        <w:tc>
          <w:tcPr>
            <w:tcW w:w="700" w:type="dxa"/>
            <w:vAlign w:val="bottom"/>
            <w:tcBorders>
              <w:left w:val="single" w:sz="8" w:color="CCEEFF"/>
              <w:right w:val="single" w:sz="8" w:color="auto"/>
            </w:tcBorders>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gridSpan w:val="2"/>
            <w:shd w:val="clear" w:color="auto" w:fill="CCEEFF"/>
          </w:tcPr>
          <w:p>
            <w:pPr>
              <w:jc w:val="right"/>
              <w:ind w:right="532"/>
              <w:spacing w:after="0"/>
              <w:rPr>
                <w:sz w:val="20"/>
                <w:szCs w:val="20"/>
                <w:color w:val="auto"/>
              </w:rPr>
            </w:pPr>
            <w:r>
              <w:rPr>
                <w:rFonts w:ascii="Arial" w:cs="Arial" w:eastAsia="Arial" w:hAnsi="Arial"/>
                <w:sz w:val="18"/>
                <w:szCs w:val="18"/>
                <w:color w:val="auto"/>
              </w:rPr>
              <w:t>2</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242</w:t>
            </w: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3780" w:type="dxa"/>
            <w:vAlign w:val="bottom"/>
          </w:tcPr>
          <w:p>
            <w:pPr>
              <w:spacing w:after="0"/>
              <w:rPr>
                <w:sz w:val="3"/>
                <w:szCs w:val="3"/>
                <w:color w:val="auto"/>
              </w:rPr>
            </w:pPr>
          </w:p>
        </w:tc>
        <w:tc>
          <w:tcPr>
            <w:tcW w:w="120" w:type="dxa"/>
            <w:vAlign w:val="bottom"/>
            <w:tcBorders>
              <w:top w:val="single" w:sz="8" w:color="auto"/>
              <w:bottom w:val="single" w:sz="8" w:color="auto"/>
            </w:tcBorders>
          </w:tcPr>
          <w:p>
            <w:pPr>
              <w:spacing w:after="0"/>
              <w:rPr>
                <w:sz w:val="3"/>
                <w:szCs w:val="3"/>
                <w:color w:val="auto"/>
              </w:rPr>
            </w:pPr>
          </w:p>
        </w:tc>
        <w:tc>
          <w:tcPr>
            <w:tcW w:w="1000" w:type="dxa"/>
            <w:vAlign w:val="bottom"/>
            <w:tcBorders>
              <w:top w:val="single" w:sz="8" w:color="auto"/>
              <w:bottom w:val="single" w:sz="8" w:color="auto"/>
            </w:tcBorders>
          </w:tcPr>
          <w:p>
            <w:pPr>
              <w:spacing w:after="0"/>
              <w:rPr>
                <w:sz w:val="3"/>
                <w:szCs w:val="3"/>
                <w:color w:val="auto"/>
              </w:rPr>
            </w:pPr>
          </w:p>
        </w:tc>
        <w:tc>
          <w:tcPr>
            <w:tcW w:w="320" w:type="dxa"/>
            <w:vAlign w:val="bottom"/>
          </w:tcPr>
          <w:p>
            <w:pPr>
              <w:spacing w:after="0"/>
              <w:rPr>
                <w:sz w:val="3"/>
                <w:szCs w:val="3"/>
                <w:color w:val="auto"/>
              </w:rPr>
            </w:pPr>
          </w:p>
        </w:tc>
        <w:tc>
          <w:tcPr>
            <w:tcW w:w="280" w:type="dxa"/>
            <w:vAlign w:val="bottom"/>
          </w:tcPr>
          <w:p>
            <w:pPr>
              <w:spacing w:after="0"/>
              <w:rPr>
                <w:sz w:val="3"/>
                <w:szCs w:val="3"/>
                <w:color w:val="auto"/>
              </w:rPr>
            </w:pPr>
          </w:p>
        </w:tc>
        <w:tc>
          <w:tcPr>
            <w:tcW w:w="100" w:type="dxa"/>
            <w:vAlign w:val="bottom"/>
            <w:tcBorders>
              <w:top w:val="single" w:sz="8" w:color="auto"/>
              <w:bottom w:val="single" w:sz="8" w:color="auto"/>
            </w:tcBorders>
          </w:tcPr>
          <w:p>
            <w:pPr>
              <w:spacing w:after="0"/>
              <w:rPr>
                <w:sz w:val="3"/>
                <w:szCs w:val="3"/>
                <w:color w:val="auto"/>
              </w:rPr>
            </w:pPr>
          </w:p>
        </w:tc>
        <w:tc>
          <w:tcPr>
            <w:tcW w:w="1020" w:type="dxa"/>
            <w:vAlign w:val="bottom"/>
            <w:tcBorders>
              <w:top w:val="single" w:sz="8" w:color="auto"/>
              <w:bottom w:val="single" w:sz="8" w:color="auto"/>
            </w:tcBorders>
          </w:tcPr>
          <w:p>
            <w:pPr>
              <w:spacing w:after="0"/>
              <w:rPr>
                <w:sz w:val="3"/>
                <w:szCs w:val="3"/>
                <w:color w:val="auto"/>
              </w:rPr>
            </w:pPr>
          </w:p>
        </w:tc>
        <w:tc>
          <w:tcPr>
            <w:tcW w:w="260" w:type="dxa"/>
            <w:vAlign w:val="bottom"/>
          </w:tcPr>
          <w:p>
            <w:pPr>
              <w:spacing w:after="0"/>
              <w:rPr>
                <w:sz w:val="3"/>
                <w:szCs w:val="3"/>
                <w:color w:val="auto"/>
              </w:rPr>
            </w:pPr>
          </w:p>
        </w:tc>
        <w:tc>
          <w:tcPr>
            <w:tcW w:w="340" w:type="dxa"/>
            <w:vAlign w:val="bottom"/>
          </w:tcPr>
          <w:p>
            <w:pPr>
              <w:spacing w:after="0"/>
              <w:rPr>
                <w:sz w:val="3"/>
                <w:szCs w:val="3"/>
                <w:color w:val="auto"/>
              </w:rPr>
            </w:pPr>
          </w:p>
        </w:tc>
        <w:tc>
          <w:tcPr>
            <w:tcW w:w="840" w:type="dxa"/>
            <w:vAlign w:val="bottom"/>
            <w:tcBorders>
              <w:top w:val="single" w:sz="8" w:color="auto"/>
              <w:bottom w:val="single" w:sz="8" w:color="auto"/>
            </w:tcBorders>
          </w:tcPr>
          <w:p>
            <w:pPr>
              <w:spacing w:after="0"/>
              <w:rPr>
                <w:sz w:val="3"/>
                <w:szCs w:val="3"/>
                <w:color w:val="auto"/>
              </w:rPr>
            </w:pPr>
          </w:p>
        </w:tc>
        <w:tc>
          <w:tcPr>
            <w:tcW w:w="280" w:type="dxa"/>
            <w:vAlign w:val="bottom"/>
            <w:tcBorders>
              <w:top w:val="single" w:sz="8" w:color="auto"/>
              <w:bottom w:val="single" w:sz="8" w:color="auto"/>
            </w:tcBorders>
          </w:tcPr>
          <w:p>
            <w:pPr>
              <w:spacing w:after="0"/>
              <w:rPr>
                <w:sz w:val="3"/>
                <w:szCs w:val="3"/>
                <w:color w:val="auto"/>
              </w:rPr>
            </w:pPr>
          </w:p>
        </w:tc>
        <w:tc>
          <w:tcPr>
            <w:tcW w:w="700" w:type="dxa"/>
            <w:vAlign w:val="bottom"/>
            <w:tcBorders>
              <w:right w:val="single" w:sz="8" w:color="auto"/>
            </w:tcBorders>
          </w:tcPr>
          <w:p>
            <w:pPr>
              <w:spacing w:after="0"/>
              <w:rPr>
                <w:sz w:val="3"/>
                <w:szCs w:val="3"/>
                <w:color w:val="auto"/>
              </w:rPr>
            </w:pPr>
          </w:p>
        </w:tc>
        <w:tc>
          <w:tcPr>
            <w:tcW w:w="480" w:type="dxa"/>
            <w:vAlign w:val="bottom"/>
          </w:tcPr>
          <w:p>
            <w:pPr>
              <w:spacing w:after="0"/>
              <w:rPr>
                <w:sz w:val="3"/>
                <w:szCs w:val="3"/>
                <w:color w:val="auto"/>
              </w:rPr>
            </w:pPr>
          </w:p>
        </w:tc>
        <w:tc>
          <w:tcPr>
            <w:tcW w:w="100" w:type="dxa"/>
            <w:vAlign w:val="bottom"/>
            <w:tcBorders>
              <w:top w:val="single" w:sz="8" w:color="auto"/>
              <w:bottom w:val="single" w:sz="8" w:color="auto"/>
            </w:tcBorders>
          </w:tcPr>
          <w:p>
            <w:pPr>
              <w:spacing w:after="0"/>
              <w:rPr>
                <w:sz w:val="3"/>
                <w:szCs w:val="3"/>
                <w:color w:val="auto"/>
              </w:rPr>
            </w:pPr>
          </w:p>
        </w:tc>
        <w:tc>
          <w:tcPr>
            <w:tcW w:w="420" w:type="dxa"/>
            <w:vAlign w:val="bottom"/>
            <w:tcBorders>
              <w:top w:val="single" w:sz="8" w:color="auto"/>
              <w:bottom w:val="single" w:sz="8" w:color="auto"/>
            </w:tcBorders>
          </w:tcPr>
          <w:p>
            <w:pPr>
              <w:spacing w:after="0"/>
              <w:rPr>
                <w:sz w:val="3"/>
                <w:szCs w:val="3"/>
                <w:color w:val="auto"/>
              </w:rPr>
            </w:pPr>
          </w:p>
        </w:tc>
        <w:tc>
          <w:tcPr>
            <w:tcW w:w="600" w:type="dxa"/>
            <w:vAlign w:val="bottom"/>
          </w:tcPr>
          <w:p>
            <w:pPr>
              <w:spacing w:after="0"/>
              <w:rPr>
                <w:sz w:val="3"/>
                <w:szCs w:val="3"/>
                <w:color w:val="auto"/>
              </w:rPr>
            </w:pPr>
          </w:p>
        </w:tc>
        <w:tc>
          <w:tcPr>
            <w:tcW w:w="120" w:type="dxa"/>
            <w:vAlign w:val="bottom"/>
            <w:tcBorders>
              <w:top w:val="single" w:sz="8" w:color="auto"/>
              <w:bottom w:val="single" w:sz="8" w:color="auto"/>
            </w:tcBorders>
          </w:tcPr>
          <w:p>
            <w:pPr>
              <w:spacing w:after="0"/>
              <w:rPr>
                <w:sz w:val="3"/>
                <w:szCs w:val="3"/>
                <w:color w:val="auto"/>
              </w:rPr>
            </w:pPr>
          </w:p>
        </w:tc>
        <w:tc>
          <w:tcPr>
            <w:tcW w:w="540" w:type="dxa"/>
            <w:vAlign w:val="bottom"/>
            <w:tcBorders>
              <w:top w:val="single" w:sz="8" w:color="auto"/>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12"/>
        </w:trPr>
        <w:tc>
          <w:tcPr>
            <w:tcW w:w="20" w:type="dxa"/>
            <w:vAlign w:val="bottom"/>
          </w:tcPr>
          <w:p>
            <w:pPr>
              <w:spacing w:after="0"/>
              <w:rPr>
                <w:sz w:val="24"/>
                <w:szCs w:val="24"/>
                <w:color w:val="auto"/>
              </w:rPr>
            </w:pPr>
          </w:p>
        </w:tc>
        <w:tc>
          <w:tcPr>
            <w:tcW w:w="3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80" w:type="dxa"/>
            <w:vAlign w:val="bottom"/>
            <w:gridSpan w:val="2"/>
          </w:tcPr>
          <w:p>
            <w:pPr>
              <w:jc w:val="center"/>
              <w:ind w:left="40"/>
              <w:spacing w:after="0"/>
              <w:rPr>
                <w:sz w:val="20"/>
                <w:szCs w:val="20"/>
                <w:color w:val="auto"/>
              </w:rPr>
            </w:pPr>
            <w:r>
              <w:rPr>
                <w:rFonts w:ascii="Arial" w:cs="Arial" w:eastAsia="Arial" w:hAnsi="Arial"/>
                <w:sz w:val="14"/>
                <w:szCs w:val="14"/>
                <w:b w:val="1"/>
                <w:bCs w:val="1"/>
                <w:color w:val="auto"/>
                <w:w w:val="85"/>
              </w:rPr>
              <w:t>Non-U.S. Plans</w:t>
            </w:r>
          </w:p>
        </w:tc>
        <w:tc>
          <w:tcPr>
            <w:tcW w:w="2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378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gridSpan w:val="2"/>
          </w:tcPr>
          <w:p>
            <w:pPr>
              <w:jc w:val="center"/>
              <w:ind w:left="40"/>
              <w:spacing w:after="0"/>
              <w:rPr>
                <w:sz w:val="20"/>
                <w:szCs w:val="20"/>
                <w:color w:val="auto"/>
              </w:rPr>
            </w:pPr>
            <w:r>
              <w:rPr>
                <w:rFonts w:ascii="Arial" w:cs="Arial" w:eastAsia="Arial" w:hAnsi="Arial"/>
                <w:sz w:val="14"/>
                <w:szCs w:val="14"/>
                <w:b w:val="1"/>
                <w:bCs w:val="1"/>
                <w:color w:val="auto"/>
                <w:w w:val="89"/>
              </w:rPr>
              <w:t>Other Benefits</w:t>
            </w:r>
          </w:p>
        </w:tc>
        <w:tc>
          <w:tcPr>
            <w:tcW w:w="28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78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1000" w:type="dxa"/>
            <w:vAlign w:val="bottom"/>
            <w:tcBorders>
              <w:bottom w:val="single" w:sz="8" w:color="auto"/>
            </w:tcBorders>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280" w:type="dxa"/>
            <w:vAlign w:val="bottom"/>
            <w:tcBorders>
              <w:bottom w:val="single" w:sz="8" w:color="auto"/>
            </w:tcBorders>
            <w:gridSpan w:val="2"/>
          </w:tcPr>
          <w:p>
            <w:pPr>
              <w:jc w:val="center"/>
              <w:ind w:right="360"/>
              <w:spacing w:after="0" w:line="142" w:lineRule="exact"/>
              <w:rPr>
                <w:sz w:val="20"/>
                <w:szCs w:val="20"/>
                <w:color w:val="auto"/>
              </w:rPr>
            </w:pPr>
            <w:r>
              <w:rPr>
                <w:rFonts w:ascii="Arial" w:cs="Arial" w:eastAsia="Arial" w:hAnsi="Arial"/>
                <w:sz w:val="14"/>
                <w:szCs w:val="14"/>
                <w:b w:val="1"/>
                <w:bCs w:val="1"/>
                <w:color w:val="auto"/>
                <w:w w:val="79"/>
              </w:rPr>
              <w:t>Successor</w:t>
            </w:r>
          </w:p>
        </w:tc>
        <w:tc>
          <w:tcPr>
            <w:tcW w:w="34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700" w:type="dxa"/>
            <w:vAlign w:val="bottom"/>
            <w:tcBorders>
              <w:right w:val="single" w:sz="8" w:color="auto"/>
            </w:tcBorders>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42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gridSpan w:val="2"/>
          </w:tcPr>
          <w:p>
            <w:pPr>
              <w:ind w:left="20"/>
              <w:spacing w:after="0" w:line="142" w:lineRule="exact"/>
              <w:rPr>
                <w:sz w:val="20"/>
                <w:szCs w:val="20"/>
                <w:color w:val="auto"/>
              </w:rPr>
            </w:pPr>
            <w:r>
              <w:rPr>
                <w:rFonts w:ascii="Arial" w:cs="Arial" w:eastAsia="Arial" w:hAnsi="Arial"/>
                <w:sz w:val="14"/>
                <w:szCs w:val="14"/>
                <w:b w:val="1"/>
                <w:bCs w:val="1"/>
                <w:color w:val="auto"/>
                <w:w w:val="80"/>
              </w:rPr>
              <w:t>Predecessor</w:t>
            </w:r>
          </w:p>
        </w:tc>
        <w:tc>
          <w:tcPr>
            <w:tcW w:w="54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37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Borders>
              <w:right w:val="single" w:sz="8" w:color="auto"/>
            </w:tcBorders>
          </w:tcPr>
          <w:p>
            <w:pPr>
              <w:spacing w:after="0"/>
              <w:rPr>
                <w:sz w:val="11"/>
                <w:szCs w:val="11"/>
                <w:color w:val="auto"/>
              </w:rPr>
            </w:pPr>
          </w:p>
        </w:tc>
        <w:tc>
          <w:tcPr>
            <w:tcW w:w="480" w:type="dxa"/>
            <w:vAlign w:val="bottom"/>
          </w:tcPr>
          <w:p>
            <w:pPr>
              <w:spacing w:after="0"/>
              <w:rPr>
                <w:sz w:val="11"/>
                <w:szCs w:val="11"/>
                <w:color w:val="auto"/>
              </w:rPr>
            </w:pPr>
          </w:p>
        </w:tc>
        <w:tc>
          <w:tcPr>
            <w:tcW w:w="1120" w:type="dxa"/>
            <w:vAlign w:val="bottom"/>
            <w:gridSpan w:val="3"/>
          </w:tcPr>
          <w:p>
            <w:pPr>
              <w:jc w:val="center"/>
              <w:ind w:right="552"/>
              <w:spacing w:after="0" w:line="129" w:lineRule="exact"/>
              <w:rPr>
                <w:sz w:val="20"/>
                <w:szCs w:val="20"/>
                <w:color w:val="auto"/>
              </w:rPr>
            </w:pPr>
            <w:r>
              <w:rPr>
                <w:rFonts w:ascii="Arial" w:cs="Arial" w:eastAsia="Arial" w:hAnsi="Arial"/>
                <w:sz w:val="14"/>
                <w:szCs w:val="14"/>
                <w:b w:val="1"/>
                <w:bCs w:val="1"/>
                <w:color w:val="auto"/>
                <w:w w:val="87"/>
              </w:rPr>
              <w:t>July 1,</w:t>
            </w:r>
          </w:p>
        </w:tc>
        <w:tc>
          <w:tcPr>
            <w:tcW w:w="660" w:type="dxa"/>
            <w:vAlign w:val="bottom"/>
            <w:gridSpan w:val="2"/>
          </w:tcPr>
          <w:p>
            <w:pPr>
              <w:jc w:val="center"/>
              <w:spacing w:after="0" w:line="129" w:lineRule="exact"/>
              <w:rPr>
                <w:sz w:val="20"/>
                <w:szCs w:val="20"/>
                <w:color w:val="auto"/>
              </w:rPr>
            </w:pPr>
            <w:r>
              <w:rPr>
                <w:rFonts w:ascii="Arial" w:cs="Arial" w:eastAsia="Arial" w:hAnsi="Arial"/>
                <w:sz w:val="14"/>
                <w:szCs w:val="14"/>
                <w:b w:val="1"/>
                <w:bCs w:val="1"/>
                <w:color w:val="auto"/>
                <w:w w:val="89"/>
              </w:rPr>
              <w:t>January 1,</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00" w:type="dxa"/>
            <w:vAlign w:val="bottom"/>
            <w:tcBorders>
              <w:right w:val="single" w:sz="8" w:color="auto"/>
            </w:tcBorders>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20" w:type="dxa"/>
            <w:vAlign w:val="bottom"/>
          </w:tcPr>
          <w:p>
            <w:pPr>
              <w:jc w:val="center"/>
              <w:ind w:right="16"/>
              <w:spacing w:after="0" w:line="149" w:lineRule="exact"/>
              <w:rPr>
                <w:sz w:val="20"/>
                <w:szCs w:val="20"/>
                <w:color w:val="auto"/>
              </w:rPr>
            </w:pPr>
            <w:r>
              <w:rPr>
                <w:rFonts w:ascii="Arial" w:cs="Arial" w:eastAsia="Arial" w:hAnsi="Arial"/>
                <w:sz w:val="14"/>
                <w:szCs w:val="14"/>
                <w:b w:val="1"/>
                <w:bCs w:val="1"/>
                <w:color w:val="auto"/>
                <w:w w:val="89"/>
              </w:rPr>
              <w:t>2009</w:t>
            </w:r>
          </w:p>
        </w:tc>
        <w:tc>
          <w:tcPr>
            <w:tcW w:w="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jc w:val="center"/>
              <w:ind w:right="58"/>
              <w:spacing w:after="0" w:line="149" w:lineRule="exact"/>
              <w:rPr>
                <w:sz w:val="20"/>
                <w:szCs w:val="20"/>
                <w:color w:val="auto"/>
              </w:rPr>
            </w:pPr>
            <w:r>
              <w:rPr>
                <w:rFonts w:ascii="Arial" w:cs="Arial" w:eastAsia="Arial" w:hAnsi="Arial"/>
                <w:sz w:val="14"/>
                <w:szCs w:val="14"/>
                <w:b w:val="1"/>
                <w:bCs w:val="1"/>
                <w:color w:val="auto"/>
                <w:w w:val="89"/>
              </w:rPr>
              <w:t>2009</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20" w:type="dxa"/>
            <w:vAlign w:val="bottom"/>
            <w:gridSpan w:val="2"/>
          </w:tcPr>
          <w:p>
            <w:pPr>
              <w:jc w:val="center"/>
              <w:ind w:right="460"/>
              <w:spacing w:after="0" w:line="149" w:lineRule="exact"/>
              <w:rPr>
                <w:sz w:val="20"/>
                <w:szCs w:val="20"/>
                <w:color w:val="auto"/>
              </w:rPr>
            </w:pPr>
            <w:r>
              <w:rPr>
                <w:rFonts w:ascii="Arial" w:cs="Arial" w:eastAsia="Arial" w:hAnsi="Arial"/>
                <w:sz w:val="14"/>
                <w:szCs w:val="14"/>
                <w:b w:val="1"/>
                <w:bCs w:val="1"/>
                <w:color w:val="auto"/>
                <w:w w:val="89"/>
              </w:rPr>
              <w:t>Three Months</w:t>
            </w: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8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88"/>
              </w:rPr>
              <w:t>Nine Months</w:t>
            </w:r>
          </w:p>
        </w:tc>
        <w:tc>
          <w:tcPr>
            <w:tcW w:w="340" w:type="dxa"/>
            <w:vAlign w:val="bottom"/>
          </w:tcPr>
          <w:p>
            <w:pPr>
              <w:spacing w:after="0"/>
              <w:rPr>
                <w:sz w:val="12"/>
                <w:szCs w:val="12"/>
                <w:color w:val="auto"/>
              </w:rPr>
            </w:pPr>
          </w:p>
        </w:tc>
        <w:tc>
          <w:tcPr>
            <w:tcW w:w="1820" w:type="dxa"/>
            <w:vAlign w:val="bottom"/>
            <w:tcBorders>
              <w:right w:val="single" w:sz="8" w:color="auto"/>
            </w:tcBorders>
            <w:gridSpan w:val="3"/>
          </w:tcPr>
          <w:p>
            <w:pPr>
              <w:jc w:val="center"/>
              <w:ind w:right="660"/>
              <w:spacing w:after="0" w:line="149" w:lineRule="exact"/>
              <w:rPr>
                <w:sz w:val="20"/>
                <w:szCs w:val="20"/>
                <w:color w:val="auto"/>
              </w:rPr>
            </w:pPr>
            <w:r>
              <w:rPr>
                <w:rFonts w:ascii="Arial" w:cs="Arial" w:eastAsia="Arial" w:hAnsi="Arial"/>
                <w:sz w:val="14"/>
                <w:szCs w:val="14"/>
                <w:b w:val="1"/>
                <w:bCs w:val="1"/>
                <w:color w:val="auto"/>
                <w:w w:val="87"/>
              </w:rPr>
              <w:t>July 10, 2009</w:t>
            </w:r>
          </w:p>
        </w:tc>
        <w:tc>
          <w:tcPr>
            <w:tcW w:w="480" w:type="dxa"/>
            <w:vAlign w:val="bottom"/>
          </w:tcPr>
          <w:p>
            <w:pPr>
              <w:spacing w:after="0"/>
              <w:rPr>
                <w:sz w:val="12"/>
                <w:szCs w:val="12"/>
                <w:color w:val="auto"/>
              </w:rPr>
            </w:pPr>
          </w:p>
        </w:tc>
        <w:tc>
          <w:tcPr>
            <w:tcW w:w="1120" w:type="dxa"/>
            <w:vAlign w:val="bottom"/>
            <w:gridSpan w:val="3"/>
          </w:tcPr>
          <w:p>
            <w:pPr>
              <w:jc w:val="center"/>
              <w:ind w:right="532"/>
              <w:spacing w:after="0" w:line="149" w:lineRule="exact"/>
              <w:rPr>
                <w:sz w:val="20"/>
                <w:szCs w:val="20"/>
                <w:color w:val="auto"/>
              </w:rPr>
            </w:pPr>
            <w:r>
              <w:rPr>
                <w:rFonts w:ascii="Arial" w:cs="Arial" w:eastAsia="Arial" w:hAnsi="Arial"/>
                <w:sz w:val="14"/>
                <w:szCs w:val="14"/>
                <w:b w:val="1"/>
                <w:bCs w:val="1"/>
                <w:color w:val="auto"/>
                <w:w w:val="91"/>
              </w:rPr>
              <w:t>Through</w:t>
            </w:r>
          </w:p>
        </w:tc>
        <w:tc>
          <w:tcPr>
            <w:tcW w:w="760" w:type="dxa"/>
            <w:vAlign w:val="bottom"/>
            <w:gridSpan w:val="3"/>
          </w:tcPr>
          <w:p>
            <w:pPr>
              <w:jc w:val="center"/>
              <w:ind w:right="120"/>
              <w:spacing w:after="0" w:line="149" w:lineRule="exact"/>
              <w:rPr>
                <w:sz w:val="20"/>
                <w:szCs w:val="20"/>
                <w:color w:val="auto"/>
              </w:rPr>
            </w:pPr>
            <w:r>
              <w:rPr>
                <w:rFonts w:ascii="Arial" w:cs="Arial" w:eastAsia="Arial" w:hAnsi="Arial"/>
                <w:sz w:val="14"/>
                <w:szCs w:val="14"/>
                <w:b w:val="1"/>
                <w:bCs w:val="1"/>
                <w:color w:val="auto"/>
                <w:w w:val="91"/>
              </w:rPr>
              <w:t>Through</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20" w:type="dxa"/>
            <w:vAlign w:val="bottom"/>
            <w:gridSpan w:val="2"/>
          </w:tcPr>
          <w:p>
            <w:pPr>
              <w:jc w:val="center"/>
              <w:ind w:right="460"/>
              <w:spacing w:after="0" w:line="149" w:lineRule="exact"/>
              <w:rPr>
                <w:sz w:val="20"/>
                <w:szCs w:val="20"/>
                <w:color w:val="auto"/>
              </w:rPr>
            </w:pPr>
            <w:r>
              <w:rPr>
                <w:rFonts w:ascii="Arial" w:cs="Arial" w:eastAsia="Arial" w:hAnsi="Arial"/>
                <w:sz w:val="14"/>
                <w:szCs w:val="14"/>
                <w:b w:val="1"/>
                <w:bCs w:val="1"/>
                <w:color w:val="auto"/>
                <w:w w:val="88"/>
              </w:rPr>
              <w:t>Ended</w:t>
            </w: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8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88"/>
              </w:rPr>
              <w:t>Ended</w:t>
            </w:r>
          </w:p>
        </w:tc>
        <w:tc>
          <w:tcPr>
            <w:tcW w:w="340" w:type="dxa"/>
            <w:vAlign w:val="bottom"/>
          </w:tcPr>
          <w:p>
            <w:pPr>
              <w:spacing w:after="0"/>
              <w:rPr>
                <w:sz w:val="12"/>
                <w:szCs w:val="12"/>
                <w:color w:val="auto"/>
              </w:rPr>
            </w:pPr>
          </w:p>
        </w:tc>
        <w:tc>
          <w:tcPr>
            <w:tcW w:w="840" w:type="dxa"/>
            <w:vAlign w:val="bottom"/>
          </w:tcPr>
          <w:p>
            <w:pPr>
              <w:jc w:val="center"/>
              <w:ind w:left="232"/>
              <w:spacing w:after="0" w:line="149" w:lineRule="exact"/>
              <w:rPr>
                <w:sz w:val="20"/>
                <w:szCs w:val="20"/>
                <w:color w:val="auto"/>
              </w:rPr>
            </w:pPr>
            <w:r>
              <w:rPr>
                <w:rFonts w:ascii="Arial" w:cs="Arial" w:eastAsia="Arial" w:hAnsi="Arial"/>
                <w:sz w:val="14"/>
                <w:szCs w:val="14"/>
                <w:b w:val="1"/>
                <w:bCs w:val="1"/>
                <w:color w:val="auto"/>
                <w:w w:val="87"/>
              </w:rPr>
              <w:t>Through</w:t>
            </w:r>
          </w:p>
        </w:tc>
        <w:tc>
          <w:tcPr>
            <w:tcW w:w="280" w:type="dxa"/>
            <w:vAlign w:val="bottom"/>
          </w:tcPr>
          <w:p>
            <w:pPr>
              <w:spacing w:after="0"/>
              <w:rPr>
                <w:sz w:val="12"/>
                <w:szCs w:val="12"/>
                <w:color w:val="auto"/>
              </w:rPr>
            </w:pPr>
          </w:p>
        </w:tc>
        <w:tc>
          <w:tcPr>
            <w:tcW w:w="700" w:type="dxa"/>
            <w:vAlign w:val="bottom"/>
            <w:tcBorders>
              <w:right w:val="single" w:sz="8" w:color="auto"/>
            </w:tcBorders>
          </w:tcPr>
          <w:p>
            <w:pPr>
              <w:spacing w:after="0"/>
              <w:rPr>
                <w:sz w:val="12"/>
                <w:szCs w:val="12"/>
                <w:color w:val="auto"/>
              </w:rPr>
            </w:pPr>
          </w:p>
        </w:tc>
        <w:tc>
          <w:tcPr>
            <w:tcW w:w="480" w:type="dxa"/>
            <w:vAlign w:val="bottom"/>
          </w:tcPr>
          <w:p>
            <w:pPr>
              <w:spacing w:after="0"/>
              <w:rPr>
                <w:sz w:val="12"/>
                <w:szCs w:val="12"/>
                <w:color w:val="auto"/>
              </w:rPr>
            </w:pPr>
          </w:p>
        </w:tc>
        <w:tc>
          <w:tcPr>
            <w:tcW w:w="1120" w:type="dxa"/>
            <w:vAlign w:val="bottom"/>
            <w:gridSpan w:val="3"/>
          </w:tcPr>
          <w:p>
            <w:pPr>
              <w:jc w:val="center"/>
              <w:ind w:right="532"/>
              <w:spacing w:after="0" w:line="149" w:lineRule="exact"/>
              <w:rPr>
                <w:sz w:val="20"/>
                <w:szCs w:val="20"/>
                <w:color w:val="auto"/>
              </w:rPr>
            </w:pPr>
            <w:r>
              <w:rPr>
                <w:rFonts w:ascii="Arial" w:cs="Arial" w:eastAsia="Arial" w:hAnsi="Arial"/>
                <w:sz w:val="14"/>
                <w:szCs w:val="14"/>
                <w:b w:val="1"/>
                <w:bCs w:val="1"/>
                <w:color w:val="auto"/>
                <w:w w:val="91"/>
              </w:rPr>
              <w:t>July 9,</w:t>
            </w:r>
          </w:p>
        </w:tc>
        <w:tc>
          <w:tcPr>
            <w:tcW w:w="120" w:type="dxa"/>
            <w:vAlign w:val="bottom"/>
          </w:tcPr>
          <w:p>
            <w:pPr>
              <w:spacing w:after="0"/>
              <w:rPr>
                <w:sz w:val="12"/>
                <w:szCs w:val="12"/>
                <w:color w:val="auto"/>
              </w:rPr>
            </w:pPr>
          </w:p>
        </w:tc>
        <w:tc>
          <w:tcPr>
            <w:tcW w:w="64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1"/>
              </w:rPr>
              <w:t>July 9,</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3780" w:type="dxa"/>
            <w:vAlign w:val="bottom"/>
          </w:tcPr>
          <w:p>
            <w:pPr>
              <w:spacing w:after="0"/>
              <w:rPr>
                <w:sz w:val="14"/>
                <w:szCs w:val="14"/>
                <w:color w:val="auto"/>
              </w:rPr>
            </w:pPr>
          </w:p>
        </w:tc>
        <w:tc>
          <w:tcPr>
            <w:tcW w:w="1440" w:type="dxa"/>
            <w:vAlign w:val="bottom"/>
            <w:gridSpan w:val="3"/>
          </w:tcPr>
          <w:p>
            <w:pPr>
              <w:spacing w:after="0"/>
              <w:rPr>
                <w:sz w:val="20"/>
                <w:szCs w:val="20"/>
                <w:color w:val="auto"/>
              </w:rPr>
            </w:pPr>
            <w:r>
              <w:rPr>
                <w:rFonts w:ascii="Arial" w:cs="Arial" w:eastAsia="Arial" w:hAnsi="Arial"/>
                <w:sz w:val="14"/>
                <w:szCs w:val="14"/>
                <w:b w:val="1"/>
                <w:bCs w:val="1"/>
                <w:color w:val="auto"/>
              </w:rPr>
              <w:t>September 30, 2010</w:t>
            </w:r>
          </w:p>
        </w:tc>
        <w:tc>
          <w:tcPr>
            <w:tcW w:w="280" w:type="dxa"/>
            <w:vAlign w:val="bottom"/>
          </w:tcPr>
          <w:p>
            <w:pPr>
              <w:spacing w:after="0"/>
              <w:rPr>
                <w:sz w:val="14"/>
                <w:szCs w:val="14"/>
                <w:color w:val="auto"/>
              </w:rPr>
            </w:pPr>
          </w:p>
        </w:tc>
        <w:tc>
          <w:tcPr>
            <w:tcW w:w="1380" w:type="dxa"/>
            <w:vAlign w:val="bottom"/>
            <w:gridSpan w:val="3"/>
          </w:tcPr>
          <w:p>
            <w:pPr>
              <w:spacing w:after="0"/>
              <w:rPr>
                <w:sz w:val="20"/>
                <w:szCs w:val="20"/>
                <w:color w:val="auto"/>
              </w:rPr>
            </w:pPr>
            <w:r>
              <w:rPr>
                <w:rFonts w:ascii="Arial" w:cs="Arial" w:eastAsia="Arial" w:hAnsi="Arial"/>
                <w:sz w:val="14"/>
                <w:szCs w:val="14"/>
                <w:b w:val="1"/>
                <w:bCs w:val="1"/>
                <w:color w:val="auto"/>
              </w:rPr>
              <w:t>September 30, 2010</w:t>
            </w:r>
          </w:p>
        </w:tc>
        <w:tc>
          <w:tcPr>
            <w:tcW w:w="340" w:type="dxa"/>
            <w:vAlign w:val="bottom"/>
          </w:tcPr>
          <w:p>
            <w:pPr>
              <w:spacing w:after="0"/>
              <w:rPr>
                <w:sz w:val="14"/>
                <w:szCs w:val="14"/>
                <w:color w:val="auto"/>
              </w:rPr>
            </w:pPr>
          </w:p>
        </w:tc>
        <w:tc>
          <w:tcPr>
            <w:tcW w:w="1820" w:type="dxa"/>
            <w:vAlign w:val="bottom"/>
            <w:tcBorders>
              <w:right w:val="single" w:sz="8" w:color="auto"/>
            </w:tcBorders>
            <w:gridSpan w:val="3"/>
          </w:tcPr>
          <w:p>
            <w:pPr>
              <w:ind w:left="20"/>
              <w:spacing w:after="0"/>
              <w:rPr>
                <w:sz w:val="20"/>
                <w:szCs w:val="20"/>
                <w:color w:val="auto"/>
              </w:rPr>
            </w:pPr>
            <w:r>
              <w:rPr>
                <w:rFonts w:ascii="Arial" w:cs="Arial" w:eastAsia="Arial" w:hAnsi="Arial"/>
                <w:sz w:val="14"/>
                <w:szCs w:val="14"/>
                <w:b w:val="1"/>
                <w:bCs w:val="1"/>
                <w:color w:val="auto"/>
              </w:rPr>
              <w:t>September 30, 2009</w:t>
            </w:r>
          </w:p>
        </w:tc>
        <w:tc>
          <w:tcPr>
            <w:tcW w:w="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20" w:type="dxa"/>
            <w:vAlign w:val="bottom"/>
          </w:tcPr>
          <w:p>
            <w:pPr>
              <w:jc w:val="center"/>
              <w:ind w:right="16"/>
              <w:spacing w:after="0"/>
              <w:rPr>
                <w:sz w:val="20"/>
                <w:szCs w:val="20"/>
                <w:color w:val="auto"/>
              </w:rPr>
            </w:pPr>
            <w:r>
              <w:rPr>
                <w:rFonts w:ascii="Arial" w:cs="Arial" w:eastAsia="Arial" w:hAnsi="Arial"/>
                <w:sz w:val="14"/>
                <w:szCs w:val="14"/>
                <w:b w:val="1"/>
                <w:bCs w:val="1"/>
                <w:color w:val="auto"/>
                <w:w w:val="89"/>
              </w:rPr>
              <w:t>2009</w:t>
            </w:r>
          </w:p>
        </w:tc>
        <w:tc>
          <w:tcPr>
            <w:tcW w:w="6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40" w:type="dxa"/>
            <w:vAlign w:val="bottom"/>
          </w:tcPr>
          <w:p>
            <w:pPr>
              <w:jc w:val="center"/>
              <w:ind w:right="58"/>
              <w:spacing w:after="0"/>
              <w:rPr>
                <w:sz w:val="20"/>
                <w:szCs w:val="20"/>
                <w:color w:val="auto"/>
              </w:rPr>
            </w:pPr>
            <w:r>
              <w:rPr>
                <w:rFonts w:ascii="Arial" w:cs="Arial" w:eastAsia="Arial" w:hAnsi="Arial"/>
                <w:sz w:val="14"/>
                <w:szCs w:val="14"/>
                <w:b w:val="1"/>
                <w:bCs w:val="1"/>
                <w:color w:val="auto"/>
                <w:w w:val="89"/>
              </w:rPr>
              <w:t>2009</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78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Components of (Income) expense</w:t>
            </w:r>
          </w:p>
        </w:tc>
        <w:tc>
          <w:tcPr>
            <w:tcW w:w="12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320" w:type="dxa"/>
            <w:vAlign w:val="bottom"/>
            <w:tcBorders>
              <w:left w:val="single" w:sz="8" w:color="CCEEFF"/>
            </w:tcBorders>
            <w:shd w:val="clear" w:color="auto" w:fill="CCEEFF"/>
          </w:tcPr>
          <w:p>
            <w:pPr>
              <w:spacing w:after="0"/>
              <w:rPr>
                <w:sz w:val="18"/>
                <w:szCs w:val="18"/>
                <w:color w:val="auto"/>
              </w:rPr>
            </w:pPr>
          </w:p>
        </w:tc>
        <w:tc>
          <w:tcPr>
            <w:tcW w:w="280" w:type="dxa"/>
            <w:vAlign w:val="bottom"/>
            <w:tcBorders>
              <w:right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260" w:type="dxa"/>
            <w:vAlign w:val="bottom"/>
            <w:tcBorders>
              <w:left w:val="single" w:sz="8" w:color="CCEEFF"/>
            </w:tcBorders>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700" w:type="dxa"/>
            <w:vAlign w:val="bottom"/>
            <w:tcBorders>
              <w:left w:val="single" w:sz="8" w:color="CCEEFF"/>
              <w:right w:val="single" w:sz="8" w:color="auto"/>
            </w:tcBorders>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80" w:type="dxa"/>
            <w:vAlign w:val="bottom"/>
          </w:tcPr>
          <w:p>
            <w:pPr>
              <w:spacing w:after="0"/>
              <w:rPr>
                <w:sz w:val="20"/>
                <w:szCs w:val="20"/>
                <w:color w:val="auto"/>
              </w:rPr>
            </w:pPr>
            <w:r>
              <w:rPr>
                <w:rFonts w:ascii="Arial" w:cs="Arial" w:eastAsia="Arial" w:hAnsi="Arial"/>
                <w:sz w:val="18"/>
                <w:szCs w:val="18"/>
                <w:color w:val="auto"/>
              </w:rPr>
              <w:t>Service cost</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6</w:t>
            </w:r>
          </w:p>
        </w:tc>
        <w:tc>
          <w:tcPr>
            <w:tcW w:w="320" w:type="dxa"/>
            <w:vAlign w:val="bottom"/>
          </w:tcPr>
          <w:p>
            <w:pPr>
              <w:spacing w:after="0"/>
              <w:rPr>
                <w:sz w:val="18"/>
                <w:szCs w:val="18"/>
                <w:color w:val="auto"/>
              </w:rPr>
            </w:pPr>
          </w:p>
        </w:tc>
        <w:tc>
          <w:tcPr>
            <w:tcW w:w="380" w:type="dxa"/>
            <w:vAlign w:val="bottom"/>
            <w:gridSpan w:val="2"/>
          </w:tcPr>
          <w:p>
            <w:pPr>
              <w:ind w:left="280"/>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22</w:t>
            </w:r>
          </w:p>
        </w:tc>
        <w:tc>
          <w:tcPr>
            <w:tcW w:w="260" w:type="dxa"/>
            <w:vAlign w:val="bottom"/>
          </w:tcPr>
          <w:p>
            <w:pPr>
              <w:spacing w:after="0"/>
              <w:rPr>
                <w:sz w:val="18"/>
                <w:szCs w:val="18"/>
                <w:color w:val="auto"/>
              </w:rPr>
            </w:pPr>
          </w:p>
        </w:tc>
        <w:tc>
          <w:tcPr>
            <w:tcW w:w="1180" w:type="dxa"/>
            <w:vAlign w:val="bottom"/>
            <w:gridSpan w:val="2"/>
          </w:tcPr>
          <w:p>
            <w:pPr>
              <w:ind w:left="340"/>
              <w:spacing w:after="0"/>
              <w:rPr>
                <w:sz w:val="20"/>
                <w:szCs w:val="20"/>
                <w:color w:val="auto"/>
              </w:rPr>
            </w:pPr>
            <w:r>
              <w:rPr>
                <w:rFonts w:ascii="Arial" w:cs="Arial" w:eastAsia="Arial" w:hAnsi="Arial"/>
                <w:sz w:val="18"/>
                <w:szCs w:val="18"/>
                <w:color w:val="auto"/>
              </w:rPr>
              <w:t>$</w:t>
            </w:r>
          </w:p>
        </w:tc>
        <w:tc>
          <w:tcPr>
            <w:tcW w:w="280" w:type="dxa"/>
            <w:vAlign w:val="bottom"/>
          </w:tcPr>
          <w:p>
            <w:pPr>
              <w:jc w:val="right"/>
              <w:spacing w:after="0"/>
              <w:rPr>
                <w:sz w:val="20"/>
                <w:szCs w:val="20"/>
                <w:color w:val="auto"/>
              </w:rPr>
            </w:pPr>
            <w:r>
              <w:rPr>
                <w:rFonts w:ascii="Arial" w:cs="Arial" w:eastAsia="Arial" w:hAnsi="Arial"/>
                <w:sz w:val="18"/>
                <w:szCs w:val="18"/>
                <w:color w:val="auto"/>
              </w:rPr>
              <w:t>7</w:t>
            </w:r>
          </w:p>
        </w:tc>
        <w:tc>
          <w:tcPr>
            <w:tcW w:w="700" w:type="dxa"/>
            <w:vAlign w:val="bottom"/>
            <w:tcBorders>
              <w:right w:val="single" w:sz="8" w:color="auto"/>
            </w:tcBorders>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gridSpan w:val="2"/>
          </w:tcPr>
          <w:p>
            <w:pPr>
              <w:jc w:val="right"/>
              <w:ind w:right="532"/>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8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Interest cost</w:t>
            </w: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w:t>
            </w:r>
          </w:p>
        </w:tc>
        <w:tc>
          <w:tcPr>
            <w:tcW w:w="320" w:type="dxa"/>
            <w:vAlign w:val="bottom"/>
            <w:tcBorders>
              <w:left w:val="single" w:sz="8" w:color="CCEEFF"/>
            </w:tcBorders>
            <w:shd w:val="clear" w:color="auto" w:fill="CCEEFF"/>
          </w:tcPr>
          <w:p>
            <w:pPr>
              <w:spacing w:after="0"/>
              <w:rPr>
                <w:sz w:val="18"/>
                <w:szCs w:val="18"/>
                <w:color w:val="auto"/>
              </w:rPr>
            </w:pPr>
          </w:p>
        </w:tc>
        <w:tc>
          <w:tcPr>
            <w:tcW w:w="28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149</w:t>
            </w:r>
          </w:p>
        </w:tc>
        <w:tc>
          <w:tcPr>
            <w:tcW w:w="260" w:type="dxa"/>
            <w:vAlign w:val="bottom"/>
            <w:tcBorders>
              <w:left w:val="single" w:sz="8" w:color="CCEEFF"/>
            </w:tcBorders>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w:t>
            </w:r>
          </w:p>
        </w:tc>
        <w:tc>
          <w:tcPr>
            <w:tcW w:w="700" w:type="dxa"/>
            <w:vAlign w:val="bottom"/>
            <w:tcBorders>
              <w:left w:val="single" w:sz="8" w:color="CCEEFF"/>
              <w:right w:val="single" w:sz="8" w:color="auto"/>
            </w:tcBorders>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532"/>
              <w:spacing w:after="0"/>
              <w:rPr>
                <w:sz w:val="20"/>
                <w:szCs w:val="20"/>
                <w:color w:val="auto"/>
              </w:rPr>
            </w:pPr>
            <w:r>
              <w:rPr>
                <w:rFonts w:ascii="Arial" w:cs="Arial" w:eastAsia="Arial" w:hAnsi="Arial"/>
                <w:sz w:val="18"/>
                <w:szCs w:val="18"/>
                <w:color w:val="auto"/>
              </w:rPr>
              <w:t>4</w:t>
            </w:r>
          </w:p>
        </w:tc>
        <w:tc>
          <w:tcPr>
            <w:tcW w:w="12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80" w:type="dxa"/>
            <w:vAlign w:val="bottom"/>
          </w:tcPr>
          <w:p>
            <w:pPr>
              <w:spacing w:after="0"/>
              <w:rPr>
                <w:sz w:val="20"/>
                <w:szCs w:val="20"/>
                <w:color w:val="auto"/>
              </w:rPr>
            </w:pPr>
            <w:r>
              <w:rPr>
                <w:rFonts w:ascii="Arial" w:cs="Arial" w:eastAsia="Arial" w:hAnsi="Arial"/>
                <w:sz w:val="18"/>
                <w:szCs w:val="18"/>
                <w:color w:val="auto"/>
              </w:rPr>
              <w:t>Expected return on plan assets</w:t>
            </w:r>
          </w:p>
        </w:tc>
        <w:tc>
          <w:tcPr>
            <w:tcW w:w="120" w:type="dxa"/>
            <w:vAlign w:val="bottom"/>
          </w:tcPr>
          <w:p>
            <w:pPr>
              <w:spacing w:after="0"/>
              <w:rPr>
                <w:sz w:val="18"/>
                <w:szCs w:val="18"/>
                <w:color w:val="auto"/>
              </w:rPr>
            </w:pPr>
          </w:p>
        </w:tc>
        <w:tc>
          <w:tcPr>
            <w:tcW w:w="132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980" w:type="dxa"/>
            <w:vAlign w:val="bottom"/>
            <w:tcBorders>
              <w:right w:val="single" w:sz="8" w:color="auto"/>
            </w:tcBorders>
            <w:gridSpan w:val="2"/>
          </w:tcPr>
          <w:p>
            <w:pPr>
              <w:jc w:val="right"/>
              <w:ind w:right="680"/>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532"/>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8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Amortization of prior service cost (credit)</w:t>
            </w:r>
          </w:p>
        </w:tc>
        <w:tc>
          <w:tcPr>
            <w:tcW w:w="1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w:t>
            </w:r>
          </w:p>
        </w:tc>
        <w:tc>
          <w:tcPr>
            <w:tcW w:w="28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(6)</w:t>
            </w:r>
          </w:p>
        </w:tc>
        <w:tc>
          <w:tcPr>
            <w:tcW w:w="3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980" w:type="dxa"/>
            <w:vAlign w:val="bottom"/>
            <w:tcBorders>
              <w:right w:val="single" w:sz="8" w:color="auto"/>
            </w:tcBorders>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72"/>
              <w:spacing w:after="0"/>
              <w:rPr>
                <w:sz w:val="20"/>
                <w:szCs w:val="20"/>
                <w:color w:val="auto"/>
              </w:rPr>
            </w:pPr>
            <w:r>
              <w:rPr>
                <w:rFonts w:ascii="Arial" w:cs="Arial" w:eastAsia="Arial" w:hAnsi="Arial"/>
                <w:sz w:val="18"/>
                <w:szCs w:val="18"/>
                <w:color w:val="auto"/>
              </w:rPr>
              <w:t>(4)</w:t>
            </w:r>
          </w:p>
        </w:tc>
        <w:tc>
          <w:tcPr>
            <w:tcW w:w="12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80" w:type="dxa"/>
            <w:vAlign w:val="bottom"/>
          </w:tcPr>
          <w:p>
            <w:pPr>
              <w:spacing w:after="0"/>
              <w:rPr>
                <w:sz w:val="20"/>
                <w:szCs w:val="20"/>
                <w:color w:val="auto"/>
              </w:rPr>
            </w:pPr>
            <w:r>
              <w:rPr>
                <w:rFonts w:ascii="Arial" w:cs="Arial" w:eastAsia="Arial" w:hAnsi="Arial"/>
                <w:sz w:val="18"/>
                <w:szCs w:val="18"/>
                <w:color w:val="auto"/>
              </w:rPr>
              <w:t>Amortization of transition obligation</w:t>
            </w:r>
          </w:p>
        </w:tc>
        <w:tc>
          <w:tcPr>
            <w:tcW w:w="120" w:type="dxa"/>
            <w:vAlign w:val="bottom"/>
          </w:tcPr>
          <w:p>
            <w:pPr>
              <w:spacing w:after="0"/>
              <w:rPr>
                <w:sz w:val="18"/>
                <w:szCs w:val="18"/>
                <w:color w:val="auto"/>
              </w:rPr>
            </w:pPr>
          </w:p>
        </w:tc>
        <w:tc>
          <w:tcPr>
            <w:tcW w:w="132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980" w:type="dxa"/>
            <w:vAlign w:val="bottom"/>
            <w:tcBorders>
              <w:right w:val="single" w:sz="8" w:color="auto"/>
            </w:tcBorders>
            <w:gridSpan w:val="2"/>
          </w:tcPr>
          <w:p>
            <w:pPr>
              <w:jc w:val="right"/>
              <w:ind w:right="680"/>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532"/>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8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Recognized net actuarial loss</w:t>
            </w:r>
          </w:p>
        </w:tc>
        <w:tc>
          <w:tcPr>
            <w:tcW w:w="1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28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980" w:type="dxa"/>
            <w:vAlign w:val="bottom"/>
            <w:tcBorders>
              <w:right w:val="single" w:sz="8" w:color="auto"/>
            </w:tcBorders>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532"/>
              <w:spacing w:after="0"/>
              <w:rPr>
                <w:sz w:val="20"/>
                <w:szCs w:val="20"/>
                <w:color w:val="auto"/>
              </w:rPr>
            </w:pPr>
            <w:r>
              <w:rPr>
                <w:rFonts w:ascii="Arial" w:cs="Arial" w:eastAsia="Arial" w:hAnsi="Arial"/>
                <w:sz w:val="18"/>
                <w:szCs w:val="18"/>
                <w:color w:val="auto"/>
              </w:rPr>
              <w:t>2</w:t>
            </w:r>
          </w:p>
        </w:tc>
        <w:tc>
          <w:tcPr>
            <w:tcW w:w="12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80" w:type="dxa"/>
            <w:vAlign w:val="bottom"/>
          </w:tcPr>
          <w:p>
            <w:pPr>
              <w:spacing w:after="0"/>
              <w:rPr>
                <w:sz w:val="20"/>
                <w:szCs w:val="20"/>
                <w:color w:val="auto"/>
              </w:rPr>
            </w:pPr>
            <w:r>
              <w:rPr>
                <w:rFonts w:ascii="Arial" w:cs="Arial" w:eastAsia="Arial" w:hAnsi="Arial"/>
                <w:sz w:val="18"/>
                <w:szCs w:val="18"/>
                <w:color w:val="auto"/>
              </w:rPr>
              <w:t>Curtailments, settlements and other</w:t>
            </w:r>
          </w:p>
        </w:tc>
        <w:tc>
          <w:tcPr>
            <w:tcW w:w="120" w:type="dxa"/>
            <w:vAlign w:val="bottom"/>
          </w:tcPr>
          <w:p>
            <w:pPr>
              <w:spacing w:after="0"/>
              <w:rPr>
                <w:sz w:val="18"/>
                <w:szCs w:val="18"/>
                <w:color w:val="auto"/>
              </w:rPr>
            </w:pPr>
          </w:p>
        </w:tc>
        <w:tc>
          <w:tcPr>
            <w:tcW w:w="132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w:t>
            </w:r>
          </w:p>
        </w:tc>
        <w:tc>
          <w:tcPr>
            <w:tcW w:w="2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980" w:type="dxa"/>
            <w:vAlign w:val="bottom"/>
            <w:tcBorders>
              <w:right w:val="single" w:sz="8" w:color="auto"/>
            </w:tcBorders>
            <w:gridSpan w:val="2"/>
          </w:tcPr>
          <w:p>
            <w:pPr>
              <w:jc w:val="right"/>
              <w:ind w:right="680"/>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532"/>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640" w:type="dxa"/>
            <w:vAlign w:val="bottom"/>
            <w:gridSpan w:val="2"/>
          </w:tcPr>
          <w:p>
            <w:pPr>
              <w:jc w:val="right"/>
              <w:ind w:right="40"/>
              <w:spacing w:after="0"/>
              <w:rPr>
                <w:sz w:val="20"/>
                <w:szCs w:val="20"/>
                <w:color w:val="auto"/>
              </w:rPr>
            </w:pPr>
            <w:r>
              <w:rPr>
                <w:rFonts w:ascii="Arial" w:cs="Arial" w:eastAsia="Arial" w:hAnsi="Arial"/>
                <w:sz w:val="18"/>
                <w:szCs w:val="18"/>
                <w:color w:val="auto"/>
              </w:rPr>
              <w:t>(123)</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3780" w:type="dxa"/>
            <w:vAlign w:val="bottom"/>
            <w:tcBorders>
              <w:right w:val="single" w:sz="8" w:color="auto"/>
            </w:tcBorders>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260" w:type="dxa"/>
            <w:vAlign w:val="bottom"/>
            <w:tcBorders>
              <w:left w:val="single" w:sz="8" w:color="auto"/>
            </w:tcBorders>
          </w:tcPr>
          <w:p>
            <w:pPr>
              <w:spacing w:after="0"/>
              <w:rPr>
                <w:sz w:val="2"/>
                <w:szCs w:val="2"/>
                <w:color w:val="auto"/>
              </w:rPr>
            </w:pPr>
          </w:p>
        </w:tc>
        <w:tc>
          <w:tcPr>
            <w:tcW w:w="340" w:type="dxa"/>
            <w:vAlign w:val="bottom"/>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700" w:type="dxa"/>
            <w:vAlign w:val="bottom"/>
            <w:tcBorders>
              <w:left w:val="single" w:sz="8" w:color="auto"/>
              <w:right w:val="single" w:sz="8" w:color="auto"/>
            </w:tcBorders>
          </w:tcPr>
          <w:p>
            <w:pPr>
              <w:spacing w:after="0"/>
              <w:rPr>
                <w:sz w:val="2"/>
                <w:szCs w:val="2"/>
                <w:color w:val="auto"/>
              </w:rPr>
            </w:pPr>
          </w:p>
        </w:tc>
        <w:tc>
          <w:tcPr>
            <w:tcW w:w="4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378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periodic OPEB (income) expense</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w:t>
            </w:r>
          </w:p>
        </w:tc>
        <w:tc>
          <w:tcPr>
            <w:tcW w:w="320" w:type="dxa"/>
            <w:vAlign w:val="bottom"/>
            <w:tcBorders>
              <w:left w:val="single" w:sz="8" w:color="CCEEFF"/>
            </w:tcBorders>
            <w:shd w:val="clear" w:color="auto" w:fill="CCEEFF"/>
          </w:tcPr>
          <w:p>
            <w:pPr>
              <w:spacing w:after="0"/>
              <w:rPr>
                <w:sz w:val="18"/>
                <w:szCs w:val="18"/>
                <w:color w:val="auto"/>
              </w:rPr>
            </w:pPr>
          </w:p>
        </w:tc>
        <w:tc>
          <w:tcPr>
            <w:tcW w:w="38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168</w:t>
            </w:r>
          </w:p>
        </w:tc>
        <w:tc>
          <w:tcPr>
            <w:tcW w:w="260" w:type="dxa"/>
            <w:vAlign w:val="bottom"/>
            <w:tcBorders>
              <w:left w:val="single" w:sz="8" w:color="CCEEFF"/>
            </w:tcBorders>
            <w:shd w:val="clear" w:color="auto" w:fill="CCEEFF"/>
          </w:tcPr>
          <w:p>
            <w:pPr>
              <w:spacing w:after="0"/>
              <w:rPr>
                <w:sz w:val="18"/>
                <w:szCs w:val="18"/>
                <w:color w:val="auto"/>
              </w:rPr>
            </w:pPr>
          </w:p>
        </w:tc>
        <w:tc>
          <w:tcPr>
            <w:tcW w:w="118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w:t>
            </w:r>
          </w:p>
        </w:tc>
        <w:tc>
          <w:tcPr>
            <w:tcW w:w="700" w:type="dxa"/>
            <w:vAlign w:val="bottom"/>
            <w:tcBorders>
              <w:left w:val="single" w:sz="8" w:color="CCEEFF"/>
              <w:right w:val="single" w:sz="8" w:color="auto"/>
            </w:tcBorders>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gridSpan w:val="2"/>
            <w:shd w:val="clear" w:color="auto" w:fill="CCEEFF"/>
          </w:tcPr>
          <w:p>
            <w:pPr>
              <w:jc w:val="right"/>
              <w:ind w:right="532"/>
              <w:spacing w:after="0"/>
              <w:rPr>
                <w:sz w:val="20"/>
                <w:szCs w:val="20"/>
                <w:color w:val="auto"/>
              </w:rPr>
            </w:pPr>
            <w:r>
              <w:rPr>
                <w:rFonts w:ascii="Arial" w:cs="Arial" w:eastAsia="Arial" w:hAnsi="Arial"/>
                <w:sz w:val="18"/>
                <w:szCs w:val="18"/>
                <w:color w:val="auto"/>
              </w:rPr>
              <w:t>3</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(49)</w:t>
            </w: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3780" w:type="dxa"/>
            <w:vAlign w:val="bottom"/>
          </w:tcPr>
          <w:p>
            <w:pPr>
              <w:spacing w:after="0"/>
              <w:rPr>
                <w:sz w:val="3"/>
                <w:szCs w:val="3"/>
                <w:color w:val="auto"/>
              </w:rPr>
            </w:pPr>
          </w:p>
        </w:tc>
        <w:tc>
          <w:tcPr>
            <w:tcW w:w="120" w:type="dxa"/>
            <w:vAlign w:val="bottom"/>
            <w:tcBorders>
              <w:top w:val="single" w:sz="8" w:color="auto"/>
              <w:bottom w:val="single" w:sz="8" w:color="auto"/>
            </w:tcBorders>
          </w:tcPr>
          <w:p>
            <w:pPr>
              <w:spacing w:after="0"/>
              <w:rPr>
                <w:sz w:val="3"/>
                <w:szCs w:val="3"/>
                <w:color w:val="auto"/>
              </w:rPr>
            </w:pPr>
          </w:p>
        </w:tc>
        <w:tc>
          <w:tcPr>
            <w:tcW w:w="1000" w:type="dxa"/>
            <w:vAlign w:val="bottom"/>
            <w:tcBorders>
              <w:top w:val="single" w:sz="8" w:color="auto"/>
              <w:bottom w:val="single" w:sz="8" w:color="auto"/>
            </w:tcBorders>
          </w:tcPr>
          <w:p>
            <w:pPr>
              <w:spacing w:after="0"/>
              <w:rPr>
                <w:sz w:val="3"/>
                <w:szCs w:val="3"/>
                <w:color w:val="auto"/>
              </w:rPr>
            </w:pPr>
          </w:p>
        </w:tc>
        <w:tc>
          <w:tcPr>
            <w:tcW w:w="320" w:type="dxa"/>
            <w:vAlign w:val="bottom"/>
          </w:tcPr>
          <w:p>
            <w:pPr>
              <w:spacing w:after="0"/>
              <w:rPr>
                <w:sz w:val="3"/>
                <w:szCs w:val="3"/>
                <w:color w:val="auto"/>
              </w:rPr>
            </w:pPr>
          </w:p>
        </w:tc>
        <w:tc>
          <w:tcPr>
            <w:tcW w:w="280" w:type="dxa"/>
            <w:vAlign w:val="bottom"/>
          </w:tcPr>
          <w:p>
            <w:pPr>
              <w:spacing w:after="0"/>
              <w:rPr>
                <w:sz w:val="3"/>
                <w:szCs w:val="3"/>
                <w:color w:val="auto"/>
              </w:rPr>
            </w:pPr>
          </w:p>
        </w:tc>
        <w:tc>
          <w:tcPr>
            <w:tcW w:w="100" w:type="dxa"/>
            <w:vAlign w:val="bottom"/>
            <w:tcBorders>
              <w:top w:val="single" w:sz="8" w:color="auto"/>
              <w:bottom w:val="single" w:sz="8" w:color="auto"/>
            </w:tcBorders>
          </w:tcPr>
          <w:p>
            <w:pPr>
              <w:spacing w:after="0"/>
              <w:rPr>
                <w:sz w:val="3"/>
                <w:szCs w:val="3"/>
                <w:color w:val="auto"/>
              </w:rPr>
            </w:pPr>
          </w:p>
        </w:tc>
        <w:tc>
          <w:tcPr>
            <w:tcW w:w="1020" w:type="dxa"/>
            <w:vAlign w:val="bottom"/>
            <w:tcBorders>
              <w:top w:val="single" w:sz="8" w:color="auto"/>
              <w:bottom w:val="single" w:sz="8" w:color="auto"/>
            </w:tcBorders>
          </w:tcPr>
          <w:p>
            <w:pPr>
              <w:spacing w:after="0"/>
              <w:rPr>
                <w:sz w:val="3"/>
                <w:szCs w:val="3"/>
                <w:color w:val="auto"/>
              </w:rPr>
            </w:pPr>
          </w:p>
        </w:tc>
        <w:tc>
          <w:tcPr>
            <w:tcW w:w="260" w:type="dxa"/>
            <w:vAlign w:val="bottom"/>
          </w:tcPr>
          <w:p>
            <w:pPr>
              <w:spacing w:after="0"/>
              <w:rPr>
                <w:sz w:val="3"/>
                <w:szCs w:val="3"/>
                <w:color w:val="auto"/>
              </w:rPr>
            </w:pPr>
          </w:p>
        </w:tc>
        <w:tc>
          <w:tcPr>
            <w:tcW w:w="340" w:type="dxa"/>
            <w:vAlign w:val="bottom"/>
          </w:tcPr>
          <w:p>
            <w:pPr>
              <w:spacing w:after="0"/>
              <w:rPr>
                <w:sz w:val="3"/>
                <w:szCs w:val="3"/>
                <w:color w:val="auto"/>
              </w:rPr>
            </w:pPr>
          </w:p>
        </w:tc>
        <w:tc>
          <w:tcPr>
            <w:tcW w:w="840" w:type="dxa"/>
            <w:vAlign w:val="bottom"/>
            <w:tcBorders>
              <w:top w:val="single" w:sz="8" w:color="auto"/>
              <w:bottom w:val="single" w:sz="8" w:color="auto"/>
            </w:tcBorders>
          </w:tcPr>
          <w:p>
            <w:pPr>
              <w:spacing w:after="0"/>
              <w:rPr>
                <w:sz w:val="3"/>
                <w:szCs w:val="3"/>
                <w:color w:val="auto"/>
              </w:rPr>
            </w:pPr>
          </w:p>
        </w:tc>
        <w:tc>
          <w:tcPr>
            <w:tcW w:w="280" w:type="dxa"/>
            <w:vAlign w:val="bottom"/>
            <w:tcBorders>
              <w:top w:val="single" w:sz="8" w:color="auto"/>
              <w:bottom w:val="single" w:sz="8" w:color="auto"/>
            </w:tcBorders>
          </w:tcPr>
          <w:p>
            <w:pPr>
              <w:spacing w:after="0"/>
              <w:rPr>
                <w:sz w:val="3"/>
                <w:szCs w:val="3"/>
                <w:color w:val="auto"/>
              </w:rPr>
            </w:pPr>
          </w:p>
        </w:tc>
        <w:tc>
          <w:tcPr>
            <w:tcW w:w="700" w:type="dxa"/>
            <w:vAlign w:val="bottom"/>
            <w:tcBorders>
              <w:right w:val="single" w:sz="8" w:color="auto"/>
            </w:tcBorders>
          </w:tcPr>
          <w:p>
            <w:pPr>
              <w:spacing w:after="0"/>
              <w:rPr>
                <w:sz w:val="3"/>
                <w:szCs w:val="3"/>
                <w:color w:val="auto"/>
              </w:rPr>
            </w:pPr>
          </w:p>
        </w:tc>
        <w:tc>
          <w:tcPr>
            <w:tcW w:w="480" w:type="dxa"/>
            <w:vAlign w:val="bottom"/>
          </w:tcPr>
          <w:p>
            <w:pPr>
              <w:spacing w:after="0"/>
              <w:rPr>
                <w:sz w:val="3"/>
                <w:szCs w:val="3"/>
                <w:color w:val="auto"/>
              </w:rPr>
            </w:pPr>
          </w:p>
        </w:tc>
        <w:tc>
          <w:tcPr>
            <w:tcW w:w="100" w:type="dxa"/>
            <w:vAlign w:val="bottom"/>
            <w:tcBorders>
              <w:top w:val="single" w:sz="8" w:color="auto"/>
              <w:bottom w:val="single" w:sz="8" w:color="auto"/>
            </w:tcBorders>
          </w:tcPr>
          <w:p>
            <w:pPr>
              <w:spacing w:after="0"/>
              <w:rPr>
                <w:sz w:val="3"/>
                <w:szCs w:val="3"/>
                <w:color w:val="auto"/>
              </w:rPr>
            </w:pPr>
          </w:p>
        </w:tc>
        <w:tc>
          <w:tcPr>
            <w:tcW w:w="420" w:type="dxa"/>
            <w:vAlign w:val="bottom"/>
            <w:tcBorders>
              <w:top w:val="single" w:sz="8" w:color="auto"/>
              <w:bottom w:val="single" w:sz="8" w:color="auto"/>
            </w:tcBorders>
          </w:tcPr>
          <w:p>
            <w:pPr>
              <w:spacing w:after="0"/>
              <w:rPr>
                <w:sz w:val="3"/>
                <w:szCs w:val="3"/>
                <w:color w:val="auto"/>
              </w:rPr>
            </w:pPr>
          </w:p>
        </w:tc>
        <w:tc>
          <w:tcPr>
            <w:tcW w:w="600" w:type="dxa"/>
            <w:vAlign w:val="bottom"/>
          </w:tcPr>
          <w:p>
            <w:pPr>
              <w:spacing w:after="0"/>
              <w:rPr>
                <w:sz w:val="3"/>
                <w:szCs w:val="3"/>
                <w:color w:val="auto"/>
              </w:rPr>
            </w:pPr>
          </w:p>
        </w:tc>
        <w:tc>
          <w:tcPr>
            <w:tcW w:w="120" w:type="dxa"/>
            <w:vAlign w:val="bottom"/>
            <w:tcBorders>
              <w:top w:val="single" w:sz="8" w:color="auto"/>
              <w:bottom w:val="single" w:sz="8" w:color="auto"/>
            </w:tcBorders>
          </w:tcPr>
          <w:p>
            <w:pPr>
              <w:spacing w:after="0"/>
              <w:rPr>
                <w:sz w:val="3"/>
                <w:szCs w:val="3"/>
                <w:color w:val="auto"/>
              </w:rPr>
            </w:pPr>
          </w:p>
        </w:tc>
        <w:tc>
          <w:tcPr>
            <w:tcW w:w="540" w:type="dxa"/>
            <w:vAlign w:val="bottom"/>
            <w:tcBorders>
              <w:top w:val="single" w:sz="8" w:color="auto"/>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37"/>
        </w:trPr>
        <w:tc>
          <w:tcPr>
            <w:tcW w:w="20" w:type="dxa"/>
            <w:vAlign w:val="bottom"/>
          </w:tcPr>
          <w:p>
            <w:pPr>
              <w:spacing w:after="0"/>
              <w:rPr>
                <w:sz w:val="24"/>
                <w:szCs w:val="24"/>
                <w:color w:val="auto"/>
              </w:rPr>
            </w:pPr>
          </w:p>
        </w:tc>
        <w:tc>
          <w:tcPr>
            <w:tcW w:w="3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jc w:val="right"/>
              <w:ind w:right="758"/>
              <w:spacing w:after="0"/>
              <w:rPr>
                <w:sz w:val="20"/>
                <w:szCs w:val="20"/>
                <w:color w:val="auto"/>
              </w:rPr>
            </w:pPr>
            <w:r>
              <w:rPr>
                <w:rFonts w:ascii="Arial" w:cs="Arial" w:eastAsia="Arial" w:hAnsi="Arial"/>
                <w:sz w:val="18"/>
                <w:szCs w:val="18"/>
                <w:color w:val="auto"/>
                <w:w w:val="79"/>
              </w:rPr>
              <w:t>32</w:t>
            </w:r>
          </w:p>
        </w:tc>
        <w:tc>
          <w:tcPr>
            <w:tcW w:w="2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34" w:name="page35"/>
    <w:bookmarkEnd w:id="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17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Significant Plan Amendments, Benefit Modifications and Related Events</w:t>
      </w:r>
    </w:p>
    <w:p>
      <w:pPr>
        <w:spacing w:after="0" w:line="177"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Three and Nine Months Ended September 30, 2010</w:t>
      </w:r>
    </w:p>
    <w:p>
      <w:pPr>
        <w:spacing w:after="0" w:line="171"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Remeasurements</w:t>
      </w:r>
    </w:p>
    <w:p>
      <w:pPr>
        <w:spacing w:after="0" w:line="171" w:lineRule="exact"/>
        <w:rPr>
          <w:sz w:val="20"/>
          <w:szCs w:val="20"/>
          <w:color w:val="auto"/>
        </w:rPr>
      </w:pPr>
    </w:p>
    <w:p>
      <w:pPr>
        <w:ind w:firstLine="228"/>
        <w:spacing w:after="0" w:line="254" w:lineRule="auto"/>
        <w:rPr>
          <w:sz w:val="20"/>
          <w:szCs w:val="20"/>
          <w:color w:val="auto"/>
        </w:rPr>
      </w:pPr>
      <w:r>
        <w:rPr>
          <w:rFonts w:ascii="Arial" w:cs="Arial" w:eastAsia="Arial" w:hAnsi="Arial"/>
          <w:sz w:val="18"/>
          <w:szCs w:val="18"/>
          <w:color w:val="auto"/>
        </w:rPr>
        <w:t>In September 2010 the U.S. hourly defined benefit pension plan was amended to create a legally separate new defined benefit pension plan for the participants who are covered by the cash balance benefit formula. The underlying benefits offered to plan participants were unchanged. The remeasurement used a discount rate of 4.56% and increased the projected benefit obligations (PBO) by $5.8 billion. A discount rate of 5.49% was used at December 31, 2009. Additionally, higher than expected asset returns partially offset the discount rate effects and the remeasurement resulted in an increase of $2.4 billion to Pensions and a pretax increase to Other comprehensive loss. The remeasurement of the plan did not affect net periodic pension expense for the three and nine months ended September 30, 2010.</w:t>
      </w:r>
    </w:p>
    <w:p>
      <w:pPr>
        <w:spacing w:after="0" w:line="144" w:lineRule="exact"/>
        <w:rPr>
          <w:sz w:val="20"/>
          <w:szCs w:val="20"/>
          <w:color w:val="auto"/>
        </w:rPr>
      </w:pPr>
    </w:p>
    <w:p>
      <w:pPr>
        <w:ind w:left="240"/>
        <w:spacing w:after="0"/>
        <w:rPr>
          <w:sz w:val="20"/>
          <w:szCs w:val="20"/>
          <w:color w:val="auto"/>
        </w:rPr>
      </w:pPr>
      <w:r>
        <w:rPr>
          <w:rFonts w:ascii="Arial" w:cs="Arial" w:eastAsia="Arial" w:hAnsi="Arial"/>
          <w:sz w:val="18"/>
          <w:szCs w:val="18"/>
          <w:color w:val="auto"/>
        </w:rPr>
        <w:t>In July 2010 GMIO remeasured a pension plan due to a partial plan settlement resulting in a gain of $18 million.</w:t>
      </w:r>
    </w:p>
    <w:p>
      <w:pPr>
        <w:spacing w:after="0" w:line="171" w:lineRule="exact"/>
        <w:rPr>
          <w:sz w:val="20"/>
          <w:szCs w:val="20"/>
          <w:color w:val="auto"/>
        </w:rPr>
      </w:pPr>
    </w:p>
    <w:p>
      <w:pPr>
        <w:ind w:right="20" w:firstLine="228"/>
        <w:spacing w:after="0" w:line="268" w:lineRule="auto"/>
        <w:rPr>
          <w:sz w:val="20"/>
          <w:szCs w:val="20"/>
          <w:color w:val="auto"/>
        </w:rPr>
      </w:pPr>
      <w:r>
        <w:rPr>
          <w:rFonts w:ascii="Arial" w:cs="Arial" w:eastAsia="Arial" w:hAnsi="Arial"/>
          <w:sz w:val="18"/>
          <w:szCs w:val="18"/>
          <w:color w:val="auto"/>
        </w:rPr>
        <w:t>In June 2010 certain pension plans in GME were remeasured as part of our Goodwill impairment analysis, resulting in an increase of $388 million to Pensions and a pretax increase to Other comprehensive loss.</w:t>
      </w:r>
    </w:p>
    <w:p>
      <w:pPr>
        <w:spacing w:after="0" w:line="132"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Patient Protection and Affordable Care Act</w:t>
      </w:r>
    </w:p>
    <w:p>
      <w:pPr>
        <w:spacing w:after="0" w:line="171" w:lineRule="exact"/>
        <w:rPr>
          <w:sz w:val="20"/>
          <w:szCs w:val="20"/>
          <w:color w:val="auto"/>
        </w:rPr>
      </w:pPr>
    </w:p>
    <w:p>
      <w:pPr>
        <w:ind w:firstLine="228"/>
        <w:spacing w:after="0" w:line="294" w:lineRule="auto"/>
        <w:rPr>
          <w:sz w:val="20"/>
          <w:szCs w:val="20"/>
          <w:color w:val="auto"/>
        </w:rPr>
      </w:pPr>
      <w:r>
        <w:rPr>
          <w:rFonts w:ascii="Arial" w:cs="Arial" w:eastAsia="Arial" w:hAnsi="Arial"/>
          <w:sz w:val="16"/>
          <w:szCs w:val="16"/>
          <w:color w:val="auto"/>
        </w:rPr>
        <w:t>The Patient Protection and Affordable Care Act was signed into law in March 2010 and contains provisions that require all future reimbursement receipts under the Medicare Part D retiree drug subsidy program to be included in taxable income. This taxable income inclusion will not significantly affect us because effective January 1, 2010 we no longer provide prescription drug coverage to post-age 65 Medicare-eligible participants and we have a full valuation allowance against our net deferred tax assets in the U.S. We have assessed the other provisions of this new law, based on information known at this time, and we believe that the new law will not have a significant effect on our consolidated financial statements.</w:t>
      </w:r>
    </w:p>
    <w:p>
      <w:pPr>
        <w:spacing w:after="0" w:line="116"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Contributions</w:t>
      </w:r>
    </w:p>
    <w:p>
      <w:pPr>
        <w:spacing w:after="0" w:line="171" w:lineRule="exact"/>
        <w:rPr>
          <w:sz w:val="20"/>
          <w:szCs w:val="20"/>
          <w:color w:val="auto"/>
        </w:rPr>
      </w:pPr>
    </w:p>
    <w:p>
      <w:pPr>
        <w:ind w:right="140" w:firstLine="228"/>
        <w:spacing w:after="0" w:line="332" w:lineRule="auto"/>
        <w:rPr>
          <w:sz w:val="20"/>
          <w:szCs w:val="20"/>
          <w:color w:val="auto"/>
        </w:rPr>
      </w:pPr>
      <w:r>
        <w:rPr>
          <w:rFonts w:ascii="Arial" w:cs="Arial" w:eastAsia="Arial" w:hAnsi="Arial"/>
          <w:sz w:val="16"/>
          <w:szCs w:val="16"/>
          <w:color w:val="auto"/>
        </w:rPr>
        <w:t>After the completion of our common stock offering and Series B Preferred Stock offering, we expect to make a voluntary contribution of $4.0 billion in cash and $2.0 billion of our common stock to our U.S. hourly and salaried pension plans. Refer to Note 27 for additional information.</w:t>
      </w:r>
    </w:p>
    <w:p>
      <w:pPr>
        <w:spacing w:after="0" w:line="7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380"/>
          </w:cols>
          <w:pgMar w:left="240" w:top="459" w:right="279" w:bottom="1440" w:gutter="0" w:footer="0" w:header="0"/>
        </w:sectPr>
      </w:pPr>
    </w:p>
    <w:bookmarkStart w:id="35" w:name="page36"/>
    <w:bookmarkEnd w:id="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339"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2009</w:t>
      </w:r>
    </w:p>
    <w:p>
      <w:pPr>
        <w:spacing w:after="0" w:line="171" w:lineRule="exact"/>
        <w:rPr>
          <w:sz w:val="20"/>
          <w:szCs w:val="20"/>
          <w:color w:val="auto"/>
        </w:rPr>
      </w:pPr>
    </w:p>
    <w:p>
      <w:pPr>
        <w:ind w:right="560" w:firstLine="228"/>
        <w:spacing w:after="0" w:line="306" w:lineRule="auto"/>
        <w:rPr>
          <w:sz w:val="20"/>
          <w:szCs w:val="20"/>
          <w:color w:val="auto"/>
        </w:rPr>
      </w:pPr>
      <w:r>
        <w:rPr>
          <w:rFonts w:ascii="Arial" w:cs="Arial" w:eastAsia="Arial" w:hAnsi="Arial"/>
          <w:sz w:val="16"/>
          <w:szCs w:val="16"/>
          <w:color w:val="auto"/>
        </w:rPr>
        <w:t>The following tables summarize the significant defined benefit plan interim remeasurements, the related changes in accumulated postretirement benefit obligations (APBO), PBO and the associated curtailments, settlements and termination benefits recorded in earnings in the periods July 10, 2009 through September 30, 2009 and January 1, 2009 through July 9, 2009, which are subsequently discussed (dollars in millions):</w:t>
      </w:r>
    </w:p>
    <w:p>
      <w:pPr>
        <w:spacing w:after="0" w:line="107"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July 10, 2009 Through September 30, 2009</w:t>
      </w:r>
    </w:p>
    <w:p>
      <w:pPr>
        <w:spacing w:after="0" w:line="207" w:lineRule="exact"/>
        <w:rPr>
          <w:sz w:val="20"/>
          <w:szCs w:val="20"/>
          <w:color w:val="auto"/>
        </w:rPr>
      </w:pPr>
    </w:p>
    <w:p>
      <w:pPr>
        <w:jc w:val="center"/>
        <w:ind w:right="100"/>
        <w:spacing w:after="0"/>
        <w:rPr>
          <w:sz w:val="20"/>
          <w:szCs w:val="20"/>
          <w:color w:val="auto"/>
        </w:rPr>
      </w:pPr>
      <w:r>
        <w:rPr>
          <w:rFonts w:ascii="Arial" w:cs="Arial" w:eastAsia="Arial" w:hAnsi="Arial"/>
          <w:sz w:val="14"/>
          <w:szCs w:val="14"/>
          <w:b w:val="1"/>
          <w:bCs w:val="1"/>
          <w:color w:val="auto"/>
        </w:rPr>
        <w:t>Successor</w:t>
      </w:r>
    </w:p>
    <w:p>
      <w:pPr>
        <w:spacing w:after="0" w:line="13" w:lineRule="exact"/>
        <w:rPr>
          <w:sz w:val="20"/>
          <w:szCs w:val="20"/>
          <w:color w:val="auto"/>
        </w:rPr>
      </w:pPr>
    </w:p>
    <w:tbl>
      <w:tblPr>
        <w:tblLayout w:type="fixed"/>
        <w:tblInd w:w="0" w:type="dxa"/>
        <w:tblCellMar>
          <w:top w:w="0" w:type="dxa"/>
          <w:left w:w="0" w:type="dxa"/>
          <w:bottom w:w="0" w:type="dxa"/>
          <w:right w:w="0" w:type="dxa"/>
        </w:tblCellMar>
      </w:tblPr>
      <w:tr>
        <w:trPr>
          <w:trHeight w:val="130"/>
        </w:trPr>
        <w:tc>
          <w:tcPr>
            <w:tcW w:w="20" w:type="dxa"/>
            <w:vAlign w:val="bottom"/>
          </w:tcPr>
          <w:p>
            <w:pPr>
              <w:spacing w:after="0"/>
              <w:rPr>
                <w:sz w:val="11"/>
                <w:szCs w:val="11"/>
                <w:color w:val="auto"/>
              </w:rPr>
            </w:pPr>
          </w:p>
        </w:tc>
        <w:tc>
          <w:tcPr>
            <w:tcW w:w="1140" w:type="dxa"/>
            <w:vAlign w:val="bottom"/>
            <w:tcBorders>
              <w:top w:val="single" w:sz="8" w:color="auto"/>
            </w:tcBorders>
          </w:tcPr>
          <w:p>
            <w:pPr>
              <w:spacing w:after="0"/>
              <w:rPr>
                <w:sz w:val="11"/>
                <w:szCs w:val="11"/>
                <w:color w:val="auto"/>
              </w:rPr>
            </w:pPr>
          </w:p>
        </w:tc>
        <w:tc>
          <w:tcPr>
            <w:tcW w:w="500" w:type="dxa"/>
            <w:vAlign w:val="bottom"/>
            <w:tcBorders>
              <w:top w:val="single" w:sz="8" w:color="auto"/>
            </w:tcBorders>
          </w:tcPr>
          <w:p>
            <w:pPr>
              <w:spacing w:after="0"/>
              <w:rPr>
                <w:sz w:val="11"/>
                <w:szCs w:val="11"/>
                <w:color w:val="auto"/>
              </w:rPr>
            </w:pPr>
          </w:p>
        </w:tc>
        <w:tc>
          <w:tcPr>
            <w:tcW w:w="1000" w:type="dxa"/>
            <w:vAlign w:val="bottom"/>
            <w:tcBorders>
              <w:top w:val="single" w:sz="8" w:color="auto"/>
            </w:tcBorders>
          </w:tcPr>
          <w:p>
            <w:pPr>
              <w:spacing w:after="0"/>
              <w:rPr>
                <w:sz w:val="11"/>
                <w:szCs w:val="11"/>
                <w:color w:val="auto"/>
              </w:rPr>
            </w:pPr>
          </w:p>
        </w:tc>
        <w:tc>
          <w:tcPr>
            <w:tcW w:w="660" w:type="dxa"/>
            <w:vAlign w:val="bottom"/>
            <w:tcBorders>
              <w:top w:val="single" w:sz="8" w:color="auto"/>
            </w:tcBorders>
          </w:tcPr>
          <w:p>
            <w:pPr>
              <w:spacing w:after="0"/>
              <w:rPr>
                <w:sz w:val="11"/>
                <w:szCs w:val="11"/>
                <w:color w:val="auto"/>
              </w:rPr>
            </w:pPr>
          </w:p>
        </w:tc>
        <w:tc>
          <w:tcPr>
            <w:tcW w:w="2420" w:type="dxa"/>
            <w:vAlign w:val="bottom"/>
            <w:tcBorders>
              <w:top w:val="single" w:sz="8" w:color="auto"/>
            </w:tcBorders>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500" w:type="dxa"/>
            <w:vAlign w:val="bottom"/>
            <w:tcBorders>
              <w:top w:val="single" w:sz="8" w:color="auto"/>
            </w:tcBorders>
          </w:tcPr>
          <w:p>
            <w:pPr>
              <w:spacing w:after="0"/>
              <w:rPr>
                <w:sz w:val="11"/>
                <w:szCs w:val="11"/>
                <w:color w:val="auto"/>
              </w:rPr>
            </w:pPr>
          </w:p>
        </w:tc>
        <w:tc>
          <w:tcPr>
            <w:tcW w:w="260" w:type="dxa"/>
            <w:vAlign w:val="bottom"/>
            <w:tcBorders>
              <w:top w:val="single" w:sz="8" w:color="auto"/>
            </w:tcBorders>
          </w:tcPr>
          <w:p>
            <w:pPr>
              <w:spacing w:after="0"/>
              <w:rPr>
                <w:sz w:val="11"/>
                <w:szCs w:val="11"/>
                <w:color w:val="auto"/>
              </w:rPr>
            </w:pPr>
          </w:p>
        </w:tc>
        <w:tc>
          <w:tcPr>
            <w:tcW w:w="520" w:type="dxa"/>
            <w:vAlign w:val="bottom"/>
            <w:tcBorders>
              <w:top w:val="single" w:sz="8" w:color="auto"/>
            </w:tcBorders>
          </w:tcPr>
          <w:p>
            <w:pPr>
              <w:spacing w:after="0"/>
              <w:rPr>
                <w:sz w:val="11"/>
                <w:szCs w:val="11"/>
                <w:color w:val="auto"/>
              </w:rPr>
            </w:pPr>
          </w:p>
        </w:tc>
        <w:tc>
          <w:tcPr>
            <w:tcW w:w="26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840" w:type="dxa"/>
            <w:vAlign w:val="bottom"/>
            <w:tcBorders>
              <w:top w:val="single" w:sz="8" w:color="auto"/>
            </w:tcBorders>
          </w:tcPr>
          <w:p>
            <w:pPr>
              <w:jc w:val="center"/>
              <w:ind w:right="23"/>
              <w:spacing w:after="0" w:line="130" w:lineRule="exact"/>
              <w:rPr>
                <w:sz w:val="20"/>
                <w:szCs w:val="20"/>
                <w:color w:val="auto"/>
              </w:rPr>
            </w:pPr>
            <w:r>
              <w:rPr>
                <w:rFonts w:ascii="Arial" w:cs="Arial" w:eastAsia="Arial" w:hAnsi="Arial"/>
                <w:sz w:val="14"/>
                <w:szCs w:val="14"/>
                <w:b w:val="1"/>
                <w:bCs w:val="1"/>
                <w:color w:val="auto"/>
                <w:w w:val="87"/>
              </w:rPr>
              <w:t>Increase</w:t>
            </w:r>
          </w:p>
        </w:tc>
        <w:tc>
          <w:tcPr>
            <w:tcW w:w="260" w:type="dxa"/>
            <w:vAlign w:val="bottom"/>
            <w:tcBorders>
              <w:top w:val="single" w:sz="8" w:color="auto"/>
            </w:tcBorders>
          </w:tcPr>
          <w:p>
            <w:pPr>
              <w:spacing w:after="0"/>
              <w:rPr>
                <w:sz w:val="11"/>
                <w:szCs w:val="11"/>
                <w:color w:val="auto"/>
              </w:rPr>
            </w:pPr>
          </w:p>
        </w:tc>
        <w:tc>
          <w:tcPr>
            <w:tcW w:w="340" w:type="dxa"/>
            <w:vAlign w:val="bottom"/>
            <w:tcBorders>
              <w:top w:val="single" w:sz="8" w:color="auto"/>
            </w:tcBorders>
          </w:tcPr>
          <w:p>
            <w:pPr>
              <w:spacing w:after="0"/>
              <w:rPr>
                <w:sz w:val="11"/>
                <w:szCs w:val="11"/>
                <w:color w:val="auto"/>
              </w:rPr>
            </w:pPr>
          </w:p>
        </w:tc>
        <w:tc>
          <w:tcPr>
            <w:tcW w:w="420" w:type="dxa"/>
            <w:vAlign w:val="bottom"/>
            <w:tcBorders>
              <w:top w:val="single" w:sz="8" w:color="auto"/>
            </w:tcBorders>
          </w:tcPr>
          <w:p>
            <w:pPr>
              <w:spacing w:after="0"/>
              <w:rPr>
                <w:sz w:val="11"/>
                <w:szCs w:val="11"/>
                <w:color w:val="auto"/>
              </w:rPr>
            </w:pPr>
          </w:p>
        </w:tc>
        <w:tc>
          <w:tcPr>
            <w:tcW w:w="260" w:type="dxa"/>
            <w:vAlign w:val="bottom"/>
            <w:tcBorders>
              <w:top w:val="single" w:sz="8" w:color="auto"/>
            </w:tcBorders>
          </w:tcPr>
          <w:p>
            <w:pPr>
              <w:spacing w:after="0"/>
              <w:rPr>
                <w:sz w:val="11"/>
                <w:szCs w:val="11"/>
                <w:color w:val="auto"/>
              </w:rPr>
            </w:pPr>
          </w:p>
        </w:tc>
        <w:tc>
          <w:tcPr>
            <w:tcW w:w="300" w:type="dxa"/>
            <w:vAlign w:val="bottom"/>
            <w:tcBorders>
              <w:top w:val="single" w:sz="8" w:color="auto"/>
            </w:tcBorders>
          </w:tcPr>
          <w:p>
            <w:pPr>
              <w:spacing w:after="0"/>
              <w:rPr>
                <w:sz w:val="11"/>
                <w:szCs w:val="11"/>
                <w:color w:val="auto"/>
              </w:rPr>
            </w:pPr>
          </w:p>
        </w:tc>
        <w:tc>
          <w:tcPr>
            <w:tcW w:w="380" w:type="dxa"/>
            <w:vAlign w:val="bottom"/>
            <w:tcBorders>
              <w:top w:val="single" w:sz="8" w:color="auto"/>
            </w:tcBorders>
          </w:tcPr>
          <w:p>
            <w:pPr>
              <w:spacing w:after="0"/>
              <w:rPr>
                <w:sz w:val="11"/>
                <w:szCs w:val="11"/>
                <w:color w:val="auto"/>
              </w:rPr>
            </w:pPr>
          </w:p>
        </w:tc>
        <w:tc>
          <w:tcPr>
            <w:tcW w:w="26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62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4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tcPr>
          <w:p>
            <w:pPr>
              <w:jc w:val="center"/>
              <w:ind w:right="23"/>
              <w:spacing w:after="0" w:line="149" w:lineRule="exact"/>
              <w:rPr>
                <w:sz w:val="20"/>
                <w:szCs w:val="20"/>
                <w:color w:val="auto"/>
              </w:rPr>
            </w:pPr>
            <w:r>
              <w:rPr>
                <w:rFonts w:ascii="Arial" w:cs="Arial" w:eastAsia="Arial" w:hAnsi="Arial"/>
                <w:sz w:val="14"/>
                <w:szCs w:val="14"/>
                <w:b w:val="1"/>
                <w:bCs w:val="1"/>
                <w:color w:val="auto"/>
                <w:w w:val="86"/>
              </w:rPr>
              <w:t>(Decrease)</w:t>
            </w:r>
          </w:p>
        </w:tc>
        <w:tc>
          <w:tcPr>
            <w:tcW w:w="2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4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4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6"/>
              </w:rPr>
              <w:t>Since the Most</w:t>
            </w:r>
          </w:p>
        </w:tc>
        <w:tc>
          <w:tcPr>
            <w:tcW w:w="2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4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tcPr>
          <w:p>
            <w:pPr>
              <w:jc w:val="center"/>
              <w:ind w:right="43"/>
              <w:spacing w:after="0" w:line="149" w:lineRule="exact"/>
              <w:rPr>
                <w:sz w:val="20"/>
                <w:szCs w:val="20"/>
                <w:color w:val="auto"/>
              </w:rPr>
            </w:pPr>
            <w:r>
              <w:rPr>
                <w:rFonts w:ascii="Arial" w:cs="Arial" w:eastAsia="Arial" w:hAnsi="Arial"/>
                <w:sz w:val="14"/>
                <w:szCs w:val="14"/>
                <w:b w:val="1"/>
                <w:bCs w:val="1"/>
                <w:color w:val="auto"/>
                <w:w w:val="85"/>
              </w:rPr>
              <w:t>Recent</w:t>
            </w:r>
          </w:p>
        </w:tc>
        <w:tc>
          <w:tcPr>
            <w:tcW w:w="2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4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540" w:type="dxa"/>
            <w:vAlign w:val="bottom"/>
            <w:gridSpan w:val="4"/>
          </w:tcPr>
          <w:p>
            <w:pPr>
              <w:jc w:val="center"/>
              <w:ind w:right="260"/>
              <w:spacing w:after="0" w:line="149" w:lineRule="exact"/>
              <w:rPr>
                <w:sz w:val="20"/>
                <w:szCs w:val="20"/>
                <w:color w:val="auto"/>
              </w:rPr>
            </w:pPr>
            <w:r>
              <w:rPr>
                <w:rFonts w:ascii="Arial" w:cs="Arial" w:eastAsia="Arial" w:hAnsi="Arial"/>
                <w:sz w:val="14"/>
                <w:szCs w:val="14"/>
                <w:b w:val="1"/>
                <w:bCs w:val="1"/>
                <w:color w:val="auto"/>
                <w:w w:val="88"/>
              </w:rPr>
              <w:t>Change in</w:t>
            </w:r>
          </w:p>
        </w:tc>
        <w:tc>
          <w:tcPr>
            <w:tcW w:w="94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6"/>
              </w:rPr>
              <w:t>Remeasurement</w:t>
            </w:r>
          </w:p>
        </w:tc>
        <w:tc>
          <w:tcPr>
            <w:tcW w:w="2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4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540" w:type="dxa"/>
            <w:vAlign w:val="bottom"/>
            <w:gridSpan w:val="4"/>
          </w:tcPr>
          <w:p>
            <w:pPr>
              <w:jc w:val="center"/>
              <w:ind w:right="260"/>
              <w:spacing w:after="0"/>
              <w:rPr>
                <w:sz w:val="20"/>
                <w:szCs w:val="20"/>
                <w:color w:val="auto"/>
              </w:rPr>
            </w:pPr>
            <w:r>
              <w:rPr>
                <w:rFonts w:ascii="Arial" w:cs="Arial" w:eastAsia="Arial" w:hAnsi="Arial"/>
                <w:sz w:val="14"/>
                <w:szCs w:val="14"/>
                <w:b w:val="1"/>
                <w:bCs w:val="1"/>
                <w:color w:val="auto"/>
                <w:w w:val="84"/>
              </w:rPr>
              <w:t>Discount Rate</w:t>
            </w:r>
          </w:p>
        </w:tc>
        <w:tc>
          <w:tcPr>
            <w:tcW w:w="100" w:type="dxa"/>
            <w:vAlign w:val="bottom"/>
          </w:tcPr>
          <w:p>
            <w:pPr>
              <w:spacing w:after="0"/>
              <w:rPr>
                <w:sz w:val="14"/>
                <w:szCs w:val="14"/>
                <w:color w:val="auto"/>
              </w:rPr>
            </w:pPr>
          </w:p>
        </w:tc>
        <w:tc>
          <w:tcPr>
            <w:tcW w:w="840" w:type="dxa"/>
            <w:vAlign w:val="bottom"/>
          </w:tcPr>
          <w:p>
            <w:pPr>
              <w:jc w:val="center"/>
              <w:ind w:right="23"/>
              <w:spacing w:after="0"/>
              <w:rPr>
                <w:sz w:val="20"/>
                <w:szCs w:val="20"/>
                <w:color w:val="auto"/>
              </w:rPr>
            </w:pPr>
            <w:r>
              <w:rPr>
                <w:rFonts w:ascii="Arial" w:cs="Arial" w:eastAsia="Arial" w:hAnsi="Arial"/>
                <w:sz w:val="14"/>
                <w:szCs w:val="14"/>
                <w:b w:val="1"/>
                <w:bCs w:val="1"/>
                <w:color w:val="auto"/>
                <w:w w:val="89"/>
              </w:rPr>
              <w:t>Date (c)</w:t>
            </w:r>
          </w:p>
        </w:tc>
        <w:tc>
          <w:tcPr>
            <w:tcW w:w="2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200" w:type="dxa"/>
            <w:vAlign w:val="bottom"/>
            <w:gridSpan w:val="4"/>
          </w:tcPr>
          <w:p>
            <w:pPr>
              <w:ind w:left="240"/>
              <w:spacing w:after="0"/>
              <w:rPr>
                <w:sz w:val="20"/>
                <w:szCs w:val="20"/>
                <w:color w:val="auto"/>
              </w:rPr>
            </w:pPr>
            <w:r>
              <w:rPr>
                <w:rFonts w:ascii="Arial" w:cs="Arial" w:eastAsia="Arial" w:hAnsi="Arial"/>
                <w:sz w:val="14"/>
                <w:szCs w:val="14"/>
                <w:b w:val="1"/>
                <w:bCs w:val="1"/>
                <w:color w:val="auto"/>
              </w:rPr>
              <w:t>Gain (Loss)</w:t>
            </w: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4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00" w:type="dxa"/>
            <w:vAlign w:val="bottom"/>
            <w:tcBorders>
              <w:top w:val="single" w:sz="8" w:color="auto"/>
            </w:tcBorders>
          </w:tcPr>
          <w:p>
            <w:pPr>
              <w:spacing w:after="0"/>
              <w:rPr>
                <w:sz w:val="11"/>
                <w:szCs w:val="11"/>
                <w:color w:val="auto"/>
              </w:rPr>
            </w:pPr>
          </w:p>
        </w:tc>
        <w:tc>
          <w:tcPr>
            <w:tcW w:w="260" w:type="dxa"/>
            <w:vAlign w:val="bottom"/>
            <w:tcBorders>
              <w:top w:val="single" w:sz="8" w:color="auto"/>
            </w:tcBorders>
          </w:tcPr>
          <w:p>
            <w:pPr>
              <w:spacing w:after="0"/>
              <w:rPr>
                <w:sz w:val="11"/>
                <w:szCs w:val="11"/>
                <w:color w:val="auto"/>
              </w:rPr>
            </w:pPr>
          </w:p>
        </w:tc>
        <w:tc>
          <w:tcPr>
            <w:tcW w:w="520" w:type="dxa"/>
            <w:vAlign w:val="bottom"/>
            <w:tcBorders>
              <w:top w:val="single" w:sz="8" w:color="auto"/>
            </w:tcBorders>
          </w:tcPr>
          <w:p>
            <w:pPr>
              <w:spacing w:after="0"/>
              <w:rPr>
                <w:sz w:val="11"/>
                <w:szCs w:val="11"/>
                <w:color w:val="auto"/>
              </w:rPr>
            </w:pPr>
          </w:p>
        </w:tc>
        <w:tc>
          <w:tcPr>
            <w:tcW w:w="26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840" w:type="dxa"/>
            <w:vAlign w:val="bottom"/>
            <w:tcBorders>
              <w:top w:val="single" w:sz="8" w:color="auto"/>
            </w:tcBorders>
          </w:tcPr>
          <w:p>
            <w:pPr>
              <w:spacing w:after="0"/>
              <w:rPr>
                <w:sz w:val="11"/>
                <w:szCs w:val="11"/>
                <w:color w:val="auto"/>
              </w:rPr>
            </w:pPr>
          </w:p>
        </w:tc>
        <w:tc>
          <w:tcPr>
            <w:tcW w:w="260" w:type="dxa"/>
            <w:vAlign w:val="bottom"/>
          </w:tcPr>
          <w:p>
            <w:pPr>
              <w:spacing w:after="0"/>
              <w:rPr>
                <w:sz w:val="11"/>
                <w:szCs w:val="11"/>
                <w:color w:val="auto"/>
              </w:rPr>
            </w:pPr>
          </w:p>
        </w:tc>
        <w:tc>
          <w:tcPr>
            <w:tcW w:w="340" w:type="dxa"/>
            <w:vAlign w:val="bottom"/>
            <w:tcBorders>
              <w:top w:val="single" w:sz="8" w:color="auto"/>
            </w:tcBorders>
          </w:tcPr>
          <w:p>
            <w:pPr>
              <w:spacing w:after="0"/>
              <w:rPr>
                <w:sz w:val="11"/>
                <w:szCs w:val="11"/>
                <w:color w:val="auto"/>
              </w:rPr>
            </w:pPr>
          </w:p>
        </w:tc>
        <w:tc>
          <w:tcPr>
            <w:tcW w:w="420" w:type="dxa"/>
            <w:vAlign w:val="bottom"/>
            <w:tcBorders>
              <w:top w:val="single" w:sz="8" w:color="auto"/>
            </w:tcBorders>
          </w:tcPr>
          <w:p>
            <w:pPr>
              <w:spacing w:after="0"/>
              <w:rPr>
                <w:sz w:val="11"/>
                <w:szCs w:val="11"/>
                <w:color w:val="auto"/>
              </w:rPr>
            </w:pPr>
          </w:p>
        </w:tc>
        <w:tc>
          <w:tcPr>
            <w:tcW w:w="260" w:type="dxa"/>
            <w:vAlign w:val="bottom"/>
            <w:tcBorders>
              <w:top w:val="single" w:sz="8" w:color="auto"/>
            </w:tcBorders>
          </w:tcPr>
          <w:p>
            <w:pPr>
              <w:spacing w:after="0"/>
              <w:rPr>
                <w:sz w:val="11"/>
                <w:szCs w:val="11"/>
                <w:color w:val="auto"/>
              </w:rPr>
            </w:pPr>
          </w:p>
        </w:tc>
        <w:tc>
          <w:tcPr>
            <w:tcW w:w="300" w:type="dxa"/>
            <w:vAlign w:val="bottom"/>
            <w:tcBorders>
              <w:top w:val="single" w:sz="8" w:color="auto"/>
            </w:tcBorders>
          </w:tcPr>
          <w:p>
            <w:pPr>
              <w:spacing w:after="0"/>
              <w:rPr>
                <w:sz w:val="11"/>
                <w:szCs w:val="11"/>
                <w:color w:val="auto"/>
              </w:rPr>
            </w:pPr>
          </w:p>
        </w:tc>
        <w:tc>
          <w:tcPr>
            <w:tcW w:w="380" w:type="dxa"/>
            <w:vAlign w:val="bottom"/>
            <w:tcBorders>
              <w:top w:val="single" w:sz="8" w:color="auto"/>
            </w:tcBorders>
          </w:tcPr>
          <w:p>
            <w:pPr>
              <w:spacing w:after="0"/>
              <w:rPr>
                <w:sz w:val="11"/>
                <w:szCs w:val="11"/>
                <w:color w:val="auto"/>
              </w:rPr>
            </w:pPr>
          </w:p>
        </w:tc>
        <w:tc>
          <w:tcPr>
            <w:tcW w:w="260" w:type="dxa"/>
            <w:vAlign w:val="bottom"/>
            <w:tcBorders>
              <w:top w:val="single" w:sz="8" w:color="auto"/>
            </w:tcBorders>
          </w:tcPr>
          <w:p>
            <w:pPr>
              <w:spacing w:after="0"/>
              <w:rPr>
                <w:sz w:val="11"/>
                <w:szCs w:val="11"/>
                <w:color w:val="auto"/>
              </w:rPr>
            </w:pPr>
          </w:p>
        </w:tc>
        <w:tc>
          <w:tcPr>
            <w:tcW w:w="720" w:type="dxa"/>
            <w:vAlign w:val="bottom"/>
            <w:tcBorders>
              <w:top w:val="single" w:sz="8" w:color="auto"/>
            </w:tcBorders>
            <w:gridSpan w:val="2"/>
          </w:tcPr>
          <w:p>
            <w:pPr>
              <w:jc w:val="center"/>
              <w:spacing w:after="0" w:line="129" w:lineRule="exact"/>
              <w:rPr>
                <w:sz w:val="20"/>
                <w:szCs w:val="20"/>
                <w:color w:val="auto"/>
              </w:rPr>
            </w:pPr>
            <w:r>
              <w:rPr>
                <w:rFonts w:ascii="Arial" w:cs="Arial" w:eastAsia="Arial" w:hAnsi="Arial"/>
                <w:sz w:val="14"/>
                <w:szCs w:val="14"/>
                <w:b w:val="1"/>
                <w:bCs w:val="1"/>
                <w:color w:val="auto"/>
                <w:w w:val="89"/>
              </w:rPr>
              <w:t>Termination</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660" w:type="dxa"/>
            <w:vAlign w:val="bottom"/>
            <w:gridSpan w:val="4"/>
            <w:vMerge w:val="restart"/>
          </w:tcPr>
          <w:p>
            <w:pPr>
              <w:spacing w:after="0"/>
              <w:rPr>
                <w:sz w:val="20"/>
                <w:szCs w:val="20"/>
                <w:color w:val="auto"/>
              </w:rPr>
            </w:pPr>
            <w:r>
              <w:rPr>
                <w:rFonts w:ascii="Arial" w:cs="Arial" w:eastAsia="Arial" w:hAnsi="Arial"/>
                <w:sz w:val="14"/>
                <w:szCs w:val="14"/>
                <w:b w:val="1"/>
                <w:bCs w:val="1"/>
                <w:color w:val="auto"/>
              </w:rPr>
              <w:t>Event and Remeasurement</w:t>
            </w:r>
          </w:p>
        </w:tc>
        <w:tc>
          <w:tcPr>
            <w:tcW w:w="660" w:type="dxa"/>
            <w:vAlign w:val="bottom"/>
          </w:tcPr>
          <w:p>
            <w:pPr>
              <w:spacing w:after="0"/>
              <w:rPr>
                <w:sz w:val="12"/>
                <w:szCs w:val="12"/>
                <w:color w:val="auto"/>
              </w:rPr>
            </w:pPr>
          </w:p>
        </w:tc>
        <w:tc>
          <w:tcPr>
            <w:tcW w:w="24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83"/>
              </w:rPr>
              <w:t>Benefits</w:t>
            </w:r>
          </w:p>
        </w:tc>
        <w:tc>
          <w:tcPr>
            <w:tcW w:w="0" w:type="dxa"/>
            <w:vAlign w:val="bottom"/>
          </w:tcPr>
          <w:p>
            <w:pPr>
              <w:spacing w:after="0"/>
              <w:rPr>
                <w:sz w:val="1"/>
                <w:szCs w:val="1"/>
                <w:color w:val="auto"/>
              </w:rPr>
            </w:pPr>
          </w:p>
        </w:tc>
      </w:tr>
      <w:tr>
        <w:trPr>
          <w:trHeight w:val="135"/>
        </w:trPr>
        <w:tc>
          <w:tcPr>
            <w:tcW w:w="2660" w:type="dxa"/>
            <w:vAlign w:val="bottom"/>
            <w:gridSpan w:val="4"/>
            <w:vMerge w:val="continue"/>
          </w:tcPr>
          <w:p>
            <w:pPr>
              <w:spacing w:after="0"/>
              <w:rPr>
                <w:sz w:val="11"/>
                <w:szCs w:val="11"/>
                <w:color w:val="auto"/>
              </w:rPr>
            </w:pPr>
          </w:p>
        </w:tc>
        <w:tc>
          <w:tcPr>
            <w:tcW w:w="660" w:type="dxa"/>
            <w:vAlign w:val="bottom"/>
          </w:tcPr>
          <w:p>
            <w:pPr>
              <w:spacing w:after="0"/>
              <w:rPr>
                <w:sz w:val="11"/>
                <w:szCs w:val="11"/>
                <w:color w:val="auto"/>
              </w:rPr>
            </w:pPr>
          </w:p>
        </w:tc>
        <w:tc>
          <w:tcPr>
            <w:tcW w:w="24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gridSpan w:val="2"/>
          </w:tcPr>
          <w:p>
            <w:pPr>
              <w:jc w:val="center"/>
              <w:ind w:right="220"/>
              <w:spacing w:after="0" w:line="135" w:lineRule="exact"/>
              <w:rPr>
                <w:sz w:val="20"/>
                <w:szCs w:val="20"/>
                <w:color w:val="auto"/>
              </w:rPr>
            </w:pPr>
            <w:r>
              <w:rPr>
                <w:rFonts w:ascii="Arial" w:cs="Arial" w:eastAsia="Arial" w:hAnsi="Arial"/>
                <w:sz w:val="14"/>
                <w:szCs w:val="14"/>
                <w:b w:val="1"/>
                <w:bCs w:val="1"/>
                <w:color w:val="auto"/>
                <w:w w:val="88"/>
              </w:rPr>
              <w:t>and</w:t>
            </w:r>
          </w:p>
        </w:tc>
        <w:tc>
          <w:tcPr>
            <w:tcW w:w="0" w:type="dxa"/>
            <w:vAlign w:val="bottom"/>
          </w:tcPr>
          <w:p>
            <w:pPr>
              <w:spacing w:after="0"/>
              <w:rPr>
                <w:sz w:val="1"/>
                <w:szCs w:val="1"/>
                <w:color w:val="auto"/>
              </w:rPr>
            </w:pPr>
          </w:p>
        </w:tc>
      </w:tr>
      <w:tr>
        <w:trPr>
          <w:trHeight w:val="161"/>
        </w:trPr>
        <w:tc>
          <w:tcPr>
            <w:tcW w:w="2660" w:type="dxa"/>
            <w:vAlign w:val="bottom"/>
            <w:gridSpan w:val="4"/>
          </w:tcPr>
          <w:p>
            <w:pPr>
              <w:spacing w:after="0"/>
              <w:rPr>
                <w:sz w:val="20"/>
                <w:szCs w:val="20"/>
                <w:color w:val="auto"/>
              </w:rPr>
            </w:pPr>
            <w:r>
              <w:rPr>
                <w:rFonts w:ascii="Arial" w:cs="Arial" w:eastAsia="Arial" w:hAnsi="Arial"/>
                <w:sz w:val="14"/>
                <w:szCs w:val="14"/>
                <w:b w:val="1"/>
                <w:bCs w:val="1"/>
                <w:color w:val="auto"/>
              </w:rPr>
              <w:t>Date When Applicable</w:t>
            </w:r>
          </w:p>
        </w:tc>
        <w:tc>
          <w:tcPr>
            <w:tcW w:w="660" w:type="dxa"/>
            <w:vAlign w:val="bottom"/>
          </w:tcPr>
          <w:p>
            <w:pPr>
              <w:spacing w:after="0"/>
              <w:rPr>
                <w:sz w:val="14"/>
                <w:szCs w:val="14"/>
                <w:color w:val="auto"/>
              </w:rPr>
            </w:pPr>
          </w:p>
        </w:tc>
        <w:tc>
          <w:tcPr>
            <w:tcW w:w="2420" w:type="dxa"/>
            <w:vAlign w:val="bottom"/>
          </w:tcPr>
          <w:p>
            <w:pPr>
              <w:ind w:left="780"/>
              <w:spacing w:after="0"/>
              <w:rPr>
                <w:sz w:val="20"/>
                <w:szCs w:val="20"/>
                <w:color w:val="auto"/>
              </w:rPr>
            </w:pPr>
            <w:r>
              <w:rPr>
                <w:rFonts w:ascii="Arial" w:cs="Arial" w:eastAsia="Arial" w:hAnsi="Arial"/>
                <w:sz w:val="14"/>
                <w:szCs w:val="14"/>
                <w:b w:val="1"/>
                <w:bCs w:val="1"/>
                <w:color w:val="auto"/>
              </w:rPr>
              <w:t>Affected Plans</w:t>
            </w:r>
          </w:p>
        </w:tc>
        <w:tc>
          <w:tcPr>
            <w:tcW w:w="160" w:type="dxa"/>
            <w:vAlign w:val="bottom"/>
          </w:tcPr>
          <w:p>
            <w:pPr>
              <w:spacing w:after="0"/>
              <w:rPr>
                <w:sz w:val="14"/>
                <w:szCs w:val="14"/>
                <w:color w:val="auto"/>
              </w:rPr>
            </w:pPr>
          </w:p>
        </w:tc>
        <w:tc>
          <w:tcPr>
            <w:tcW w:w="760" w:type="dxa"/>
            <w:vAlign w:val="bottom"/>
            <w:gridSpan w:val="2"/>
          </w:tcPr>
          <w:p>
            <w:pPr>
              <w:jc w:val="right"/>
              <w:ind w:right="340"/>
              <w:spacing w:after="0"/>
              <w:rPr>
                <w:sz w:val="20"/>
                <w:szCs w:val="20"/>
                <w:color w:val="auto"/>
              </w:rPr>
            </w:pPr>
            <w:r>
              <w:rPr>
                <w:rFonts w:ascii="Arial" w:cs="Arial" w:eastAsia="Arial" w:hAnsi="Arial"/>
                <w:sz w:val="14"/>
                <w:szCs w:val="14"/>
                <w:b w:val="1"/>
                <w:bCs w:val="1"/>
                <w:color w:val="auto"/>
              </w:rPr>
              <w:t>From</w:t>
            </w:r>
          </w:p>
        </w:tc>
        <w:tc>
          <w:tcPr>
            <w:tcW w:w="780" w:type="dxa"/>
            <w:vAlign w:val="bottom"/>
            <w:gridSpan w:val="2"/>
          </w:tcPr>
          <w:p>
            <w:pPr>
              <w:ind w:left="200"/>
              <w:spacing w:after="0"/>
              <w:rPr>
                <w:sz w:val="20"/>
                <w:szCs w:val="20"/>
                <w:color w:val="auto"/>
              </w:rPr>
            </w:pPr>
            <w:r>
              <w:rPr>
                <w:rFonts w:ascii="Arial" w:cs="Arial" w:eastAsia="Arial" w:hAnsi="Arial"/>
                <w:sz w:val="14"/>
                <w:szCs w:val="14"/>
                <w:b w:val="1"/>
                <w:bCs w:val="1"/>
                <w:color w:val="auto"/>
              </w:rPr>
              <w:t>To</w:t>
            </w:r>
          </w:p>
        </w:tc>
        <w:tc>
          <w:tcPr>
            <w:tcW w:w="100" w:type="dxa"/>
            <w:vAlign w:val="bottom"/>
          </w:tcPr>
          <w:p>
            <w:pPr>
              <w:spacing w:after="0"/>
              <w:rPr>
                <w:sz w:val="14"/>
                <w:szCs w:val="14"/>
                <w:color w:val="auto"/>
              </w:rPr>
            </w:pPr>
          </w:p>
        </w:tc>
        <w:tc>
          <w:tcPr>
            <w:tcW w:w="840" w:type="dxa"/>
            <w:vAlign w:val="bottom"/>
          </w:tcPr>
          <w:p>
            <w:pPr>
              <w:jc w:val="center"/>
              <w:ind w:right="23"/>
              <w:spacing w:after="0"/>
              <w:rPr>
                <w:sz w:val="20"/>
                <w:szCs w:val="20"/>
                <w:color w:val="auto"/>
              </w:rPr>
            </w:pPr>
            <w:r>
              <w:rPr>
                <w:rFonts w:ascii="Arial" w:cs="Arial" w:eastAsia="Arial" w:hAnsi="Arial"/>
                <w:sz w:val="14"/>
                <w:szCs w:val="14"/>
                <w:b w:val="1"/>
                <w:bCs w:val="1"/>
                <w:color w:val="auto"/>
                <w:w w:val="93"/>
              </w:rPr>
              <w:t>PBO/APBO</w:t>
            </w:r>
          </w:p>
        </w:tc>
        <w:tc>
          <w:tcPr>
            <w:tcW w:w="260" w:type="dxa"/>
            <w:vAlign w:val="bottom"/>
          </w:tcPr>
          <w:p>
            <w:pPr>
              <w:spacing w:after="0"/>
              <w:rPr>
                <w:sz w:val="14"/>
                <w:szCs w:val="14"/>
                <w:color w:val="auto"/>
              </w:rPr>
            </w:pPr>
          </w:p>
        </w:tc>
        <w:tc>
          <w:tcPr>
            <w:tcW w:w="760" w:type="dxa"/>
            <w:vAlign w:val="bottom"/>
            <w:gridSpan w:val="2"/>
          </w:tcPr>
          <w:p>
            <w:pPr>
              <w:jc w:val="right"/>
              <w:spacing w:after="0"/>
              <w:rPr>
                <w:sz w:val="20"/>
                <w:szCs w:val="20"/>
                <w:color w:val="auto"/>
              </w:rPr>
            </w:pPr>
            <w:r>
              <w:rPr>
                <w:rFonts w:ascii="Arial" w:cs="Arial" w:eastAsia="Arial" w:hAnsi="Arial"/>
                <w:sz w:val="14"/>
                <w:szCs w:val="14"/>
                <w:b w:val="1"/>
                <w:bCs w:val="1"/>
                <w:color w:val="auto"/>
                <w:w w:val="86"/>
              </w:rPr>
              <w:t>Curtailments</w:t>
            </w:r>
          </w:p>
        </w:tc>
        <w:tc>
          <w:tcPr>
            <w:tcW w:w="260" w:type="dxa"/>
            <w:vAlign w:val="bottom"/>
          </w:tcPr>
          <w:p>
            <w:pPr>
              <w:spacing w:after="0"/>
              <w:rPr>
                <w:sz w:val="14"/>
                <w:szCs w:val="14"/>
                <w:color w:val="auto"/>
              </w:rPr>
            </w:pPr>
          </w:p>
        </w:tc>
        <w:tc>
          <w:tcPr>
            <w:tcW w:w="940" w:type="dxa"/>
            <w:vAlign w:val="bottom"/>
            <w:gridSpan w:val="3"/>
          </w:tcPr>
          <w:p>
            <w:pPr>
              <w:jc w:val="right"/>
              <w:ind w:right="260"/>
              <w:spacing w:after="0"/>
              <w:rPr>
                <w:sz w:val="20"/>
                <w:szCs w:val="20"/>
                <w:color w:val="auto"/>
              </w:rPr>
            </w:pPr>
            <w:r>
              <w:rPr>
                <w:rFonts w:ascii="Arial" w:cs="Arial" w:eastAsia="Arial" w:hAnsi="Arial"/>
                <w:sz w:val="14"/>
                <w:szCs w:val="14"/>
                <w:b w:val="1"/>
                <w:bCs w:val="1"/>
                <w:color w:val="auto"/>
                <w:w w:val="83"/>
              </w:rPr>
              <w:t>Settlements</w:t>
            </w:r>
          </w:p>
        </w:tc>
        <w:tc>
          <w:tcPr>
            <w:tcW w:w="100" w:type="dxa"/>
            <w:vAlign w:val="bottom"/>
          </w:tcPr>
          <w:p>
            <w:pPr>
              <w:spacing w:after="0"/>
              <w:rPr>
                <w:sz w:val="14"/>
                <w:szCs w:val="14"/>
                <w:color w:val="auto"/>
              </w:rPr>
            </w:pPr>
          </w:p>
        </w:tc>
        <w:tc>
          <w:tcPr>
            <w:tcW w:w="72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0"/>
              </w:rPr>
              <w:t>Other</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000" w:type="dxa"/>
            <w:vAlign w:val="bottom"/>
          </w:tcPr>
          <w:p>
            <w:pPr>
              <w:spacing w:after="0"/>
              <w:rPr>
                <w:sz w:val="2"/>
                <w:szCs w:val="2"/>
                <w:color w:val="auto"/>
              </w:rPr>
            </w:pPr>
          </w:p>
        </w:tc>
        <w:tc>
          <w:tcPr>
            <w:tcW w:w="660" w:type="dxa"/>
            <w:vAlign w:val="bottom"/>
          </w:tcPr>
          <w:p>
            <w:pPr>
              <w:spacing w:after="0"/>
              <w:rPr>
                <w:sz w:val="2"/>
                <w:szCs w:val="2"/>
                <w:color w:val="auto"/>
              </w:rPr>
            </w:pPr>
          </w:p>
        </w:tc>
        <w:tc>
          <w:tcPr>
            <w:tcW w:w="242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8"/>
        </w:trPr>
        <w:tc>
          <w:tcPr>
            <w:tcW w:w="20" w:type="dxa"/>
            <w:vAlign w:val="bottom"/>
            <w:vMerge w:val="continue"/>
          </w:tcPr>
          <w:p>
            <w:pPr>
              <w:spacing w:after="0"/>
              <w:rPr>
                <w:sz w:val="18"/>
                <w:szCs w:val="18"/>
                <w:color w:val="auto"/>
              </w:rPr>
            </w:pPr>
          </w:p>
        </w:tc>
        <w:tc>
          <w:tcPr>
            <w:tcW w:w="164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5"/>
              </w:rPr>
              <w:t>2009 Special Attrition</w:t>
            </w:r>
          </w:p>
        </w:tc>
        <w:tc>
          <w:tcPr>
            <w:tcW w:w="1000" w:type="dxa"/>
            <w:vAlign w:val="bottom"/>
            <w:shd w:val="clear" w:color="auto" w:fill="CCEEFF"/>
          </w:tcPr>
          <w:p>
            <w:pPr>
              <w:spacing w:after="0"/>
              <w:rPr>
                <w:sz w:val="18"/>
                <w:szCs w:val="18"/>
                <w:color w:val="auto"/>
              </w:rPr>
            </w:pPr>
          </w:p>
        </w:tc>
        <w:tc>
          <w:tcPr>
            <w:tcW w:w="3080" w:type="dxa"/>
            <w:vAlign w:val="bottom"/>
            <w:gridSpan w:val="2"/>
            <w:shd w:val="clear" w:color="auto" w:fill="CCEEFF"/>
          </w:tcPr>
          <w:p>
            <w:pPr>
              <w:ind w:left="660"/>
              <w:spacing w:after="0"/>
              <w:rPr>
                <w:sz w:val="20"/>
                <w:szCs w:val="20"/>
                <w:color w:val="auto"/>
              </w:rPr>
            </w:pPr>
            <w:r>
              <w:rPr>
                <w:rFonts w:ascii="Arial" w:cs="Arial" w:eastAsia="Arial" w:hAnsi="Arial"/>
                <w:sz w:val="18"/>
                <w:szCs w:val="18"/>
                <w:color w:val="auto"/>
              </w:rPr>
              <w:t>U.S. hourly defined benefit</w:t>
            </w:r>
          </w:p>
        </w:tc>
        <w:tc>
          <w:tcPr>
            <w:tcW w:w="1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26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Programs (a)</w:t>
            </w:r>
          </w:p>
        </w:tc>
        <w:tc>
          <w:tcPr>
            <w:tcW w:w="3080" w:type="dxa"/>
            <w:vAlign w:val="bottom"/>
            <w:gridSpan w:val="2"/>
            <w:shd w:val="clear" w:color="auto" w:fill="CCEEFF"/>
          </w:tcPr>
          <w:p>
            <w:pPr>
              <w:ind w:left="660"/>
              <w:spacing w:after="0"/>
              <w:rPr>
                <w:sz w:val="20"/>
                <w:szCs w:val="20"/>
                <w:color w:val="auto"/>
              </w:rPr>
            </w:pPr>
            <w:r>
              <w:rPr>
                <w:rFonts w:ascii="Arial" w:cs="Arial" w:eastAsia="Arial" w:hAnsi="Arial"/>
                <w:sz w:val="18"/>
                <w:szCs w:val="18"/>
                <w:color w:val="auto"/>
              </w:rPr>
              <w:t>pension plan</w:t>
            </w:r>
          </w:p>
        </w:tc>
        <w:tc>
          <w:tcPr>
            <w:tcW w:w="160" w:type="dxa"/>
            <w:vAlign w:val="bottom"/>
            <w:shd w:val="clear" w:color="auto" w:fill="CCEEFF"/>
          </w:tcPr>
          <w:p>
            <w:pPr>
              <w:spacing w:after="0"/>
              <w:rPr>
                <w:sz w:val="20"/>
                <w:szCs w:val="20"/>
                <w:color w:val="auto"/>
              </w:rPr>
            </w:pPr>
          </w:p>
        </w:tc>
        <w:tc>
          <w:tcPr>
            <w:tcW w:w="7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w:t>
            </w:r>
          </w:p>
        </w:tc>
        <w:tc>
          <w:tcPr>
            <w:tcW w:w="600" w:type="dxa"/>
            <w:vAlign w:val="bottom"/>
            <w:gridSpan w:val="2"/>
            <w:shd w:val="clear" w:color="auto" w:fill="CCEEFF"/>
          </w:tcPr>
          <w:p>
            <w:pPr>
              <w:jc w:val="right"/>
              <w:ind w:right="192"/>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60" w:type="dxa"/>
            <w:vAlign w:val="bottom"/>
            <w:gridSpan w:val="2"/>
            <w:shd w:val="clear" w:color="auto" w:fill="CCEEFF"/>
          </w:tcPr>
          <w:p>
            <w:pPr>
              <w:jc w:val="right"/>
              <w:ind w:right="132"/>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(58)</w:t>
            </w:r>
          </w:p>
        </w:tc>
        <w:tc>
          <w:tcPr>
            <w:tcW w:w="0" w:type="dxa"/>
            <w:vAlign w:val="bottom"/>
          </w:tcPr>
          <w:p>
            <w:pPr>
              <w:spacing w:after="0"/>
              <w:rPr>
                <w:sz w:val="1"/>
                <w:szCs w:val="1"/>
                <w:color w:val="auto"/>
              </w:rPr>
            </w:pPr>
          </w:p>
        </w:tc>
      </w:tr>
      <w:tr>
        <w:trPr>
          <w:trHeight w:val="275"/>
        </w:trPr>
        <w:tc>
          <w:tcPr>
            <w:tcW w:w="2660" w:type="dxa"/>
            <w:vAlign w:val="bottom"/>
            <w:gridSpan w:val="4"/>
          </w:tcPr>
          <w:p>
            <w:pPr>
              <w:spacing w:after="0"/>
              <w:rPr>
                <w:sz w:val="20"/>
                <w:szCs w:val="20"/>
                <w:color w:val="auto"/>
              </w:rPr>
            </w:pPr>
            <w:r>
              <w:rPr>
                <w:rFonts w:ascii="Arial" w:cs="Arial" w:eastAsia="Arial" w:hAnsi="Arial"/>
                <w:sz w:val="18"/>
                <w:szCs w:val="18"/>
                <w:color w:val="auto"/>
              </w:rPr>
              <w:t>Global salaried workforce</w:t>
            </w:r>
          </w:p>
        </w:tc>
        <w:tc>
          <w:tcPr>
            <w:tcW w:w="3080" w:type="dxa"/>
            <w:vAlign w:val="bottom"/>
            <w:gridSpan w:val="2"/>
          </w:tcPr>
          <w:p>
            <w:pPr>
              <w:ind w:left="660"/>
              <w:spacing w:after="0"/>
              <w:rPr>
                <w:sz w:val="20"/>
                <w:szCs w:val="20"/>
                <w:color w:val="auto"/>
              </w:rPr>
            </w:pPr>
            <w:r>
              <w:rPr>
                <w:rFonts w:ascii="Arial" w:cs="Arial" w:eastAsia="Arial" w:hAnsi="Arial"/>
                <w:sz w:val="18"/>
                <w:szCs w:val="18"/>
                <w:color w:val="auto"/>
              </w:rPr>
              <w:t>U.S. salaried defined benefit</w:t>
            </w:r>
          </w:p>
        </w:tc>
        <w:tc>
          <w:tcPr>
            <w:tcW w:w="16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6"/>
        </w:trPr>
        <w:tc>
          <w:tcPr>
            <w:tcW w:w="2660" w:type="dxa"/>
            <w:vAlign w:val="bottom"/>
            <w:gridSpan w:val="4"/>
          </w:tcPr>
          <w:p>
            <w:pPr>
              <w:spacing w:after="0"/>
              <w:rPr>
                <w:sz w:val="20"/>
                <w:szCs w:val="20"/>
                <w:color w:val="auto"/>
              </w:rPr>
            </w:pPr>
            <w:r>
              <w:rPr>
                <w:rFonts w:ascii="Arial" w:cs="Arial" w:eastAsia="Arial" w:hAnsi="Arial"/>
                <w:sz w:val="18"/>
                <w:szCs w:val="18"/>
                <w:color w:val="auto"/>
              </w:rPr>
              <w:t>reductions (a)</w:t>
            </w:r>
          </w:p>
        </w:tc>
        <w:tc>
          <w:tcPr>
            <w:tcW w:w="3080" w:type="dxa"/>
            <w:vAlign w:val="bottom"/>
            <w:gridSpan w:val="2"/>
          </w:tcPr>
          <w:p>
            <w:pPr>
              <w:ind w:left="660"/>
              <w:spacing w:after="0"/>
              <w:rPr>
                <w:sz w:val="20"/>
                <w:szCs w:val="20"/>
                <w:color w:val="auto"/>
              </w:rPr>
            </w:pPr>
            <w:r>
              <w:rPr>
                <w:rFonts w:ascii="Arial" w:cs="Arial" w:eastAsia="Arial" w:hAnsi="Arial"/>
                <w:sz w:val="18"/>
                <w:szCs w:val="18"/>
                <w:color w:val="auto"/>
              </w:rPr>
              <w:t>pension plan</w:t>
            </w:r>
          </w:p>
        </w:tc>
        <w:tc>
          <w:tcPr>
            <w:tcW w:w="160" w:type="dxa"/>
            <w:vAlign w:val="bottom"/>
          </w:tcPr>
          <w:p>
            <w:pPr>
              <w:spacing w:after="0"/>
              <w:rPr>
                <w:sz w:val="20"/>
                <w:szCs w:val="20"/>
                <w:color w:val="auto"/>
              </w:rPr>
            </w:pPr>
          </w:p>
        </w:tc>
        <w:tc>
          <w:tcPr>
            <w:tcW w:w="76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139</w:t>
            </w:r>
          </w:p>
        </w:tc>
        <w:tc>
          <w:tcPr>
            <w:tcW w:w="2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64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720" w:type="dxa"/>
            <w:vAlign w:val="bottom"/>
            <w:gridSpan w:val="2"/>
          </w:tcPr>
          <w:p>
            <w:pPr>
              <w:jc w:val="right"/>
              <w:ind w:right="40"/>
              <w:spacing w:after="0"/>
              <w:rPr>
                <w:sz w:val="20"/>
                <w:szCs w:val="20"/>
                <w:color w:val="auto"/>
              </w:rPr>
            </w:pPr>
            <w:r>
              <w:rPr>
                <w:rFonts w:ascii="Arial" w:cs="Arial" w:eastAsia="Arial" w:hAnsi="Arial"/>
                <w:sz w:val="18"/>
                <w:szCs w:val="18"/>
                <w:color w:val="auto"/>
              </w:rPr>
              <w:t>(139)</w:t>
            </w:r>
          </w:p>
        </w:tc>
        <w:tc>
          <w:tcPr>
            <w:tcW w:w="0" w:type="dxa"/>
            <w:vAlign w:val="bottom"/>
          </w:tcPr>
          <w:p>
            <w:pPr>
              <w:spacing w:after="0"/>
              <w:rPr>
                <w:sz w:val="1"/>
                <w:szCs w:val="1"/>
                <w:color w:val="auto"/>
              </w:rPr>
            </w:pPr>
          </w:p>
        </w:tc>
      </w:tr>
      <w:tr>
        <w:trPr>
          <w:trHeight w:val="70"/>
        </w:trPr>
        <w:tc>
          <w:tcPr>
            <w:tcW w:w="20" w:type="dxa"/>
            <w:vAlign w:val="bottom"/>
            <w:vMerge w:val="restart"/>
          </w:tcPr>
          <w:p>
            <w:pPr>
              <w:spacing w:after="0"/>
              <w:rPr>
                <w:sz w:val="6"/>
                <w:szCs w:val="6"/>
                <w:color w:val="auto"/>
              </w:rPr>
            </w:pPr>
          </w:p>
        </w:tc>
        <w:tc>
          <w:tcPr>
            <w:tcW w:w="1140" w:type="dxa"/>
            <w:vAlign w:val="bottom"/>
          </w:tcPr>
          <w:p>
            <w:pPr>
              <w:spacing w:after="0"/>
              <w:rPr>
                <w:sz w:val="6"/>
                <w:szCs w:val="6"/>
                <w:color w:val="auto"/>
              </w:rPr>
            </w:pPr>
          </w:p>
        </w:tc>
        <w:tc>
          <w:tcPr>
            <w:tcW w:w="500" w:type="dxa"/>
            <w:vAlign w:val="bottom"/>
          </w:tcPr>
          <w:p>
            <w:pPr>
              <w:spacing w:after="0"/>
              <w:rPr>
                <w:sz w:val="6"/>
                <w:szCs w:val="6"/>
                <w:color w:val="auto"/>
              </w:rPr>
            </w:pPr>
          </w:p>
        </w:tc>
        <w:tc>
          <w:tcPr>
            <w:tcW w:w="1000" w:type="dxa"/>
            <w:vAlign w:val="bottom"/>
          </w:tcPr>
          <w:p>
            <w:pPr>
              <w:spacing w:after="0"/>
              <w:rPr>
                <w:sz w:val="6"/>
                <w:szCs w:val="6"/>
                <w:color w:val="auto"/>
              </w:rPr>
            </w:pPr>
          </w:p>
        </w:tc>
        <w:tc>
          <w:tcPr>
            <w:tcW w:w="660" w:type="dxa"/>
            <w:vAlign w:val="bottom"/>
          </w:tcPr>
          <w:p>
            <w:pPr>
              <w:spacing w:after="0"/>
              <w:rPr>
                <w:sz w:val="6"/>
                <w:szCs w:val="6"/>
                <w:color w:val="auto"/>
              </w:rPr>
            </w:pPr>
          </w:p>
        </w:tc>
        <w:tc>
          <w:tcPr>
            <w:tcW w:w="2420" w:type="dxa"/>
            <w:vAlign w:val="bottom"/>
          </w:tcPr>
          <w:p>
            <w:pPr>
              <w:spacing w:after="0"/>
              <w:rPr>
                <w:sz w:val="6"/>
                <w:szCs w:val="6"/>
                <w:color w:val="auto"/>
              </w:rPr>
            </w:pPr>
          </w:p>
        </w:tc>
        <w:tc>
          <w:tcPr>
            <w:tcW w:w="160" w:type="dxa"/>
            <w:vAlign w:val="bottom"/>
          </w:tcPr>
          <w:p>
            <w:pPr>
              <w:spacing w:after="0"/>
              <w:rPr>
                <w:sz w:val="6"/>
                <w:szCs w:val="6"/>
                <w:color w:val="auto"/>
              </w:rPr>
            </w:pPr>
          </w:p>
        </w:tc>
        <w:tc>
          <w:tcPr>
            <w:tcW w:w="500" w:type="dxa"/>
            <w:vAlign w:val="bottom"/>
          </w:tcPr>
          <w:p>
            <w:pPr>
              <w:spacing w:after="0"/>
              <w:rPr>
                <w:sz w:val="6"/>
                <w:szCs w:val="6"/>
                <w:color w:val="auto"/>
              </w:rPr>
            </w:pPr>
          </w:p>
        </w:tc>
        <w:tc>
          <w:tcPr>
            <w:tcW w:w="260" w:type="dxa"/>
            <w:vAlign w:val="bottom"/>
          </w:tcPr>
          <w:p>
            <w:pPr>
              <w:spacing w:after="0"/>
              <w:rPr>
                <w:sz w:val="6"/>
                <w:szCs w:val="6"/>
                <w:color w:val="auto"/>
              </w:rPr>
            </w:pPr>
          </w:p>
        </w:tc>
        <w:tc>
          <w:tcPr>
            <w:tcW w:w="520" w:type="dxa"/>
            <w:vAlign w:val="bottom"/>
          </w:tcPr>
          <w:p>
            <w:pPr>
              <w:spacing w:after="0"/>
              <w:rPr>
                <w:sz w:val="6"/>
                <w:szCs w:val="6"/>
                <w:color w:val="auto"/>
              </w:rPr>
            </w:pPr>
          </w:p>
        </w:tc>
        <w:tc>
          <w:tcPr>
            <w:tcW w:w="260" w:type="dxa"/>
            <w:vAlign w:val="bottom"/>
          </w:tcPr>
          <w:p>
            <w:pPr>
              <w:spacing w:after="0"/>
              <w:rPr>
                <w:sz w:val="6"/>
                <w:szCs w:val="6"/>
                <w:color w:val="auto"/>
              </w:rPr>
            </w:pPr>
          </w:p>
        </w:tc>
        <w:tc>
          <w:tcPr>
            <w:tcW w:w="100" w:type="dxa"/>
            <w:vAlign w:val="bottom"/>
          </w:tcPr>
          <w:p>
            <w:pPr>
              <w:spacing w:after="0"/>
              <w:rPr>
                <w:sz w:val="6"/>
                <w:szCs w:val="6"/>
                <w:color w:val="auto"/>
              </w:rPr>
            </w:pPr>
          </w:p>
        </w:tc>
        <w:tc>
          <w:tcPr>
            <w:tcW w:w="840" w:type="dxa"/>
            <w:vAlign w:val="bottom"/>
          </w:tcPr>
          <w:p>
            <w:pPr>
              <w:spacing w:after="0"/>
              <w:rPr>
                <w:sz w:val="6"/>
                <w:szCs w:val="6"/>
                <w:color w:val="auto"/>
              </w:rPr>
            </w:pPr>
          </w:p>
        </w:tc>
        <w:tc>
          <w:tcPr>
            <w:tcW w:w="260" w:type="dxa"/>
            <w:vAlign w:val="bottom"/>
          </w:tcPr>
          <w:p>
            <w:pPr>
              <w:spacing w:after="0"/>
              <w:rPr>
                <w:sz w:val="6"/>
                <w:szCs w:val="6"/>
                <w:color w:val="auto"/>
              </w:rPr>
            </w:pPr>
          </w:p>
        </w:tc>
        <w:tc>
          <w:tcPr>
            <w:tcW w:w="340" w:type="dxa"/>
            <w:vAlign w:val="bottom"/>
          </w:tcPr>
          <w:p>
            <w:pPr>
              <w:spacing w:after="0"/>
              <w:rPr>
                <w:sz w:val="6"/>
                <w:szCs w:val="6"/>
                <w:color w:val="auto"/>
              </w:rPr>
            </w:pPr>
          </w:p>
        </w:tc>
        <w:tc>
          <w:tcPr>
            <w:tcW w:w="420" w:type="dxa"/>
            <w:vAlign w:val="bottom"/>
          </w:tcPr>
          <w:p>
            <w:pPr>
              <w:spacing w:after="0"/>
              <w:rPr>
                <w:sz w:val="6"/>
                <w:szCs w:val="6"/>
                <w:color w:val="auto"/>
              </w:rPr>
            </w:pPr>
          </w:p>
        </w:tc>
        <w:tc>
          <w:tcPr>
            <w:tcW w:w="260" w:type="dxa"/>
            <w:vAlign w:val="bottom"/>
          </w:tcPr>
          <w:p>
            <w:pPr>
              <w:spacing w:after="0"/>
              <w:rPr>
                <w:sz w:val="6"/>
                <w:szCs w:val="6"/>
                <w:color w:val="auto"/>
              </w:rPr>
            </w:pPr>
          </w:p>
        </w:tc>
        <w:tc>
          <w:tcPr>
            <w:tcW w:w="300" w:type="dxa"/>
            <w:vAlign w:val="bottom"/>
          </w:tcPr>
          <w:p>
            <w:pPr>
              <w:spacing w:after="0"/>
              <w:rPr>
                <w:sz w:val="6"/>
                <w:szCs w:val="6"/>
                <w:color w:val="auto"/>
              </w:rPr>
            </w:pPr>
          </w:p>
        </w:tc>
        <w:tc>
          <w:tcPr>
            <w:tcW w:w="380" w:type="dxa"/>
            <w:vAlign w:val="bottom"/>
          </w:tcPr>
          <w:p>
            <w:pPr>
              <w:spacing w:after="0"/>
              <w:rPr>
                <w:sz w:val="6"/>
                <w:szCs w:val="6"/>
                <w:color w:val="auto"/>
              </w:rPr>
            </w:pPr>
          </w:p>
        </w:tc>
        <w:tc>
          <w:tcPr>
            <w:tcW w:w="26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08"/>
        </w:trPr>
        <w:tc>
          <w:tcPr>
            <w:tcW w:w="20" w:type="dxa"/>
            <w:vAlign w:val="bottom"/>
            <w:vMerge w:val="continue"/>
          </w:tcPr>
          <w:p>
            <w:pPr>
              <w:spacing w:after="0"/>
              <w:rPr>
                <w:sz w:val="18"/>
                <w:szCs w:val="18"/>
                <w:color w:val="auto"/>
              </w:rPr>
            </w:pPr>
          </w:p>
        </w:tc>
        <w:tc>
          <w:tcPr>
            <w:tcW w:w="26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Delphi Benefit Guarantee</w:t>
            </w:r>
          </w:p>
        </w:tc>
        <w:tc>
          <w:tcPr>
            <w:tcW w:w="3080" w:type="dxa"/>
            <w:vAlign w:val="bottom"/>
            <w:gridSpan w:val="2"/>
            <w:shd w:val="clear" w:color="auto" w:fill="CCEEFF"/>
          </w:tcPr>
          <w:p>
            <w:pPr>
              <w:ind w:left="660"/>
              <w:spacing w:after="0"/>
              <w:rPr>
                <w:sz w:val="20"/>
                <w:szCs w:val="20"/>
                <w:color w:val="auto"/>
              </w:rPr>
            </w:pPr>
            <w:r>
              <w:rPr>
                <w:rFonts w:ascii="Arial" w:cs="Arial" w:eastAsia="Arial" w:hAnsi="Arial"/>
                <w:sz w:val="18"/>
                <w:szCs w:val="18"/>
                <w:color w:val="auto"/>
              </w:rPr>
              <w:t>U.S. hourly defined benefit</w:t>
            </w:r>
          </w:p>
        </w:tc>
        <w:tc>
          <w:tcPr>
            <w:tcW w:w="1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26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Agreements — August 1 (b)</w:t>
            </w:r>
          </w:p>
        </w:tc>
        <w:tc>
          <w:tcPr>
            <w:tcW w:w="3080" w:type="dxa"/>
            <w:vAlign w:val="bottom"/>
            <w:gridSpan w:val="2"/>
            <w:shd w:val="clear" w:color="auto" w:fill="CCEEFF"/>
          </w:tcPr>
          <w:p>
            <w:pPr>
              <w:ind w:left="660"/>
              <w:spacing w:after="0"/>
              <w:rPr>
                <w:sz w:val="20"/>
                <w:szCs w:val="20"/>
                <w:color w:val="auto"/>
              </w:rPr>
            </w:pPr>
            <w:r>
              <w:rPr>
                <w:rFonts w:ascii="Arial" w:cs="Arial" w:eastAsia="Arial" w:hAnsi="Arial"/>
                <w:sz w:val="18"/>
                <w:szCs w:val="18"/>
                <w:color w:val="auto"/>
              </w:rPr>
              <w:t>pension plan</w:t>
            </w:r>
          </w:p>
        </w:tc>
        <w:tc>
          <w:tcPr>
            <w:tcW w:w="92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5.83%</w:t>
            </w:r>
          </w:p>
        </w:tc>
        <w:tc>
          <w:tcPr>
            <w:tcW w:w="7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97"/>
              </w:rPr>
              <w:t>5.58%</w:t>
            </w:r>
          </w:p>
        </w:tc>
        <w:tc>
          <w:tcPr>
            <w:tcW w:w="100" w:type="dxa"/>
            <w:vAlign w:val="bottom"/>
            <w:tcBorders>
              <w:bottom w:val="single" w:sz="8" w:color="auto"/>
            </w:tcBorders>
            <w:shd w:val="clear" w:color="auto" w:fill="CCEEFF"/>
          </w:tcPr>
          <w:p>
            <w:pPr>
              <w:spacing w:after="0"/>
              <w:rPr>
                <w:sz w:val="20"/>
                <w:szCs w:val="20"/>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2,548</w:t>
            </w:r>
          </w:p>
        </w:tc>
        <w:tc>
          <w:tcPr>
            <w:tcW w:w="260" w:type="dxa"/>
            <w:vAlign w:val="bottom"/>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spacing w:after="0"/>
              <w:rPr>
                <w:sz w:val="20"/>
                <w:szCs w:val="20"/>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spacing w:after="0"/>
              <w:rPr>
                <w:sz w:val="20"/>
                <w:szCs w:val="20"/>
                <w:color w:val="auto"/>
              </w:rPr>
            </w:pPr>
          </w:p>
        </w:tc>
        <w:tc>
          <w:tcPr>
            <w:tcW w:w="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spacing w:after="0"/>
              <w:rPr>
                <w:sz w:val="20"/>
                <w:szCs w:val="20"/>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2"/>
        </w:trPr>
        <w:tc>
          <w:tcPr>
            <w:tcW w:w="2660" w:type="dxa"/>
            <w:vAlign w:val="bottom"/>
            <w:gridSpan w:val="4"/>
          </w:tcPr>
          <w:p>
            <w:pPr>
              <w:spacing w:after="0"/>
              <w:rPr>
                <w:sz w:val="20"/>
                <w:szCs w:val="20"/>
                <w:color w:val="auto"/>
              </w:rPr>
            </w:pPr>
            <w:r>
              <w:rPr>
                <w:rFonts w:ascii="Arial" w:cs="Arial" w:eastAsia="Arial" w:hAnsi="Arial"/>
                <w:sz w:val="18"/>
                <w:szCs w:val="18"/>
                <w:color w:val="auto"/>
              </w:rPr>
              <w:t>Total</w:t>
            </w:r>
          </w:p>
        </w:tc>
        <w:tc>
          <w:tcPr>
            <w:tcW w:w="660" w:type="dxa"/>
            <w:vAlign w:val="bottom"/>
          </w:tcPr>
          <w:p>
            <w:pPr>
              <w:spacing w:after="0"/>
              <w:rPr>
                <w:sz w:val="19"/>
                <w:szCs w:val="19"/>
                <w:color w:val="auto"/>
              </w:rPr>
            </w:pPr>
          </w:p>
        </w:tc>
        <w:tc>
          <w:tcPr>
            <w:tcW w:w="24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2,745</w:t>
            </w:r>
          </w:p>
        </w:tc>
        <w:tc>
          <w:tcPr>
            <w:tcW w:w="600" w:type="dxa"/>
            <w:vAlign w:val="bottom"/>
            <w:gridSpan w:val="2"/>
          </w:tcPr>
          <w:p>
            <w:pPr>
              <w:jc w:val="right"/>
              <w:ind w:right="192"/>
              <w:spacing w:after="0"/>
              <w:rPr>
                <w:sz w:val="20"/>
                <w:szCs w:val="20"/>
                <w:color w:val="auto"/>
              </w:rPr>
            </w:pPr>
            <w:r>
              <w:rPr>
                <w:rFonts w:ascii="Arial" w:cs="Arial" w:eastAsia="Arial" w:hAnsi="Arial"/>
                <w:sz w:val="18"/>
                <w:szCs w:val="18"/>
                <w:color w:val="auto"/>
              </w:rPr>
              <w:t>$</w:t>
            </w:r>
          </w:p>
        </w:tc>
        <w:tc>
          <w:tcPr>
            <w:tcW w:w="420" w:type="dxa"/>
            <w:vAlign w:val="bottom"/>
          </w:tcPr>
          <w:p>
            <w:pPr>
              <w:jc w:val="right"/>
              <w:spacing w:after="0"/>
              <w:rPr>
                <w:sz w:val="20"/>
                <w:szCs w:val="20"/>
                <w:color w:val="auto"/>
              </w:rPr>
            </w:pPr>
            <w:r>
              <w:rPr>
                <w:rFonts w:ascii="Arial" w:cs="Arial" w:eastAsia="Arial" w:hAnsi="Arial"/>
                <w:sz w:val="18"/>
                <w:szCs w:val="18"/>
                <w:color w:val="auto"/>
              </w:rPr>
              <w:t>—</w:t>
            </w:r>
          </w:p>
        </w:tc>
        <w:tc>
          <w:tcPr>
            <w:tcW w:w="560" w:type="dxa"/>
            <w:vAlign w:val="bottom"/>
            <w:gridSpan w:val="2"/>
          </w:tcPr>
          <w:p>
            <w:pPr>
              <w:jc w:val="right"/>
              <w:ind w:right="132"/>
              <w:spacing w:after="0"/>
              <w:rPr>
                <w:sz w:val="20"/>
                <w:szCs w:val="20"/>
                <w:color w:val="auto"/>
              </w:rPr>
            </w:pPr>
            <w:r>
              <w:rPr>
                <w:rFonts w:ascii="Arial" w:cs="Arial" w:eastAsia="Arial" w:hAnsi="Arial"/>
                <w:sz w:val="18"/>
                <w:szCs w:val="18"/>
                <w:color w:val="auto"/>
              </w:rPr>
              <w:t>$</w:t>
            </w:r>
          </w:p>
        </w:tc>
        <w:tc>
          <w:tcPr>
            <w:tcW w:w="64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gridSpan w:val="2"/>
          </w:tcPr>
          <w:p>
            <w:pPr>
              <w:jc w:val="right"/>
              <w:ind w:right="40"/>
              <w:spacing w:after="0"/>
              <w:rPr>
                <w:sz w:val="20"/>
                <w:szCs w:val="20"/>
                <w:color w:val="auto"/>
              </w:rPr>
            </w:pPr>
            <w:r>
              <w:rPr>
                <w:rFonts w:ascii="Arial" w:cs="Arial" w:eastAsia="Arial" w:hAnsi="Arial"/>
                <w:sz w:val="18"/>
                <w:szCs w:val="18"/>
                <w:color w:val="auto"/>
              </w:rPr>
              <w:t>(197)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4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3"/>
        </w:trPr>
        <w:tc>
          <w:tcPr>
            <w:tcW w:w="20" w:type="dxa"/>
            <w:vAlign w:val="bottom"/>
          </w:tcPr>
          <w:p>
            <w:pPr>
              <w:spacing w:after="0"/>
              <w:rPr>
                <w:sz w:val="8"/>
                <w:szCs w:val="8"/>
                <w:color w:val="auto"/>
              </w:rPr>
            </w:pPr>
          </w:p>
        </w:tc>
        <w:tc>
          <w:tcPr>
            <w:tcW w:w="1140" w:type="dxa"/>
            <w:vAlign w:val="bottom"/>
            <w:tcBorders>
              <w:bottom w:val="single" w:sz="8" w:color="auto"/>
            </w:tcBorders>
          </w:tcPr>
          <w:p>
            <w:pPr>
              <w:spacing w:after="0"/>
              <w:rPr>
                <w:sz w:val="8"/>
                <w:szCs w:val="8"/>
                <w:color w:val="auto"/>
              </w:rPr>
            </w:pPr>
          </w:p>
        </w:tc>
        <w:tc>
          <w:tcPr>
            <w:tcW w:w="500" w:type="dxa"/>
            <w:vAlign w:val="bottom"/>
          </w:tcPr>
          <w:p>
            <w:pPr>
              <w:spacing w:after="0"/>
              <w:rPr>
                <w:sz w:val="8"/>
                <w:szCs w:val="8"/>
                <w:color w:val="auto"/>
              </w:rPr>
            </w:pPr>
          </w:p>
        </w:tc>
        <w:tc>
          <w:tcPr>
            <w:tcW w:w="1000" w:type="dxa"/>
            <w:vAlign w:val="bottom"/>
          </w:tcPr>
          <w:p>
            <w:pPr>
              <w:spacing w:after="0"/>
              <w:rPr>
                <w:sz w:val="8"/>
                <w:szCs w:val="8"/>
                <w:color w:val="auto"/>
              </w:rPr>
            </w:pPr>
          </w:p>
        </w:tc>
        <w:tc>
          <w:tcPr>
            <w:tcW w:w="660" w:type="dxa"/>
            <w:vAlign w:val="bottom"/>
          </w:tcPr>
          <w:p>
            <w:pPr>
              <w:spacing w:after="0"/>
              <w:rPr>
                <w:sz w:val="8"/>
                <w:szCs w:val="8"/>
                <w:color w:val="auto"/>
              </w:rPr>
            </w:pPr>
          </w:p>
        </w:tc>
        <w:tc>
          <w:tcPr>
            <w:tcW w:w="2420" w:type="dxa"/>
            <w:vAlign w:val="bottom"/>
          </w:tcPr>
          <w:p>
            <w:pPr>
              <w:spacing w:after="0"/>
              <w:rPr>
                <w:sz w:val="8"/>
                <w:szCs w:val="8"/>
                <w:color w:val="auto"/>
              </w:rPr>
            </w:pPr>
          </w:p>
        </w:tc>
        <w:tc>
          <w:tcPr>
            <w:tcW w:w="160" w:type="dxa"/>
            <w:vAlign w:val="bottom"/>
          </w:tcPr>
          <w:p>
            <w:pPr>
              <w:spacing w:after="0"/>
              <w:rPr>
                <w:sz w:val="8"/>
                <w:szCs w:val="8"/>
                <w:color w:val="auto"/>
              </w:rPr>
            </w:pPr>
          </w:p>
        </w:tc>
        <w:tc>
          <w:tcPr>
            <w:tcW w:w="500" w:type="dxa"/>
            <w:vAlign w:val="bottom"/>
          </w:tcPr>
          <w:p>
            <w:pPr>
              <w:spacing w:after="0"/>
              <w:rPr>
                <w:sz w:val="8"/>
                <w:szCs w:val="8"/>
                <w:color w:val="auto"/>
              </w:rPr>
            </w:pPr>
          </w:p>
        </w:tc>
        <w:tc>
          <w:tcPr>
            <w:tcW w:w="260" w:type="dxa"/>
            <w:vAlign w:val="bottom"/>
          </w:tcPr>
          <w:p>
            <w:pPr>
              <w:spacing w:after="0"/>
              <w:rPr>
                <w:sz w:val="8"/>
                <w:szCs w:val="8"/>
                <w:color w:val="auto"/>
              </w:rPr>
            </w:pPr>
          </w:p>
        </w:tc>
        <w:tc>
          <w:tcPr>
            <w:tcW w:w="520" w:type="dxa"/>
            <w:vAlign w:val="bottom"/>
          </w:tcPr>
          <w:p>
            <w:pPr>
              <w:spacing w:after="0"/>
              <w:rPr>
                <w:sz w:val="8"/>
                <w:szCs w:val="8"/>
                <w:color w:val="auto"/>
              </w:rPr>
            </w:pPr>
          </w:p>
        </w:tc>
        <w:tc>
          <w:tcPr>
            <w:tcW w:w="260" w:type="dxa"/>
            <w:vAlign w:val="bottom"/>
          </w:tcPr>
          <w:p>
            <w:pPr>
              <w:spacing w:after="0"/>
              <w:rPr>
                <w:sz w:val="8"/>
                <w:szCs w:val="8"/>
                <w:color w:val="auto"/>
              </w:rPr>
            </w:pPr>
          </w:p>
        </w:tc>
        <w:tc>
          <w:tcPr>
            <w:tcW w:w="100" w:type="dxa"/>
            <w:vAlign w:val="bottom"/>
          </w:tcPr>
          <w:p>
            <w:pPr>
              <w:spacing w:after="0"/>
              <w:rPr>
                <w:sz w:val="8"/>
                <w:szCs w:val="8"/>
                <w:color w:val="auto"/>
              </w:rPr>
            </w:pPr>
          </w:p>
        </w:tc>
        <w:tc>
          <w:tcPr>
            <w:tcW w:w="840" w:type="dxa"/>
            <w:vAlign w:val="bottom"/>
          </w:tcPr>
          <w:p>
            <w:pPr>
              <w:spacing w:after="0"/>
              <w:rPr>
                <w:sz w:val="8"/>
                <w:szCs w:val="8"/>
                <w:color w:val="auto"/>
              </w:rPr>
            </w:pPr>
          </w:p>
        </w:tc>
        <w:tc>
          <w:tcPr>
            <w:tcW w:w="260" w:type="dxa"/>
            <w:vAlign w:val="bottom"/>
          </w:tcPr>
          <w:p>
            <w:pPr>
              <w:spacing w:after="0"/>
              <w:rPr>
                <w:sz w:val="8"/>
                <w:szCs w:val="8"/>
                <w:color w:val="auto"/>
              </w:rPr>
            </w:pPr>
          </w:p>
        </w:tc>
        <w:tc>
          <w:tcPr>
            <w:tcW w:w="340" w:type="dxa"/>
            <w:vAlign w:val="bottom"/>
          </w:tcPr>
          <w:p>
            <w:pPr>
              <w:spacing w:after="0"/>
              <w:rPr>
                <w:sz w:val="8"/>
                <w:szCs w:val="8"/>
                <w:color w:val="auto"/>
              </w:rPr>
            </w:pPr>
          </w:p>
        </w:tc>
        <w:tc>
          <w:tcPr>
            <w:tcW w:w="420" w:type="dxa"/>
            <w:vAlign w:val="bottom"/>
          </w:tcPr>
          <w:p>
            <w:pPr>
              <w:spacing w:after="0"/>
              <w:rPr>
                <w:sz w:val="8"/>
                <w:szCs w:val="8"/>
                <w:color w:val="auto"/>
              </w:rPr>
            </w:pPr>
          </w:p>
        </w:tc>
        <w:tc>
          <w:tcPr>
            <w:tcW w:w="260" w:type="dxa"/>
            <w:vAlign w:val="bottom"/>
          </w:tcPr>
          <w:p>
            <w:pPr>
              <w:spacing w:after="0"/>
              <w:rPr>
                <w:sz w:val="8"/>
                <w:szCs w:val="8"/>
                <w:color w:val="auto"/>
              </w:rPr>
            </w:pPr>
          </w:p>
        </w:tc>
        <w:tc>
          <w:tcPr>
            <w:tcW w:w="300" w:type="dxa"/>
            <w:vAlign w:val="bottom"/>
          </w:tcPr>
          <w:p>
            <w:pPr>
              <w:spacing w:after="0"/>
              <w:rPr>
                <w:sz w:val="8"/>
                <w:szCs w:val="8"/>
                <w:color w:val="auto"/>
              </w:rPr>
            </w:pPr>
          </w:p>
        </w:tc>
        <w:tc>
          <w:tcPr>
            <w:tcW w:w="380" w:type="dxa"/>
            <w:vAlign w:val="bottom"/>
          </w:tcPr>
          <w:p>
            <w:pPr>
              <w:spacing w:after="0"/>
              <w:rPr>
                <w:sz w:val="8"/>
                <w:szCs w:val="8"/>
                <w:color w:val="auto"/>
              </w:rPr>
            </w:pPr>
          </w:p>
        </w:tc>
        <w:tc>
          <w:tcPr>
            <w:tcW w:w="26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19" w:lineRule="exact"/>
        <w:rPr>
          <w:sz w:val="20"/>
          <w:szCs w:val="20"/>
          <w:color w:val="auto"/>
        </w:rPr>
      </w:pPr>
    </w:p>
    <w:p>
      <w:pPr>
        <w:ind w:left="340" w:hanging="332"/>
        <w:spacing w:after="0"/>
        <w:tabs>
          <w:tab w:leader="none" w:pos="3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Reflects the effect on PBO. There was no remeasurement.</w:t>
      </w:r>
    </w:p>
    <w:p>
      <w:pPr>
        <w:spacing w:after="0" w:line="90" w:lineRule="exact"/>
        <w:rPr>
          <w:rFonts w:ascii="Arial" w:cs="Arial" w:eastAsia="Arial" w:hAnsi="Arial"/>
          <w:sz w:val="18"/>
          <w:szCs w:val="18"/>
          <w:color w:val="auto"/>
        </w:rPr>
      </w:pPr>
    </w:p>
    <w:p>
      <w:pPr>
        <w:ind w:left="340" w:hanging="332"/>
        <w:spacing w:after="0"/>
        <w:tabs>
          <w:tab w:leader="none" w:pos="3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Includes reclassification of contingent liability to benefit plan obligation.</w:t>
      </w:r>
    </w:p>
    <w:p>
      <w:pPr>
        <w:spacing w:after="0" w:line="90" w:lineRule="exact"/>
        <w:rPr>
          <w:rFonts w:ascii="Arial" w:cs="Arial" w:eastAsia="Arial" w:hAnsi="Arial"/>
          <w:sz w:val="18"/>
          <w:szCs w:val="18"/>
          <w:color w:val="auto"/>
        </w:rPr>
      </w:pPr>
    </w:p>
    <w:p>
      <w:pPr>
        <w:ind w:left="340" w:hanging="332"/>
        <w:spacing w:after="0"/>
        <w:tabs>
          <w:tab w:leader="none" w:pos="340" w:val="left"/>
        </w:tabs>
        <w:numPr>
          <w:ilvl w:val="0"/>
          <w:numId w:val="23"/>
        </w:numPr>
        <w:rPr>
          <w:rFonts w:ascii="Arial" w:cs="Arial" w:eastAsia="Arial" w:hAnsi="Arial"/>
          <w:sz w:val="16"/>
          <w:szCs w:val="16"/>
          <w:color w:val="auto"/>
        </w:rPr>
      </w:pPr>
      <w:r>
        <w:rPr>
          <w:rFonts w:ascii="Arial" w:cs="Arial" w:eastAsia="Arial" w:hAnsi="Arial"/>
          <w:sz w:val="16"/>
          <w:szCs w:val="16"/>
          <w:color w:val="auto"/>
        </w:rPr>
        <w:t>The increase/decrease includes the effect of the event, the gain or loss from remeasurement, net periodic benefit cost and benefit payments.</w:t>
      </w:r>
    </w:p>
    <w:p>
      <w:pPr>
        <w:spacing w:after="0" w:line="194"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January 1, 2009 Through July 9, 2009</w:t>
      </w:r>
    </w:p>
    <w:p>
      <w:pPr>
        <w:spacing w:after="0" w:line="207" w:lineRule="exact"/>
        <w:rPr>
          <w:sz w:val="20"/>
          <w:szCs w:val="20"/>
          <w:color w:val="auto"/>
        </w:rPr>
      </w:pPr>
    </w:p>
    <w:p>
      <w:pPr>
        <w:jc w:val="center"/>
        <w:ind w:right="100"/>
        <w:spacing w:after="0"/>
        <w:rPr>
          <w:sz w:val="20"/>
          <w:szCs w:val="20"/>
          <w:color w:val="auto"/>
        </w:rPr>
      </w:pPr>
      <w:r>
        <w:rPr>
          <w:rFonts w:ascii="Arial" w:cs="Arial" w:eastAsia="Arial" w:hAnsi="Arial"/>
          <w:sz w:val="14"/>
          <w:szCs w:val="14"/>
          <w:b w:val="1"/>
          <w:bCs w:val="1"/>
          <w:color w:val="auto"/>
        </w:rPr>
        <w:t>Predecessor</w:t>
      </w:r>
    </w:p>
    <w:p>
      <w:pPr>
        <w:spacing w:after="0" w:line="13" w:lineRule="exact"/>
        <w:rPr>
          <w:sz w:val="20"/>
          <w:szCs w:val="20"/>
          <w:color w:val="auto"/>
        </w:rPr>
      </w:pPr>
    </w:p>
    <w:tbl>
      <w:tblPr>
        <w:tblLayout w:type="fixed"/>
        <w:tblInd w:w="0" w:type="dxa"/>
        <w:tblCellMar>
          <w:top w:w="0" w:type="dxa"/>
          <w:left w:w="0" w:type="dxa"/>
          <w:bottom w:w="0" w:type="dxa"/>
          <w:right w:w="0" w:type="dxa"/>
        </w:tblCellMar>
      </w:tblPr>
      <w:tr>
        <w:trPr>
          <w:trHeight w:val="130"/>
        </w:trPr>
        <w:tc>
          <w:tcPr>
            <w:tcW w:w="1660" w:type="dxa"/>
            <w:vAlign w:val="bottom"/>
            <w:tcBorders>
              <w:top w:val="single" w:sz="8" w:color="auto"/>
            </w:tcBorders>
          </w:tcPr>
          <w:p>
            <w:pPr>
              <w:spacing w:after="0"/>
              <w:rPr>
                <w:sz w:val="11"/>
                <w:szCs w:val="11"/>
                <w:color w:val="auto"/>
              </w:rPr>
            </w:pPr>
          </w:p>
        </w:tc>
        <w:tc>
          <w:tcPr>
            <w:tcW w:w="1540" w:type="dxa"/>
            <w:vAlign w:val="bottom"/>
            <w:tcBorders>
              <w:top w:val="single" w:sz="8" w:color="auto"/>
            </w:tcBorders>
          </w:tcPr>
          <w:p>
            <w:pPr>
              <w:spacing w:after="0"/>
              <w:rPr>
                <w:sz w:val="11"/>
                <w:szCs w:val="11"/>
                <w:color w:val="auto"/>
              </w:rPr>
            </w:pPr>
          </w:p>
        </w:tc>
        <w:tc>
          <w:tcPr>
            <w:tcW w:w="2500" w:type="dxa"/>
            <w:vAlign w:val="bottom"/>
            <w:tcBorders>
              <w:top w:val="single" w:sz="8" w:color="auto"/>
            </w:tcBorders>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520" w:type="dxa"/>
            <w:vAlign w:val="bottom"/>
            <w:tcBorders>
              <w:top w:val="single" w:sz="8" w:color="auto"/>
            </w:tcBorders>
          </w:tcPr>
          <w:p>
            <w:pPr>
              <w:spacing w:after="0"/>
              <w:rPr>
                <w:sz w:val="11"/>
                <w:szCs w:val="11"/>
                <w:color w:val="auto"/>
              </w:rPr>
            </w:pPr>
          </w:p>
        </w:tc>
        <w:tc>
          <w:tcPr>
            <w:tcW w:w="260" w:type="dxa"/>
            <w:vAlign w:val="bottom"/>
            <w:tcBorders>
              <w:top w:val="single" w:sz="8" w:color="auto"/>
            </w:tcBorders>
          </w:tcPr>
          <w:p>
            <w:pPr>
              <w:spacing w:after="0"/>
              <w:rPr>
                <w:sz w:val="11"/>
                <w:szCs w:val="11"/>
                <w:color w:val="auto"/>
              </w:rPr>
            </w:pPr>
          </w:p>
        </w:tc>
        <w:tc>
          <w:tcPr>
            <w:tcW w:w="180" w:type="dxa"/>
            <w:vAlign w:val="bottom"/>
            <w:tcBorders>
              <w:top w:val="single" w:sz="8" w:color="auto"/>
            </w:tcBorders>
          </w:tcPr>
          <w:p>
            <w:pPr>
              <w:spacing w:after="0"/>
              <w:rPr>
                <w:sz w:val="11"/>
                <w:szCs w:val="11"/>
                <w:color w:val="auto"/>
              </w:rPr>
            </w:pPr>
          </w:p>
        </w:tc>
        <w:tc>
          <w:tcPr>
            <w:tcW w:w="340" w:type="dxa"/>
            <w:vAlign w:val="bottom"/>
            <w:tcBorders>
              <w:top w:val="single" w:sz="8" w:color="auto"/>
            </w:tcBorders>
          </w:tcPr>
          <w:p>
            <w:pPr>
              <w:spacing w:after="0"/>
              <w:rPr>
                <w:sz w:val="11"/>
                <w:szCs w:val="11"/>
                <w:color w:val="auto"/>
              </w:rPr>
            </w:pPr>
          </w:p>
        </w:tc>
        <w:tc>
          <w:tcPr>
            <w:tcW w:w="240" w:type="dxa"/>
            <w:vAlign w:val="bottom"/>
            <w:tcBorders>
              <w:top w:val="single" w:sz="8" w:color="auto"/>
            </w:tcBorders>
          </w:tcPr>
          <w:p>
            <w:pPr>
              <w:spacing w:after="0"/>
              <w:rPr>
                <w:sz w:val="11"/>
                <w:szCs w:val="11"/>
                <w:color w:val="auto"/>
              </w:rPr>
            </w:pPr>
          </w:p>
        </w:tc>
        <w:tc>
          <w:tcPr>
            <w:tcW w:w="960" w:type="dxa"/>
            <w:vAlign w:val="bottom"/>
            <w:tcBorders>
              <w:top w:val="single" w:sz="8" w:color="auto"/>
            </w:tcBorders>
          </w:tcPr>
          <w:p>
            <w:pPr>
              <w:jc w:val="center"/>
              <w:spacing w:after="0" w:line="130" w:lineRule="exact"/>
              <w:rPr>
                <w:sz w:val="20"/>
                <w:szCs w:val="20"/>
                <w:color w:val="auto"/>
              </w:rPr>
            </w:pPr>
            <w:r>
              <w:rPr>
                <w:rFonts w:ascii="Arial" w:cs="Arial" w:eastAsia="Arial" w:hAnsi="Arial"/>
                <w:sz w:val="14"/>
                <w:szCs w:val="14"/>
                <w:b w:val="1"/>
                <w:bCs w:val="1"/>
                <w:color w:val="auto"/>
                <w:w w:val="84"/>
              </w:rPr>
              <w:t>Increase</w:t>
            </w:r>
          </w:p>
        </w:tc>
        <w:tc>
          <w:tcPr>
            <w:tcW w:w="260" w:type="dxa"/>
            <w:vAlign w:val="bottom"/>
            <w:tcBorders>
              <w:top w:val="single" w:sz="8" w:color="auto"/>
            </w:tcBorders>
          </w:tcPr>
          <w:p>
            <w:pPr>
              <w:spacing w:after="0"/>
              <w:rPr>
                <w:sz w:val="11"/>
                <w:szCs w:val="11"/>
                <w:color w:val="auto"/>
              </w:rPr>
            </w:pPr>
          </w:p>
        </w:tc>
        <w:tc>
          <w:tcPr>
            <w:tcW w:w="780" w:type="dxa"/>
            <w:vAlign w:val="bottom"/>
            <w:tcBorders>
              <w:top w:val="single" w:sz="8" w:color="auto"/>
            </w:tcBorders>
          </w:tcPr>
          <w:p>
            <w:pPr>
              <w:spacing w:after="0"/>
              <w:rPr>
                <w:sz w:val="11"/>
                <w:szCs w:val="11"/>
                <w:color w:val="auto"/>
              </w:rPr>
            </w:pPr>
          </w:p>
        </w:tc>
        <w:tc>
          <w:tcPr>
            <w:tcW w:w="260" w:type="dxa"/>
            <w:vAlign w:val="bottom"/>
            <w:tcBorders>
              <w:top w:val="single" w:sz="8" w:color="auto"/>
            </w:tcBorders>
          </w:tcPr>
          <w:p>
            <w:pPr>
              <w:spacing w:after="0"/>
              <w:rPr>
                <w:sz w:val="11"/>
                <w:szCs w:val="11"/>
                <w:color w:val="auto"/>
              </w:rPr>
            </w:pPr>
          </w:p>
        </w:tc>
        <w:tc>
          <w:tcPr>
            <w:tcW w:w="680" w:type="dxa"/>
            <w:vAlign w:val="bottom"/>
            <w:tcBorders>
              <w:top w:val="single" w:sz="8" w:color="auto"/>
            </w:tcBorders>
          </w:tcPr>
          <w:p>
            <w:pPr>
              <w:spacing w:after="0"/>
              <w:rPr>
                <w:sz w:val="11"/>
                <w:szCs w:val="11"/>
                <w:color w:val="auto"/>
              </w:rPr>
            </w:pPr>
          </w:p>
        </w:tc>
        <w:tc>
          <w:tcPr>
            <w:tcW w:w="260" w:type="dxa"/>
            <w:vAlign w:val="bottom"/>
            <w:tcBorders>
              <w:top w:val="single" w:sz="8" w:color="auto"/>
            </w:tcBorders>
          </w:tcPr>
          <w:p>
            <w:pPr>
              <w:spacing w:after="0"/>
              <w:rPr>
                <w:sz w:val="11"/>
                <w:szCs w:val="11"/>
                <w:color w:val="auto"/>
              </w:rPr>
            </w:pPr>
          </w:p>
        </w:tc>
        <w:tc>
          <w:tcPr>
            <w:tcW w:w="720" w:type="dxa"/>
            <w:vAlign w:val="bottom"/>
            <w:tcBorders>
              <w:top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1660" w:type="dxa"/>
            <w:vAlign w:val="bottom"/>
          </w:tcPr>
          <w:p>
            <w:pPr>
              <w:spacing w:after="0"/>
              <w:rPr>
                <w:sz w:val="12"/>
                <w:szCs w:val="12"/>
                <w:color w:val="auto"/>
              </w:rPr>
            </w:pPr>
          </w:p>
        </w:tc>
        <w:tc>
          <w:tcPr>
            <w:tcW w:w="1540" w:type="dxa"/>
            <w:vAlign w:val="bottom"/>
          </w:tcPr>
          <w:p>
            <w:pPr>
              <w:spacing w:after="0"/>
              <w:rPr>
                <w:sz w:val="12"/>
                <w:szCs w:val="12"/>
                <w:color w:val="auto"/>
              </w:rPr>
            </w:pPr>
          </w:p>
        </w:tc>
        <w:tc>
          <w:tcPr>
            <w:tcW w:w="25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3"/>
              </w:rPr>
              <w:t>(Decrease)</w:t>
            </w:r>
          </w:p>
        </w:tc>
        <w:tc>
          <w:tcPr>
            <w:tcW w:w="2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660" w:type="dxa"/>
            <w:vAlign w:val="bottom"/>
          </w:tcPr>
          <w:p>
            <w:pPr>
              <w:spacing w:after="0"/>
              <w:rPr>
                <w:sz w:val="12"/>
                <w:szCs w:val="12"/>
                <w:color w:val="auto"/>
              </w:rPr>
            </w:pPr>
          </w:p>
        </w:tc>
        <w:tc>
          <w:tcPr>
            <w:tcW w:w="1540" w:type="dxa"/>
            <w:vAlign w:val="bottom"/>
          </w:tcPr>
          <w:p>
            <w:pPr>
              <w:spacing w:after="0"/>
              <w:rPr>
                <w:sz w:val="12"/>
                <w:szCs w:val="12"/>
                <w:color w:val="auto"/>
              </w:rPr>
            </w:pPr>
          </w:p>
        </w:tc>
        <w:tc>
          <w:tcPr>
            <w:tcW w:w="25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4"/>
              </w:rPr>
              <w:t>Since the Most</w:t>
            </w:r>
          </w:p>
        </w:tc>
        <w:tc>
          <w:tcPr>
            <w:tcW w:w="2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660" w:type="dxa"/>
            <w:vAlign w:val="bottom"/>
          </w:tcPr>
          <w:p>
            <w:pPr>
              <w:spacing w:after="0"/>
              <w:rPr>
                <w:sz w:val="12"/>
                <w:szCs w:val="12"/>
                <w:color w:val="auto"/>
              </w:rPr>
            </w:pPr>
          </w:p>
        </w:tc>
        <w:tc>
          <w:tcPr>
            <w:tcW w:w="1540" w:type="dxa"/>
            <w:vAlign w:val="bottom"/>
          </w:tcPr>
          <w:p>
            <w:pPr>
              <w:spacing w:after="0"/>
              <w:rPr>
                <w:sz w:val="12"/>
                <w:szCs w:val="12"/>
                <w:color w:val="auto"/>
              </w:rPr>
            </w:pPr>
          </w:p>
        </w:tc>
        <w:tc>
          <w:tcPr>
            <w:tcW w:w="25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5"/>
              </w:rPr>
              <w:t>Recent</w:t>
            </w:r>
          </w:p>
        </w:tc>
        <w:tc>
          <w:tcPr>
            <w:tcW w:w="2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660" w:type="dxa"/>
            <w:vAlign w:val="bottom"/>
          </w:tcPr>
          <w:p>
            <w:pPr>
              <w:spacing w:after="0"/>
              <w:rPr>
                <w:sz w:val="12"/>
                <w:szCs w:val="12"/>
                <w:color w:val="auto"/>
              </w:rPr>
            </w:pPr>
          </w:p>
        </w:tc>
        <w:tc>
          <w:tcPr>
            <w:tcW w:w="1540" w:type="dxa"/>
            <w:vAlign w:val="bottom"/>
          </w:tcPr>
          <w:p>
            <w:pPr>
              <w:spacing w:after="0"/>
              <w:rPr>
                <w:sz w:val="12"/>
                <w:szCs w:val="12"/>
                <w:color w:val="auto"/>
              </w:rPr>
            </w:pPr>
          </w:p>
        </w:tc>
        <w:tc>
          <w:tcPr>
            <w:tcW w:w="25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60" w:type="dxa"/>
            <w:vAlign w:val="bottom"/>
            <w:gridSpan w:val="3"/>
          </w:tcPr>
          <w:p>
            <w:pPr>
              <w:jc w:val="center"/>
              <w:ind w:left="272"/>
              <w:spacing w:after="0" w:line="149" w:lineRule="exact"/>
              <w:rPr>
                <w:sz w:val="20"/>
                <w:szCs w:val="20"/>
                <w:color w:val="auto"/>
              </w:rPr>
            </w:pPr>
            <w:r>
              <w:rPr>
                <w:rFonts w:ascii="Arial" w:cs="Arial" w:eastAsia="Arial" w:hAnsi="Arial"/>
                <w:sz w:val="14"/>
                <w:szCs w:val="14"/>
                <w:b w:val="1"/>
                <w:bCs w:val="1"/>
                <w:color w:val="auto"/>
                <w:w w:val="85"/>
              </w:rPr>
              <w:t>Change in</w:t>
            </w:r>
          </w:p>
        </w:tc>
        <w:tc>
          <w:tcPr>
            <w:tcW w:w="3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4"/>
              </w:rPr>
              <w:t>Remeasurement</w:t>
            </w:r>
          </w:p>
        </w:tc>
        <w:tc>
          <w:tcPr>
            <w:tcW w:w="2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166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25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00" w:type="dxa"/>
            <w:vAlign w:val="bottom"/>
            <w:tcBorders>
              <w:bottom w:val="single" w:sz="8" w:color="auto"/>
            </w:tcBorders>
            <w:gridSpan w:val="4"/>
          </w:tcPr>
          <w:p>
            <w:pPr>
              <w:jc w:val="center"/>
              <w:spacing w:after="0"/>
              <w:rPr>
                <w:sz w:val="20"/>
                <w:szCs w:val="20"/>
                <w:color w:val="auto"/>
              </w:rPr>
            </w:pPr>
            <w:r>
              <w:rPr>
                <w:rFonts w:ascii="Arial" w:cs="Arial" w:eastAsia="Arial" w:hAnsi="Arial"/>
                <w:sz w:val="14"/>
                <w:szCs w:val="14"/>
                <w:b w:val="1"/>
                <w:bCs w:val="1"/>
                <w:color w:val="auto"/>
                <w:w w:val="87"/>
              </w:rPr>
              <w:t>Discount Rate</w:t>
            </w:r>
          </w:p>
        </w:tc>
        <w:tc>
          <w:tcPr>
            <w:tcW w:w="240" w:type="dxa"/>
            <w:vAlign w:val="bottom"/>
          </w:tcPr>
          <w:p>
            <w:pPr>
              <w:spacing w:after="0"/>
              <w:rPr>
                <w:sz w:val="14"/>
                <w:szCs w:val="14"/>
                <w:color w:val="auto"/>
              </w:rPr>
            </w:pPr>
          </w:p>
        </w:tc>
        <w:tc>
          <w:tcPr>
            <w:tcW w:w="9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Date</w:t>
            </w:r>
          </w:p>
        </w:tc>
        <w:tc>
          <w:tcPr>
            <w:tcW w:w="260" w:type="dxa"/>
            <w:vAlign w:val="bottom"/>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gridSpan w:val="2"/>
          </w:tcPr>
          <w:p>
            <w:pPr>
              <w:ind w:left="240"/>
              <w:spacing w:after="0"/>
              <w:rPr>
                <w:sz w:val="20"/>
                <w:szCs w:val="20"/>
                <w:color w:val="auto"/>
              </w:rPr>
            </w:pPr>
            <w:r>
              <w:rPr>
                <w:rFonts w:ascii="Arial" w:cs="Arial" w:eastAsia="Arial" w:hAnsi="Arial"/>
                <w:sz w:val="14"/>
                <w:szCs w:val="14"/>
                <w:b w:val="1"/>
                <w:bCs w:val="1"/>
                <w:color w:val="auto"/>
                <w:w w:val="88"/>
              </w:rPr>
              <w:t>Gain (Loss)</w:t>
            </w:r>
          </w:p>
        </w:tc>
        <w:tc>
          <w:tcPr>
            <w:tcW w:w="26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1660" w:type="dxa"/>
            <w:vAlign w:val="bottom"/>
          </w:tcPr>
          <w:p>
            <w:pPr>
              <w:spacing w:after="0"/>
              <w:rPr>
                <w:sz w:val="11"/>
                <w:szCs w:val="11"/>
                <w:color w:val="auto"/>
              </w:rPr>
            </w:pPr>
          </w:p>
        </w:tc>
        <w:tc>
          <w:tcPr>
            <w:tcW w:w="1540" w:type="dxa"/>
            <w:vAlign w:val="bottom"/>
          </w:tcPr>
          <w:p>
            <w:pPr>
              <w:spacing w:after="0"/>
              <w:rPr>
                <w:sz w:val="11"/>
                <w:szCs w:val="11"/>
                <w:color w:val="auto"/>
              </w:rPr>
            </w:pPr>
          </w:p>
        </w:tc>
        <w:tc>
          <w:tcPr>
            <w:tcW w:w="25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20" w:type="dxa"/>
            <w:vAlign w:val="bottom"/>
          </w:tcPr>
          <w:p>
            <w:pPr>
              <w:jc w:val="center"/>
              <w:spacing w:after="0" w:line="129" w:lineRule="exact"/>
              <w:rPr>
                <w:sz w:val="20"/>
                <w:szCs w:val="20"/>
                <w:color w:val="auto"/>
              </w:rPr>
            </w:pPr>
            <w:r>
              <w:rPr>
                <w:rFonts w:ascii="Arial" w:cs="Arial" w:eastAsia="Arial" w:hAnsi="Arial"/>
                <w:sz w:val="14"/>
                <w:szCs w:val="14"/>
                <w:b w:val="1"/>
                <w:bCs w:val="1"/>
                <w:color w:val="auto"/>
                <w:w w:val="89"/>
              </w:rPr>
              <w:t>Termination</w:t>
            </w:r>
          </w:p>
        </w:tc>
        <w:tc>
          <w:tcPr>
            <w:tcW w:w="0" w:type="dxa"/>
            <w:vAlign w:val="bottom"/>
          </w:tcPr>
          <w:p>
            <w:pPr>
              <w:spacing w:after="0"/>
              <w:rPr>
                <w:sz w:val="1"/>
                <w:szCs w:val="1"/>
                <w:color w:val="auto"/>
              </w:rPr>
            </w:pPr>
          </w:p>
        </w:tc>
      </w:tr>
      <w:tr>
        <w:trPr>
          <w:trHeight w:val="149"/>
        </w:trPr>
        <w:tc>
          <w:tcPr>
            <w:tcW w:w="1660" w:type="dxa"/>
            <w:vAlign w:val="bottom"/>
            <w:vMerge w:val="restart"/>
          </w:tcPr>
          <w:p>
            <w:pPr>
              <w:spacing w:after="0"/>
              <w:rPr>
                <w:sz w:val="20"/>
                <w:szCs w:val="20"/>
                <w:color w:val="auto"/>
              </w:rPr>
            </w:pPr>
            <w:r>
              <w:rPr>
                <w:rFonts w:ascii="Arial" w:cs="Arial" w:eastAsia="Arial" w:hAnsi="Arial"/>
                <w:sz w:val="14"/>
                <w:szCs w:val="14"/>
                <w:b w:val="1"/>
                <w:bCs w:val="1"/>
                <w:color w:val="auto"/>
                <w:w w:val="91"/>
              </w:rPr>
              <w:t>Event and Remeasurement</w:t>
            </w:r>
          </w:p>
        </w:tc>
        <w:tc>
          <w:tcPr>
            <w:tcW w:w="1540" w:type="dxa"/>
            <w:vAlign w:val="bottom"/>
          </w:tcPr>
          <w:p>
            <w:pPr>
              <w:spacing w:after="0"/>
              <w:rPr>
                <w:sz w:val="12"/>
                <w:szCs w:val="12"/>
                <w:color w:val="auto"/>
              </w:rPr>
            </w:pPr>
          </w:p>
        </w:tc>
        <w:tc>
          <w:tcPr>
            <w:tcW w:w="25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3"/>
              </w:rPr>
              <w:t>Benefits</w:t>
            </w:r>
          </w:p>
        </w:tc>
        <w:tc>
          <w:tcPr>
            <w:tcW w:w="0" w:type="dxa"/>
            <w:vAlign w:val="bottom"/>
          </w:tcPr>
          <w:p>
            <w:pPr>
              <w:spacing w:after="0"/>
              <w:rPr>
                <w:sz w:val="1"/>
                <w:szCs w:val="1"/>
                <w:color w:val="auto"/>
              </w:rPr>
            </w:pPr>
          </w:p>
        </w:tc>
      </w:tr>
      <w:tr>
        <w:trPr>
          <w:trHeight w:val="135"/>
        </w:trPr>
        <w:tc>
          <w:tcPr>
            <w:tcW w:w="1660" w:type="dxa"/>
            <w:vAlign w:val="bottom"/>
            <w:vMerge w:val="continue"/>
          </w:tcPr>
          <w:p>
            <w:pPr>
              <w:spacing w:after="0"/>
              <w:rPr>
                <w:sz w:val="11"/>
                <w:szCs w:val="11"/>
                <w:color w:val="auto"/>
              </w:rPr>
            </w:pPr>
          </w:p>
        </w:tc>
        <w:tc>
          <w:tcPr>
            <w:tcW w:w="1540" w:type="dxa"/>
            <w:vAlign w:val="bottom"/>
          </w:tcPr>
          <w:p>
            <w:pPr>
              <w:spacing w:after="0"/>
              <w:rPr>
                <w:sz w:val="11"/>
                <w:szCs w:val="11"/>
                <w:color w:val="auto"/>
              </w:rPr>
            </w:pPr>
          </w:p>
        </w:tc>
        <w:tc>
          <w:tcPr>
            <w:tcW w:w="25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2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w w:val="88"/>
              </w:rPr>
              <w:t>and</w:t>
            </w:r>
          </w:p>
        </w:tc>
        <w:tc>
          <w:tcPr>
            <w:tcW w:w="0" w:type="dxa"/>
            <w:vAlign w:val="bottom"/>
          </w:tcPr>
          <w:p>
            <w:pPr>
              <w:spacing w:after="0"/>
              <w:rPr>
                <w:sz w:val="1"/>
                <w:szCs w:val="1"/>
                <w:color w:val="auto"/>
              </w:rPr>
            </w:pPr>
          </w:p>
        </w:tc>
      </w:tr>
      <w:tr>
        <w:trPr>
          <w:trHeight w:val="168"/>
        </w:trPr>
        <w:tc>
          <w:tcPr>
            <w:tcW w:w="166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Date When Applicable</w:t>
            </w:r>
          </w:p>
        </w:tc>
        <w:tc>
          <w:tcPr>
            <w:tcW w:w="1540" w:type="dxa"/>
            <w:vAlign w:val="bottom"/>
          </w:tcPr>
          <w:p>
            <w:pPr>
              <w:spacing w:after="0"/>
              <w:rPr>
                <w:sz w:val="14"/>
                <w:szCs w:val="14"/>
                <w:color w:val="auto"/>
              </w:rPr>
            </w:pPr>
          </w:p>
        </w:tc>
        <w:tc>
          <w:tcPr>
            <w:tcW w:w="2500" w:type="dxa"/>
            <w:vAlign w:val="bottom"/>
            <w:tcBorders>
              <w:bottom w:val="single" w:sz="8" w:color="auto"/>
            </w:tcBorders>
          </w:tcPr>
          <w:p>
            <w:pPr>
              <w:ind w:left="840"/>
              <w:spacing w:after="0"/>
              <w:rPr>
                <w:sz w:val="20"/>
                <w:szCs w:val="20"/>
                <w:color w:val="auto"/>
              </w:rPr>
            </w:pPr>
            <w:r>
              <w:rPr>
                <w:rFonts w:ascii="Arial" w:cs="Arial" w:eastAsia="Arial" w:hAnsi="Arial"/>
                <w:sz w:val="14"/>
                <w:szCs w:val="14"/>
                <w:b w:val="1"/>
                <w:bCs w:val="1"/>
                <w:color w:val="auto"/>
              </w:rPr>
              <w:t>Affected Plans</w:t>
            </w:r>
          </w:p>
        </w:tc>
        <w:tc>
          <w:tcPr>
            <w:tcW w:w="160" w:type="dxa"/>
            <w:vAlign w:val="bottom"/>
          </w:tcPr>
          <w:p>
            <w:pPr>
              <w:spacing w:after="0"/>
              <w:rPr>
                <w:sz w:val="14"/>
                <w:szCs w:val="14"/>
                <w:color w:val="auto"/>
              </w:rPr>
            </w:pPr>
          </w:p>
        </w:tc>
        <w:tc>
          <w:tcPr>
            <w:tcW w:w="520" w:type="dxa"/>
            <w:vAlign w:val="bottom"/>
            <w:tcBorders>
              <w:bottom w:val="single" w:sz="8" w:color="auto"/>
            </w:tcBorders>
          </w:tcPr>
          <w:p>
            <w:pPr>
              <w:ind w:left="100"/>
              <w:spacing w:after="0"/>
              <w:rPr>
                <w:sz w:val="20"/>
                <w:szCs w:val="20"/>
                <w:color w:val="auto"/>
              </w:rPr>
            </w:pPr>
            <w:r>
              <w:rPr>
                <w:rFonts w:ascii="Arial" w:cs="Arial" w:eastAsia="Arial" w:hAnsi="Arial"/>
                <w:sz w:val="14"/>
                <w:szCs w:val="14"/>
                <w:b w:val="1"/>
                <w:bCs w:val="1"/>
                <w:color w:val="auto"/>
              </w:rPr>
              <w:t>From</w:t>
            </w:r>
          </w:p>
        </w:tc>
        <w:tc>
          <w:tcPr>
            <w:tcW w:w="26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To</w:t>
            </w:r>
          </w:p>
        </w:tc>
        <w:tc>
          <w:tcPr>
            <w:tcW w:w="240" w:type="dxa"/>
            <w:vAlign w:val="bottom"/>
          </w:tcPr>
          <w:p>
            <w:pPr>
              <w:spacing w:after="0"/>
              <w:rPr>
                <w:sz w:val="14"/>
                <w:szCs w:val="14"/>
                <w:color w:val="auto"/>
              </w:rPr>
            </w:pPr>
          </w:p>
        </w:tc>
        <w:tc>
          <w:tcPr>
            <w:tcW w:w="9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0"/>
              </w:rPr>
              <w:t>PBO/APBO</w:t>
            </w:r>
          </w:p>
        </w:tc>
        <w:tc>
          <w:tcPr>
            <w:tcW w:w="260" w:type="dxa"/>
            <w:vAlign w:val="bottom"/>
          </w:tcPr>
          <w:p>
            <w:pPr>
              <w:spacing w:after="0"/>
              <w:rPr>
                <w:sz w:val="14"/>
                <w:szCs w:val="14"/>
                <w:color w:val="auto"/>
              </w:rPr>
            </w:pPr>
          </w:p>
        </w:tc>
        <w:tc>
          <w:tcPr>
            <w:tcW w:w="78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88"/>
              </w:rPr>
              <w:t>Curtailments</w:t>
            </w:r>
          </w:p>
        </w:tc>
        <w:tc>
          <w:tcPr>
            <w:tcW w:w="260" w:type="dxa"/>
            <w:vAlign w:val="bottom"/>
          </w:tcPr>
          <w:p>
            <w:pPr>
              <w:spacing w:after="0"/>
              <w:rPr>
                <w:sz w:val="14"/>
                <w:szCs w:val="14"/>
                <w:color w:val="auto"/>
              </w:rPr>
            </w:pPr>
          </w:p>
        </w:tc>
        <w:tc>
          <w:tcPr>
            <w:tcW w:w="68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83"/>
              </w:rPr>
              <w:t>Settlements</w:t>
            </w:r>
          </w:p>
        </w:tc>
        <w:tc>
          <w:tcPr>
            <w:tcW w:w="260" w:type="dxa"/>
            <w:vAlign w:val="bottom"/>
          </w:tcPr>
          <w:p>
            <w:pPr>
              <w:spacing w:after="0"/>
              <w:rPr>
                <w:sz w:val="14"/>
                <w:szCs w:val="14"/>
                <w:color w:val="auto"/>
              </w:rPr>
            </w:pPr>
          </w:p>
        </w:tc>
        <w:tc>
          <w:tcPr>
            <w:tcW w:w="7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0"/>
              </w:rPr>
              <w:t>Other</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0</wp:posOffset>
            </wp:positionV>
            <wp:extent cx="7246620" cy="28321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46620" cy="283210"/>
                    </a:xfrm>
                    <a:prstGeom prst="rect">
                      <a:avLst/>
                    </a:prstGeom>
                    <a:noFill/>
                  </pic:spPr>
                </pic:pic>
              </a:graphicData>
            </a:graphic>
          </wp:anchor>
        </w:drawing>
      </w:r>
    </w:p>
    <w:p>
      <w:pPr>
        <w:sectPr>
          <w:pgSz w:w="11900" w:h="16838" w:orient="portrait"/>
          <w:cols w:equalWidth="0" w:num="1">
            <w:col w:w="11420"/>
          </w:cols>
          <w:pgMar w:left="240" w:top="459" w:right="239" w:bottom="1440" w:gutter="0" w:footer="0" w:header="0"/>
        </w:sectPr>
      </w:pPr>
    </w:p>
    <w:p>
      <w:pPr>
        <w:spacing w:after="0"/>
        <w:rPr>
          <w:sz w:val="20"/>
          <w:szCs w:val="20"/>
          <w:color w:val="auto"/>
        </w:rPr>
      </w:pPr>
      <w:r>
        <w:rPr>
          <w:rFonts w:ascii="Arial" w:cs="Arial" w:eastAsia="Arial" w:hAnsi="Arial"/>
          <w:sz w:val="18"/>
          <w:szCs w:val="18"/>
          <w:color w:val="auto"/>
        </w:rPr>
        <w:t>2009 Special Attrition</w:t>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color w:val="auto"/>
        </w:rPr>
        <w:t>Programs — June 30</w:t>
      </w:r>
    </w:p>
    <w:p>
      <w:pPr>
        <w:spacing w:after="0" w:line="84" w:lineRule="exact"/>
        <w:rPr>
          <w:sz w:val="20"/>
          <w:szCs w:val="20"/>
          <w:color w:val="auto"/>
        </w:rPr>
      </w:pPr>
    </w:p>
    <w:p>
      <w:pPr>
        <w:ind w:right="640"/>
        <w:spacing w:after="0" w:line="332" w:lineRule="auto"/>
        <w:rPr>
          <w:sz w:val="20"/>
          <w:szCs w:val="20"/>
          <w:color w:val="auto"/>
        </w:rPr>
      </w:pPr>
      <w:r>
        <w:rPr>
          <w:rFonts w:ascii="Arial" w:cs="Arial" w:eastAsia="Arial" w:hAnsi="Arial"/>
          <w:sz w:val="16"/>
          <w:szCs w:val="16"/>
          <w:color w:val="auto"/>
        </w:rPr>
        <w:t>Global salaried workforce reductions — June 1</w:t>
      </w:r>
    </w:p>
    <w:p>
      <w:pPr>
        <w:spacing w:after="0" w:line="4" w:lineRule="exact"/>
        <w:rPr>
          <w:sz w:val="20"/>
          <w:szCs w:val="20"/>
          <w:color w:val="auto"/>
        </w:rPr>
      </w:pPr>
    </w:p>
    <w:p>
      <w:pPr>
        <w:ind w:right="880"/>
        <w:spacing w:after="0" w:line="357" w:lineRule="auto"/>
        <w:rPr>
          <w:sz w:val="20"/>
          <w:szCs w:val="20"/>
          <w:color w:val="auto"/>
        </w:rPr>
      </w:pPr>
      <w:r>
        <w:rPr>
          <w:rFonts w:ascii="Arial" w:cs="Arial" w:eastAsia="Arial" w:hAnsi="Arial"/>
          <w:sz w:val="15"/>
          <w:szCs w:val="15"/>
          <w:color w:val="auto"/>
        </w:rPr>
        <w:t>U.S. salaried benefits changes — February 1</w:t>
      </w:r>
    </w:p>
    <w:p>
      <w:pPr>
        <w:spacing w:after="0"/>
        <w:rPr>
          <w:sz w:val="20"/>
          <w:szCs w:val="20"/>
          <w:color w:val="auto"/>
        </w:rPr>
      </w:pPr>
      <w:r>
        <w:rPr>
          <w:rFonts w:ascii="Arial" w:cs="Arial" w:eastAsia="Arial" w:hAnsi="Arial"/>
          <w:sz w:val="18"/>
          <w:szCs w:val="18"/>
          <w:color w:val="auto"/>
        </w:rPr>
        <w:t>U.S. salaried benefits</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changes — June 1</w:t>
      </w:r>
    </w:p>
    <w:p>
      <w:pPr>
        <w:spacing w:after="0" w:line="84" w:lineRule="exact"/>
        <w:rPr>
          <w:sz w:val="20"/>
          <w:szCs w:val="20"/>
          <w:color w:val="auto"/>
        </w:rPr>
      </w:pPr>
    </w:p>
    <w:p>
      <w:pPr>
        <w:spacing w:after="0"/>
        <w:rPr>
          <w:sz w:val="20"/>
          <w:szCs w:val="20"/>
          <w:color w:val="auto"/>
        </w:rPr>
      </w:pPr>
      <w:r>
        <w:rPr>
          <w:rFonts w:ascii="Arial" w:cs="Arial" w:eastAsia="Arial" w:hAnsi="Arial"/>
          <w:sz w:val="16"/>
          <w:szCs w:val="16"/>
          <w:color w:val="auto"/>
        </w:rPr>
        <w:t>2009 CAW Agreement — June 1</w:t>
      </w:r>
    </w:p>
    <w:p>
      <w:pPr>
        <w:spacing w:after="0" w:line="316" w:lineRule="exact"/>
        <w:rPr>
          <w:sz w:val="20"/>
          <w:szCs w:val="20"/>
          <w:color w:val="auto"/>
        </w:rPr>
      </w:pPr>
    </w:p>
    <w:p>
      <w:pPr>
        <w:spacing w:after="0"/>
        <w:rPr>
          <w:sz w:val="20"/>
          <w:szCs w:val="20"/>
          <w:color w:val="auto"/>
        </w:rPr>
      </w:pPr>
      <w:r>
        <w:rPr>
          <w:rFonts w:ascii="Arial" w:cs="Arial" w:eastAsia="Arial" w:hAnsi="Arial"/>
          <w:sz w:val="16"/>
          <w:szCs w:val="16"/>
          <w:color w:val="auto"/>
        </w:rPr>
        <w:t>2009 CAW Agreement — June 1</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color w:val="auto"/>
        </w:rPr>
        <w:t>Total</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6"/>
        </w:trPr>
        <w:tc>
          <w:tcPr>
            <w:tcW w:w="2620" w:type="dxa"/>
            <w:vAlign w:val="bottom"/>
          </w:tcPr>
          <w:p>
            <w:pPr>
              <w:spacing w:after="0"/>
              <w:rPr>
                <w:sz w:val="20"/>
                <w:szCs w:val="20"/>
                <w:color w:val="auto"/>
              </w:rPr>
            </w:pPr>
            <w:r>
              <w:rPr>
                <w:rFonts w:ascii="Arial" w:cs="Arial" w:eastAsia="Arial" w:hAnsi="Arial"/>
                <w:sz w:val="18"/>
                <w:szCs w:val="18"/>
                <w:color w:val="auto"/>
                <w:w w:val="92"/>
              </w:rPr>
              <w:t>U.S. hourly defined benefit pension</w:t>
            </w:r>
          </w:p>
        </w:tc>
        <w:tc>
          <w:tcPr>
            <w:tcW w:w="7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22"/>
        </w:trPr>
        <w:tc>
          <w:tcPr>
            <w:tcW w:w="2620" w:type="dxa"/>
            <w:vAlign w:val="bottom"/>
          </w:tcPr>
          <w:p>
            <w:pPr>
              <w:spacing w:after="0"/>
              <w:rPr>
                <w:sz w:val="20"/>
                <w:szCs w:val="20"/>
                <w:color w:val="auto"/>
              </w:rPr>
            </w:pPr>
            <w:r>
              <w:rPr>
                <w:rFonts w:ascii="Arial" w:cs="Arial" w:eastAsia="Arial" w:hAnsi="Arial"/>
                <w:sz w:val="18"/>
                <w:szCs w:val="18"/>
                <w:color w:val="auto"/>
              </w:rPr>
              <w:t>plan</w:t>
            </w:r>
          </w:p>
        </w:tc>
        <w:tc>
          <w:tcPr>
            <w:tcW w:w="720" w:type="dxa"/>
            <w:vAlign w:val="bottom"/>
          </w:tcPr>
          <w:p>
            <w:pPr>
              <w:jc w:val="right"/>
              <w:ind w:right="72"/>
              <w:spacing w:after="0"/>
              <w:rPr>
                <w:sz w:val="20"/>
                <w:szCs w:val="20"/>
                <w:color w:val="auto"/>
              </w:rPr>
            </w:pPr>
            <w:r>
              <w:rPr>
                <w:rFonts w:ascii="Arial" w:cs="Arial" w:eastAsia="Arial" w:hAnsi="Arial"/>
                <w:sz w:val="18"/>
                <w:szCs w:val="18"/>
                <w:color w:val="auto"/>
              </w:rPr>
              <w:t>6.15%</w:t>
            </w:r>
          </w:p>
        </w:tc>
        <w:tc>
          <w:tcPr>
            <w:tcW w:w="860" w:type="dxa"/>
            <w:vAlign w:val="bottom"/>
          </w:tcPr>
          <w:p>
            <w:pPr>
              <w:jc w:val="right"/>
              <w:ind w:right="152"/>
              <w:spacing w:after="0"/>
              <w:rPr>
                <w:sz w:val="20"/>
                <w:szCs w:val="20"/>
                <w:color w:val="auto"/>
              </w:rPr>
            </w:pPr>
            <w:r>
              <w:rPr>
                <w:rFonts w:ascii="Arial" w:cs="Arial" w:eastAsia="Arial" w:hAnsi="Arial"/>
                <w:sz w:val="18"/>
                <w:szCs w:val="18"/>
                <w:color w:val="auto"/>
              </w:rPr>
              <w:t>6.25%</w:t>
            </w:r>
          </w:p>
        </w:tc>
        <w:tc>
          <w:tcPr>
            <w:tcW w:w="360" w:type="dxa"/>
            <w:vAlign w:val="bottom"/>
          </w:tcPr>
          <w:p>
            <w:pPr>
              <w:jc w:val="right"/>
              <w:ind w:right="172"/>
              <w:spacing w:after="0"/>
              <w:rPr>
                <w:sz w:val="20"/>
                <w:szCs w:val="20"/>
                <w:color w:val="auto"/>
              </w:rPr>
            </w:pPr>
            <w:r>
              <w:rPr>
                <w:rFonts w:ascii="Arial" w:cs="Arial" w:eastAsia="Arial" w:hAnsi="Arial"/>
                <w:sz w:val="18"/>
                <w:szCs w:val="18"/>
                <w:color w:val="auto"/>
                <w:w w:val="79"/>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7</w:t>
            </w:r>
          </w:p>
        </w:tc>
        <w:tc>
          <w:tcPr>
            <w:tcW w:w="260" w:type="dxa"/>
            <w:vAlign w:val="bottom"/>
          </w:tcPr>
          <w:p>
            <w:pPr>
              <w:spacing w:after="0"/>
              <w:rPr>
                <w:sz w:val="19"/>
                <w:szCs w:val="19"/>
                <w:color w:val="auto"/>
              </w:rPr>
            </w:pPr>
          </w:p>
        </w:tc>
        <w:tc>
          <w:tcPr>
            <w:tcW w:w="200" w:type="dxa"/>
            <w:vAlign w:val="bottom"/>
          </w:tcPr>
          <w:p>
            <w:pPr>
              <w:jc w:val="right"/>
              <w:ind w:right="12"/>
              <w:spacing w:after="0"/>
              <w:rPr>
                <w:sz w:val="20"/>
                <w:szCs w:val="20"/>
                <w:color w:val="auto"/>
              </w:rPr>
            </w:pPr>
            <w:r>
              <w:rPr>
                <w:rFonts w:ascii="Arial" w:cs="Arial" w:eastAsia="Arial" w:hAnsi="Arial"/>
                <w:sz w:val="18"/>
                <w:szCs w:val="18"/>
                <w:color w:val="auto"/>
                <w:w w:val="79"/>
              </w:rPr>
              <w:t>$</w:t>
            </w: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(1,390)</w:t>
            </w:r>
          </w:p>
        </w:tc>
        <w:tc>
          <w:tcPr>
            <w:tcW w:w="4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640" w:type="dxa"/>
            <w:vAlign w:val="bottom"/>
            <w:gridSpan w:val="2"/>
          </w:tcPr>
          <w:p>
            <w:pPr>
              <w:ind w:left="200"/>
              <w:spacing w:after="0"/>
              <w:rPr>
                <w:sz w:val="20"/>
                <w:szCs w:val="20"/>
                <w:color w:val="auto"/>
              </w:rPr>
            </w:pPr>
            <w:r>
              <w:rPr>
                <w:rFonts w:ascii="Arial" w:cs="Arial" w:eastAsia="Arial" w:hAnsi="Arial"/>
                <w:sz w:val="18"/>
                <w:szCs w:val="18"/>
                <w:color w:val="auto"/>
              </w:rPr>
              <w:t>—</w:t>
            </w:r>
          </w:p>
        </w:tc>
        <w:tc>
          <w:tcPr>
            <w:tcW w:w="280" w:type="dxa"/>
            <w:vAlign w:val="bottom"/>
          </w:tcPr>
          <w:p>
            <w:pPr>
              <w:jc w:val="right"/>
              <w:ind w:right="123"/>
              <w:spacing w:after="0"/>
              <w:rPr>
                <w:sz w:val="20"/>
                <w:szCs w:val="20"/>
                <w:color w:val="auto"/>
              </w:rPr>
            </w:pPr>
            <w:r>
              <w:rPr>
                <w:rFonts w:ascii="Arial" w:cs="Arial" w:eastAsia="Arial" w:hAnsi="Arial"/>
                <w:sz w:val="15"/>
                <w:szCs w:val="15"/>
                <w:color w:val="auto"/>
                <w:w w:val="71"/>
              </w:rPr>
              <w:t>$</w:t>
            </w:r>
          </w:p>
        </w:tc>
        <w:tc>
          <w:tcPr>
            <w:tcW w:w="500" w:type="dxa"/>
            <w:vAlign w:val="bottom"/>
            <w:gridSpan w:val="2"/>
          </w:tcPr>
          <w:p>
            <w:pPr>
              <w:jc w:val="right"/>
              <w:spacing w:after="0"/>
              <w:rPr>
                <w:sz w:val="20"/>
                <w:szCs w:val="20"/>
                <w:color w:val="auto"/>
              </w:rPr>
            </w:pPr>
            <w:r>
              <w:rPr>
                <w:rFonts w:ascii="Arial" w:cs="Arial" w:eastAsia="Arial" w:hAnsi="Arial"/>
                <w:sz w:val="18"/>
                <w:szCs w:val="18"/>
                <w:color w:val="auto"/>
              </w:rPr>
              <w:t>(12)</w:t>
            </w:r>
          </w:p>
        </w:tc>
      </w:tr>
      <w:tr>
        <w:trPr>
          <w:trHeight w:val="291"/>
        </w:trPr>
        <w:tc>
          <w:tcPr>
            <w:tcW w:w="2620" w:type="dxa"/>
            <w:vAlign w:val="bottom"/>
          </w:tcPr>
          <w:p>
            <w:pPr>
              <w:spacing w:after="0"/>
              <w:rPr>
                <w:sz w:val="20"/>
                <w:szCs w:val="20"/>
                <w:color w:val="auto"/>
              </w:rPr>
            </w:pPr>
            <w:r>
              <w:rPr>
                <w:rFonts w:ascii="Arial" w:cs="Arial" w:eastAsia="Arial" w:hAnsi="Arial"/>
                <w:sz w:val="18"/>
                <w:szCs w:val="18"/>
                <w:color w:val="auto"/>
              </w:rPr>
              <w:t>U.S. salaried defined benefit</w:t>
            </w:r>
          </w:p>
        </w:tc>
        <w:tc>
          <w:tcPr>
            <w:tcW w:w="7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222"/>
        </w:trPr>
        <w:tc>
          <w:tcPr>
            <w:tcW w:w="2620" w:type="dxa"/>
            <w:vAlign w:val="bottom"/>
          </w:tcPr>
          <w:p>
            <w:pPr>
              <w:spacing w:after="0"/>
              <w:rPr>
                <w:sz w:val="20"/>
                <w:szCs w:val="20"/>
                <w:color w:val="auto"/>
              </w:rPr>
            </w:pPr>
            <w:r>
              <w:rPr>
                <w:rFonts w:ascii="Arial" w:cs="Arial" w:eastAsia="Arial" w:hAnsi="Arial"/>
                <w:sz w:val="18"/>
                <w:szCs w:val="18"/>
                <w:color w:val="auto"/>
              </w:rPr>
              <w:t>pension plan</w:t>
            </w:r>
          </w:p>
        </w:tc>
        <w:tc>
          <w:tcPr>
            <w:tcW w:w="720" w:type="dxa"/>
            <w:vAlign w:val="bottom"/>
          </w:tcPr>
          <w:p>
            <w:pPr>
              <w:jc w:val="right"/>
              <w:ind w:right="72"/>
              <w:spacing w:after="0"/>
              <w:rPr>
                <w:sz w:val="20"/>
                <w:szCs w:val="20"/>
                <w:color w:val="auto"/>
              </w:rPr>
            </w:pPr>
            <w:r>
              <w:rPr>
                <w:rFonts w:ascii="Arial" w:cs="Arial" w:eastAsia="Arial" w:hAnsi="Arial"/>
                <w:sz w:val="18"/>
                <w:szCs w:val="18"/>
                <w:color w:val="auto"/>
              </w:rPr>
              <w:t>—</w:t>
            </w:r>
          </w:p>
        </w:tc>
        <w:tc>
          <w:tcPr>
            <w:tcW w:w="860" w:type="dxa"/>
            <w:vAlign w:val="bottom"/>
          </w:tcPr>
          <w:p>
            <w:pPr>
              <w:jc w:val="right"/>
              <w:ind w:right="152"/>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24</w:t>
            </w: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(327)</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40" w:type="dxa"/>
            <w:vAlign w:val="bottom"/>
            <w:gridSpan w:val="2"/>
          </w:tcPr>
          <w:p>
            <w:pPr>
              <w:ind w:left="20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50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r>
      <w:tr>
        <w:trPr>
          <w:trHeight w:val="291"/>
        </w:trPr>
        <w:tc>
          <w:tcPr>
            <w:tcW w:w="2620" w:type="dxa"/>
            <w:vAlign w:val="bottom"/>
          </w:tcPr>
          <w:p>
            <w:pPr>
              <w:spacing w:after="0"/>
              <w:rPr>
                <w:sz w:val="20"/>
                <w:szCs w:val="20"/>
                <w:color w:val="auto"/>
              </w:rPr>
            </w:pPr>
            <w:r>
              <w:rPr>
                <w:rFonts w:ascii="Arial" w:cs="Arial" w:eastAsia="Arial" w:hAnsi="Arial"/>
                <w:sz w:val="18"/>
                <w:szCs w:val="18"/>
                <w:color w:val="auto"/>
                <w:w w:val="96"/>
              </w:rPr>
              <w:t>U.S. salaried retiree life insurance</w:t>
            </w:r>
          </w:p>
        </w:tc>
        <w:tc>
          <w:tcPr>
            <w:tcW w:w="7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222"/>
        </w:trPr>
        <w:tc>
          <w:tcPr>
            <w:tcW w:w="2620" w:type="dxa"/>
            <w:vAlign w:val="bottom"/>
          </w:tcPr>
          <w:p>
            <w:pPr>
              <w:spacing w:after="0"/>
              <w:rPr>
                <w:sz w:val="20"/>
                <w:szCs w:val="20"/>
                <w:color w:val="auto"/>
              </w:rPr>
            </w:pPr>
            <w:r>
              <w:rPr>
                <w:rFonts w:ascii="Arial" w:cs="Arial" w:eastAsia="Arial" w:hAnsi="Arial"/>
                <w:sz w:val="18"/>
                <w:szCs w:val="18"/>
                <w:color w:val="auto"/>
              </w:rPr>
              <w:t>plan</w:t>
            </w:r>
          </w:p>
        </w:tc>
        <w:tc>
          <w:tcPr>
            <w:tcW w:w="720" w:type="dxa"/>
            <w:vAlign w:val="bottom"/>
          </w:tcPr>
          <w:p>
            <w:pPr>
              <w:jc w:val="right"/>
              <w:ind w:right="72"/>
              <w:spacing w:after="0"/>
              <w:rPr>
                <w:sz w:val="20"/>
                <w:szCs w:val="20"/>
                <w:color w:val="auto"/>
              </w:rPr>
            </w:pPr>
            <w:r>
              <w:rPr>
                <w:rFonts w:ascii="Arial" w:cs="Arial" w:eastAsia="Arial" w:hAnsi="Arial"/>
                <w:sz w:val="18"/>
                <w:szCs w:val="18"/>
                <w:color w:val="auto"/>
              </w:rPr>
              <w:t>7.25%</w:t>
            </w:r>
          </w:p>
        </w:tc>
        <w:tc>
          <w:tcPr>
            <w:tcW w:w="860" w:type="dxa"/>
            <w:vAlign w:val="bottom"/>
          </w:tcPr>
          <w:p>
            <w:pPr>
              <w:jc w:val="right"/>
              <w:ind w:right="152"/>
              <w:spacing w:after="0"/>
              <w:rPr>
                <w:sz w:val="20"/>
                <w:szCs w:val="20"/>
                <w:color w:val="auto"/>
              </w:rPr>
            </w:pPr>
            <w:r>
              <w:rPr>
                <w:rFonts w:ascii="Arial" w:cs="Arial" w:eastAsia="Arial" w:hAnsi="Arial"/>
                <w:sz w:val="18"/>
                <w:szCs w:val="18"/>
                <w:color w:val="auto"/>
              </w:rPr>
              <w:t>7.15%</w:t>
            </w:r>
          </w:p>
        </w:tc>
        <w:tc>
          <w:tcPr>
            <w:tcW w:w="360" w:type="dxa"/>
            <w:vAlign w:val="bottom"/>
          </w:tcPr>
          <w:p>
            <w:pPr>
              <w:spacing w:after="0"/>
              <w:rPr>
                <w:sz w:val="19"/>
                <w:szCs w:val="19"/>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8"/>
                <w:szCs w:val="18"/>
                <w:color w:val="auto"/>
              </w:rPr>
              <w:t>(420)</w:t>
            </w:r>
          </w:p>
        </w:tc>
        <w:tc>
          <w:tcPr>
            <w:tcW w:w="200" w:type="dxa"/>
            <w:vAlign w:val="bottom"/>
          </w:tcPr>
          <w:p>
            <w:pPr>
              <w:spacing w:after="0"/>
              <w:rPr>
                <w:sz w:val="19"/>
                <w:szCs w:val="19"/>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40" w:type="dxa"/>
            <w:vAlign w:val="bottom"/>
            <w:gridSpan w:val="2"/>
          </w:tcPr>
          <w:p>
            <w:pPr>
              <w:ind w:left="20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50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r>
      <w:tr>
        <w:trPr>
          <w:trHeight w:val="291"/>
        </w:trPr>
        <w:tc>
          <w:tcPr>
            <w:tcW w:w="2620" w:type="dxa"/>
            <w:vAlign w:val="bottom"/>
          </w:tcPr>
          <w:p>
            <w:pPr>
              <w:spacing w:after="0"/>
              <w:rPr>
                <w:sz w:val="20"/>
                <w:szCs w:val="20"/>
                <w:color w:val="auto"/>
              </w:rPr>
            </w:pPr>
            <w:r>
              <w:rPr>
                <w:rFonts w:ascii="Arial" w:cs="Arial" w:eastAsia="Arial" w:hAnsi="Arial"/>
                <w:sz w:val="18"/>
                <w:szCs w:val="18"/>
                <w:color w:val="auto"/>
              </w:rPr>
              <w:t>U.S. salaried retiree healthcare</w:t>
            </w:r>
          </w:p>
        </w:tc>
        <w:tc>
          <w:tcPr>
            <w:tcW w:w="7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222"/>
        </w:trPr>
        <w:tc>
          <w:tcPr>
            <w:tcW w:w="2620" w:type="dxa"/>
            <w:vAlign w:val="bottom"/>
          </w:tcPr>
          <w:p>
            <w:pPr>
              <w:spacing w:after="0"/>
              <w:rPr>
                <w:sz w:val="20"/>
                <w:szCs w:val="20"/>
                <w:color w:val="auto"/>
              </w:rPr>
            </w:pPr>
            <w:r>
              <w:rPr>
                <w:rFonts w:ascii="Arial" w:cs="Arial" w:eastAsia="Arial" w:hAnsi="Arial"/>
                <w:sz w:val="18"/>
                <w:szCs w:val="18"/>
                <w:color w:val="auto"/>
              </w:rPr>
              <w:t>program</w:t>
            </w:r>
          </w:p>
        </w:tc>
        <w:tc>
          <w:tcPr>
            <w:tcW w:w="720" w:type="dxa"/>
            <w:vAlign w:val="bottom"/>
          </w:tcPr>
          <w:p>
            <w:pPr>
              <w:jc w:val="right"/>
              <w:ind w:right="72"/>
              <w:spacing w:after="0"/>
              <w:rPr>
                <w:sz w:val="20"/>
                <w:szCs w:val="20"/>
                <w:color w:val="auto"/>
              </w:rPr>
            </w:pPr>
            <w:r>
              <w:rPr>
                <w:rFonts w:ascii="Arial" w:cs="Arial" w:eastAsia="Arial" w:hAnsi="Arial"/>
                <w:sz w:val="18"/>
                <w:szCs w:val="18"/>
                <w:color w:val="auto"/>
              </w:rPr>
              <w:t>—</w:t>
            </w:r>
          </w:p>
        </w:tc>
        <w:tc>
          <w:tcPr>
            <w:tcW w:w="860" w:type="dxa"/>
            <w:vAlign w:val="bottom"/>
          </w:tcPr>
          <w:p>
            <w:pPr>
              <w:jc w:val="right"/>
              <w:ind w:right="152"/>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9"/>
                <w:szCs w:val="19"/>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8"/>
                <w:szCs w:val="18"/>
                <w:color w:val="auto"/>
              </w:rPr>
              <w:t>(265)</w:t>
            </w:r>
          </w:p>
        </w:tc>
        <w:tc>
          <w:tcPr>
            <w:tcW w:w="200" w:type="dxa"/>
            <w:vAlign w:val="bottom"/>
          </w:tcPr>
          <w:p>
            <w:pPr>
              <w:spacing w:after="0"/>
              <w:rPr>
                <w:sz w:val="19"/>
                <w:szCs w:val="19"/>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40" w:type="dxa"/>
            <w:vAlign w:val="bottom"/>
            <w:gridSpan w:val="2"/>
          </w:tcPr>
          <w:p>
            <w:pPr>
              <w:ind w:left="20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50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r>
      <w:tr>
        <w:trPr>
          <w:trHeight w:val="277"/>
        </w:trPr>
        <w:tc>
          <w:tcPr>
            <w:tcW w:w="2620" w:type="dxa"/>
            <w:vAlign w:val="bottom"/>
          </w:tcPr>
          <w:p>
            <w:pPr>
              <w:spacing w:after="0"/>
              <w:rPr>
                <w:sz w:val="20"/>
                <w:szCs w:val="20"/>
                <w:color w:val="auto"/>
              </w:rPr>
            </w:pPr>
            <w:r>
              <w:rPr>
                <w:rFonts w:ascii="Arial" w:cs="Arial" w:eastAsia="Arial" w:hAnsi="Arial"/>
                <w:sz w:val="18"/>
                <w:szCs w:val="18"/>
                <w:color w:val="auto"/>
              </w:rPr>
              <w:t>Canadian hourly defined benefit</w:t>
            </w:r>
          </w:p>
        </w:tc>
        <w:tc>
          <w:tcPr>
            <w:tcW w:w="7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222"/>
        </w:trPr>
        <w:tc>
          <w:tcPr>
            <w:tcW w:w="2620" w:type="dxa"/>
            <w:vAlign w:val="bottom"/>
          </w:tcPr>
          <w:p>
            <w:pPr>
              <w:spacing w:after="0"/>
              <w:rPr>
                <w:sz w:val="20"/>
                <w:szCs w:val="20"/>
                <w:color w:val="auto"/>
              </w:rPr>
            </w:pPr>
            <w:r>
              <w:rPr>
                <w:rFonts w:ascii="Arial" w:cs="Arial" w:eastAsia="Arial" w:hAnsi="Arial"/>
                <w:sz w:val="18"/>
                <w:szCs w:val="18"/>
                <w:color w:val="auto"/>
              </w:rPr>
              <w:t>pension plan</w:t>
            </w:r>
          </w:p>
        </w:tc>
        <w:tc>
          <w:tcPr>
            <w:tcW w:w="720" w:type="dxa"/>
            <w:vAlign w:val="bottom"/>
          </w:tcPr>
          <w:p>
            <w:pPr>
              <w:jc w:val="right"/>
              <w:ind w:right="72"/>
              <w:spacing w:after="0"/>
              <w:rPr>
                <w:sz w:val="20"/>
                <w:szCs w:val="20"/>
                <w:color w:val="auto"/>
              </w:rPr>
            </w:pPr>
            <w:r>
              <w:rPr>
                <w:rFonts w:ascii="Arial" w:cs="Arial" w:eastAsia="Arial" w:hAnsi="Arial"/>
                <w:sz w:val="18"/>
                <w:szCs w:val="18"/>
                <w:color w:val="auto"/>
              </w:rPr>
              <w:t>6.75%</w:t>
            </w:r>
          </w:p>
        </w:tc>
        <w:tc>
          <w:tcPr>
            <w:tcW w:w="860" w:type="dxa"/>
            <w:vAlign w:val="bottom"/>
          </w:tcPr>
          <w:p>
            <w:pPr>
              <w:jc w:val="right"/>
              <w:ind w:right="152"/>
              <w:spacing w:after="0"/>
              <w:rPr>
                <w:sz w:val="20"/>
                <w:szCs w:val="20"/>
                <w:color w:val="auto"/>
              </w:rPr>
            </w:pPr>
            <w:r>
              <w:rPr>
                <w:rFonts w:ascii="Arial" w:cs="Arial" w:eastAsia="Arial" w:hAnsi="Arial"/>
                <w:sz w:val="18"/>
                <w:szCs w:val="18"/>
                <w:color w:val="auto"/>
              </w:rPr>
              <w:t>5.65%</w:t>
            </w:r>
          </w:p>
        </w:tc>
        <w:tc>
          <w:tcPr>
            <w:tcW w:w="36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340</w:t>
            </w: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40" w:type="dxa"/>
            <w:vAlign w:val="bottom"/>
            <w:gridSpan w:val="2"/>
          </w:tcPr>
          <w:p>
            <w:pPr>
              <w:ind w:left="20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500" w:type="dxa"/>
            <w:vAlign w:val="bottom"/>
            <w:gridSpan w:val="2"/>
          </w:tcPr>
          <w:p>
            <w:pPr>
              <w:jc w:val="right"/>
              <w:spacing w:after="0"/>
              <w:rPr>
                <w:sz w:val="20"/>
                <w:szCs w:val="20"/>
                <w:color w:val="auto"/>
              </w:rPr>
            </w:pPr>
            <w:r>
              <w:rPr>
                <w:rFonts w:ascii="Arial" w:cs="Arial" w:eastAsia="Arial" w:hAnsi="Arial"/>
                <w:sz w:val="18"/>
                <w:szCs w:val="18"/>
                <w:color w:val="auto"/>
              </w:rPr>
              <w:t>(26)</w:t>
            </w:r>
          </w:p>
        </w:tc>
      </w:tr>
      <w:tr>
        <w:trPr>
          <w:trHeight w:val="277"/>
        </w:trPr>
        <w:tc>
          <w:tcPr>
            <w:tcW w:w="2620" w:type="dxa"/>
            <w:vAlign w:val="bottom"/>
          </w:tcPr>
          <w:p>
            <w:pPr>
              <w:spacing w:after="0"/>
              <w:rPr>
                <w:sz w:val="20"/>
                <w:szCs w:val="20"/>
                <w:color w:val="auto"/>
              </w:rPr>
            </w:pPr>
            <w:r>
              <w:rPr>
                <w:rFonts w:ascii="Arial" w:cs="Arial" w:eastAsia="Arial" w:hAnsi="Arial"/>
                <w:sz w:val="18"/>
                <w:szCs w:val="18"/>
                <w:color w:val="auto"/>
                <w:w w:val="92"/>
              </w:rPr>
              <w:t>CAW hourly retiree healthcare plan</w:t>
            </w:r>
          </w:p>
        </w:tc>
        <w:tc>
          <w:tcPr>
            <w:tcW w:w="7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223"/>
        </w:trPr>
        <w:tc>
          <w:tcPr>
            <w:tcW w:w="2620" w:type="dxa"/>
            <w:vAlign w:val="bottom"/>
          </w:tcPr>
          <w:p>
            <w:pPr>
              <w:spacing w:after="0"/>
              <w:rPr>
                <w:sz w:val="20"/>
                <w:szCs w:val="20"/>
                <w:color w:val="auto"/>
              </w:rPr>
            </w:pPr>
            <w:r>
              <w:rPr>
                <w:rFonts w:ascii="Arial" w:cs="Arial" w:eastAsia="Arial" w:hAnsi="Arial"/>
                <w:sz w:val="18"/>
                <w:szCs w:val="18"/>
                <w:color w:val="auto"/>
              </w:rPr>
              <w:t>and CAW retiree life plan</w:t>
            </w:r>
          </w:p>
        </w:tc>
        <w:tc>
          <w:tcPr>
            <w:tcW w:w="720" w:type="dxa"/>
            <w:vAlign w:val="bottom"/>
          </w:tcPr>
          <w:p>
            <w:pPr>
              <w:jc w:val="right"/>
              <w:ind w:right="72"/>
              <w:spacing w:after="0"/>
              <w:rPr>
                <w:sz w:val="20"/>
                <w:szCs w:val="20"/>
                <w:color w:val="auto"/>
              </w:rPr>
            </w:pPr>
            <w:r>
              <w:rPr>
                <w:rFonts w:ascii="Arial" w:cs="Arial" w:eastAsia="Arial" w:hAnsi="Arial"/>
                <w:sz w:val="18"/>
                <w:szCs w:val="18"/>
                <w:color w:val="auto"/>
              </w:rPr>
              <w:t>7.00%</w:t>
            </w:r>
          </w:p>
        </w:tc>
        <w:tc>
          <w:tcPr>
            <w:tcW w:w="860" w:type="dxa"/>
            <w:vAlign w:val="bottom"/>
          </w:tcPr>
          <w:p>
            <w:pPr>
              <w:jc w:val="right"/>
              <w:ind w:right="152"/>
              <w:spacing w:after="0"/>
              <w:rPr>
                <w:sz w:val="20"/>
                <w:szCs w:val="20"/>
                <w:color w:val="auto"/>
              </w:rPr>
            </w:pPr>
            <w:r>
              <w:rPr>
                <w:rFonts w:ascii="Arial" w:cs="Arial" w:eastAsia="Arial" w:hAnsi="Arial"/>
                <w:sz w:val="18"/>
                <w:szCs w:val="18"/>
                <w:color w:val="auto"/>
              </w:rPr>
              <w:t>5.80%</w:t>
            </w:r>
          </w:p>
        </w:tc>
        <w:tc>
          <w:tcPr>
            <w:tcW w:w="360" w:type="dxa"/>
            <w:vAlign w:val="bottom"/>
          </w:tcPr>
          <w:p>
            <w:pPr>
              <w:spacing w:after="0"/>
              <w:rPr>
                <w:sz w:val="19"/>
                <w:szCs w:val="19"/>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8"/>
                <w:szCs w:val="18"/>
                <w:color w:val="auto"/>
              </w:rPr>
              <w:t>(143)</w:t>
            </w:r>
          </w:p>
        </w:tc>
        <w:tc>
          <w:tcPr>
            <w:tcW w:w="200" w:type="dxa"/>
            <w:vAlign w:val="bottom"/>
          </w:tcPr>
          <w:p>
            <w:pPr>
              <w:spacing w:after="0"/>
              <w:rPr>
                <w:sz w:val="19"/>
                <w:szCs w:val="19"/>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8"/>
                <w:szCs w:val="18"/>
                <w:color w:val="auto"/>
              </w:rPr>
              <w:t>93</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40" w:type="dxa"/>
            <w:vAlign w:val="bottom"/>
            <w:gridSpan w:val="2"/>
          </w:tcPr>
          <w:p>
            <w:pPr>
              <w:ind w:left="20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50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r>
      <w:tr>
        <w:trPr>
          <w:trHeight w:val="20"/>
        </w:trPr>
        <w:tc>
          <w:tcPr>
            <w:tcW w:w="26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23"/>
        </w:trPr>
        <w:tc>
          <w:tcPr>
            <w:tcW w:w="26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360" w:type="dxa"/>
            <w:vAlign w:val="bottom"/>
          </w:tcPr>
          <w:p>
            <w:pPr>
              <w:jc w:val="right"/>
              <w:ind w:right="172"/>
              <w:spacing w:after="0"/>
              <w:rPr>
                <w:sz w:val="20"/>
                <w:szCs w:val="20"/>
                <w:color w:val="auto"/>
              </w:rPr>
            </w:pPr>
            <w:r>
              <w:rPr>
                <w:rFonts w:ascii="Arial" w:cs="Arial" w:eastAsia="Arial" w:hAnsi="Arial"/>
                <w:sz w:val="18"/>
                <w:szCs w:val="18"/>
                <w:color w:val="auto"/>
                <w:w w:val="79"/>
              </w:rPr>
              <w:t>$</w:t>
            </w:r>
          </w:p>
        </w:tc>
        <w:tc>
          <w:tcPr>
            <w:tcW w:w="860" w:type="dxa"/>
            <w:vAlign w:val="bottom"/>
            <w:gridSpan w:val="2"/>
          </w:tcPr>
          <w:p>
            <w:pPr>
              <w:jc w:val="right"/>
              <w:ind w:right="200"/>
              <w:spacing w:after="0"/>
              <w:rPr>
                <w:sz w:val="20"/>
                <w:szCs w:val="20"/>
                <w:color w:val="auto"/>
              </w:rPr>
            </w:pPr>
            <w:r>
              <w:rPr>
                <w:rFonts w:ascii="Arial" w:cs="Arial" w:eastAsia="Arial" w:hAnsi="Arial"/>
                <w:sz w:val="18"/>
                <w:szCs w:val="18"/>
                <w:color w:val="auto"/>
              </w:rPr>
              <w:t>(457)</w:t>
            </w:r>
          </w:p>
        </w:tc>
        <w:tc>
          <w:tcPr>
            <w:tcW w:w="200" w:type="dxa"/>
            <w:vAlign w:val="bottom"/>
          </w:tcPr>
          <w:p>
            <w:pPr>
              <w:jc w:val="right"/>
              <w:ind w:right="12"/>
              <w:spacing w:after="0"/>
              <w:rPr>
                <w:sz w:val="20"/>
                <w:szCs w:val="20"/>
                <w:color w:val="auto"/>
              </w:rPr>
            </w:pPr>
            <w:r>
              <w:rPr>
                <w:rFonts w:ascii="Arial" w:cs="Arial" w:eastAsia="Arial" w:hAnsi="Arial"/>
                <w:sz w:val="18"/>
                <w:szCs w:val="18"/>
                <w:color w:val="auto"/>
                <w:w w:val="79"/>
              </w:rPr>
              <w:t>$</w:t>
            </w: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(1,624)</w:t>
            </w:r>
          </w:p>
        </w:tc>
        <w:tc>
          <w:tcPr>
            <w:tcW w:w="4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640" w:type="dxa"/>
            <w:vAlign w:val="bottom"/>
            <w:gridSpan w:val="2"/>
          </w:tcPr>
          <w:p>
            <w:pPr>
              <w:ind w:left="200"/>
              <w:spacing w:after="0"/>
              <w:rPr>
                <w:sz w:val="20"/>
                <w:szCs w:val="20"/>
                <w:color w:val="auto"/>
              </w:rPr>
            </w:pPr>
            <w:r>
              <w:rPr>
                <w:rFonts w:ascii="Arial" w:cs="Arial" w:eastAsia="Arial" w:hAnsi="Arial"/>
                <w:sz w:val="18"/>
                <w:szCs w:val="18"/>
                <w:color w:val="auto"/>
              </w:rPr>
              <w:t>—</w:t>
            </w:r>
          </w:p>
        </w:tc>
        <w:tc>
          <w:tcPr>
            <w:tcW w:w="280" w:type="dxa"/>
            <w:vAlign w:val="bottom"/>
          </w:tcPr>
          <w:p>
            <w:pPr>
              <w:jc w:val="right"/>
              <w:ind w:right="123"/>
              <w:spacing w:after="0"/>
              <w:rPr>
                <w:sz w:val="20"/>
                <w:szCs w:val="20"/>
                <w:color w:val="auto"/>
              </w:rPr>
            </w:pPr>
            <w:r>
              <w:rPr>
                <w:rFonts w:ascii="Arial" w:cs="Arial" w:eastAsia="Arial" w:hAnsi="Arial"/>
                <w:sz w:val="15"/>
                <w:szCs w:val="15"/>
                <w:color w:val="auto"/>
                <w:w w:val="71"/>
              </w:rPr>
              <w:t>$</w:t>
            </w:r>
          </w:p>
        </w:tc>
        <w:tc>
          <w:tcPr>
            <w:tcW w:w="500" w:type="dxa"/>
            <w:vAlign w:val="bottom"/>
            <w:gridSpan w:val="2"/>
          </w:tcPr>
          <w:p>
            <w:pPr>
              <w:jc w:val="right"/>
              <w:spacing w:after="0"/>
              <w:rPr>
                <w:sz w:val="20"/>
                <w:szCs w:val="20"/>
                <w:color w:val="auto"/>
              </w:rPr>
            </w:pPr>
            <w:r>
              <w:rPr>
                <w:rFonts w:ascii="Arial" w:cs="Arial" w:eastAsia="Arial" w:hAnsi="Arial"/>
                <w:sz w:val="18"/>
                <w:szCs w:val="18"/>
                <w:color w:val="auto"/>
              </w:rPr>
              <w:t>(38)</w:t>
            </w:r>
          </w:p>
        </w:tc>
      </w:tr>
      <w:tr>
        <w:trPr>
          <w:trHeight w:val="20"/>
        </w:trPr>
        <w:tc>
          <w:tcPr>
            <w:tcW w:w="26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-2026285</wp:posOffset>
            </wp:positionH>
            <wp:positionV relativeFrom="paragraph">
              <wp:posOffset>-1423035</wp:posOffset>
            </wp:positionV>
            <wp:extent cx="7246620" cy="28321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46620" cy="283210"/>
                    </a:xfrm>
                    <a:prstGeom prst="rect">
                      <a:avLst/>
                    </a:prstGeom>
                    <a:noFill/>
                  </pic:spPr>
                </pic:pic>
              </a:graphicData>
            </a:graphic>
          </wp:anchor>
        </w:drawing>
        <w:drawing>
          <wp:anchor simplePos="0" relativeHeight="251657728" behindDoc="1" locked="0" layoutInCell="0" allowOverlap="1">
            <wp:simplePos x="0" y="0"/>
            <wp:positionH relativeFrom="column">
              <wp:posOffset>-2026285</wp:posOffset>
            </wp:positionH>
            <wp:positionV relativeFrom="paragraph">
              <wp:posOffset>-770890</wp:posOffset>
            </wp:positionV>
            <wp:extent cx="7246620" cy="27432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46620" cy="274320"/>
                    </a:xfrm>
                    <a:prstGeom prst="rect">
                      <a:avLst/>
                    </a:prstGeom>
                    <a:noFill/>
                  </pic:spPr>
                </pic:pic>
              </a:graphicData>
            </a:graphic>
          </wp:anchor>
        </w:drawing>
        <w:drawing>
          <wp:anchor simplePos="0" relativeHeight="251657728" behindDoc="1" locked="0" layoutInCell="0" allowOverlap="1">
            <wp:simplePos x="0" y="0"/>
            <wp:positionH relativeFrom="column">
              <wp:posOffset>-2026285</wp:posOffset>
            </wp:positionH>
            <wp:positionV relativeFrom="paragraph">
              <wp:posOffset>-162560</wp:posOffset>
            </wp:positionV>
            <wp:extent cx="7246620" cy="13716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line="154" w:lineRule="exact"/>
        <w:rPr>
          <w:sz w:val="20"/>
          <w:szCs w:val="20"/>
          <w:color w:val="auto"/>
        </w:rPr>
      </w:pPr>
    </w:p>
    <w:p>
      <w:pPr>
        <w:sectPr>
          <w:pgSz w:w="11900" w:h="16838" w:orient="portrait"/>
          <w:cols w:equalWidth="0" w:num="2">
            <w:col w:w="2480" w:space="720"/>
            <w:col w:w="8220"/>
          </w:cols>
          <w:pgMar w:left="240" w:top="459" w:right="239" w:bottom="1440" w:gutter="0" w:footer="0" w:header="0"/>
          <w:type w:val="continuous"/>
        </w:sectPr>
      </w:pPr>
    </w:p>
    <w:p>
      <w:pPr>
        <w:jc w:val="center"/>
        <w:spacing w:after="0"/>
        <w:rPr>
          <w:sz w:val="20"/>
          <w:szCs w:val="20"/>
          <w:color w:val="auto"/>
        </w:rPr>
      </w:pPr>
      <w:r>
        <w:rPr>
          <w:rFonts w:ascii="Arial" w:cs="Arial" w:eastAsia="Arial" w:hAnsi="Arial"/>
          <w:sz w:val="16"/>
          <w:szCs w:val="16"/>
          <w:color w:val="auto"/>
        </w:rPr>
        <w:t>34</w:t>
      </w:r>
    </w:p>
    <w:p>
      <w:pPr>
        <w:sectPr>
          <w:pgSz w:w="11900" w:h="16838" w:orient="portrait"/>
          <w:cols w:equalWidth="0" w:num="1">
            <w:col w:w="11420"/>
          </w:cols>
          <w:pgMar w:left="240" w:top="459" w:right="239" w:bottom="1440" w:gutter="0" w:footer="0" w:header="0"/>
          <w:type w:val="continuous"/>
        </w:sectPr>
      </w:pPr>
    </w:p>
    <w:bookmarkStart w:id="36" w:name="page37"/>
    <w:bookmarkEnd w:id="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339"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2009 Special Attrition Programs</w:t>
      </w:r>
    </w:p>
    <w:p>
      <w:pPr>
        <w:spacing w:after="0" w:line="171" w:lineRule="exact"/>
        <w:rPr>
          <w:sz w:val="20"/>
          <w:szCs w:val="20"/>
          <w:color w:val="auto"/>
        </w:rPr>
      </w:pPr>
    </w:p>
    <w:p>
      <w:pPr>
        <w:jc w:val="both"/>
        <w:ind w:right="180" w:firstLine="228"/>
        <w:spacing w:after="0" w:line="256" w:lineRule="auto"/>
        <w:rPr>
          <w:sz w:val="20"/>
          <w:szCs w:val="20"/>
          <w:color w:val="auto"/>
        </w:rPr>
      </w:pPr>
      <w:r>
        <w:rPr>
          <w:rFonts w:ascii="Arial" w:cs="Arial" w:eastAsia="Arial" w:hAnsi="Arial"/>
          <w:sz w:val="18"/>
          <w:szCs w:val="18"/>
          <w:color w:val="auto"/>
        </w:rPr>
        <w:t>In February and June 2009 Old GM announced special attrition programs for eligible International Union, United Automobile, Aerospace and Agricultural Implement Workers of America (UAW) represented employees, offering cash and other incentives for individuals who elected to retire or voluntarily terminate employment. In the period January 1, 2009 through July 9, 2009 Old GM recorded postemployment benefit charges for 13,000 employees. Refer to Note 20 for additional information on the postemployment benefit charges.</w:t>
      </w:r>
    </w:p>
    <w:p>
      <w:pPr>
        <w:spacing w:after="0" w:line="143" w:lineRule="exact"/>
        <w:rPr>
          <w:sz w:val="20"/>
          <w:szCs w:val="20"/>
          <w:color w:val="auto"/>
        </w:rPr>
      </w:pPr>
    </w:p>
    <w:p>
      <w:pPr>
        <w:ind w:right="120" w:firstLine="228"/>
        <w:spacing w:after="0" w:line="259" w:lineRule="auto"/>
        <w:rPr>
          <w:sz w:val="20"/>
          <w:szCs w:val="20"/>
          <w:color w:val="auto"/>
        </w:rPr>
      </w:pPr>
      <w:r>
        <w:rPr>
          <w:rFonts w:ascii="Arial" w:cs="Arial" w:eastAsia="Arial" w:hAnsi="Arial"/>
          <w:sz w:val="18"/>
          <w:szCs w:val="18"/>
          <w:color w:val="auto"/>
        </w:rPr>
        <w:t>Old GM remeasured the U.S. hourly defined benefit pension plan in June 2009 based on 7,800 irrevocable acceptances of the 2009 special attrition programs through that date, as these acceptances of the special attrition programs yielded a significant reduction in the expected future years of service of active participants.</w:t>
      </w:r>
    </w:p>
    <w:p>
      <w:pPr>
        <w:spacing w:after="0" w:line="140" w:lineRule="exact"/>
        <w:rPr>
          <w:sz w:val="20"/>
          <w:szCs w:val="20"/>
          <w:color w:val="auto"/>
        </w:rPr>
      </w:pPr>
    </w:p>
    <w:p>
      <w:pPr>
        <w:ind w:right="20" w:firstLine="228"/>
        <w:spacing w:after="0" w:line="259" w:lineRule="auto"/>
        <w:rPr>
          <w:sz w:val="20"/>
          <w:szCs w:val="20"/>
          <w:color w:val="auto"/>
        </w:rPr>
      </w:pPr>
      <w:r>
        <w:rPr>
          <w:rFonts w:ascii="Arial" w:cs="Arial" w:eastAsia="Arial" w:hAnsi="Arial"/>
          <w:sz w:val="18"/>
          <w:szCs w:val="18"/>
          <w:color w:val="auto"/>
        </w:rPr>
        <w:t>In the period July 10, 2009 through September 30, 2009 5,000 employees accepted the 2009 Special Attrition Programs. As a result, we recorded pension special termination benefit charges for 1,000 of those employees, based upon their elections. Plan remeasurement was not required because the July 10, 2009 plan assumptions included the 2009 Special Attrition Programs.</w:t>
      </w:r>
    </w:p>
    <w:p>
      <w:pPr>
        <w:spacing w:after="0" w:line="140"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Global Salaried Workforce Reductions</w:t>
      </w:r>
    </w:p>
    <w:p>
      <w:pPr>
        <w:spacing w:after="0" w:line="171" w:lineRule="exact"/>
        <w:rPr>
          <w:sz w:val="20"/>
          <w:szCs w:val="20"/>
          <w:color w:val="auto"/>
        </w:rPr>
      </w:pPr>
    </w:p>
    <w:p>
      <w:pPr>
        <w:ind w:right="180" w:firstLine="228"/>
        <w:spacing w:after="0" w:line="332" w:lineRule="auto"/>
        <w:rPr>
          <w:sz w:val="20"/>
          <w:szCs w:val="20"/>
          <w:color w:val="auto"/>
        </w:rPr>
      </w:pPr>
      <w:r>
        <w:rPr>
          <w:rFonts w:ascii="Arial" w:cs="Arial" w:eastAsia="Arial" w:hAnsi="Arial"/>
          <w:sz w:val="16"/>
          <w:szCs w:val="16"/>
          <w:color w:val="auto"/>
        </w:rPr>
        <w:t>In February and June 2009 Old GM announced its intention to reduce global salaried headcount. In June 2009 Old GM remeasured the U.S. salaried defined benefit pension plan based upon an estimated significant reduction in the expected future years of service of active participants.</w:t>
      </w:r>
    </w:p>
    <w:p>
      <w:pPr>
        <w:spacing w:after="0" w:line="85" w:lineRule="exact"/>
        <w:rPr>
          <w:sz w:val="20"/>
          <w:szCs w:val="20"/>
          <w:color w:val="auto"/>
        </w:rPr>
      </w:pPr>
    </w:p>
    <w:p>
      <w:pPr>
        <w:ind w:right="80" w:firstLine="228"/>
        <w:spacing w:after="0" w:line="291" w:lineRule="auto"/>
        <w:rPr>
          <w:sz w:val="20"/>
          <w:szCs w:val="20"/>
          <w:color w:val="auto"/>
        </w:rPr>
      </w:pPr>
      <w:r>
        <w:rPr>
          <w:rFonts w:ascii="Arial" w:cs="Arial" w:eastAsia="Arial" w:hAnsi="Arial"/>
          <w:sz w:val="16"/>
          <w:szCs w:val="16"/>
          <w:color w:val="auto"/>
        </w:rPr>
        <w:t>The U.S. salaried employee reductions related to this initiative were to be accomplished primarily through a salaried separation window program or through a severance program funded from operating cash flows. These programs were involuntary programs subject to management approval where employees were permitted to express interest in retirement or separation, for which the charges for the salaried separation window program were recorded as special termination benefits funded from the U.S. salaried defined benefit pension plan and other applicable retirement benefit plans. The costs associated with the total targeted headcount reductions expected to terminate under the programs was determined to be probable and estimable and severance charges of $250 million were recorded in the period January 1, 2009 through July 9, 2009. Refer to Note 20 for additional information on the involuntary severance program.</w:t>
      </w:r>
    </w:p>
    <w:p>
      <w:pPr>
        <w:spacing w:after="0" w:line="120" w:lineRule="exact"/>
        <w:rPr>
          <w:sz w:val="20"/>
          <w:szCs w:val="20"/>
          <w:color w:val="auto"/>
        </w:rPr>
      </w:pPr>
    </w:p>
    <w:p>
      <w:pPr>
        <w:ind w:right="240" w:firstLine="228"/>
        <w:spacing w:after="0" w:line="259" w:lineRule="auto"/>
        <w:rPr>
          <w:sz w:val="20"/>
          <w:szCs w:val="20"/>
          <w:color w:val="auto"/>
        </w:rPr>
      </w:pPr>
      <w:r>
        <w:rPr>
          <w:rFonts w:ascii="Arial" w:cs="Arial" w:eastAsia="Arial" w:hAnsi="Arial"/>
          <w:sz w:val="18"/>
          <w:szCs w:val="18"/>
          <w:color w:val="auto"/>
        </w:rPr>
        <w:t>In the period July 10, 2009 through September 30, 2009 1,200 salaried employees irrevocably accepted the salaried separation window program option. We reduced the severance accrual that had previously been recorded in the three months ended June 30, 2009 by $64 million and recorded pension special termination benefits.</w:t>
      </w:r>
    </w:p>
    <w:p>
      <w:pPr>
        <w:spacing w:after="0" w:line="140"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U.S. Salaried Benefits Changes</w:t>
      </w:r>
    </w:p>
    <w:p>
      <w:pPr>
        <w:spacing w:after="0" w:line="171" w:lineRule="exact"/>
        <w:rPr>
          <w:sz w:val="20"/>
          <w:szCs w:val="20"/>
          <w:color w:val="auto"/>
        </w:rPr>
      </w:pPr>
    </w:p>
    <w:p>
      <w:pPr>
        <w:ind w:right="260" w:firstLine="228"/>
        <w:spacing w:after="0" w:line="259" w:lineRule="auto"/>
        <w:rPr>
          <w:sz w:val="20"/>
          <w:szCs w:val="20"/>
          <w:color w:val="auto"/>
        </w:rPr>
      </w:pPr>
      <w:r>
        <w:rPr>
          <w:rFonts w:ascii="Arial" w:cs="Arial" w:eastAsia="Arial" w:hAnsi="Arial"/>
          <w:sz w:val="18"/>
          <w:szCs w:val="18"/>
          <w:color w:val="auto"/>
        </w:rPr>
        <w:t>In February 2009 Old GM reduced salaried retiree life insurance benefits for U.S. salaried employees and remeasured its U.S. salaried retiree life insurance plan. In June 2009 Old GM approved and communicated negative plan amendments associated with the U.S. salaried retiree healthcare program, including reduced coverage and increased cost sharing. The plan was remeasured in June 2009.</w:t>
      </w:r>
    </w:p>
    <w:p>
      <w:pPr>
        <w:spacing w:after="0" w:line="140" w:lineRule="exact"/>
        <w:rPr>
          <w:sz w:val="20"/>
          <w:szCs w:val="20"/>
          <w:color w:val="auto"/>
        </w:rPr>
      </w:pPr>
    </w:p>
    <w:p>
      <w:pPr>
        <w:ind w:firstLine="228"/>
        <w:spacing w:after="0" w:line="306" w:lineRule="auto"/>
        <w:rPr>
          <w:sz w:val="20"/>
          <w:szCs w:val="20"/>
          <w:color w:val="auto"/>
        </w:rPr>
      </w:pPr>
      <w:r>
        <w:rPr>
          <w:rFonts w:ascii="Arial" w:cs="Arial" w:eastAsia="Arial" w:hAnsi="Arial"/>
          <w:sz w:val="16"/>
          <w:szCs w:val="16"/>
          <w:color w:val="auto"/>
        </w:rPr>
        <w:t>In June 2009 Old GM communicated additional changes in benefits for retired salaried employees including a further reduction in retiree life insurance, elimination of the supplemental executive life insurance benefit, and reduction in the supplemental executive retirement plan. These plan changes were contingent on completion of the 363 Sale and the effects of these amendments were included in the fresh-start remeasurements in July 2009.</w:t>
      </w:r>
    </w:p>
    <w:p>
      <w:pPr>
        <w:spacing w:after="0" w:line="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400"/>
          </w:cols>
          <w:pgMar w:left="240" w:top="459" w:right="259" w:bottom="1440" w:gutter="0" w:footer="0" w:header="0"/>
        </w:sectPr>
      </w:pPr>
    </w:p>
    <w:bookmarkStart w:id="37" w:name="page38"/>
    <w:bookmarkEnd w:id="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339"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2009 Revised UAW Settlement Agreement</w:t>
      </w:r>
    </w:p>
    <w:p>
      <w:pPr>
        <w:spacing w:after="0" w:line="171" w:lineRule="exact"/>
        <w:rPr>
          <w:sz w:val="20"/>
          <w:szCs w:val="20"/>
          <w:color w:val="auto"/>
        </w:rPr>
      </w:pPr>
    </w:p>
    <w:p>
      <w:pPr>
        <w:jc w:val="both"/>
        <w:ind w:right="140" w:firstLine="228"/>
        <w:spacing w:after="0" w:line="335" w:lineRule="auto"/>
        <w:rPr>
          <w:sz w:val="20"/>
          <w:szCs w:val="20"/>
          <w:color w:val="auto"/>
        </w:rPr>
      </w:pPr>
      <w:r>
        <w:rPr>
          <w:rFonts w:ascii="Arial" w:cs="Arial" w:eastAsia="Arial" w:hAnsi="Arial"/>
          <w:sz w:val="15"/>
          <w:szCs w:val="15"/>
          <w:color w:val="auto"/>
        </w:rPr>
        <w:t>In May 2009 Old GM and the UAW agreed to a revised settlement agreement that was related to the UAW hourly retiree medical plan and a 2008 settlement agreement that permanently shifted responsibility for providing retiree healthcare from Old GM to a new healthcare plan funded by the New VEBA. We and the UAW executed the revised settlement agreement on July 10, 2009 in connection with the 363 Sale. The most significant changes to the agreement included:</w:t>
      </w:r>
    </w:p>
    <w:p>
      <w:pPr>
        <w:spacing w:after="0" w:line="129" w:lineRule="exact"/>
        <w:rPr>
          <w:sz w:val="20"/>
          <w:szCs w:val="20"/>
          <w:color w:val="auto"/>
        </w:rPr>
      </w:pPr>
    </w:p>
    <w:p>
      <w:pPr>
        <w:ind w:left="660" w:right="580" w:hanging="436"/>
        <w:spacing w:after="0" w:line="268" w:lineRule="auto"/>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implementation date changed from January 1, 2010 to the later of December 31, 2009 or the closing date of the 363 Sale, which occurred on July 10, 2009;</w:t>
      </w:r>
    </w:p>
    <w:p>
      <w:pPr>
        <w:spacing w:after="0" w:line="50" w:lineRule="exact"/>
        <w:rPr>
          <w:rFonts w:ascii="Arial" w:cs="Arial" w:eastAsia="Arial" w:hAnsi="Arial"/>
          <w:sz w:val="18"/>
          <w:szCs w:val="18"/>
          <w:color w:val="auto"/>
        </w:rPr>
      </w:pPr>
    </w:p>
    <w:p>
      <w:pPr>
        <w:ind w:left="660" w:hanging="436"/>
        <w:spacing w:after="0"/>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timing of payments to the New VEBA changed as subsequently discussed;</w:t>
      </w:r>
    </w:p>
    <w:p>
      <w:pPr>
        <w:spacing w:after="0" w:line="90" w:lineRule="exact"/>
        <w:rPr>
          <w:rFonts w:ascii="Arial" w:cs="Arial" w:eastAsia="Arial" w:hAnsi="Arial"/>
          <w:sz w:val="18"/>
          <w:szCs w:val="18"/>
          <w:color w:val="auto"/>
        </w:rPr>
      </w:pPr>
    </w:p>
    <w:p>
      <w:pPr>
        <w:ind w:left="660" w:hanging="436"/>
        <w:spacing w:after="0"/>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form of consideration changed as subsequently discussed;</w:t>
      </w:r>
    </w:p>
    <w:p>
      <w:pPr>
        <w:spacing w:after="0" w:line="90" w:lineRule="exact"/>
        <w:rPr>
          <w:rFonts w:ascii="Arial" w:cs="Arial" w:eastAsia="Arial" w:hAnsi="Arial"/>
          <w:sz w:val="18"/>
          <w:szCs w:val="18"/>
          <w:color w:val="auto"/>
        </w:rPr>
      </w:pPr>
    </w:p>
    <w:p>
      <w:pPr>
        <w:ind w:left="660" w:right="420" w:hanging="436"/>
        <w:spacing w:after="0" w:line="268" w:lineRule="auto"/>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contribution of employer securities changed such that they were to be contributed directly to the New VEBA in connection with the successful completion of the 363 Sale;</w:t>
      </w:r>
    </w:p>
    <w:p>
      <w:pPr>
        <w:spacing w:after="0" w:line="50" w:lineRule="exact"/>
        <w:rPr>
          <w:rFonts w:ascii="Arial" w:cs="Arial" w:eastAsia="Arial" w:hAnsi="Arial"/>
          <w:sz w:val="18"/>
          <w:szCs w:val="18"/>
          <w:color w:val="auto"/>
        </w:rPr>
      </w:pPr>
    </w:p>
    <w:p>
      <w:pPr>
        <w:ind w:left="660" w:hanging="436"/>
        <w:spacing w:after="0"/>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Certain coverages will be eliminated and certain cost sharing provisions will increase; and</w:t>
      </w:r>
    </w:p>
    <w:p>
      <w:pPr>
        <w:spacing w:after="0" w:line="90" w:lineRule="exact"/>
        <w:rPr>
          <w:rFonts w:ascii="Arial" w:cs="Arial" w:eastAsia="Arial" w:hAnsi="Arial"/>
          <w:sz w:val="18"/>
          <w:szCs w:val="18"/>
          <w:color w:val="auto"/>
        </w:rPr>
      </w:pPr>
    </w:p>
    <w:p>
      <w:pPr>
        <w:ind w:left="660" w:hanging="436"/>
        <w:spacing w:after="0"/>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flat monthly special lifetime pension benefit that was scheduled to commence on January 1, 2010 was eliminated.</w:t>
      </w:r>
    </w:p>
    <w:p>
      <w:pPr>
        <w:spacing w:after="0" w:line="171" w:lineRule="exact"/>
        <w:rPr>
          <w:sz w:val="20"/>
          <w:szCs w:val="20"/>
          <w:color w:val="auto"/>
        </w:rPr>
      </w:pPr>
    </w:p>
    <w:p>
      <w:pPr>
        <w:ind w:right="40" w:firstLine="228"/>
        <w:spacing w:after="0" w:line="332" w:lineRule="auto"/>
        <w:rPr>
          <w:sz w:val="20"/>
          <w:szCs w:val="20"/>
          <w:color w:val="auto"/>
        </w:rPr>
      </w:pPr>
      <w:r>
        <w:rPr>
          <w:rFonts w:ascii="Arial" w:cs="Arial" w:eastAsia="Arial" w:hAnsi="Arial"/>
          <w:sz w:val="16"/>
          <w:szCs w:val="16"/>
          <w:color w:val="auto"/>
        </w:rPr>
        <w:t>There was no change to the timing of our existing internal VEBA asset transfer to the New VEBA in that the internal VEBA asset transfer was to occur within 10 business days after December 31, 2009 under both the 2008 settlement agreement and the 2009 revised settlement agreements with the UAW.</w:t>
      </w:r>
    </w:p>
    <w:p>
      <w:pPr>
        <w:spacing w:after="0" w:line="85" w:lineRule="exact"/>
        <w:rPr>
          <w:sz w:val="20"/>
          <w:szCs w:val="20"/>
          <w:color w:val="auto"/>
        </w:rPr>
      </w:pPr>
    </w:p>
    <w:p>
      <w:pPr>
        <w:ind w:left="240"/>
        <w:spacing w:after="0"/>
        <w:rPr>
          <w:sz w:val="20"/>
          <w:szCs w:val="20"/>
          <w:color w:val="auto"/>
        </w:rPr>
      </w:pPr>
      <w:r>
        <w:rPr>
          <w:rFonts w:ascii="Arial" w:cs="Arial" w:eastAsia="Arial" w:hAnsi="Arial"/>
          <w:sz w:val="16"/>
          <w:szCs w:val="16"/>
          <w:color w:val="auto"/>
        </w:rPr>
        <w:t>The new payment terms to the New VEBA under the revised settlement agreement, which were subject to the successful completion of the 363 Sale, were:</w:t>
      </w:r>
    </w:p>
    <w:p>
      <w:pPr>
        <w:spacing w:after="0" w:line="235" w:lineRule="exact"/>
        <w:rPr>
          <w:sz w:val="20"/>
          <w:szCs w:val="20"/>
          <w:color w:val="auto"/>
        </w:rPr>
      </w:pPr>
    </w:p>
    <w:p>
      <w:pPr>
        <w:ind w:left="660" w:right="280" w:hanging="436"/>
        <w:spacing w:after="0" w:line="268" w:lineRule="auto"/>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VEBA Notes of $2.5 billion plus accrued interest, at an implied interest rate of 9.0% per annum, scheduled to be repaid in three equal installments of $1.4 billion in July of 2013, 2015 and 2017;</w:t>
      </w:r>
    </w:p>
    <w:p>
      <w:pPr>
        <w:spacing w:after="0" w:line="50" w:lineRule="exact"/>
        <w:rPr>
          <w:rFonts w:ascii="Arial" w:cs="Arial" w:eastAsia="Arial" w:hAnsi="Arial"/>
          <w:sz w:val="18"/>
          <w:szCs w:val="18"/>
          <w:color w:val="auto"/>
        </w:rPr>
      </w:pPr>
    </w:p>
    <w:p>
      <w:pPr>
        <w:ind w:left="660" w:right="380" w:hanging="436"/>
        <w:spacing w:after="0" w:line="268" w:lineRule="auto"/>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260 million shares of our Series A Fixed Rate Cumulative Perpetual Preferred Stock (Series A Preferred Stock) that accrue cumulative dividends at 9.0% per annum;</w:t>
      </w:r>
    </w:p>
    <w:p>
      <w:pPr>
        <w:spacing w:after="0" w:line="50" w:lineRule="exact"/>
        <w:rPr>
          <w:rFonts w:ascii="Arial" w:cs="Arial" w:eastAsia="Arial" w:hAnsi="Arial"/>
          <w:sz w:val="18"/>
          <w:szCs w:val="18"/>
          <w:color w:val="auto"/>
        </w:rPr>
      </w:pPr>
    </w:p>
    <w:p>
      <w:pPr>
        <w:ind w:left="660" w:hanging="436"/>
        <w:spacing w:after="0"/>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263 million shares (17.5%) of our common stock;</w:t>
      </w:r>
    </w:p>
    <w:p>
      <w:pPr>
        <w:spacing w:after="0" w:line="90" w:lineRule="exact"/>
        <w:rPr>
          <w:rFonts w:ascii="Arial" w:cs="Arial" w:eastAsia="Arial" w:hAnsi="Arial"/>
          <w:sz w:val="18"/>
          <w:szCs w:val="18"/>
          <w:color w:val="auto"/>
        </w:rPr>
      </w:pPr>
    </w:p>
    <w:p>
      <w:pPr>
        <w:ind w:left="660" w:hanging="436"/>
        <w:spacing w:after="0"/>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A warrant to acquire 45 million shares (2.5%) of our common stock at $42.31 per share at any time prior to December 31, 2015;</w:t>
      </w:r>
    </w:p>
    <w:p>
      <w:pPr>
        <w:spacing w:after="0" w:line="90" w:lineRule="exact"/>
        <w:rPr>
          <w:rFonts w:ascii="Arial" w:cs="Arial" w:eastAsia="Arial" w:hAnsi="Arial"/>
          <w:sz w:val="18"/>
          <w:szCs w:val="18"/>
          <w:color w:val="auto"/>
        </w:rPr>
      </w:pPr>
    </w:p>
    <w:p>
      <w:pPr>
        <w:ind w:left="660" w:hanging="436"/>
        <w:spacing w:after="0"/>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Two years funding of claims costs for individuals that elected the special attrition programs announced in 2009; and</w:t>
      </w:r>
    </w:p>
    <w:p>
      <w:pPr>
        <w:spacing w:after="0" w:line="90" w:lineRule="exact"/>
        <w:rPr>
          <w:rFonts w:ascii="Arial" w:cs="Arial" w:eastAsia="Arial" w:hAnsi="Arial"/>
          <w:sz w:val="18"/>
          <w:szCs w:val="18"/>
          <w:color w:val="auto"/>
        </w:rPr>
      </w:pPr>
    </w:p>
    <w:p>
      <w:pPr>
        <w:ind w:left="660" w:hanging="436"/>
        <w:spacing w:after="0"/>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existing internal VEBA assets.</w:t>
      </w:r>
    </w:p>
    <w:p>
      <w:pPr>
        <w:spacing w:after="0" w:line="171" w:lineRule="exact"/>
        <w:rPr>
          <w:sz w:val="20"/>
          <w:szCs w:val="20"/>
          <w:color w:val="auto"/>
        </w:rPr>
      </w:pPr>
    </w:p>
    <w:p>
      <w:pPr>
        <w:ind w:right="440" w:firstLine="228"/>
        <w:spacing w:after="0" w:line="268" w:lineRule="auto"/>
        <w:rPr>
          <w:sz w:val="20"/>
          <w:szCs w:val="20"/>
          <w:color w:val="auto"/>
        </w:rPr>
      </w:pPr>
      <w:r>
        <w:rPr>
          <w:rFonts w:ascii="Arial" w:cs="Arial" w:eastAsia="Arial" w:hAnsi="Arial"/>
          <w:sz w:val="18"/>
          <w:szCs w:val="18"/>
          <w:color w:val="auto"/>
        </w:rPr>
        <w:t>The modifications to the settlement agreement and the new payment terms resulted in a reorganization gain of $7.7 billion. Refer to Note 2 for additional information on Reorganization gains, net.</w:t>
      </w:r>
    </w:p>
    <w:p>
      <w:pPr>
        <w:spacing w:after="0" w:line="132" w:lineRule="exact"/>
        <w:rPr>
          <w:sz w:val="20"/>
          <w:szCs w:val="20"/>
          <w:color w:val="auto"/>
        </w:rPr>
      </w:pPr>
    </w:p>
    <w:p>
      <w:pPr>
        <w:ind w:firstLine="228"/>
        <w:spacing w:after="0" w:line="256" w:lineRule="auto"/>
        <w:rPr>
          <w:sz w:val="20"/>
          <w:szCs w:val="20"/>
          <w:color w:val="auto"/>
        </w:rPr>
      </w:pPr>
      <w:r>
        <w:rPr>
          <w:rFonts w:ascii="Arial" w:cs="Arial" w:eastAsia="Arial" w:hAnsi="Arial"/>
          <w:sz w:val="18"/>
          <w:szCs w:val="18"/>
          <w:color w:val="auto"/>
        </w:rPr>
        <w:t>Under the terms of the revised settlement agreement, we are released from UAW retiree healthcare claims incurred after December 31, 2009. All obligations of ours and any other entity or benefit plan of ours for retiree medical benefits for the class and the covered group arising from any agreement between us and the UAW were terminated at December 31, 2009. Our obligations to the new healthcare plan and the New VEBA are limited to the terms of the revised settlement agreement.</w:t>
      </w:r>
    </w:p>
    <w:p>
      <w:pPr>
        <w:spacing w:after="0" w:line="143" w:lineRule="exact"/>
        <w:rPr>
          <w:sz w:val="20"/>
          <w:szCs w:val="20"/>
          <w:color w:val="auto"/>
        </w:rPr>
      </w:pPr>
    </w:p>
    <w:p>
      <w:pPr>
        <w:jc w:val="both"/>
        <w:ind w:right="100" w:firstLine="228"/>
        <w:spacing w:after="0" w:line="259" w:lineRule="auto"/>
        <w:rPr>
          <w:sz w:val="20"/>
          <w:szCs w:val="20"/>
          <w:color w:val="auto"/>
        </w:rPr>
      </w:pPr>
      <w:r>
        <w:rPr>
          <w:rFonts w:ascii="Arial" w:cs="Arial" w:eastAsia="Arial" w:hAnsi="Arial"/>
          <w:sz w:val="18"/>
          <w:szCs w:val="18"/>
          <w:color w:val="auto"/>
        </w:rPr>
        <w:t>At September 30, 2009 the 260 million shares of Series A Preferred Stock issued to the New VEBA were not considered outstanding for accounting purposes due to the terms of the revised settlement agreement with the UAW. As a result, $105 million of the $146 million of dividends paid on September 15, 2009 were recorded as a reduction of Postretirement benefits other than pensions.</w:t>
      </w:r>
    </w:p>
    <w:p>
      <w:pPr>
        <w:spacing w:after="0" w:line="140" w:lineRule="exact"/>
        <w:rPr>
          <w:sz w:val="20"/>
          <w:szCs w:val="20"/>
          <w:color w:val="auto"/>
        </w:rPr>
      </w:pPr>
    </w:p>
    <w:p>
      <w:pPr>
        <w:ind w:right="240" w:firstLine="228"/>
        <w:spacing w:after="0" w:line="268" w:lineRule="auto"/>
        <w:rPr>
          <w:sz w:val="20"/>
          <w:szCs w:val="20"/>
          <w:color w:val="auto"/>
        </w:rPr>
      </w:pPr>
      <w:r>
        <w:rPr>
          <w:rFonts w:ascii="Arial" w:cs="Arial" w:eastAsia="Arial" w:hAnsi="Arial"/>
          <w:sz w:val="18"/>
          <w:szCs w:val="18"/>
          <w:color w:val="auto"/>
        </w:rPr>
        <w:t>On October 26, 2010 we repaid in full the outstanding amount (together with accreted interest thereon) of the VEBA Notes of $2.8 billion. Refer to Note 27 for additional information.</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420"/>
          </w:cols>
          <w:pgMar w:left="240" w:top="459" w:right="239" w:bottom="1440" w:gutter="0" w:footer="0" w:header="0"/>
        </w:sectPr>
      </w:pPr>
    </w:p>
    <w:bookmarkStart w:id="38" w:name="page39"/>
    <w:bookmarkEnd w:id="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339"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IUE-CWA and USW Settlement Agreement</w:t>
      </w:r>
    </w:p>
    <w:p>
      <w:pPr>
        <w:spacing w:after="0" w:line="171" w:lineRule="exact"/>
        <w:rPr>
          <w:sz w:val="20"/>
          <w:szCs w:val="20"/>
          <w:color w:val="auto"/>
        </w:rPr>
      </w:pPr>
    </w:p>
    <w:p>
      <w:pPr>
        <w:ind w:right="40" w:firstLine="228"/>
        <w:spacing w:after="0" w:line="288" w:lineRule="auto"/>
        <w:rPr>
          <w:sz w:val="20"/>
          <w:szCs w:val="20"/>
          <w:color w:val="auto"/>
        </w:rPr>
      </w:pPr>
      <w:r>
        <w:rPr>
          <w:rFonts w:ascii="Arial" w:cs="Arial" w:eastAsia="Arial" w:hAnsi="Arial"/>
          <w:sz w:val="16"/>
          <w:szCs w:val="16"/>
          <w:color w:val="auto"/>
        </w:rPr>
        <w:t>In September 2009 we entered into a settlement agreement with MLC, the International Union of Electronic, Electrical, Salaried, Machine and Furniture Workers — Communication Workers of America (IUE-CWA), and the United Steel, Paper and Forestry, Rubber, Manufacturing, Energy, Allied Industrial and Service Workers International Union (USW). Under the settlement agreement, the IUE-CWA and the USW agreed to withdraw and release all claims against us and MLC relating to retiree healthcare benefits and basic life insurance benefits. In exchange, IUE-CWA, USW and any additional union that agreed to the terms of the settlement agreement were granted an allowed pre-petition unsecured claim in MLC’s Chapter 11 proceedings, in the amount of $1.0 billion with respect to retiree health and life insurance benefits for the over age 65 retirees, over age 65 surviving spouses and under age 65 medicare eligible retirees or surviving spouses disqualified for retiree healthcare benefits from us under the settlement agreement. For participants remaining eligible for healthcare, certain coverages were eliminated and cost sharing will increase. These modifications became effective upon completion of the 363 Sale and resulted in a reorganization gain of $2.7 billion. Refer to Note 2 for additional information on Reorganization gains, net.</w:t>
      </w:r>
    </w:p>
    <w:p>
      <w:pPr>
        <w:spacing w:after="0" w:line="120" w:lineRule="exact"/>
        <w:rPr>
          <w:sz w:val="20"/>
          <w:szCs w:val="20"/>
          <w:color w:val="auto"/>
        </w:rPr>
      </w:pPr>
    </w:p>
    <w:p>
      <w:pPr>
        <w:ind w:firstLine="228"/>
        <w:spacing w:after="0" w:line="254" w:lineRule="auto"/>
        <w:rPr>
          <w:sz w:val="20"/>
          <w:szCs w:val="20"/>
          <w:color w:val="auto"/>
        </w:rPr>
      </w:pPr>
      <w:r>
        <w:rPr>
          <w:rFonts w:ascii="Arial" w:cs="Arial" w:eastAsia="Arial" w:hAnsi="Arial"/>
          <w:sz w:val="18"/>
          <w:szCs w:val="18"/>
          <w:color w:val="auto"/>
        </w:rPr>
        <w:t>The settlement agreement was expressly conditioned upon and did not become effective until approved by the Bankruptcy Court in MLC’s Chapter 11 proceedings and such condition had not been achieved at September 30, 2009. The effects of the IUE-CWA and USW settlement agreement previously discussed were not remeasured at September 30, 2009. Although the settlement agreement that provided IUE-CWA and USW retirees with retiree healthcare, life insurance and other applicable benefits had not yet been approved by the Bankruptcy Court, we believed that a liability to certain IUE-CWA and USW retirees existed at July 10, 2009. We recorded a liability associated with the IUE-CWA and USW retiree healthcare benefits, life benefits and other affected benefits plans at July 10, 2009 and September 30, 2009.</w:t>
      </w:r>
    </w:p>
    <w:p>
      <w:pPr>
        <w:spacing w:after="0" w:line="144"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Delphi Corporation</w:t>
      </w:r>
    </w:p>
    <w:p>
      <w:pPr>
        <w:spacing w:after="0" w:line="171" w:lineRule="exact"/>
        <w:rPr>
          <w:sz w:val="20"/>
          <w:szCs w:val="20"/>
          <w:color w:val="auto"/>
        </w:rPr>
      </w:pPr>
    </w:p>
    <w:p>
      <w:pPr>
        <w:ind w:right="60" w:firstLine="228"/>
        <w:spacing w:after="0" w:line="256" w:lineRule="auto"/>
        <w:rPr>
          <w:sz w:val="20"/>
          <w:szCs w:val="20"/>
          <w:color w:val="auto"/>
        </w:rPr>
      </w:pPr>
      <w:r>
        <w:rPr>
          <w:rFonts w:ascii="Arial" w:cs="Arial" w:eastAsia="Arial" w:hAnsi="Arial"/>
          <w:sz w:val="18"/>
          <w:szCs w:val="18"/>
          <w:color w:val="auto"/>
        </w:rPr>
        <w:t>In July 2009 we entered into an agreement with Delphi and other parties. Pursuant to this agreement, we agreed to acquire Delphi’s Nexteer and four domestic facilities and invest in a new entity, New Delphi. As a result of the agreement, active Delphi plan participants at the sites covered by the agreement were then covered under our comparable counterpart plans as new employees with vesting rights and we assumed liabilities associated with certain international benefit plans.</w:t>
      </w:r>
    </w:p>
    <w:p>
      <w:pPr>
        <w:spacing w:after="0" w:line="143"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Delphi Benefit Guarantee Agreements</w:t>
      </w:r>
    </w:p>
    <w:p>
      <w:pPr>
        <w:spacing w:after="0" w:line="171" w:lineRule="exact"/>
        <w:rPr>
          <w:sz w:val="20"/>
          <w:szCs w:val="20"/>
          <w:color w:val="auto"/>
        </w:rPr>
      </w:pPr>
    </w:p>
    <w:p>
      <w:pPr>
        <w:ind w:right="20" w:firstLine="228"/>
        <w:spacing w:after="0" w:line="289" w:lineRule="auto"/>
        <w:rPr>
          <w:sz w:val="20"/>
          <w:szCs w:val="20"/>
          <w:color w:val="auto"/>
        </w:rPr>
      </w:pPr>
      <w:r>
        <w:rPr>
          <w:rFonts w:ascii="Arial" w:cs="Arial" w:eastAsia="Arial" w:hAnsi="Arial"/>
          <w:sz w:val="16"/>
          <w:szCs w:val="16"/>
          <w:color w:val="auto"/>
        </w:rPr>
        <w:t>In July 2009 Delphi announced that it had entered into an agreement with the PBGC regarding the settlement of PBGC’s claims from the termination of the Delphi pension plans. As part of that agreement, we maintained the obligation to provide the difference between pension benefits paid by the PBGC according to regulation and those originally guaranteed by Old GM under the agreements to provide benefits to certain Delphi U.S. hourly employees. We had a legal obligation to provide this benefit to eligible UAW plan participants at July 10, 2009. We remeasured the U.S. hourly defined benefit pension plan in August 2009 for eligible UAW plan participants, which coincided with Delphi’s transfer of its pension plan obligations to the PBGC. We did not agree to provide this benefit to eligible Delphi IUE-CWA and USW retirees until the settlement agreement with the IUE-CWA and USW was approved by the Bankruptcy Court in MLC’s Chapter 11 proceedings, which had not occurred at September 30, 2009. However, we believed that the settlement agreement with the IUE-CWA and USW would be approved and that a liability existed for this benefit, and we recorded a contingent liability of $221 million.</w:t>
      </w:r>
    </w:p>
    <w:p>
      <w:pPr>
        <w:spacing w:after="0" w:line="118"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2009 CAW Agreement</w:t>
      </w:r>
    </w:p>
    <w:p>
      <w:pPr>
        <w:spacing w:after="0" w:line="171" w:lineRule="exact"/>
        <w:rPr>
          <w:sz w:val="20"/>
          <w:szCs w:val="20"/>
          <w:color w:val="auto"/>
        </w:rPr>
      </w:pPr>
    </w:p>
    <w:p>
      <w:pPr>
        <w:ind w:firstLine="228"/>
        <w:spacing w:after="0" w:line="255" w:lineRule="auto"/>
        <w:rPr>
          <w:sz w:val="20"/>
          <w:szCs w:val="20"/>
          <w:color w:val="auto"/>
        </w:rPr>
      </w:pPr>
      <w:r>
        <w:rPr>
          <w:rFonts w:ascii="Arial" w:cs="Arial" w:eastAsia="Arial" w:hAnsi="Arial"/>
          <w:sz w:val="18"/>
          <w:szCs w:val="18"/>
          <w:color w:val="auto"/>
        </w:rPr>
        <w:t>In March 2009 Old GM announced that the members of the Canadian Auto Workers Union (CAW) had ratified an agreement intended to reduce manufacturing costs in Canada by closing the competitive gap with transplant automakers in the United States on active employee labor costs and reducing legacy costs through introducing co-payments for healthcare benefits, increasing employee healthcare cost sharing, freezing pension benefits, and eliminating cost of living adjustments to pensions for retired hourly workers. This agreement was conditioned on Old GM receiving longer term financial support from the Canadian and Ontario governments.</w:t>
      </w:r>
    </w:p>
    <w:p>
      <w:pPr>
        <w:spacing w:after="0" w:line="1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420"/>
          </w:cols>
          <w:pgMar w:left="240" w:top="459" w:right="239" w:bottom="1440" w:gutter="0" w:footer="0" w:header="0"/>
        </w:sectPr>
      </w:pPr>
    </w:p>
    <w:bookmarkStart w:id="39" w:name="page40"/>
    <w:bookmarkEnd w:id="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17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339" w:lineRule="exact"/>
        <w:rPr>
          <w:sz w:val="20"/>
          <w:szCs w:val="20"/>
          <w:color w:val="auto"/>
        </w:rPr>
      </w:pPr>
    </w:p>
    <w:p>
      <w:pPr>
        <w:ind w:right="100" w:firstLine="228"/>
        <w:spacing w:after="0" w:line="256" w:lineRule="auto"/>
        <w:rPr>
          <w:sz w:val="20"/>
          <w:szCs w:val="20"/>
          <w:color w:val="auto"/>
        </w:rPr>
      </w:pPr>
      <w:r>
        <w:rPr>
          <w:rFonts w:ascii="Arial" w:cs="Arial" w:eastAsia="Arial" w:hAnsi="Arial"/>
          <w:sz w:val="18"/>
          <w:szCs w:val="18"/>
          <w:color w:val="auto"/>
        </w:rPr>
        <w:t>GMCL subsequently entered into additional negotiations with the CAW which resulted in a further addendum to the 2008 collective agreement which was ratified by the CAW members in May 2009. In June 2009 the governments of Ontario and Canada agreed to the terms of a loan agreement, approved the GMCL viability plan and provided funding to GMCL. The Canadian hourly defined benefit pension plan, the CAW hourly retiree healthcare plan and the CAW retiree life plan were remeasured in June 2009.</w:t>
      </w:r>
    </w:p>
    <w:p>
      <w:pPr>
        <w:spacing w:after="0" w:line="143" w:lineRule="exact"/>
        <w:rPr>
          <w:sz w:val="20"/>
          <w:szCs w:val="20"/>
          <w:color w:val="auto"/>
        </w:rPr>
      </w:pPr>
    </w:p>
    <w:p>
      <w:pPr>
        <w:ind w:right="60" w:firstLine="228"/>
        <w:spacing w:after="0" w:line="259" w:lineRule="auto"/>
        <w:rPr>
          <w:sz w:val="20"/>
          <w:szCs w:val="20"/>
          <w:color w:val="auto"/>
        </w:rPr>
      </w:pPr>
      <w:r>
        <w:rPr>
          <w:rFonts w:ascii="Arial" w:cs="Arial" w:eastAsia="Arial" w:hAnsi="Arial"/>
          <w:sz w:val="18"/>
          <w:szCs w:val="18"/>
          <w:color w:val="auto"/>
        </w:rPr>
        <w:t>As a result of the termination of the employees from the former Oshawa, Ontario truck facility (Oshawa Facility), the CAW hourly retiree healthcare plan and the CAW retiree life plan were remeasured in June 2009 and a curtailment gain associated with the CAW hourly retiree healthcare plan was also recorded in the period January 1, 2009 through July 9, 2009.</w:t>
      </w:r>
    </w:p>
    <w:p>
      <w:pPr>
        <w:spacing w:after="0" w:line="140" w:lineRule="exact"/>
        <w:rPr>
          <w:sz w:val="20"/>
          <w:szCs w:val="20"/>
          <w:color w:val="auto"/>
        </w:rPr>
      </w:pPr>
    </w:p>
    <w:p>
      <w:pPr>
        <w:ind w:firstLine="228"/>
        <w:spacing w:after="0" w:line="286" w:lineRule="auto"/>
        <w:rPr>
          <w:sz w:val="20"/>
          <w:szCs w:val="20"/>
          <w:color w:val="auto"/>
        </w:rPr>
      </w:pPr>
      <w:r>
        <w:rPr>
          <w:rFonts w:ascii="Arial" w:cs="Arial" w:eastAsia="Arial" w:hAnsi="Arial"/>
          <w:sz w:val="16"/>
          <w:szCs w:val="16"/>
          <w:color w:val="auto"/>
        </w:rPr>
        <w:t>In June 2009 GMCL and the CAW agreed to the terms of the HCT to provide retiree healthcare benefits to certain active and retired employees. The HCT will be implemented when certain preconditions are achieved, including certain changes to the Canadian Income Tax Act. Certain of the preconditions have not been achieved and the HCT is not yet implemented at September 30, 2010. Under the terms of the HCT agreement, GMCL is obligated to make a payment of CAD $1.0 billion on the HCT implementation date which it will fund out of its CAD $1.0 billion escrow funds, adjusted for the net difference between the amount of retiree monthly contributions received during the period December 31, 2009 through the HCT implementation date less the cost of benefits paid for claims incurred by covered employees during this period. GMCL will provide a CAD $800 million note payable to the HCT on the HCT implementation date which will accrue interest at an annual rate of 7.0% with five equal annual installments of CAD $256 million due December 2014 through 2018. Concurrent with the implementation of the HCT, GMCL will be legally released from all obligations associated with the cost of providing retiree healthcare benefits to CAW active and retired employees bound by the class action process, and we will account for the related termination of CAW hourly retiree healthcare benefits as a settlement, based upon the difference between the fair value of the notes and cash contributed and the healthcare plan obligation at the settlement date. As a result of the conditions precedent to this agreement not having yet been achieved, there was no accounting recognition for the healthcare trust at September 30, 2010.</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16. Derivative Financial Instruments and Risk Management</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 Management</w:t>
      </w:r>
    </w:p>
    <w:p>
      <w:pPr>
        <w:spacing w:after="0" w:line="177" w:lineRule="exact"/>
        <w:rPr>
          <w:sz w:val="20"/>
          <w:szCs w:val="20"/>
          <w:color w:val="auto"/>
        </w:rPr>
      </w:pPr>
    </w:p>
    <w:p>
      <w:pPr>
        <w:ind w:right="100" w:firstLine="228"/>
        <w:spacing w:after="0" w:line="259" w:lineRule="auto"/>
        <w:rPr>
          <w:sz w:val="20"/>
          <w:szCs w:val="20"/>
          <w:color w:val="auto"/>
        </w:rPr>
      </w:pPr>
      <w:r>
        <w:rPr>
          <w:rFonts w:ascii="Arial" w:cs="Arial" w:eastAsia="Arial" w:hAnsi="Arial"/>
          <w:sz w:val="18"/>
          <w:szCs w:val="18"/>
          <w:color w:val="auto"/>
        </w:rPr>
        <w:t>We enter and Old GM entered into a variety of foreign currency exchange, interest rate and commodity forward contracts and options to manage exposures arising from market risks resulting from changes in foreign currency exchange rates, interest rates and certain commodity prices. We do not enter into derivative transactions for speculative purposes.</w:t>
      </w:r>
    </w:p>
    <w:p>
      <w:pPr>
        <w:spacing w:after="0" w:line="140" w:lineRule="exact"/>
        <w:rPr>
          <w:sz w:val="20"/>
          <w:szCs w:val="20"/>
          <w:color w:val="auto"/>
        </w:rPr>
      </w:pPr>
    </w:p>
    <w:p>
      <w:pPr>
        <w:ind w:right="60" w:firstLine="228"/>
        <w:spacing w:after="0" w:line="256" w:lineRule="auto"/>
        <w:rPr>
          <w:sz w:val="20"/>
          <w:szCs w:val="20"/>
          <w:color w:val="auto"/>
        </w:rPr>
      </w:pPr>
      <w:r>
        <w:rPr>
          <w:rFonts w:ascii="Arial" w:cs="Arial" w:eastAsia="Arial" w:hAnsi="Arial"/>
          <w:sz w:val="18"/>
          <w:szCs w:val="18"/>
          <w:color w:val="auto"/>
        </w:rPr>
        <w:t>Our overall financial risk management program is under the responsibility of the Risk Management Committee, which reviews and, where appropriate, approves strategies to be pursued to mitigate these risks. A risk management control framework is utilized to monitor the strategies, risks and related hedge positions, in accordance with the policies and procedures approved by the Risk Management Committee. At September 30, 2010 and September 30, 2009 we did not have any derivatives designated in a hedge accounting relationship.</w:t>
      </w:r>
    </w:p>
    <w:p>
      <w:pPr>
        <w:spacing w:after="0" w:line="143" w:lineRule="exact"/>
        <w:rPr>
          <w:sz w:val="20"/>
          <w:szCs w:val="20"/>
          <w:color w:val="auto"/>
        </w:rPr>
      </w:pPr>
    </w:p>
    <w:p>
      <w:pPr>
        <w:ind w:right="320" w:firstLine="228"/>
        <w:spacing w:after="0" w:line="306" w:lineRule="auto"/>
        <w:rPr>
          <w:sz w:val="20"/>
          <w:szCs w:val="20"/>
          <w:color w:val="auto"/>
        </w:rPr>
      </w:pPr>
      <w:r>
        <w:rPr>
          <w:rFonts w:ascii="Arial" w:cs="Arial" w:eastAsia="Arial" w:hAnsi="Arial"/>
          <w:sz w:val="16"/>
          <w:szCs w:val="16"/>
          <w:color w:val="auto"/>
        </w:rPr>
        <w:t>In August 2010 we changed our risk management policy with respect to foreign exchange and commodities. Under our prior policy we intended to reduce volatility of forecasted cash flows primarily through the use of forward contracts and swaps. The intent of the new policy is primarily to protect against risk arising from extreme adverse market movements on our key exposures and involves a shift to greater use of purchased options.</w:t>
      </w:r>
    </w:p>
    <w:p>
      <w:pPr>
        <w:spacing w:after="0" w:line="107" w:lineRule="exact"/>
        <w:rPr>
          <w:sz w:val="20"/>
          <w:szCs w:val="20"/>
          <w:color w:val="auto"/>
        </w:rPr>
      </w:pPr>
    </w:p>
    <w:p>
      <w:pPr>
        <w:ind w:right="80" w:firstLine="228"/>
        <w:spacing w:after="0" w:line="256" w:lineRule="auto"/>
        <w:rPr>
          <w:sz w:val="20"/>
          <w:szCs w:val="20"/>
          <w:color w:val="auto"/>
        </w:rPr>
      </w:pPr>
      <w:r>
        <w:rPr>
          <w:rFonts w:ascii="Arial" w:cs="Arial" w:eastAsia="Arial" w:hAnsi="Arial"/>
          <w:sz w:val="18"/>
          <w:szCs w:val="18"/>
          <w:color w:val="auto"/>
        </w:rPr>
        <w:t>Subsequent to the 363 Sale, our ability to manage risks using derivative financial instruments was limited as most derivative counterparties were unwilling to enter into forward or swap transactions with us. In December 2009 we began purchasing commodity and foreign currency exchange options to manage these exposures. These nondesignated derivatives have original expiration terms of up to 12 months. In August 2010 we executed new agreements with counterparties that enable us to enter into forward contracts and swaps.</w:t>
      </w:r>
    </w:p>
    <w:p>
      <w:pPr>
        <w:spacing w:after="0" w:line="13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380"/>
          </w:cols>
          <w:pgMar w:left="240" w:top="459" w:right="279" w:bottom="1440" w:gutter="0" w:footer="0" w:header="0"/>
        </w:sectPr>
      </w:pPr>
    </w:p>
    <w:bookmarkStart w:id="40" w:name="page41"/>
    <w:bookmarkEnd w:id="4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Counterparty Credit Risk</w:t>
      </w:r>
    </w:p>
    <w:p>
      <w:pPr>
        <w:spacing w:after="0" w:line="177" w:lineRule="exact"/>
        <w:rPr>
          <w:sz w:val="20"/>
          <w:szCs w:val="20"/>
          <w:color w:val="auto"/>
        </w:rPr>
      </w:pPr>
    </w:p>
    <w:p>
      <w:pPr>
        <w:jc w:val="both"/>
        <w:ind w:firstLine="228"/>
        <w:spacing w:after="0" w:line="303" w:lineRule="auto"/>
        <w:rPr>
          <w:sz w:val="20"/>
          <w:szCs w:val="20"/>
          <w:color w:val="auto"/>
        </w:rPr>
      </w:pPr>
      <w:r>
        <w:rPr>
          <w:rFonts w:ascii="Arial" w:cs="Arial" w:eastAsia="Arial" w:hAnsi="Arial"/>
          <w:sz w:val="15"/>
          <w:szCs w:val="15"/>
          <w:color w:val="auto"/>
        </w:rPr>
        <w:t>Derivative financial instruments contain an element of credit risk attributable to the counterparties’ ability to meet the terms of the agreements. In August 2010 we executed new agreements with counterparties that will require, under certain circumstances, that the counterparty post collateral with us for net asset positions with these counterparties. At September 30, 2010 we held collateral of $29 million from counterparties and recorded the related obligation in Accrued expenses.</w:t>
      </w:r>
    </w:p>
    <w:p>
      <w:pPr>
        <w:spacing w:after="0" w:line="1" w:lineRule="exact"/>
        <w:rPr>
          <w:sz w:val="20"/>
          <w:szCs w:val="20"/>
          <w:color w:val="auto"/>
        </w:rPr>
      </w:pPr>
    </w:p>
    <w:p>
      <w:pPr>
        <w:jc w:val="both"/>
        <w:ind w:right="160"/>
        <w:spacing w:after="0" w:line="254" w:lineRule="auto"/>
        <w:rPr>
          <w:sz w:val="20"/>
          <w:szCs w:val="20"/>
          <w:color w:val="auto"/>
        </w:rPr>
      </w:pPr>
      <w:r>
        <w:rPr>
          <w:rFonts w:ascii="Arial" w:cs="Arial" w:eastAsia="Arial" w:hAnsi="Arial"/>
          <w:sz w:val="18"/>
          <w:szCs w:val="18"/>
          <w:color w:val="auto"/>
        </w:rPr>
        <w:t>The maximum amount of loss due to credit risk that we would incur if the counterparties to the derivative instruments failed completely to perform according to the terms of the contract was $121 million at September 30, 2010. Agreements are entered into with counterparties that allow the set-off of certain exposures in order to manage the risk. At September 30, 2010 the total net derivative asset position for all counterparties with which we were in a net asset position, less the collateral we held, was $86 million.</w:t>
      </w:r>
    </w:p>
    <w:p>
      <w:pPr>
        <w:spacing w:after="0" w:line="144" w:lineRule="exact"/>
        <w:rPr>
          <w:sz w:val="20"/>
          <w:szCs w:val="20"/>
          <w:color w:val="auto"/>
        </w:rPr>
      </w:pPr>
    </w:p>
    <w:p>
      <w:pPr>
        <w:ind w:right="60" w:firstLine="228"/>
        <w:spacing w:after="0" w:line="268" w:lineRule="auto"/>
        <w:rPr>
          <w:sz w:val="20"/>
          <w:szCs w:val="20"/>
          <w:color w:val="auto"/>
        </w:rPr>
      </w:pPr>
      <w:r>
        <w:rPr>
          <w:rFonts w:ascii="Arial" w:cs="Arial" w:eastAsia="Arial" w:hAnsi="Arial"/>
          <w:sz w:val="18"/>
          <w:szCs w:val="18"/>
          <w:color w:val="auto"/>
        </w:rPr>
        <w:t>Counterparty credit risk is managed and monitored by our Risk Management Committee, which establishes exposure limits by counterparty. At September 30, 2010 a majority of all counterparty exposures were with counterparties that were rated A or higher.</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Credit Risk Related Contingent Features</w:t>
      </w:r>
    </w:p>
    <w:p>
      <w:pPr>
        <w:spacing w:after="0" w:line="177" w:lineRule="exact"/>
        <w:rPr>
          <w:sz w:val="20"/>
          <w:szCs w:val="20"/>
          <w:color w:val="auto"/>
        </w:rPr>
      </w:pPr>
    </w:p>
    <w:p>
      <w:pPr>
        <w:ind w:right="120" w:firstLine="228"/>
        <w:spacing w:after="0" w:line="256" w:lineRule="auto"/>
        <w:rPr>
          <w:sz w:val="20"/>
          <w:szCs w:val="20"/>
          <w:color w:val="auto"/>
        </w:rPr>
      </w:pPr>
      <w:r>
        <w:rPr>
          <w:rFonts w:ascii="Arial" w:cs="Arial" w:eastAsia="Arial" w:hAnsi="Arial"/>
          <w:sz w:val="18"/>
          <w:szCs w:val="18"/>
          <w:color w:val="auto"/>
        </w:rPr>
        <w:t>Certain of our agreements with counterparties require that we provide cash collateral for net liability positions that we may have with such counterparty. At September 30, 2010 no collateral was posted related to derivative instruments, and we did not have any agreements with counterparties to derivative instruments containing covenants requiring the maintenance of certain credit rating levels or credit risk ratios that would require the posting of collateral in the event that certain standards are violated.</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Derivatives and Hedge Accounting</w:t>
      </w:r>
    </w:p>
    <w:p>
      <w:pPr>
        <w:spacing w:after="0" w:line="177" w:lineRule="exact"/>
        <w:rPr>
          <w:sz w:val="20"/>
          <w:szCs w:val="20"/>
          <w:color w:val="auto"/>
        </w:rPr>
      </w:pPr>
    </w:p>
    <w:p>
      <w:pPr>
        <w:jc w:val="both"/>
        <w:ind w:right="120" w:firstLine="228"/>
        <w:spacing w:after="0" w:line="298" w:lineRule="auto"/>
        <w:rPr>
          <w:sz w:val="20"/>
          <w:szCs w:val="20"/>
          <w:color w:val="auto"/>
        </w:rPr>
      </w:pPr>
      <w:r>
        <w:rPr>
          <w:rFonts w:ascii="Arial" w:cs="Arial" w:eastAsia="Arial" w:hAnsi="Arial"/>
          <w:sz w:val="16"/>
          <w:szCs w:val="16"/>
          <w:color w:val="auto"/>
        </w:rPr>
        <w:t>Our derivative instruments consist of nondesignated derivative contracts or economic hedges, including forward contracts and options that we acquired from Old GM or purchased directly from counterparties. At September 30, 2010 no outstanding derivative contracts were designated in hedging relationships. We and Old GM accounted for changes in the fair value of all outstanding contracts by recording the gains and losses in earnings for all periods presented. Refer to Note 19 for additional information on the fair value measurements of our derivative instruments.</w:t>
      </w:r>
    </w:p>
    <w:p>
      <w:pPr>
        <w:spacing w:after="0" w:line="113"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Cash Flow Hedges</w:t>
      </w:r>
    </w:p>
    <w:p>
      <w:pPr>
        <w:spacing w:after="0" w:line="171" w:lineRule="exact"/>
        <w:rPr>
          <w:sz w:val="20"/>
          <w:szCs w:val="20"/>
          <w:color w:val="auto"/>
        </w:rPr>
      </w:pPr>
    </w:p>
    <w:p>
      <w:pPr>
        <w:ind w:right="60" w:firstLine="228"/>
        <w:spacing w:after="0" w:line="259" w:lineRule="auto"/>
        <w:rPr>
          <w:sz w:val="20"/>
          <w:szCs w:val="20"/>
          <w:color w:val="auto"/>
        </w:rPr>
      </w:pPr>
      <w:r>
        <w:rPr>
          <w:rFonts w:ascii="Arial" w:cs="Arial" w:eastAsia="Arial" w:hAnsi="Arial"/>
          <w:sz w:val="18"/>
          <w:szCs w:val="18"/>
          <w:color w:val="auto"/>
        </w:rPr>
        <w:t>We are and Old GM was exposed to certain foreign currency exchange risks associated with buying and selling automotive parts and vehicles and foreign currency exposure to long-term debt. We partially manage these risks through the use of nondesignated derivative instruments. At September 30, 2010 we did not have any financial instruments designated as cash flow hedges for accounting purposes.</w:t>
      </w:r>
    </w:p>
    <w:p>
      <w:pPr>
        <w:spacing w:after="0" w:line="140" w:lineRule="exact"/>
        <w:rPr>
          <w:sz w:val="20"/>
          <w:szCs w:val="20"/>
          <w:color w:val="auto"/>
        </w:rPr>
      </w:pPr>
    </w:p>
    <w:p>
      <w:pPr>
        <w:ind w:right="40" w:firstLine="228"/>
        <w:spacing w:after="0" w:line="259" w:lineRule="auto"/>
        <w:rPr>
          <w:sz w:val="20"/>
          <w:szCs w:val="20"/>
          <w:color w:val="auto"/>
        </w:rPr>
      </w:pPr>
      <w:r>
        <w:rPr>
          <w:rFonts w:ascii="Arial" w:cs="Arial" w:eastAsia="Arial" w:hAnsi="Arial"/>
          <w:sz w:val="18"/>
          <w:szCs w:val="18"/>
          <w:color w:val="auto"/>
        </w:rPr>
        <w:t>Old GM previously designated certain financial instruments as cash flow hedges to manage its exposure to certain foreign currency exchange risks. For foreign currency transactions, Old GM typically hedged forecasted exposures for up to three years in the future. For foreign currency exposure on long-term debt, Old GM typically hedged exposures for the life of the debt.</w:t>
      </w:r>
    </w:p>
    <w:p>
      <w:pPr>
        <w:spacing w:after="0" w:line="140" w:lineRule="exact"/>
        <w:rPr>
          <w:sz w:val="20"/>
          <w:szCs w:val="20"/>
          <w:color w:val="auto"/>
        </w:rPr>
      </w:pPr>
    </w:p>
    <w:p>
      <w:pPr>
        <w:ind w:right="20" w:firstLine="228"/>
        <w:spacing w:after="0" w:line="255" w:lineRule="auto"/>
        <w:rPr>
          <w:sz w:val="20"/>
          <w:szCs w:val="20"/>
          <w:color w:val="auto"/>
        </w:rPr>
      </w:pPr>
      <w:r>
        <w:rPr>
          <w:rFonts w:ascii="Arial" w:cs="Arial" w:eastAsia="Arial" w:hAnsi="Arial"/>
          <w:sz w:val="18"/>
          <w:szCs w:val="18"/>
          <w:color w:val="auto"/>
        </w:rPr>
        <w:t>For derivatives that were previously designated as qualifying cash flow hedges, the effective portion of the unrealized and realized gains and losses resulting from changes in fair value were recorded as a component of Accumulated other comprehensive income (loss). Subsequently, those cumulative gains and losses were reclassified to earnings contemporaneously with and to the same line item as the earnings effects of the hedged item. However, if it became probable that the forecasted transaction would not occur, the cumulative change in the fair value of the derivative recorded in Accumulated other comprehensive income (loss) was reclassified into earnings immediately.</w:t>
      </w:r>
    </w:p>
    <w:p>
      <w:pPr>
        <w:spacing w:after="0" w:line="1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420"/>
          </w:cols>
          <w:pgMar w:left="240" w:top="459" w:right="239" w:bottom="1440" w:gutter="0" w:footer="0" w:header="0"/>
        </w:sectPr>
      </w:pPr>
    </w:p>
    <w:bookmarkStart w:id="41" w:name="page42"/>
    <w:bookmarkEnd w:id="4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339" w:lineRule="exact"/>
        <w:rPr>
          <w:sz w:val="20"/>
          <w:szCs w:val="20"/>
          <w:color w:val="auto"/>
        </w:rPr>
      </w:pPr>
    </w:p>
    <w:p>
      <w:pPr>
        <w:ind w:right="240" w:firstLine="228"/>
        <w:spacing w:after="0" w:line="332" w:lineRule="auto"/>
        <w:rPr>
          <w:sz w:val="20"/>
          <w:szCs w:val="20"/>
          <w:color w:val="auto"/>
        </w:rPr>
      </w:pPr>
      <w:r>
        <w:rPr>
          <w:rFonts w:ascii="Arial" w:cs="Arial" w:eastAsia="Arial" w:hAnsi="Arial"/>
          <w:sz w:val="16"/>
          <w:szCs w:val="16"/>
          <w:color w:val="auto"/>
        </w:rPr>
        <w:t>The following table summarizes total activity in Accumulated other comprehensive income (loss) associated with cash flow hedges, primarily related to the release of previously deferred cash flow hedge gains and losses from Accumulated other comprehensive income (loss) into earnings (dollars in millions):</w:t>
      </w:r>
    </w:p>
    <w:p>
      <w:pPr>
        <w:spacing w:after="0" w:line="12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926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gridSpan w:val="2"/>
          </w:tcPr>
          <w:p>
            <w:pPr>
              <w:jc w:val="right"/>
              <w:ind w:right="52"/>
              <w:spacing w:after="0"/>
              <w:rPr>
                <w:sz w:val="20"/>
                <w:szCs w:val="20"/>
                <w:color w:val="auto"/>
              </w:rPr>
            </w:pPr>
            <w:r>
              <w:rPr>
                <w:rFonts w:ascii="Arial" w:cs="Arial" w:eastAsia="Arial" w:hAnsi="Arial"/>
                <w:sz w:val="14"/>
                <w:szCs w:val="14"/>
                <w:b w:val="1"/>
                <w:bCs w:val="1"/>
                <w:color w:val="auto"/>
                <w:w w:val="85"/>
              </w:rPr>
              <w:t>Predecessor</w:t>
            </w:r>
          </w:p>
        </w:tc>
        <w:tc>
          <w:tcPr>
            <w:tcW w:w="5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29"/>
        </w:trPr>
        <w:tc>
          <w:tcPr>
            <w:tcW w:w="20" w:type="dxa"/>
            <w:vAlign w:val="bottom"/>
          </w:tcPr>
          <w:p>
            <w:pPr>
              <w:spacing w:after="0"/>
              <w:rPr>
                <w:sz w:val="11"/>
                <w:szCs w:val="11"/>
                <w:color w:val="auto"/>
              </w:rPr>
            </w:pPr>
          </w:p>
        </w:tc>
        <w:tc>
          <w:tcPr>
            <w:tcW w:w="9260" w:type="dxa"/>
            <w:vAlign w:val="bottom"/>
          </w:tcPr>
          <w:p>
            <w:pPr>
              <w:spacing w:after="0"/>
              <w:rPr>
                <w:sz w:val="11"/>
                <w:szCs w:val="11"/>
                <w:color w:val="auto"/>
              </w:rPr>
            </w:pPr>
          </w:p>
        </w:tc>
        <w:tc>
          <w:tcPr>
            <w:tcW w:w="620" w:type="dxa"/>
            <w:vAlign w:val="bottom"/>
            <w:gridSpan w:val="3"/>
          </w:tcPr>
          <w:p>
            <w:pPr>
              <w:jc w:val="center"/>
              <w:ind w:right="120"/>
              <w:spacing w:after="0" w:line="129" w:lineRule="exact"/>
              <w:rPr>
                <w:sz w:val="20"/>
                <w:szCs w:val="20"/>
                <w:color w:val="auto"/>
              </w:rPr>
            </w:pPr>
            <w:r>
              <w:rPr>
                <w:rFonts w:ascii="Arial" w:cs="Arial" w:eastAsia="Arial" w:hAnsi="Arial"/>
                <w:sz w:val="14"/>
                <w:szCs w:val="14"/>
                <w:b w:val="1"/>
                <w:bCs w:val="1"/>
                <w:color w:val="auto"/>
                <w:w w:val="87"/>
              </w:rPr>
              <w:t>July 1,</w:t>
            </w:r>
          </w:p>
        </w:tc>
        <w:tc>
          <w:tcPr>
            <w:tcW w:w="760" w:type="dxa"/>
            <w:vAlign w:val="bottom"/>
          </w:tcPr>
          <w:p>
            <w:pPr>
              <w:spacing w:after="0"/>
              <w:rPr>
                <w:sz w:val="11"/>
                <w:szCs w:val="11"/>
                <w:color w:val="auto"/>
              </w:rPr>
            </w:pPr>
          </w:p>
        </w:tc>
        <w:tc>
          <w:tcPr>
            <w:tcW w:w="660" w:type="dxa"/>
            <w:vAlign w:val="bottom"/>
            <w:gridSpan w:val="2"/>
          </w:tcPr>
          <w:p>
            <w:pPr>
              <w:jc w:val="center"/>
              <w:spacing w:after="0" w:line="129" w:lineRule="exact"/>
              <w:rPr>
                <w:sz w:val="20"/>
                <w:szCs w:val="20"/>
                <w:color w:val="auto"/>
              </w:rPr>
            </w:pPr>
            <w:r>
              <w:rPr>
                <w:rFonts w:ascii="Arial" w:cs="Arial" w:eastAsia="Arial" w:hAnsi="Arial"/>
                <w:sz w:val="14"/>
                <w:szCs w:val="14"/>
                <w:b w:val="1"/>
                <w:bCs w:val="1"/>
                <w:color w:val="auto"/>
                <w:w w:val="89"/>
              </w:rPr>
              <w:t>January 1,</w:t>
            </w:r>
          </w:p>
        </w:tc>
        <w:tc>
          <w:tcPr>
            <w:tcW w:w="100" w:type="dxa"/>
            <w:vAlign w:val="bottom"/>
          </w:tcPr>
          <w:p>
            <w:pPr>
              <w:spacing w:after="0"/>
              <w:rPr>
                <w:sz w:val="11"/>
                <w:szCs w:val="11"/>
                <w:color w:val="auto"/>
              </w:rPr>
            </w:pPr>
          </w:p>
        </w:tc>
      </w:tr>
      <w:tr>
        <w:trPr>
          <w:trHeight w:val="149"/>
        </w:trPr>
        <w:tc>
          <w:tcPr>
            <w:tcW w:w="20" w:type="dxa"/>
            <w:vAlign w:val="bottom"/>
          </w:tcPr>
          <w:p>
            <w:pPr>
              <w:spacing w:after="0"/>
              <w:rPr>
                <w:sz w:val="12"/>
                <w:szCs w:val="12"/>
                <w:color w:val="auto"/>
              </w:rPr>
            </w:pPr>
          </w:p>
        </w:tc>
        <w:tc>
          <w:tcPr>
            <w:tcW w:w="9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0" w:type="dxa"/>
            <w:vAlign w:val="bottom"/>
          </w:tcPr>
          <w:p>
            <w:pPr>
              <w:jc w:val="center"/>
              <w:ind w:right="39"/>
              <w:spacing w:after="0" w:line="149" w:lineRule="exact"/>
              <w:rPr>
                <w:sz w:val="20"/>
                <w:szCs w:val="20"/>
                <w:color w:val="auto"/>
              </w:rPr>
            </w:pPr>
            <w:r>
              <w:rPr>
                <w:rFonts w:ascii="Arial" w:cs="Arial" w:eastAsia="Arial" w:hAnsi="Arial"/>
                <w:sz w:val="14"/>
                <w:szCs w:val="14"/>
                <w:b w:val="1"/>
                <w:bCs w:val="1"/>
                <w:color w:val="auto"/>
                <w:w w:val="89"/>
              </w:rPr>
              <w:t>2009</w:t>
            </w:r>
          </w:p>
        </w:tc>
        <w:tc>
          <w:tcPr>
            <w:tcW w:w="1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jc w:val="center"/>
              <w:ind w:right="41"/>
              <w:spacing w:after="0" w:line="149" w:lineRule="exact"/>
              <w:rPr>
                <w:sz w:val="20"/>
                <w:szCs w:val="20"/>
                <w:color w:val="auto"/>
              </w:rPr>
            </w:pPr>
            <w:r>
              <w:rPr>
                <w:rFonts w:ascii="Arial" w:cs="Arial" w:eastAsia="Arial" w:hAnsi="Arial"/>
                <w:sz w:val="14"/>
                <w:szCs w:val="14"/>
                <w:b w:val="1"/>
                <w:bCs w:val="1"/>
                <w:color w:val="auto"/>
                <w:w w:val="89"/>
              </w:rPr>
              <w:t>2009</w:t>
            </w:r>
          </w:p>
        </w:tc>
        <w:tc>
          <w:tcPr>
            <w:tcW w:w="100" w:type="dxa"/>
            <w:vAlign w:val="bottom"/>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9260" w:type="dxa"/>
            <w:vAlign w:val="bottom"/>
          </w:tcPr>
          <w:p>
            <w:pPr>
              <w:spacing w:after="0"/>
              <w:rPr>
                <w:sz w:val="12"/>
                <w:szCs w:val="12"/>
                <w:color w:val="auto"/>
              </w:rPr>
            </w:pPr>
          </w:p>
        </w:tc>
        <w:tc>
          <w:tcPr>
            <w:tcW w:w="620" w:type="dxa"/>
            <w:vAlign w:val="bottom"/>
            <w:gridSpan w:val="3"/>
          </w:tcPr>
          <w:p>
            <w:pPr>
              <w:jc w:val="center"/>
              <w:ind w:right="100"/>
              <w:spacing w:after="0" w:line="149" w:lineRule="exact"/>
              <w:rPr>
                <w:sz w:val="20"/>
                <w:szCs w:val="20"/>
                <w:color w:val="auto"/>
              </w:rPr>
            </w:pPr>
            <w:r>
              <w:rPr>
                <w:rFonts w:ascii="Arial" w:cs="Arial" w:eastAsia="Arial" w:hAnsi="Arial"/>
                <w:sz w:val="14"/>
                <w:szCs w:val="14"/>
                <w:b w:val="1"/>
                <w:bCs w:val="1"/>
                <w:color w:val="auto"/>
                <w:w w:val="91"/>
              </w:rPr>
              <w:t>Through</w:t>
            </w:r>
          </w:p>
        </w:tc>
        <w:tc>
          <w:tcPr>
            <w:tcW w:w="760" w:type="dxa"/>
            <w:vAlign w:val="bottom"/>
          </w:tcPr>
          <w:p>
            <w:pPr>
              <w:spacing w:after="0"/>
              <w:rPr>
                <w:sz w:val="12"/>
                <w:szCs w:val="12"/>
                <w:color w:val="auto"/>
              </w:rPr>
            </w:pPr>
          </w:p>
        </w:tc>
        <w:tc>
          <w:tcPr>
            <w:tcW w:w="760" w:type="dxa"/>
            <w:vAlign w:val="bottom"/>
            <w:gridSpan w:val="3"/>
          </w:tcPr>
          <w:p>
            <w:pPr>
              <w:jc w:val="center"/>
              <w:ind w:right="120"/>
              <w:spacing w:after="0" w:line="149" w:lineRule="exact"/>
              <w:rPr>
                <w:sz w:val="20"/>
                <w:szCs w:val="20"/>
                <w:color w:val="auto"/>
              </w:rPr>
            </w:pPr>
            <w:r>
              <w:rPr>
                <w:rFonts w:ascii="Arial" w:cs="Arial" w:eastAsia="Arial" w:hAnsi="Arial"/>
                <w:sz w:val="14"/>
                <w:szCs w:val="14"/>
                <w:b w:val="1"/>
                <w:bCs w:val="1"/>
                <w:color w:val="auto"/>
                <w:w w:val="91"/>
              </w:rPr>
              <w:t>Through</w:t>
            </w:r>
          </w:p>
        </w:tc>
      </w:tr>
      <w:tr>
        <w:trPr>
          <w:trHeight w:val="149"/>
        </w:trPr>
        <w:tc>
          <w:tcPr>
            <w:tcW w:w="20" w:type="dxa"/>
            <w:vAlign w:val="bottom"/>
          </w:tcPr>
          <w:p>
            <w:pPr>
              <w:spacing w:after="0"/>
              <w:rPr>
                <w:sz w:val="12"/>
                <w:szCs w:val="12"/>
                <w:color w:val="auto"/>
              </w:rPr>
            </w:pPr>
          </w:p>
        </w:tc>
        <w:tc>
          <w:tcPr>
            <w:tcW w:w="9260" w:type="dxa"/>
            <w:vAlign w:val="bottom"/>
          </w:tcPr>
          <w:p>
            <w:pPr>
              <w:spacing w:after="0"/>
              <w:rPr>
                <w:sz w:val="12"/>
                <w:szCs w:val="12"/>
                <w:color w:val="auto"/>
              </w:rPr>
            </w:pPr>
          </w:p>
        </w:tc>
        <w:tc>
          <w:tcPr>
            <w:tcW w:w="620" w:type="dxa"/>
            <w:vAlign w:val="bottom"/>
            <w:gridSpan w:val="3"/>
          </w:tcPr>
          <w:p>
            <w:pPr>
              <w:jc w:val="center"/>
              <w:ind w:right="80"/>
              <w:spacing w:after="0" w:line="149" w:lineRule="exact"/>
              <w:rPr>
                <w:sz w:val="20"/>
                <w:szCs w:val="20"/>
                <w:color w:val="auto"/>
              </w:rPr>
            </w:pPr>
            <w:r>
              <w:rPr>
                <w:rFonts w:ascii="Arial" w:cs="Arial" w:eastAsia="Arial" w:hAnsi="Arial"/>
                <w:sz w:val="14"/>
                <w:szCs w:val="14"/>
                <w:b w:val="1"/>
                <w:bCs w:val="1"/>
                <w:color w:val="auto"/>
                <w:w w:val="87"/>
              </w:rPr>
              <w:t>July 9,</w:t>
            </w: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1"/>
              </w:rPr>
              <w:t>July 9,</w:t>
            </w:r>
          </w:p>
        </w:tc>
      </w:tr>
      <w:tr>
        <w:trPr>
          <w:trHeight w:val="161"/>
        </w:trPr>
        <w:tc>
          <w:tcPr>
            <w:tcW w:w="20" w:type="dxa"/>
            <w:vAlign w:val="bottom"/>
          </w:tcPr>
          <w:p>
            <w:pPr>
              <w:spacing w:after="0"/>
              <w:rPr>
                <w:sz w:val="14"/>
                <w:szCs w:val="14"/>
                <w:color w:val="auto"/>
              </w:rPr>
            </w:pPr>
          </w:p>
        </w:tc>
        <w:tc>
          <w:tcPr>
            <w:tcW w:w="926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jc w:val="center"/>
              <w:ind w:right="39"/>
              <w:spacing w:after="0"/>
              <w:rPr>
                <w:sz w:val="20"/>
                <w:szCs w:val="20"/>
                <w:color w:val="auto"/>
              </w:rPr>
            </w:pPr>
            <w:r>
              <w:rPr>
                <w:rFonts w:ascii="Arial" w:cs="Arial" w:eastAsia="Arial" w:hAnsi="Arial"/>
                <w:sz w:val="14"/>
                <w:szCs w:val="14"/>
                <w:b w:val="1"/>
                <w:bCs w:val="1"/>
                <w:color w:val="auto"/>
                <w:w w:val="89"/>
              </w:rPr>
              <w:t>2009</w:t>
            </w:r>
          </w:p>
        </w:tc>
        <w:tc>
          <w:tcPr>
            <w:tcW w:w="1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jc w:val="center"/>
              <w:ind w:right="41"/>
              <w:spacing w:after="0"/>
              <w:rPr>
                <w:sz w:val="20"/>
                <w:szCs w:val="20"/>
                <w:color w:val="auto"/>
              </w:rPr>
            </w:pPr>
            <w:r>
              <w:rPr>
                <w:rFonts w:ascii="Arial" w:cs="Arial" w:eastAsia="Arial" w:hAnsi="Arial"/>
                <w:sz w:val="14"/>
                <w:szCs w:val="14"/>
                <w:b w:val="1"/>
                <w:bCs w:val="1"/>
                <w:color w:val="auto"/>
                <w:w w:val="89"/>
              </w:rPr>
              <w:t>2009</w:t>
            </w:r>
          </w:p>
        </w:tc>
        <w:tc>
          <w:tcPr>
            <w:tcW w:w="100" w:type="dxa"/>
            <w:vAlign w:val="bottom"/>
          </w:tcPr>
          <w:p>
            <w:pPr>
              <w:spacing w:after="0"/>
              <w:rPr>
                <w:sz w:val="14"/>
                <w:szCs w:val="14"/>
                <w:color w:val="auto"/>
              </w:rPr>
            </w:pPr>
          </w:p>
        </w:tc>
      </w:tr>
      <w:tr>
        <w:trPr>
          <w:trHeight w:val="210"/>
        </w:trPr>
        <w:tc>
          <w:tcPr>
            <w:tcW w:w="20" w:type="dxa"/>
            <w:vAlign w:val="bottom"/>
          </w:tcPr>
          <w:p>
            <w:pPr>
              <w:spacing w:after="0"/>
              <w:rPr>
                <w:sz w:val="18"/>
                <w:szCs w:val="18"/>
                <w:color w:val="auto"/>
              </w:rPr>
            </w:pPr>
          </w:p>
        </w:tc>
        <w:tc>
          <w:tcPr>
            <w:tcW w:w="92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Foreign Currency Exchange Contracts</w:t>
            </w:r>
          </w:p>
        </w:tc>
        <w:tc>
          <w:tcPr>
            <w:tcW w:w="1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9260" w:type="dxa"/>
            <w:vAlign w:val="bottom"/>
          </w:tcPr>
          <w:p>
            <w:pPr>
              <w:spacing w:after="0"/>
              <w:rPr>
                <w:sz w:val="20"/>
                <w:szCs w:val="20"/>
                <w:color w:val="auto"/>
              </w:rPr>
            </w:pPr>
            <w:r>
              <w:rPr>
                <w:rFonts w:ascii="Arial" w:cs="Arial" w:eastAsia="Arial" w:hAnsi="Arial"/>
                <w:sz w:val="18"/>
                <w:szCs w:val="18"/>
                <w:color w:val="auto"/>
              </w:rPr>
              <w:t>Sales</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00" w:type="dxa"/>
            <w:vAlign w:val="bottom"/>
            <w:gridSpan w:val="2"/>
          </w:tcPr>
          <w:p>
            <w:pPr>
              <w:jc w:val="right"/>
              <w:ind w:right="40"/>
              <w:spacing w:after="0"/>
              <w:rPr>
                <w:sz w:val="20"/>
                <w:szCs w:val="20"/>
                <w:color w:val="auto"/>
              </w:rPr>
            </w:pPr>
            <w:r>
              <w:rPr>
                <w:rFonts w:ascii="Arial" w:cs="Arial" w:eastAsia="Arial" w:hAnsi="Arial"/>
                <w:sz w:val="18"/>
                <w:szCs w:val="18"/>
                <w:color w:val="auto"/>
              </w:rPr>
              <w:t>(25)</w:t>
            </w: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60" w:type="dxa"/>
            <w:vAlign w:val="bottom"/>
            <w:gridSpan w:val="2"/>
          </w:tcPr>
          <w:p>
            <w:pPr>
              <w:jc w:val="right"/>
              <w:ind w:right="40"/>
              <w:spacing w:after="0"/>
              <w:rPr>
                <w:sz w:val="20"/>
                <w:szCs w:val="20"/>
                <w:color w:val="auto"/>
              </w:rPr>
            </w:pPr>
            <w:r>
              <w:rPr>
                <w:rFonts w:ascii="Arial" w:cs="Arial" w:eastAsia="Arial" w:hAnsi="Arial"/>
                <w:sz w:val="18"/>
                <w:szCs w:val="18"/>
                <w:color w:val="auto"/>
              </w:rPr>
              <w:t>(351)</w:t>
            </w:r>
          </w:p>
        </w:tc>
      </w:tr>
      <w:tr>
        <w:trPr>
          <w:trHeight w:val="216"/>
        </w:trPr>
        <w:tc>
          <w:tcPr>
            <w:tcW w:w="20" w:type="dxa"/>
            <w:vAlign w:val="bottom"/>
          </w:tcPr>
          <w:p>
            <w:pPr>
              <w:spacing w:after="0"/>
              <w:rPr>
                <w:sz w:val="18"/>
                <w:szCs w:val="18"/>
                <w:color w:val="auto"/>
              </w:rPr>
            </w:pPr>
          </w:p>
        </w:tc>
        <w:tc>
          <w:tcPr>
            <w:tcW w:w="9260" w:type="dxa"/>
            <w:vAlign w:val="bottom"/>
            <w:shd w:val="clear" w:color="auto" w:fill="CCEEFF"/>
          </w:tcPr>
          <w:p>
            <w:pPr>
              <w:spacing w:after="0"/>
              <w:rPr>
                <w:sz w:val="20"/>
                <w:szCs w:val="20"/>
                <w:color w:val="auto"/>
              </w:rPr>
            </w:pPr>
            <w:r>
              <w:rPr>
                <w:rFonts w:ascii="Arial" w:cs="Arial" w:eastAsia="Arial" w:hAnsi="Arial"/>
                <w:sz w:val="18"/>
                <w:szCs w:val="18"/>
                <w:color w:val="auto"/>
              </w:rPr>
              <w:t>Cost of sales</w:t>
            </w:r>
          </w:p>
        </w:tc>
        <w:tc>
          <w:tcPr>
            <w:tcW w:w="12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w:t>
            </w: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w:t>
            </w:r>
          </w:p>
        </w:tc>
      </w:tr>
      <w:tr>
        <w:trPr>
          <w:trHeight w:val="223"/>
        </w:trPr>
        <w:tc>
          <w:tcPr>
            <w:tcW w:w="20" w:type="dxa"/>
            <w:vAlign w:val="bottom"/>
          </w:tcPr>
          <w:p>
            <w:pPr>
              <w:spacing w:after="0"/>
              <w:rPr>
                <w:sz w:val="19"/>
                <w:szCs w:val="19"/>
                <w:color w:val="auto"/>
              </w:rPr>
            </w:pPr>
          </w:p>
        </w:tc>
        <w:tc>
          <w:tcPr>
            <w:tcW w:w="9260" w:type="dxa"/>
            <w:vAlign w:val="bottom"/>
          </w:tcPr>
          <w:p>
            <w:pPr>
              <w:spacing w:after="0"/>
              <w:rPr>
                <w:sz w:val="20"/>
                <w:szCs w:val="20"/>
                <w:color w:val="auto"/>
              </w:rPr>
            </w:pPr>
            <w:r>
              <w:rPr>
                <w:rFonts w:ascii="Arial" w:cs="Arial" w:eastAsia="Arial" w:hAnsi="Arial"/>
                <w:sz w:val="18"/>
                <w:szCs w:val="18"/>
                <w:color w:val="auto"/>
              </w:rPr>
              <w:t>Reorganization gains, net</w:t>
            </w:r>
          </w:p>
        </w:tc>
        <w:tc>
          <w:tcPr>
            <w:tcW w:w="12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247</w:t>
            </w:r>
          </w:p>
        </w:tc>
        <w:tc>
          <w:tcPr>
            <w:tcW w:w="1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9260" w:type="dxa"/>
            <w:vAlign w:val="bottom"/>
            <w:shd w:val="clear" w:color="auto" w:fill="CCEEFF"/>
          </w:tcPr>
          <w:p>
            <w:pPr>
              <w:spacing w:after="0"/>
              <w:rPr>
                <w:sz w:val="20"/>
                <w:szCs w:val="20"/>
                <w:color w:val="auto"/>
              </w:rPr>
            </w:pPr>
            <w:r>
              <w:rPr>
                <w:rFonts w:ascii="Arial" w:cs="Arial" w:eastAsia="Arial" w:hAnsi="Arial"/>
                <w:sz w:val="18"/>
                <w:szCs w:val="18"/>
                <w:color w:val="auto"/>
              </w:rPr>
              <w:t>Total gains (losses) reclassified from accumulated other comprehensive income (loss)</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(26)</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(85)</w:t>
            </w:r>
          </w:p>
        </w:tc>
      </w:tr>
      <w:tr>
        <w:trPr>
          <w:trHeight w:val="20"/>
        </w:trPr>
        <w:tc>
          <w:tcPr>
            <w:tcW w:w="20" w:type="dxa"/>
            <w:vAlign w:val="bottom"/>
          </w:tcPr>
          <w:p>
            <w:pPr>
              <w:spacing w:after="0" w:line="20" w:lineRule="exact"/>
              <w:rPr>
                <w:sz w:val="1"/>
                <w:szCs w:val="1"/>
                <w:color w:val="auto"/>
              </w:rPr>
            </w:pPr>
          </w:p>
        </w:tc>
        <w:tc>
          <w:tcPr>
            <w:tcW w:w="92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67" w:lineRule="exact"/>
        <w:rPr>
          <w:sz w:val="20"/>
          <w:szCs w:val="20"/>
          <w:color w:val="auto"/>
        </w:rPr>
      </w:pPr>
    </w:p>
    <w:p>
      <w:pPr>
        <w:ind w:right="240" w:firstLine="228"/>
        <w:spacing w:after="0" w:line="259" w:lineRule="auto"/>
        <w:rPr>
          <w:sz w:val="20"/>
          <w:szCs w:val="20"/>
          <w:color w:val="auto"/>
        </w:rPr>
      </w:pPr>
      <w:r>
        <w:rPr>
          <w:rFonts w:ascii="Arial" w:cs="Arial" w:eastAsia="Arial" w:hAnsi="Arial"/>
          <w:sz w:val="18"/>
          <w:szCs w:val="18"/>
          <w:color w:val="auto"/>
        </w:rPr>
        <w:t>In connection with the Chapter 11 Proceedings, at June 1, 2009 Accumulated other comprehensive income (loss) balances of $247 million associated with previously designated financial instruments were reclassified into Reorganization gains, net because the underlying forecasted debt and interest payments were probable not to occur.</w:t>
      </w:r>
    </w:p>
    <w:p>
      <w:pPr>
        <w:spacing w:after="0" w:line="140" w:lineRule="exact"/>
        <w:rPr>
          <w:sz w:val="20"/>
          <w:szCs w:val="20"/>
          <w:color w:val="auto"/>
        </w:rPr>
      </w:pPr>
    </w:p>
    <w:p>
      <w:pPr>
        <w:ind w:right="720" w:firstLine="228"/>
        <w:spacing w:after="0" w:line="332" w:lineRule="auto"/>
        <w:rPr>
          <w:sz w:val="20"/>
          <w:szCs w:val="20"/>
          <w:color w:val="auto"/>
        </w:rPr>
      </w:pPr>
      <w:r>
        <w:rPr>
          <w:rFonts w:ascii="Arial" w:cs="Arial" w:eastAsia="Arial" w:hAnsi="Arial"/>
          <w:sz w:val="16"/>
          <w:szCs w:val="16"/>
          <w:color w:val="auto"/>
        </w:rPr>
        <w:t>The following table summarizes gains and (losses) that were reclassified from Accumulated other comprehensive income (loss) for cash flow hedges associated with previously forecasted transactions that subsequently became probable not to occur (dollars in millions):</w:t>
      </w:r>
    </w:p>
    <w:p>
      <w:pPr>
        <w:spacing w:after="0" w:line="12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926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gridSpan w:val="2"/>
          </w:tcPr>
          <w:p>
            <w:pPr>
              <w:jc w:val="right"/>
              <w:ind w:right="52"/>
              <w:spacing w:after="0"/>
              <w:rPr>
                <w:sz w:val="20"/>
                <w:szCs w:val="20"/>
                <w:color w:val="auto"/>
              </w:rPr>
            </w:pPr>
            <w:r>
              <w:rPr>
                <w:rFonts w:ascii="Arial" w:cs="Arial" w:eastAsia="Arial" w:hAnsi="Arial"/>
                <w:sz w:val="14"/>
                <w:szCs w:val="14"/>
                <w:b w:val="1"/>
                <w:bCs w:val="1"/>
                <w:color w:val="auto"/>
                <w:w w:val="85"/>
              </w:rPr>
              <w:t>Predecessor</w:t>
            </w:r>
          </w:p>
        </w:tc>
        <w:tc>
          <w:tcPr>
            <w:tcW w:w="5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42"/>
        </w:trPr>
        <w:tc>
          <w:tcPr>
            <w:tcW w:w="20" w:type="dxa"/>
            <w:vAlign w:val="bottom"/>
          </w:tcPr>
          <w:p>
            <w:pPr>
              <w:spacing w:after="0"/>
              <w:rPr>
                <w:sz w:val="12"/>
                <w:szCs w:val="12"/>
                <w:color w:val="auto"/>
              </w:rPr>
            </w:pPr>
          </w:p>
        </w:tc>
        <w:tc>
          <w:tcPr>
            <w:tcW w:w="926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1920" w:type="dxa"/>
            <w:vAlign w:val="bottom"/>
            <w:tcBorders>
              <w:bottom w:val="single" w:sz="8" w:color="auto"/>
            </w:tcBorders>
            <w:gridSpan w:val="5"/>
          </w:tcPr>
          <w:p>
            <w:pPr>
              <w:jc w:val="right"/>
              <w:ind w:right="242"/>
              <w:spacing w:after="0" w:line="142" w:lineRule="exact"/>
              <w:rPr>
                <w:sz w:val="20"/>
                <w:szCs w:val="20"/>
                <w:color w:val="auto"/>
              </w:rPr>
            </w:pPr>
            <w:r>
              <w:rPr>
                <w:rFonts w:ascii="Arial" w:cs="Arial" w:eastAsia="Arial" w:hAnsi="Arial"/>
                <w:sz w:val="14"/>
                <w:szCs w:val="14"/>
                <w:b w:val="1"/>
                <w:bCs w:val="1"/>
                <w:color w:val="auto"/>
                <w:w w:val="97"/>
              </w:rPr>
              <w:t>Gain (Loss) Reclassified</w:t>
            </w:r>
          </w:p>
        </w:tc>
        <w:tc>
          <w:tcPr>
            <w:tcW w:w="100" w:type="dxa"/>
            <w:vAlign w:val="bottom"/>
          </w:tcPr>
          <w:p>
            <w:pPr>
              <w:spacing w:after="0"/>
              <w:rPr>
                <w:sz w:val="12"/>
                <w:szCs w:val="12"/>
                <w:color w:val="auto"/>
              </w:rPr>
            </w:pPr>
          </w:p>
        </w:tc>
      </w:tr>
      <w:tr>
        <w:trPr>
          <w:trHeight w:val="129"/>
        </w:trPr>
        <w:tc>
          <w:tcPr>
            <w:tcW w:w="20" w:type="dxa"/>
            <w:vAlign w:val="bottom"/>
          </w:tcPr>
          <w:p>
            <w:pPr>
              <w:spacing w:after="0"/>
              <w:rPr>
                <w:sz w:val="11"/>
                <w:szCs w:val="11"/>
                <w:color w:val="auto"/>
              </w:rPr>
            </w:pPr>
          </w:p>
        </w:tc>
        <w:tc>
          <w:tcPr>
            <w:tcW w:w="9260" w:type="dxa"/>
            <w:vAlign w:val="bottom"/>
          </w:tcPr>
          <w:p>
            <w:pPr>
              <w:spacing w:after="0"/>
              <w:rPr>
                <w:sz w:val="11"/>
                <w:szCs w:val="11"/>
                <w:color w:val="auto"/>
              </w:rPr>
            </w:pPr>
          </w:p>
        </w:tc>
        <w:tc>
          <w:tcPr>
            <w:tcW w:w="620" w:type="dxa"/>
            <w:vAlign w:val="bottom"/>
            <w:gridSpan w:val="3"/>
          </w:tcPr>
          <w:p>
            <w:pPr>
              <w:jc w:val="center"/>
              <w:ind w:right="120"/>
              <w:spacing w:after="0" w:line="129" w:lineRule="exact"/>
              <w:rPr>
                <w:sz w:val="20"/>
                <w:szCs w:val="20"/>
                <w:color w:val="auto"/>
              </w:rPr>
            </w:pPr>
            <w:r>
              <w:rPr>
                <w:rFonts w:ascii="Arial" w:cs="Arial" w:eastAsia="Arial" w:hAnsi="Arial"/>
                <w:sz w:val="14"/>
                <w:szCs w:val="14"/>
                <w:b w:val="1"/>
                <w:bCs w:val="1"/>
                <w:color w:val="auto"/>
                <w:w w:val="87"/>
              </w:rPr>
              <w:t>July 1,</w:t>
            </w:r>
          </w:p>
        </w:tc>
        <w:tc>
          <w:tcPr>
            <w:tcW w:w="760" w:type="dxa"/>
            <w:vAlign w:val="bottom"/>
          </w:tcPr>
          <w:p>
            <w:pPr>
              <w:spacing w:after="0"/>
              <w:rPr>
                <w:sz w:val="11"/>
                <w:szCs w:val="11"/>
                <w:color w:val="auto"/>
              </w:rPr>
            </w:pPr>
          </w:p>
        </w:tc>
        <w:tc>
          <w:tcPr>
            <w:tcW w:w="660" w:type="dxa"/>
            <w:vAlign w:val="bottom"/>
            <w:gridSpan w:val="2"/>
          </w:tcPr>
          <w:p>
            <w:pPr>
              <w:jc w:val="center"/>
              <w:spacing w:after="0" w:line="129" w:lineRule="exact"/>
              <w:rPr>
                <w:sz w:val="20"/>
                <w:szCs w:val="20"/>
                <w:color w:val="auto"/>
              </w:rPr>
            </w:pPr>
            <w:r>
              <w:rPr>
                <w:rFonts w:ascii="Arial" w:cs="Arial" w:eastAsia="Arial" w:hAnsi="Arial"/>
                <w:sz w:val="14"/>
                <w:szCs w:val="14"/>
                <w:b w:val="1"/>
                <w:bCs w:val="1"/>
                <w:color w:val="auto"/>
                <w:w w:val="89"/>
              </w:rPr>
              <w:t>January 1,</w:t>
            </w:r>
          </w:p>
        </w:tc>
        <w:tc>
          <w:tcPr>
            <w:tcW w:w="100" w:type="dxa"/>
            <w:vAlign w:val="bottom"/>
          </w:tcPr>
          <w:p>
            <w:pPr>
              <w:spacing w:after="0"/>
              <w:rPr>
                <w:sz w:val="11"/>
                <w:szCs w:val="11"/>
                <w:color w:val="auto"/>
              </w:rPr>
            </w:pPr>
          </w:p>
        </w:tc>
      </w:tr>
      <w:tr>
        <w:trPr>
          <w:trHeight w:val="149"/>
        </w:trPr>
        <w:tc>
          <w:tcPr>
            <w:tcW w:w="20" w:type="dxa"/>
            <w:vAlign w:val="bottom"/>
          </w:tcPr>
          <w:p>
            <w:pPr>
              <w:spacing w:after="0"/>
              <w:rPr>
                <w:sz w:val="12"/>
                <w:szCs w:val="12"/>
                <w:color w:val="auto"/>
              </w:rPr>
            </w:pPr>
          </w:p>
        </w:tc>
        <w:tc>
          <w:tcPr>
            <w:tcW w:w="9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0" w:type="dxa"/>
            <w:vAlign w:val="bottom"/>
          </w:tcPr>
          <w:p>
            <w:pPr>
              <w:jc w:val="center"/>
              <w:ind w:right="42"/>
              <w:spacing w:after="0" w:line="149" w:lineRule="exact"/>
              <w:rPr>
                <w:sz w:val="20"/>
                <w:szCs w:val="20"/>
                <w:color w:val="auto"/>
              </w:rPr>
            </w:pPr>
            <w:r>
              <w:rPr>
                <w:rFonts w:ascii="Arial" w:cs="Arial" w:eastAsia="Arial" w:hAnsi="Arial"/>
                <w:sz w:val="14"/>
                <w:szCs w:val="14"/>
                <w:b w:val="1"/>
                <w:bCs w:val="1"/>
                <w:color w:val="auto"/>
                <w:w w:val="89"/>
              </w:rPr>
              <w:t>2009</w:t>
            </w:r>
          </w:p>
        </w:tc>
        <w:tc>
          <w:tcPr>
            <w:tcW w:w="1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jc w:val="center"/>
              <w:ind w:right="42"/>
              <w:spacing w:after="0" w:line="149" w:lineRule="exact"/>
              <w:rPr>
                <w:sz w:val="20"/>
                <w:szCs w:val="20"/>
                <w:color w:val="auto"/>
              </w:rPr>
            </w:pPr>
            <w:r>
              <w:rPr>
                <w:rFonts w:ascii="Arial" w:cs="Arial" w:eastAsia="Arial" w:hAnsi="Arial"/>
                <w:sz w:val="14"/>
                <w:szCs w:val="14"/>
                <w:b w:val="1"/>
                <w:bCs w:val="1"/>
                <w:color w:val="auto"/>
                <w:w w:val="89"/>
              </w:rPr>
              <w:t>2009</w:t>
            </w:r>
          </w:p>
        </w:tc>
        <w:tc>
          <w:tcPr>
            <w:tcW w:w="100" w:type="dxa"/>
            <w:vAlign w:val="bottom"/>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9260" w:type="dxa"/>
            <w:vAlign w:val="bottom"/>
          </w:tcPr>
          <w:p>
            <w:pPr>
              <w:spacing w:after="0"/>
              <w:rPr>
                <w:sz w:val="12"/>
                <w:szCs w:val="12"/>
                <w:color w:val="auto"/>
              </w:rPr>
            </w:pPr>
          </w:p>
        </w:tc>
        <w:tc>
          <w:tcPr>
            <w:tcW w:w="620" w:type="dxa"/>
            <w:vAlign w:val="bottom"/>
            <w:gridSpan w:val="3"/>
          </w:tcPr>
          <w:p>
            <w:pPr>
              <w:jc w:val="center"/>
              <w:ind w:right="100"/>
              <w:spacing w:after="0" w:line="149" w:lineRule="exact"/>
              <w:rPr>
                <w:sz w:val="20"/>
                <w:szCs w:val="20"/>
                <w:color w:val="auto"/>
              </w:rPr>
            </w:pPr>
            <w:r>
              <w:rPr>
                <w:rFonts w:ascii="Arial" w:cs="Arial" w:eastAsia="Arial" w:hAnsi="Arial"/>
                <w:sz w:val="14"/>
                <w:szCs w:val="14"/>
                <w:b w:val="1"/>
                <w:bCs w:val="1"/>
                <w:color w:val="auto"/>
                <w:w w:val="91"/>
              </w:rPr>
              <w:t>Through</w:t>
            </w:r>
          </w:p>
        </w:tc>
        <w:tc>
          <w:tcPr>
            <w:tcW w:w="760" w:type="dxa"/>
            <w:vAlign w:val="bottom"/>
          </w:tcPr>
          <w:p>
            <w:pPr>
              <w:spacing w:after="0"/>
              <w:rPr>
                <w:sz w:val="12"/>
                <w:szCs w:val="12"/>
                <w:color w:val="auto"/>
              </w:rPr>
            </w:pPr>
          </w:p>
        </w:tc>
        <w:tc>
          <w:tcPr>
            <w:tcW w:w="760" w:type="dxa"/>
            <w:vAlign w:val="bottom"/>
            <w:gridSpan w:val="3"/>
          </w:tcPr>
          <w:p>
            <w:pPr>
              <w:jc w:val="center"/>
              <w:ind w:right="120"/>
              <w:spacing w:after="0" w:line="149" w:lineRule="exact"/>
              <w:rPr>
                <w:sz w:val="20"/>
                <w:szCs w:val="20"/>
                <w:color w:val="auto"/>
              </w:rPr>
            </w:pPr>
            <w:r>
              <w:rPr>
                <w:rFonts w:ascii="Arial" w:cs="Arial" w:eastAsia="Arial" w:hAnsi="Arial"/>
                <w:sz w:val="14"/>
                <w:szCs w:val="14"/>
                <w:b w:val="1"/>
                <w:bCs w:val="1"/>
                <w:color w:val="auto"/>
                <w:w w:val="91"/>
              </w:rPr>
              <w:t>Through</w:t>
            </w:r>
          </w:p>
        </w:tc>
      </w:tr>
      <w:tr>
        <w:trPr>
          <w:trHeight w:val="149"/>
        </w:trPr>
        <w:tc>
          <w:tcPr>
            <w:tcW w:w="20" w:type="dxa"/>
            <w:vAlign w:val="bottom"/>
          </w:tcPr>
          <w:p>
            <w:pPr>
              <w:spacing w:after="0"/>
              <w:rPr>
                <w:sz w:val="12"/>
                <w:szCs w:val="12"/>
                <w:color w:val="auto"/>
              </w:rPr>
            </w:pPr>
          </w:p>
        </w:tc>
        <w:tc>
          <w:tcPr>
            <w:tcW w:w="9260" w:type="dxa"/>
            <w:vAlign w:val="bottom"/>
          </w:tcPr>
          <w:p>
            <w:pPr>
              <w:spacing w:after="0"/>
              <w:rPr>
                <w:sz w:val="12"/>
                <w:szCs w:val="12"/>
                <w:color w:val="auto"/>
              </w:rPr>
            </w:pPr>
          </w:p>
        </w:tc>
        <w:tc>
          <w:tcPr>
            <w:tcW w:w="620" w:type="dxa"/>
            <w:vAlign w:val="bottom"/>
            <w:gridSpan w:val="3"/>
          </w:tcPr>
          <w:p>
            <w:pPr>
              <w:jc w:val="center"/>
              <w:ind w:right="80"/>
              <w:spacing w:after="0" w:line="149" w:lineRule="exact"/>
              <w:rPr>
                <w:sz w:val="20"/>
                <w:szCs w:val="20"/>
                <w:color w:val="auto"/>
              </w:rPr>
            </w:pPr>
            <w:r>
              <w:rPr>
                <w:rFonts w:ascii="Arial" w:cs="Arial" w:eastAsia="Arial" w:hAnsi="Arial"/>
                <w:sz w:val="14"/>
                <w:szCs w:val="14"/>
                <w:b w:val="1"/>
                <w:bCs w:val="1"/>
                <w:color w:val="auto"/>
                <w:w w:val="87"/>
              </w:rPr>
              <w:t>July 9,</w:t>
            </w: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1"/>
              </w:rPr>
              <w:t>July 9,</w:t>
            </w:r>
          </w:p>
        </w:tc>
      </w:tr>
      <w:tr>
        <w:trPr>
          <w:trHeight w:val="161"/>
        </w:trPr>
        <w:tc>
          <w:tcPr>
            <w:tcW w:w="20" w:type="dxa"/>
            <w:vAlign w:val="bottom"/>
          </w:tcPr>
          <w:p>
            <w:pPr>
              <w:spacing w:after="0"/>
              <w:rPr>
                <w:sz w:val="14"/>
                <w:szCs w:val="14"/>
                <w:color w:val="auto"/>
              </w:rPr>
            </w:pPr>
          </w:p>
        </w:tc>
        <w:tc>
          <w:tcPr>
            <w:tcW w:w="926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jc w:val="center"/>
              <w:ind w:right="42"/>
              <w:spacing w:after="0"/>
              <w:rPr>
                <w:sz w:val="20"/>
                <w:szCs w:val="20"/>
                <w:color w:val="auto"/>
              </w:rPr>
            </w:pPr>
            <w:r>
              <w:rPr>
                <w:rFonts w:ascii="Arial" w:cs="Arial" w:eastAsia="Arial" w:hAnsi="Arial"/>
                <w:sz w:val="14"/>
                <w:szCs w:val="14"/>
                <w:b w:val="1"/>
                <w:bCs w:val="1"/>
                <w:color w:val="auto"/>
                <w:w w:val="89"/>
              </w:rPr>
              <w:t>2009</w:t>
            </w:r>
          </w:p>
        </w:tc>
        <w:tc>
          <w:tcPr>
            <w:tcW w:w="1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jc w:val="center"/>
              <w:ind w:right="42"/>
              <w:spacing w:after="0"/>
              <w:rPr>
                <w:sz w:val="20"/>
                <w:szCs w:val="20"/>
                <w:color w:val="auto"/>
              </w:rPr>
            </w:pPr>
            <w:r>
              <w:rPr>
                <w:rFonts w:ascii="Arial" w:cs="Arial" w:eastAsia="Arial" w:hAnsi="Arial"/>
                <w:sz w:val="14"/>
                <w:szCs w:val="14"/>
                <w:b w:val="1"/>
                <w:bCs w:val="1"/>
                <w:color w:val="auto"/>
                <w:w w:val="89"/>
              </w:rPr>
              <w:t>2009</w:t>
            </w:r>
          </w:p>
        </w:tc>
        <w:tc>
          <w:tcPr>
            <w:tcW w:w="100" w:type="dxa"/>
            <w:vAlign w:val="bottom"/>
          </w:tcPr>
          <w:p>
            <w:pPr>
              <w:spacing w:after="0"/>
              <w:rPr>
                <w:sz w:val="14"/>
                <w:szCs w:val="14"/>
                <w:color w:val="auto"/>
              </w:rPr>
            </w:pPr>
          </w:p>
        </w:tc>
      </w:tr>
      <w:tr>
        <w:trPr>
          <w:trHeight w:val="210"/>
        </w:trPr>
        <w:tc>
          <w:tcPr>
            <w:tcW w:w="20" w:type="dxa"/>
            <w:vAlign w:val="bottom"/>
          </w:tcPr>
          <w:p>
            <w:pPr>
              <w:spacing w:after="0"/>
              <w:rPr>
                <w:sz w:val="18"/>
                <w:szCs w:val="18"/>
                <w:color w:val="auto"/>
              </w:rPr>
            </w:pPr>
          </w:p>
        </w:tc>
        <w:tc>
          <w:tcPr>
            <w:tcW w:w="9260" w:type="dxa"/>
            <w:vAlign w:val="bottom"/>
            <w:shd w:val="clear" w:color="auto" w:fill="CCEEFF"/>
          </w:tcPr>
          <w:p>
            <w:pPr>
              <w:spacing w:after="0"/>
              <w:rPr>
                <w:sz w:val="20"/>
                <w:szCs w:val="20"/>
                <w:color w:val="auto"/>
              </w:rPr>
            </w:pPr>
            <w:r>
              <w:rPr>
                <w:rFonts w:ascii="Arial" w:cs="Arial" w:eastAsia="Arial" w:hAnsi="Arial"/>
                <w:sz w:val="18"/>
                <w:szCs w:val="18"/>
                <w:color w:val="auto"/>
              </w:rPr>
              <w:t>Sales</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(182)</w:t>
            </w:r>
          </w:p>
        </w:tc>
      </w:tr>
      <w:tr>
        <w:trPr>
          <w:trHeight w:val="223"/>
        </w:trPr>
        <w:tc>
          <w:tcPr>
            <w:tcW w:w="20" w:type="dxa"/>
            <w:vAlign w:val="bottom"/>
          </w:tcPr>
          <w:p>
            <w:pPr>
              <w:spacing w:after="0"/>
              <w:rPr>
                <w:sz w:val="19"/>
                <w:szCs w:val="19"/>
                <w:color w:val="auto"/>
              </w:rPr>
            </w:pPr>
          </w:p>
        </w:tc>
        <w:tc>
          <w:tcPr>
            <w:tcW w:w="9260" w:type="dxa"/>
            <w:vAlign w:val="bottom"/>
          </w:tcPr>
          <w:p>
            <w:pPr>
              <w:spacing w:after="0"/>
              <w:rPr>
                <w:sz w:val="20"/>
                <w:szCs w:val="20"/>
                <w:color w:val="auto"/>
              </w:rPr>
            </w:pPr>
            <w:r>
              <w:rPr>
                <w:rFonts w:ascii="Arial" w:cs="Arial" w:eastAsia="Arial" w:hAnsi="Arial"/>
                <w:sz w:val="18"/>
                <w:szCs w:val="18"/>
                <w:color w:val="auto"/>
              </w:rPr>
              <w:t>Reorganization gains, net</w:t>
            </w:r>
          </w:p>
        </w:tc>
        <w:tc>
          <w:tcPr>
            <w:tcW w:w="12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247</w:t>
            </w:r>
          </w:p>
        </w:tc>
        <w:tc>
          <w:tcPr>
            <w:tcW w:w="1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9260" w:type="dxa"/>
            <w:vAlign w:val="bottom"/>
            <w:shd w:val="clear" w:color="auto" w:fill="CCEEFF"/>
          </w:tcPr>
          <w:p>
            <w:pPr>
              <w:spacing w:after="0"/>
              <w:rPr>
                <w:sz w:val="20"/>
                <w:szCs w:val="20"/>
                <w:color w:val="auto"/>
              </w:rPr>
            </w:pPr>
            <w:r>
              <w:rPr>
                <w:rFonts w:ascii="Arial" w:cs="Arial" w:eastAsia="Arial" w:hAnsi="Arial"/>
                <w:sz w:val="18"/>
                <w:szCs w:val="18"/>
                <w:color w:val="auto"/>
              </w:rPr>
              <w:t>Total gains (losses) reclassified from accumulated other comprehensive income (loss)</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65</w:t>
            </w:r>
          </w:p>
        </w:tc>
      </w:tr>
      <w:tr>
        <w:trPr>
          <w:trHeight w:val="20"/>
        </w:trPr>
        <w:tc>
          <w:tcPr>
            <w:tcW w:w="20" w:type="dxa"/>
            <w:vAlign w:val="bottom"/>
          </w:tcPr>
          <w:p>
            <w:pPr>
              <w:spacing w:after="0" w:line="20" w:lineRule="exact"/>
              <w:rPr>
                <w:sz w:val="1"/>
                <w:szCs w:val="1"/>
                <w:color w:val="auto"/>
              </w:rPr>
            </w:pPr>
          </w:p>
        </w:tc>
        <w:tc>
          <w:tcPr>
            <w:tcW w:w="92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67" w:lineRule="exact"/>
        <w:rPr>
          <w:sz w:val="20"/>
          <w:szCs w:val="20"/>
          <w:color w:val="auto"/>
        </w:rPr>
      </w:pPr>
    </w:p>
    <w:p>
      <w:pPr>
        <w:ind w:right="120" w:firstLine="228"/>
        <w:spacing w:after="0" w:line="259" w:lineRule="auto"/>
        <w:rPr>
          <w:sz w:val="20"/>
          <w:szCs w:val="20"/>
          <w:color w:val="auto"/>
        </w:rPr>
      </w:pPr>
      <w:r>
        <w:rPr>
          <w:rFonts w:ascii="Arial" w:cs="Arial" w:eastAsia="Arial" w:hAnsi="Arial"/>
          <w:sz w:val="18"/>
          <w:szCs w:val="18"/>
          <w:color w:val="auto"/>
        </w:rPr>
        <w:t>In connection with our investment in New Delphi, which we account for using the equity method, we record our share of New Delphi’s Other comprehensive income (loss) in Accumulated other comprehensive income (loss). In the three and nine months ended September 30, 2010 we recorded insignificant cash flow hedge losses related to our share of New Delphi’s hedging losses.</w:t>
      </w:r>
    </w:p>
    <w:p>
      <w:pPr>
        <w:spacing w:after="0" w:line="140"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Fair Value Hedges</w:t>
      </w:r>
    </w:p>
    <w:p>
      <w:pPr>
        <w:spacing w:after="0" w:line="171" w:lineRule="exact"/>
        <w:rPr>
          <w:sz w:val="20"/>
          <w:szCs w:val="20"/>
          <w:color w:val="auto"/>
        </w:rPr>
      </w:pPr>
    </w:p>
    <w:p>
      <w:pPr>
        <w:ind w:right="840" w:firstLine="228"/>
        <w:spacing w:after="0" w:line="332" w:lineRule="auto"/>
        <w:rPr>
          <w:sz w:val="20"/>
          <w:szCs w:val="20"/>
          <w:color w:val="auto"/>
        </w:rPr>
      </w:pPr>
      <w:r>
        <w:rPr>
          <w:rFonts w:ascii="Arial" w:cs="Arial" w:eastAsia="Arial" w:hAnsi="Arial"/>
          <w:sz w:val="16"/>
          <w:szCs w:val="16"/>
          <w:color w:val="auto"/>
        </w:rPr>
        <w:t>We are and Old GM was subject to market risk from exposures to changes in interest rates that affect the fair value of long-term, fixed rate debt. At September 30, 2010 we did not have any financial instruments designated as fair value hedges to manage this risk.</w:t>
      </w:r>
    </w:p>
    <w:p>
      <w:pPr>
        <w:spacing w:after="0" w:line="85" w:lineRule="exact"/>
        <w:rPr>
          <w:sz w:val="20"/>
          <w:szCs w:val="20"/>
          <w:color w:val="auto"/>
        </w:rPr>
      </w:pPr>
    </w:p>
    <w:p>
      <w:pPr>
        <w:ind w:right="240" w:firstLine="228"/>
        <w:spacing w:after="0" w:line="268" w:lineRule="auto"/>
        <w:rPr>
          <w:sz w:val="20"/>
          <w:szCs w:val="20"/>
          <w:color w:val="auto"/>
        </w:rPr>
      </w:pPr>
      <w:r>
        <w:rPr>
          <w:rFonts w:ascii="Arial" w:cs="Arial" w:eastAsia="Arial" w:hAnsi="Arial"/>
          <w:sz w:val="18"/>
          <w:szCs w:val="18"/>
          <w:color w:val="auto"/>
        </w:rPr>
        <w:t>Old GM previously used interest rate swaps designated as fair value hedges to manage certain of its exposures associated with this debt. Old GM hedged its exposures to the maturity date of the underlying interest rate exposure.</w:t>
      </w:r>
    </w:p>
    <w:p>
      <w:pPr>
        <w:spacing w:after="0" w:line="132" w:lineRule="exact"/>
        <w:rPr>
          <w:sz w:val="20"/>
          <w:szCs w:val="20"/>
          <w:color w:val="auto"/>
        </w:rPr>
      </w:pPr>
    </w:p>
    <w:p>
      <w:pPr>
        <w:ind w:right="120" w:firstLine="228"/>
        <w:spacing w:after="0" w:line="294" w:lineRule="auto"/>
        <w:rPr>
          <w:sz w:val="20"/>
          <w:szCs w:val="20"/>
          <w:color w:val="auto"/>
        </w:rPr>
      </w:pPr>
      <w:r>
        <w:rPr>
          <w:rFonts w:ascii="Arial" w:cs="Arial" w:eastAsia="Arial" w:hAnsi="Arial"/>
          <w:sz w:val="16"/>
          <w:szCs w:val="16"/>
          <w:color w:val="auto"/>
        </w:rPr>
        <w:t>Gains and losses on derivatives designated and qualifying as fair value hedges, as well as the offsetting gains and losses on the debt attributable to the hedged interest rate risk, were recorded in Interest expense to the extent the hedge was effective. The gains and losses related to the hedged interest rate risk were recorded as an adjustment to the carrying amount of the debt. Previously recorded adjustments to the carrying amount of the debt were amortized to Interest expense over the remaining debt term. In the periods July 1, 2009 through July 9, 2009 and January 1, 2009 through July 9, 2009 Old GM amortized an insignificant amount of previously deferred fair value hedge gains and losses to Interest expense.</w:t>
      </w:r>
    </w:p>
    <w:p>
      <w:pPr>
        <w:spacing w:after="0" w:line="1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420"/>
          </w:cols>
          <w:pgMar w:left="240" w:top="459" w:right="239" w:bottom="1440" w:gutter="0" w:footer="0" w:header="0"/>
        </w:sectPr>
      </w:pPr>
    </w:p>
    <w:bookmarkStart w:id="42" w:name="page43"/>
    <w:bookmarkEnd w:id="4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339" w:lineRule="exact"/>
        <w:rPr>
          <w:sz w:val="20"/>
          <w:szCs w:val="20"/>
          <w:color w:val="auto"/>
        </w:rPr>
      </w:pPr>
    </w:p>
    <w:p>
      <w:pPr>
        <w:jc w:val="both"/>
        <w:ind w:right="140" w:firstLine="228"/>
        <w:spacing w:after="0" w:line="306" w:lineRule="auto"/>
        <w:rPr>
          <w:sz w:val="20"/>
          <w:szCs w:val="20"/>
          <w:color w:val="auto"/>
        </w:rPr>
      </w:pPr>
      <w:r>
        <w:rPr>
          <w:rFonts w:ascii="Arial" w:cs="Arial" w:eastAsia="Arial" w:hAnsi="Arial"/>
          <w:sz w:val="16"/>
          <w:szCs w:val="16"/>
          <w:color w:val="auto"/>
        </w:rPr>
        <w:t>In connection with the Chapter 11 Proceedings, at June 1, 2009 Old GM recorded basis adjustments of $18 million to the carrying amount of debt that ceased to be amortized to Interest expense. At June 1, 2009 the debt related to these basis adjustments was classified as Liabilities subject to compromise and no longer subject to interest accruals or amortization. We did not assume this debt from Old GM in connection with the 363 Sale.</w:t>
      </w:r>
    </w:p>
    <w:p>
      <w:pPr>
        <w:spacing w:after="0" w:line="107"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Net Investment Hedges</w:t>
      </w:r>
    </w:p>
    <w:p>
      <w:pPr>
        <w:spacing w:after="0" w:line="171" w:lineRule="exact"/>
        <w:rPr>
          <w:sz w:val="20"/>
          <w:szCs w:val="20"/>
          <w:color w:val="auto"/>
        </w:rPr>
      </w:pPr>
    </w:p>
    <w:p>
      <w:pPr>
        <w:ind w:right="100" w:firstLine="228"/>
        <w:spacing w:after="0" w:line="268" w:lineRule="auto"/>
        <w:rPr>
          <w:sz w:val="20"/>
          <w:szCs w:val="20"/>
          <w:color w:val="auto"/>
        </w:rPr>
      </w:pPr>
      <w:r>
        <w:rPr>
          <w:rFonts w:ascii="Arial" w:cs="Arial" w:eastAsia="Arial" w:hAnsi="Arial"/>
          <w:sz w:val="18"/>
          <w:szCs w:val="18"/>
          <w:color w:val="auto"/>
        </w:rPr>
        <w:t>We are and Old GM was subject to foreign currency exposure related to net investments in certain foreign operations. At September 30, 2010 we did not have any hedges of a net investment in a foreign operation.</w:t>
      </w:r>
    </w:p>
    <w:p>
      <w:pPr>
        <w:spacing w:after="0" w:line="132" w:lineRule="exact"/>
        <w:rPr>
          <w:sz w:val="20"/>
          <w:szCs w:val="20"/>
          <w:color w:val="auto"/>
        </w:rPr>
      </w:pPr>
    </w:p>
    <w:p>
      <w:pPr>
        <w:ind w:right="80" w:firstLine="228"/>
        <w:spacing w:after="0" w:line="294" w:lineRule="auto"/>
        <w:rPr>
          <w:sz w:val="20"/>
          <w:szCs w:val="20"/>
          <w:color w:val="auto"/>
        </w:rPr>
      </w:pPr>
      <w:r>
        <w:rPr>
          <w:rFonts w:ascii="Arial" w:cs="Arial" w:eastAsia="Arial" w:hAnsi="Arial"/>
          <w:sz w:val="16"/>
          <w:szCs w:val="16"/>
          <w:color w:val="auto"/>
        </w:rPr>
        <w:t>Old GM previously used foreign currency denominated debt to hedge this foreign currency exposure. For nonderivative instruments that were designated as, and qualified as, a hedge of a net investment in a foreign operation, the effective portion of the unrealized and realized gains and losses were recorded as a Foreign currency translation adjustment in Accumulated other comprehensive income (loss). In connection with the 363 Sale, MLC retained the foreign currency denominated debt and it ceased to operate as a hedge of net investments in foreign operations. In connection with our application of fresh-start reporting, the effective portions of unrealized gains and losses previously recorded in Accumulated other comprehensive income (loss) were adjusted to $0 at July 10, 2009.</w:t>
      </w:r>
    </w:p>
    <w:p>
      <w:pPr>
        <w:spacing w:after="0" w:line="116" w:lineRule="exact"/>
        <w:rPr>
          <w:sz w:val="20"/>
          <w:szCs w:val="20"/>
          <w:color w:val="auto"/>
        </w:rPr>
      </w:pPr>
    </w:p>
    <w:p>
      <w:pPr>
        <w:ind w:right="380" w:firstLine="228"/>
        <w:spacing w:after="0" w:line="268" w:lineRule="auto"/>
        <w:rPr>
          <w:sz w:val="20"/>
          <w:szCs w:val="20"/>
          <w:color w:val="auto"/>
        </w:rPr>
      </w:pPr>
      <w:r>
        <w:rPr>
          <w:rFonts w:ascii="Arial" w:cs="Arial" w:eastAsia="Arial" w:hAnsi="Arial"/>
          <w:sz w:val="18"/>
          <w:szCs w:val="18"/>
          <w:color w:val="auto"/>
        </w:rPr>
        <w:t>The following table summarizes the gains and (losses) related to hedges of net investments in foreign operations that were recorded as a Foreign currency translation adjustment in Accumulated other comprehensive income (loss) (dollars in millions):</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1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gridSpan w:val="2"/>
          </w:tcPr>
          <w:p>
            <w:pPr>
              <w:jc w:val="right"/>
              <w:ind w:right="92"/>
              <w:spacing w:after="0"/>
              <w:rPr>
                <w:sz w:val="20"/>
                <w:szCs w:val="20"/>
                <w:color w:val="auto"/>
              </w:rPr>
            </w:pPr>
            <w:r>
              <w:rPr>
                <w:rFonts w:ascii="Arial" w:cs="Arial" w:eastAsia="Arial" w:hAnsi="Arial"/>
                <w:sz w:val="14"/>
                <w:szCs w:val="14"/>
                <w:b w:val="1"/>
                <w:bCs w:val="1"/>
                <w:color w:val="auto"/>
                <w:w w:val="95"/>
              </w:rPr>
              <w:t>Predecessor</w:t>
            </w:r>
          </w:p>
        </w:tc>
        <w:tc>
          <w:tcPr>
            <w:tcW w:w="6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29"/>
        </w:trPr>
        <w:tc>
          <w:tcPr>
            <w:tcW w:w="9120" w:type="dxa"/>
            <w:vAlign w:val="bottom"/>
          </w:tcPr>
          <w:p>
            <w:pPr>
              <w:spacing w:after="0"/>
              <w:rPr>
                <w:sz w:val="11"/>
                <w:szCs w:val="11"/>
                <w:color w:val="auto"/>
              </w:rPr>
            </w:pPr>
          </w:p>
        </w:tc>
        <w:tc>
          <w:tcPr>
            <w:tcW w:w="620" w:type="dxa"/>
            <w:vAlign w:val="bottom"/>
            <w:gridSpan w:val="3"/>
          </w:tcPr>
          <w:p>
            <w:pPr>
              <w:jc w:val="center"/>
              <w:ind w:right="160"/>
              <w:spacing w:after="0" w:line="129" w:lineRule="exact"/>
              <w:rPr>
                <w:sz w:val="20"/>
                <w:szCs w:val="20"/>
                <w:color w:val="auto"/>
              </w:rPr>
            </w:pPr>
            <w:r>
              <w:rPr>
                <w:rFonts w:ascii="Arial" w:cs="Arial" w:eastAsia="Arial" w:hAnsi="Arial"/>
                <w:sz w:val="14"/>
                <w:szCs w:val="14"/>
                <w:b w:val="1"/>
                <w:bCs w:val="1"/>
                <w:color w:val="auto"/>
                <w:w w:val="87"/>
              </w:rPr>
              <w:t>July 1,</w:t>
            </w:r>
          </w:p>
        </w:tc>
        <w:tc>
          <w:tcPr>
            <w:tcW w:w="9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149"/>
        </w:trPr>
        <w:tc>
          <w:tcPr>
            <w:tcW w:w="9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tcPr>
          <w:p>
            <w:pPr>
              <w:jc w:val="center"/>
              <w:ind w:right="26"/>
              <w:spacing w:after="0" w:line="149" w:lineRule="exact"/>
              <w:rPr>
                <w:sz w:val="20"/>
                <w:szCs w:val="20"/>
                <w:color w:val="auto"/>
              </w:rPr>
            </w:pPr>
            <w:r>
              <w:rPr>
                <w:rFonts w:ascii="Arial" w:cs="Arial" w:eastAsia="Arial" w:hAnsi="Arial"/>
                <w:sz w:val="14"/>
                <w:szCs w:val="14"/>
                <w:b w:val="1"/>
                <w:bCs w:val="1"/>
                <w:color w:val="auto"/>
                <w:w w:val="83"/>
              </w:rPr>
              <w:t>2009</w:t>
            </w:r>
          </w:p>
        </w:tc>
        <w:tc>
          <w:tcPr>
            <w:tcW w:w="1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780" w:type="dxa"/>
            <w:vAlign w:val="bottom"/>
            <w:gridSpan w:val="3"/>
          </w:tcPr>
          <w:p>
            <w:pPr>
              <w:jc w:val="center"/>
              <w:ind w:right="120"/>
              <w:spacing w:after="0" w:line="149" w:lineRule="exact"/>
              <w:rPr>
                <w:sz w:val="20"/>
                <w:szCs w:val="20"/>
                <w:color w:val="auto"/>
              </w:rPr>
            </w:pPr>
            <w:r>
              <w:rPr>
                <w:rFonts w:ascii="Arial" w:cs="Arial" w:eastAsia="Arial" w:hAnsi="Arial"/>
                <w:sz w:val="14"/>
                <w:szCs w:val="14"/>
                <w:b w:val="1"/>
                <w:bCs w:val="1"/>
                <w:color w:val="auto"/>
                <w:w w:val="89"/>
              </w:rPr>
              <w:t>January 1,</w:t>
            </w:r>
          </w:p>
        </w:tc>
      </w:tr>
      <w:tr>
        <w:trPr>
          <w:trHeight w:val="149"/>
        </w:trPr>
        <w:tc>
          <w:tcPr>
            <w:tcW w:w="9120" w:type="dxa"/>
            <w:vAlign w:val="bottom"/>
          </w:tcPr>
          <w:p>
            <w:pPr>
              <w:spacing w:after="0"/>
              <w:rPr>
                <w:sz w:val="12"/>
                <w:szCs w:val="12"/>
                <w:color w:val="auto"/>
              </w:rPr>
            </w:pPr>
          </w:p>
        </w:tc>
        <w:tc>
          <w:tcPr>
            <w:tcW w:w="62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Through</w:t>
            </w:r>
          </w:p>
        </w:tc>
        <w:tc>
          <w:tcPr>
            <w:tcW w:w="9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jc w:val="center"/>
              <w:ind w:right="6"/>
              <w:spacing w:after="0" w:line="149" w:lineRule="exact"/>
              <w:rPr>
                <w:sz w:val="20"/>
                <w:szCs w:val="20"/>
                <w:color w:val="auto"/>
              </w:rPr>
            </w:pPr>
            <w:r>
              <w:rPr>
                <w:rFonts w:ascii="Arial" w:cs="Arial" w:eastAsia="Arial" w:hAnsi="Arial"/>
                <w:sz w:val="14"/>
                <w:szCs w:val="14"/>
                <w:b w:val="1"/>
                <w:bCs w:val="1"/>
                <w:color w:val="auto"/>
                <w:w w:val="89"/>
              </w:rPr>
              <w:t>2009</w:t>
            </w:r>
          </w:p>
        </w:tc>
        <w:tc>
          <w:tcPr>
            <w:tcW w:w="100" w:type="dxa"/>
            <w:vAlign w:val="bottom"/>
          </w:tcPr>
          <w:p>
            <w:pPr>
              <w:spacing w:after="0"/>
              <w:rPr>
                <w:sz w:val="12"/>
                <w:szCs w:val="12"/>
                <w:color w:val="auto"/>
              </w:rPr>
            </w:pPr>
          </w:p>
        </w:tc>
      </w:tr>
      <w:tr>
        <w:trPr>
          <w:trHeight w:val="149"/>
        </w:trPr>
        <w:tc>
          <w:tcPr>
            <w:tcW w:w="9120" w:type="dxa"/>
            <w:vAlign w:val="bottom"/>
          </w:tcPr>
          <w:p>
            <w:pPr>
              <w:spacing w:after="0"/>
              <w:rPr>
                <w:sz w:val="12"/>
                <w:szCs w:val="12"/>
                <w:color w:val="auto"/>
              </w:rPr>
            </w:pPr>
          </w:p>
        </w:tc>
        <w:tc>
          <w:tcPr>
            <w:tcW w:w="620" w:type="dxa"/>
            <w:vAlign w:val="bottom"/>
            <w:gridSpan w:val="3"/>
          </w:tcPr>
          <w:p>
            <w:pPr>
              <w:jc w:val="center"/>
              <w:ind w:right="120"/>
              <w:spacing w:after="0" w:line="149" w:lineRule="exact"/>
              <w:rPr>
                <w:sz w:val="20"/>
                <w:szCs w:val="20"/>
                <w:color w:val="auto"/>
              </w:rPr>
            </w:pPr>
            <w:r>
              <w:rPr>
                <w:rFonts w:ascii="Arial" w:cs="Arial" w:eastAsia="Arial" w:hAnsi="Arial"/>
                <w:sz w:val="14"/>
                <w:szCs w:val="14"/>
                <w:b w:val="1"/>
                <w:bCs w:val="1"/>
                <w:color w:val="auto"/>
                <w:w w:val="87"/>
              </w:rPr>
              <w:t>July 9,</w:t>
            </w:r>
          </w:p>
        </w:tc>
        <w:tc>
          <w:tcPr>
            <w:tcW w:w="9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91"/>
              </w:rPr>
              <w:t>Through</w:t>
            </w:r>
          </w:p>
        </w:tc>
      </w:tr>
      <w:tr>
        <w:trPr>
          <w:trHeight w:val="161"/>
        </w:trPr>
        <w:tc>
          <w:tcPr>
            <w:tcW w:w="9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0" w:type="dxa"/>
            <w:vAlign w:val="bottom"/>
          </w:tcPr>
          <w:p>
            <w:pPr>
              <w:jc w:val="center"/>
              <w:ind w:right="26"/>
              <w:spacing w:after="0"/>
              <w:rPr>
                <w:sz w:val="20"/>
                <w:szCs w:val="20"/>
                <w:color w:val="auto"/>
              </w:rPr>
            </w:pPr>
            <w:r>
              <w:rPr>
                <w:rFonts w:ascii="Arial" w:cs="Arial" w:eastAsia="Arial" w:hAnsi="Arial"/>
                <w:sz w:val="14"/>
                <w:szCs w:val="14"/>
                <w:b w:val="1"/>
                <w:bCs w:val="1"/>
                <w:color w:val="auto"/>
                <w:w w:val="83"/>
              </w:rPr>
              <w:t>2009</w:t>
            </w:r>
          </w:p>
        </w:tc>
        <w:tc>
          <w:tcPr>
            <w:tcW w:w="1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78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w w:val="86"/>
              </w:rPr>
              <w:t>July 9, 2009</w:t>
            </w:r>
          </w:p>
        </w:tc>
      </w:tr>
      <w:tr>
        <w:trPr>
          <w:trHeight w:val="20"/>
        </w:trPr>
        <w:tc>
          <w:tcPr>
            <w:tcW w:w="91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9120" w:type="dxa"/>
            <w:vAlign w:val="bottom"/>
            <w:shd w:val="clear" w:color="auto" w:fill="CCEEFF"/>
          </w:tcPr>
          <w:p>
            <w:pPr>
              <w:spacing w:after="0"/>
              <w:rPr>
                <w:sz w:val="20"/>
                <w:szCs w:val="20"/>
                <w:color w:val="auto"/>
              </w:rPr>
            </w:pPr>
            <w:r>
              <w:rPr>
                <w:rFonts w:ascii="Arial" w:cs="Arial" w:eastAsia="Arial" w:hAnsi="Arial"/>
                <w:sz w:val="18"/>
                <w:szCs w:val="18"/>
                <w:color w:val="auto"/>
              </w:rPr>
              <w:t>Effective portion of net investment hedge gains (losses)</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5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13</w:t>
            </w: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100" w:type="dxa"/>
            <w:vAlign w:val="bottom"/>
            <w:shd w:val="clear" w:color="auto" w:fill="CCEEFF"/>
          </w:tcPr>
          <w:p>
            <w:pPr>
              <w:spacing w:after="0"/>
              <w:rPr>
                <w:sz w:val="18"/>
                <w:szCs w:val="18"/>
                <w:color w:val="auto"/>
              </w:rPr>
            </w:pPr>
          </w:p>
        </w:tc>
      </w:tr>
    </w:tbl>
    <w:p>
      <w:pPr>
        <w:spacing w:after="0" w:line="1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Derivatives Not Designated for Hedge Accounting</w:t>
      </w:r>
    </w:p>
    <w:p>
      <w:pPr>
        <w:spacing w:after="0" w:line="177" w:lineRule="exact"/>
        <w:rPr>
          <w:sz w:val="20"/>
          <w:szCs w:val="20"/>
          <w:color w:val="auto"/>
        </w:rPr>
      </w:pPr>
    </w:p>
    <w:p>
      <w:pPr>
        <w:ind w:right="80" w:firstLine="228"/>
        <w:spacing w:after="0" w:line="306" w:lineRule="auto"/>
        <w:rPr>
          <w:sz w:val="20"/>
          <w:szCs w:val="20"/>
          <w:color w:val="auto"/>
        </w:rPr>
      </w:pPr>
      <w:r>
        <w:rPr>
          <w:rFonts w:ascii="Arial" w:cs="Arial" w:eastAsia="Arial" w:hAnsi="Arial"/>
          <w:sz w:val="16"/>
          <w:szCs w:val="16"/>
          <w:color w:val="auto"/>
        </w:rPr>
        <w:t>Derivatives not designated in a hedging relationship, such as forward contracts, swaps, and options, are used to economically hedge certain risk exposures. Unrealized and realized gains and losses related to all of our nondesignated derivative hedges, regardless of type of exposure, are recorded in Interest income and other non-operating income, net. Derivative purchases and settlements are presented in Net cash provided by (used in) operating activities.</w:t>
      </w:r>
    </w:p>
    <w:p>
      <w:pPr>
        <w:spacing w:after="0" w:line="107" w:lineRule="exact"/>
        <w:rPr>
          <w:sz w:val="20"/>
          <w:szCs w:val="20"/>
          <w:color w:val="auto"/>
        </w:rPr>
      </w:pPr>
    </w:p>
    <w:p>
      <w:pPr>
        <w:ind w:right="80" w:firstLine="228"/>
        <w:spacing w:after="0" w:line="256" w:lineRule="auto"/>
        <w:rPr>
          <w:sz w:val="20"/>
          <w:szCs w:val="20"/>
          <w:color w:val="auto"/>
        </w:rPr>
      </w:pPr>
      <w:r>
        <w:rPr>
          <w:rFonts w:ascii="Arial" w:cs="Arial" w:eastAsia="Arial" w:hAnsi="Arial"/>
          <w:sz w:val="18"/>
          <w:szCs w:val="18"/>
          <w:color w:val="auto"/>
        </w:rPr>
        <w:t>Old GM previously entered into a variety of foreign currency exchange, interest rate and commodity forward contracts and options to maintain a desired level of exposure arising from market risks resulting from changes in foreign currency exchange rates, interest rates and certain commodity prices. Unrealized and realized gains and losses related to Old GM’s nondesignated derivative hedges were recorded in earnings based on the type of exposure, as subsequently discussed.</w:t>
      </w:r>
    </w:p>
    <w:p>
      <w:pPr>
        <w:spacing w:after="0" w:line="143" w:lineRule="exact"/>
        <w:rPr>
          <w:sz w:val="20"/>
          <w:szCs w:val="20"/>
          <w:color w:val="auto"/>
        </w:rPr>
      </w:pPr>
    </w:p>
    <w:p>
      <w:pPr>
        <w:ind w:right="20" w:firstLine="228"/>
        <w:spacing w:after="0" w:line="306" w:lineRule="auto"/>
        <w:rPr>
          <w:sz w:val="20"/>
          <w:szCs w:val="20"/>
          <w:color w:val="auto"/>
        </w:rPr>
      </w:pPr>
      <w:r>
        <w:rPr>
          <w:rFonts w:ascii="Arial" w:cs="Arial" w:eastAsia="Arial" w:hAnsi="Arial"/>
          <w:sz w:val="16"/>
          <w:szCs w:val="16"/>
          <w:color w:val="auto"/>
        </w:rPr>
        <w:t>In May 2009 Old GM reached agreements with certain of the counterparties to its derivative contracts to terminate the derivative contracts prior to stated maturity. Commodity, foreign currency exchange, and interest rate forward contracts were settled for cash of $631 million, resulting in a loss of $537 million. The loss was recorded in Sales, Cost of sales and Interest expense in the amounts of $22 million, $457 million and $58 million.</w:t>
      </w:r>
    </w:p>
    <w:p>
      <w:pPr>
        <w:spacing w:after="0" w:line="107" w:lineRule="exact"/>
        <w:rPr>
          <w:sz w:val="20"/>
          <w:szCs w:val="20"/>
          <w:color w:val="auto"/>
        </w:rPr>
      </w:pPr>
    </w:p>
    <w:p>
      <w:pPr>
        <w:jc w:val="both"/>
        <w:ind w:right="120" w:firstLine="228"/>
        <w:spacing w:after="0" w:line="306" w:lineRule="auto"/>
        <w:rPr>
          <w:sz w:val="20"/>
          <w:szCs w:val="20"/>
          <w:color w:val="auto"/>
        </w:rPr>
      </w:pPr>
      <w:r>
        <w:rPr>
          <w:rFonts w:ascii="Arial" w:cs="Arial" w:eastAsia="Arial" w:hAnsi="Arial"/>
          <w:sz w:val="16"/>
          <w:szCs w:val="16"/>
          <w:color w:val="auto"/>
        </w:rPr>
        <w:t>When an exposure economically hedged with a derivative contract is no longer forecasted to occur, in some cases a new derivative instrument is entered into to offset the exposure related to the existing derivative instrument. In some cases, counterparties are unwilling to enter into offsetting derivative instruments and, as such, there is exposure to future changes in the fair value of these derivatives with no underlying exposure to offset this risk.</w:t>
      </w:r>
    </w:p>
    <w:p>
      <w:pPr>
        <w:spacing w:after="0" w:line="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420"/>
          </w:cols>
          <w:pgMar w:left="240" w:top="459" w:right="239" w:bottom="1440" w:gutter="0" w:footer="0" w:header="0"/>
        </w:sectPr>
      </w:pPr>
    </w:p>
    <w:bookmarkStart w:id="43" w:name="page44"/>
    <w:bookmarkEnd w:id="4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339" w:lineRule="exact"/>
        <w:rPr>
          <w:sz w:val="20"/>
          <w:szCs w:val="20"/>
          <w:color w:val="auto"/>
        </w:rPr>
      </w:pPr>
    </w:p>
    <w:p>
      <w:pPr>
        <w:ind w:firstLine="228"/>
        <w:spacing w:after="0" w:line="268" w:lineRule="auto"/>
        <w:rPr>
          <w:sz w:val="20"/>
          <w:szCs w:val="20"/>
          <w:color w:val="auto"/>
        </w:rPr>
      </w:pPr>
      <w:r>
        <w:rPr>
          <w:rFonts w:ascii="Arial" w:cs="Arial" w:eastAsia="Arial" w:hAnsi="Arial"/>
          <w:sz w:val="18"/>
          <w:szCs w:val="18"/>
          <w:color w:val="auto"/>
        </w:rPr>
        <w:t>The following table summarizes gains and (losses) recorded for nondesignated derivatives originally entered into to hedge exposures that subsequently became probable not to occur (dollars in millions):</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2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gridSpan w:val="2"/>
          </w:tcPr>
          <w:p>
            <w:pPr>
              <w:jc w:val="right"/>
              <w:ind w:right="92"/>
              <w:spacing w:after="0"/>
              <w:rPr>
                <w:sz w:val="20"/>
                <w:szCs w:val="20"/>
                <w:color w:val="auto"/>
              </w:rPr>
            </w:pPr>
            <w:r>
              <w:rPr>
                <w:rFonts w:ascii="Arial" w:cs="Arial" w:eastAsia="Arial" w:hAnsi="Arial"/>
                <w:sz w:val="14"/>
                <w:szCs w:val="14"/>
                <w:b w:val="1"/>
                <w:bCs w:val="1"/>
                <w:color w:val="auto"/>
                <w:w w:val="90"/>
              </w:rPr>
              <w:t>Predecessor</w:t>
            </w:r>
          </w:p>
        </w:tc>
        <w:tc>
          <w:tcPr>
            <w:tcW w:w="5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29"/>
        </w:trPr>
        <w:tc>
          <w:tcPr>
            <w:tcW w:w="9240" w:type="dxa"/>
            <w:vAlign w:val="bottom"/>
          </w:tcPr>
          <w:p>
            <w:pPr>
              <w:spacing w:after="0"/>
              <w:rPr>
                <w:sz w:val="11"/>
                <w:szCs w:val="11"/>
                <w:color w:val="auto"/>
              </w:rPr>
            </w:pPr>
          </w:p>
        </w:tc>
        <w:tc>
          <w:tcPr>
            <w:tcW w:w="600" w:type="dxa"/>
            <w:vAlign w:val="bottom"/>
            <w:gridSpan w:val="3"/>
          </w:tcPr>
          <w:p>
            <w:pPr>
              <w:jc w:val="center"/>
              <w:ind w:right="140"/>
              <w:spacing w:after="0" w:line="129" w:lineRule="exact"/>
              <w:rPr>
                <w:sz w:val="20"/>
                <w:szCs w:val="20"/>
                <w:color w:val="auto"/>
              </w:rPr>
            </w:pPr>
            <w:r>
              <w:rPr>
                <w:rFonts w:ascii="Arial" w:cs="Arial" w:eastAsia="Arial" w:hAnsi="Arial"/>
                <w:sz w:val="14"/>
                <w:szCs w:val="14"/>
                <w:b w:val="1"/>
                <w:bCs w:val="1"/>
                <w:color w:val="auto"/>
                <w:w w:val="87"/>
              </w:rPr>
              <w:t>July 1,</w:t>
            </w:r>
          </w:p>
        </w:tc>
        <w:tc>
          <w:tcPr>
            <w:tcW w:w="820" w:type="dxa"/>
            <w:vAlign w:val="bottom"/>
          </w:tcPr>
          <w:p>
            <w:pPr>
              <w:spacing w:after="0"/>
              <w:rPr>
                <w:sz w:val="11"/>
                <w:szCs w:val="11"/>
                <w:color w:val="auto"/>
              </w:rPr>
            </w:pPr>
          </w:p>
        </w:tc>
        <w:tc>
          <w:tcPr>
            <w:tcW w:w="660" w:type="dxa"/>
            <w:vAlign w:val="bottom"/>
            <w:gridSpan w:val="2"/>
          </w:tcPr>
          <w:p>
            <w:pPr>
              <w:jc w:val="center"/>
              <w:spacing w:after="0" w:line="129" w:lineRule="exact"/>
              <w:rPr>
                <w:sz w:val="20"/>
                <w:szCs w:val="20"/>
                <w:color w:val="auto"/>
              </w:rPr>
            </w:pPr>
            <w:r>
              <w:rPr>
                <w:rFonts w:ascii="Arial" w:cs="Arial" w:eastAsia="Arial" w:hAnsi="Arial"/>
                <w:sz w:val="14"/>
                <w:szCs w:val="14"/>
                <w:b w:val="1"/>
                <w:bCs w:val="1"/>
                <w:color w:val="auto"/>
                <w:w w:val="86"/>
              </w:rPr>
              <w:t>January 1,</w:t>
            </w:r>
          </w:p>
        </w:tc>
        <w:tc>
          <w:tcPr>
            <w:tcW w:w="100" w:type="dxa"/>
            <w:vAlign w:val="bottom"/>
          </w:tcPr>
          <w:p>
            <w:pPr>
              <w:spacing w:after="0"/>
              <w:rPr>
                <w:sz w:val="11"/>
                <w:szCs w:val="11"/>
                <w:color w:val="auto"/>
              </w:rPr>
            </w:pPr>
          </w:p>
        </w:tc>
      </w:tr>
      <w:tr>
        <w:trPr>
          <w:trHeight w:val="149"/>
        </w:trPr>
        <w:tc>
          <w:tcPr>
            <w:tcW w:w="9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tcPr>
          <w:p>
            <w:pPr>
              <w:jc w:val="center"/>
              <w:ind w:right="26"/>
              <w:spacing w:after="0" w:line="149" w:lineRule="exact"/>
              <w:rPr>
                <w:sz w:val="20"/>
                <w:szCs w:val="20"/>
                <w:color w:val="auto"/>
              </w:rPr>
            </w:pPr>
            <w:r>
              <w:rPr>
                <w:rFonts w:ascii="Arial" w:cs="Arial" w:eastAsia="Arial" w:hAnsi="Arial"/>
                <w:sz w:val="14"/>
                <w:szCs w:val="14"/>
                <w:b w:val="1"/>
                <w:bCs w:val="1"/>
                <w:color w:val="auto"/>
                <w:w w:val="83"/>
              </w:rPr>
              <w:t>2009</w:t>
            </w:r>
          </w:p>
        </w:tc>
        <w:tc>
          <w:tcPr>
            <w:tcW w:w="1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jc w:val="center"/>
              <w:ind w:right="47"/>
              <w:spacing w:after="0" w:line="149" w:lineRule="exact"/>
              <w:rPr>
                <w:sz w:val="20"/>
                <w:szCs w:val="20"/>
                <w:color w:val="auto"/>
              </w:rPr>
            </w:pPr>
            <w:r>
              <w:rPr>
                <w:rFonts w:ascii="Arial" w:cs="Arial" w:eastAsia="Arial" w:hAnsi="Arial"/>
                <w:sz w:val="14"/>
                <w:szCs w:val="14"/>
                <w:b w:val="1"/>
                <w:bCs w:val="1"/>
                <w:color w:val="auto"/>
                <w:w w:val="83"/>
              </w:rPr>
              <w:t>2009</w:t>
            </w:r>
          </w:p>
        </w:tc>
        <w:tc>
          <w:tcPr>
            <w:tcW w:w="100" w:type="dxa"/>
            <w:vAlign w:val="bottom"/>
          </w:tcPr>
          <w:p>
            <w:pPr>
              <w:spacing w:after="0"/>
              <w:rPr>
                <w:sz w:val="12"/>
                <w:szCs w:val="12"/>
                <w:color w:val="auto"/>
              </w:rPr>
            </w:pPr>
          </w:p>
        </w:tc>
      </w:tr>
      <w:tr>
        <w:trPr>
          <w:trHeight w:val="149"/>
        </w:trPr>
        <w:tc>
          <w:tcPr>
            <w:tcW w:w="9240" w:type="dxa"/>
            <w:vAlign w:val="bottom"/>
          </w:tcPr>
          <w:p>
            <w:pPr>
              <w:spacing w:after="0"/>
              <w:rPr>
                <w:sz w:val="12"/>
                <w:szCs w:val="12"/>
                <w:color w:val="auto"/>
              </w:rPr>
            </w:pPr>
          </w:p>
        </w:tc>
        <w:tc>
          <w:tcPr>
            <w:tcW w:w="600" w:type="dxa"/>
            <w:vAlign w:val="bottom"/>
            <w:gridSpan w:val="3"/>
          </w:tcPr>
          <w:p>
            <w:pPr>
              <w:jc w:val="center"/>
              <w:ind w:right="100"/>
              <w:spacing w:after="0" w:line="149" w:lineRule="exact"/>
              <w:rPr>
                <w:sz w:val="20"/>
                <w:szCs w:val="20"/>
                <w:color w:val="auto"/>
              </w:rPr>
            </w:pPr>
            <w:r>
              <w:rPr>
                <w:rFonts w:ascii="Arial" w:cs="Arial" w:eastAsia="Arial" w:hAnsi="Arial"/>
                <w:sz w:val="14"/>
                <w:szCs w:val="14"/>
                <w:b w:val="1"/>
                <w:bCs w:val="1"/>
                <w:color w:val="auto"/>
                <w:w w:val="87"/>
              </w:rPr>
              <w:t>Through</w:t>
            </w:r>
          </w:p>
        </w:tc>
        <w:tc>
          <w:tcPr>
            <w:tcW w:w="820" w:type="dxa"/>
            <w:vAlign w:val="bottom"/>
          </w:tcPr>
          <w:p>
            <w:pPr>
              <w:spacing w:after="0"/>
              <w:rPr>
                <w:sz w:val="12"/>
                <w:szCs w:val="12"/>
                <w:color w:val="auto"/>
              </w:rPr>
            </w:pPr>
          </w:p>
        </w:tc>
        <w:tc>
          <w:tcPr>
            <w:tcW w:w="760" w:type="dxa"/>
            <w:vAlign w:val="bottom"/>
            <w:gridSpan w:val="3"/>
          </w:tcPr>
          <w:p>
            <w:pPr>
              <w:jc w:val="center"/>
              <w:ind w:right="100"/>
              <w:spacing w:after="0" w:line="149" w:lineRule="exact"/>
              <w:rPr>
                <w:sz w:val="20"/>
                <w:szCs w:val="20"/>
                <w:color w:val="auto"/>
              </w:rPr>
            </w:pPr>
            <w:r>
              <w:rPr>
                <w:rFonts w:ascii="Arial" w:cs="Arial" w:eastAsia="Arial" w:hAnsi="Arial"/>
                <w:sz w:val="14"/>
                <w:szCs w:val="14"/>
                <w:b w:val="1"/>
                <w:bCs w:val="1"/>
                <w:color w:val="auto"/>
                <w:w w:val="87"/>
              </w:rPr>
              <w:t>Through</w:t>
            </w:r>
          </w:p>
        </w:tc>
      </w:tr>
      <w:tr>
        <w:trPr>
          <w:trHeight w:val="149"/>
        </w:trPr>
        <w:tc>
          <w:tcPr>
            <w:tcW w:w="9240" w:type="dxa"/>
            <w:vAlign w:val="bottom"/>
          </w:tcPr>
          <w:p>
            <w:pPr>
              <w:spacing w:after="0"/>
              <w:rPr>
                <w:sz w:val="12"/>
                <w:szCs w:val="12"/>
                <w:color w:val="auto"/>
              </w:rPr>
            </w:pPr>
          </w:p>
        </w:tc>
        <w:tc>
          <w:tcPr>
            <w:tcW w:w="600" w:type="dxa"/>
            <w:vAlign w:val="bottom"/>
            <w:gridSpan w:val="3"/>
          </w:tcPr>
          <w:p>
            <w:pPr>
              <w:jc w:val="center"/>
              <w:ind w:right="100"/>
              <w:spacing w:after="0" w:line="149" w:lineRule="exact"/>
              <w:rPr>
                <w:sz w:val="20"/>
                <w:szCs w:val="20"/>
                <w:color w:val="auto"/>
              </w:rPr>
            </w:pPr>
            <w:r>
              <w:rPr>
                <w:rFonts w:ascii="Arial" w:cs="Arial" w:eastAsia="Arial" w:hAnsi="Arial"/>
                <w:sz w:val="14"/>
                <w:szCs w:val="14"/>
                <w:b w:val="1"/>
                <w:bCs w:val="1"/>
                <w:color w:val="auto"/>
                <w:w w:val="87"/>
              </w:rPr>
              <w:t>July 9,</w:t>
            </w:r>
          </w:p>
        </w:tc>
        <w:tc>
          <w:tcPr>
            <w:tcW w:w="8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87"/>
              </w:rPr>
              <w:t>July 9,</w:t>
            </w:r>
          </w:p>
        </w:tc>
      </w:tr>
      <w:tr>
        <w:trPr>
          <w:trHeight w:val="161"/>
        </w:trPr>
        <w:tc>
          <w:tcPr>
            <w:tcW w:w="92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jc w:val="center"/>
              <w:ind w:right="26"/>
              <w:spacing w:after="0"/>
              <w:rPr>
                <w:sz w:val="20"/>
                <w:szCs w:val="20"/>
                <w:color w:val="auto"/>
              </w:rPr>
            </w:pPr>
            <w:r>
              <w:rPr>
                <w:rFonts w:ascii="Arial" w:cs="Arial" w:eastAsia="Arial" w:hAnsi="Arial"/>
                <w:sz w:val="14"/>
                <w:szCs w:val="14"/>
                <w:b w:val="1"/>
                <w:bCs w:val="1"/>
                <w:color w:val="auto"/>
                <w:w w:val="83"/>
              </w:rPr>
              <w:t>2009</w:t>
            </w:r>
          </w:p>
        </w:tc>
        <w:tc>
          <w:tcPr>
            <w:tcW w:w="1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center"/>
              <w:ind w:right="47"/>
              <w:spacing w:after="0"/>
              <w:rPr>
                <w:sz w:val="20"/>
                <w:szCs w:val="20"/>
                <w:color w:val="auto"/>
              </w:rPr>
            </w:pPr>
            <w:r>
              <w:rPr>
                <w:rFonts w:ascii="Arial" w:cs="Arial" w:eastAsia="Arial" w:hAnsi="Arial"/>
                <w:sz w:val="14"/>
                <w:szCs w:val="14"/>
                <w:b w:val="1"/>
                <w:bCs w:val="1"/>
                <w:color w:val="auto"/>
                <w:w w:val="83"/>
              </w:rPr>
              <w:t>2009</w:t>
            </w:r>
          </w:p>
        </w:tc>
        <w:tc>
          <w:tcPr>
            <w:tcW w:w="100" w:type="dxa"/>
            <w:vAlign w:val="bottom"/>
          </w:tcPr>
          <w:p>
            <w:pPr>
              <w:spacing w:after="0"/>
              <w:rPr>
                <w:sz w:val="14"/>
                <w:szCs w:val="14"/>
                <w:color w:val="auto"/>
              </w:rPr>
            </w:pPr>
          </w:p>
        </w:tc>
      </w:tr>
      <w:tr>
        <w:trPr>
          <w:trHeight w:val="210"/>
        </w:trPr>
        <w:tc>
          <w:tcPr>
            <w:tcW w:w="9240" w:type="dxa"/>
            <w:vAlign w:val="bottom"/>
            <w:shd w:val="clear" w:color="auto" w:fill="CCEEFF"/>
          </w:tcPr>
          <w:p>
            <w:pPr>
              <w:spacing w:after="0"/>
              <w:rPr>
                <w:sz w:val="20"/>
                <w:szCs w:val="20"/>
                <w:color w:val="auto"/>
              </w:rPr>
            </w:pPr>
            <w:r>
              <w:rPr>
                <w:rFonts w:ascii="Arial" w:cs="Arial" w:eastAsia="Arial" w:hAnsi="Arial"/>
                <w:sz w:val="18"/>
                <w:szCs w:val="18"/>
                <w:color w:val="auto"/>
              </w:rPr>
              <w:t>Interest income and other non-operating income, net</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w:t>
            </w:r>
          </w:p>
        </w:tc>
        <w:tc>
          <w:tcPr>
            <w:tcW w:w="100" w:type="dxa"/>
            <w:vAlign w:val="bottom"/>
            <w:shd w:val="clear" w:color="auto" w:fill="CCEEFF"/>
          </w:tcPr>
          <w:p>
            <w:pPr>
              <w:spacing w:after="0"/>
              <w:rPr>
                <w:sz w:val="18"/>
                <w:szCs w:val="18"/>
                <w:color w:val="auto"/>
              </w:rPr>
            </w:pPr>
          </w:p>
        </w:tc>
      </w:tr>
    </w:tbl>
    <w:p>
      <w:pPr>
        <w:spacing w:after="0" w:line="154"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Commodity Derivatives</w:t>
      </w:r>
    </w:p>
    <w:p>
      <w:pPr>
        <w:spacing w:after="0" w:line="171" w:lineRule="exact"/>
        <w:rPr>
          <w:sz w:val="20"/>
          <w:szCs w:val="20"/>
          <w:color w:val="auto"/>
        </w:rPr>
      </w:pPr>
    </w:p>
    <w:p>
      <w:pPr>
        <w:ind w:right="120" w:firstLine="228"/>
        <w:spacing w:after="0" w:line="259" w:lineRule="auto"/>
        <w:rPr>
          <w:sz w:val="20"/>
          <w:szCs w:val="20"/>
          <w:color w:val="auto"/>
        </w:rPr>
      </w:pPr>
      <w:r>
        <w:rPr>
          <w:rFonts w:ascii="Arial" w:cs="Arial" w:eastAsia="Arial" w:hAnsi="Arial"/>
          <w:sz w:val="18"/>
          <w:szCs w:val="18"/>
          <w:color w:val="auto"/>
        </w:rPr>
        <w:t>Certain raw materials, parts with significant commodity content, and energy are purchased for use in production. Exposure to commodity price risk may be managed by entering into commodity derivative instruments such as forward and option contracts. We currently manage this exposure using commodity options. At September 30, 2010, we had not entered into any commodity forward contracts.</w:t>
      </w:r>
    </w:p>
    <w:p>
      <w:pPr>
        <w:spacing w:after="0" w:line="140" w:lineRule="exact"/>
        <w:rPr>
          <w:sz w:val="20"/>
          <w:szCs w:val="20"/>
          <w:color w:val="auto"/>
        </w:rPr>
      </w:pPr>
    </w:p>
    <w:p>
      <w:pPr>
        <w:ind w:right="100" w:firstLine="228"/>
        <w:spacing w:after="0" w:line="268" w:lineRule="auto"/>
        <w:rPr>
          <w:sz w:val="20"/>
          <w:szCs w:val="20"/>
          <w:color w:val="auto"/>
        </w:rPr>
      </w:pPr>
      <w:r>
        <w:rPr>
          <w:rFonts w:ascii="Arial" w:cs="Arial" w:eastAsia="Arial" w:hAnsi="Arial"/>
          <w:sz w:val="18"/>
          <w:szCs w:val="18"/>
          <w:color w:val="auto"/>
        </w:rPr>
        <w:t>Old GM hedged commodity price risk by entering into commodity forward and option contracts. Old GM recorded all commodity derivative gains and losses in Cost of sales.</w:t>
      </w:r>
    </w:p>
    <w:p>
      <w:pPr>
        <w:spacing w:after="0" w:line="132" w:lineRule="exact"/>
        <w:rPr>
          <w:sz w:val="20"/>
          <w:szCs w:val="20"/>
          <w:color w:val="auto"/>
        </w:rPr>
      </w:pPr>
    </w:p>
    <w:p>
      <w:pPr>
        <w:ind w:left="240"/>
        <w:spacing w:after="0"/>
        <w:rPr>
          <w:sz w:val="20"/>
          <w:szCs w:val="20"/>
          <w:color w:val="auto"/>
        </w:rPr>
      </w:pPr>
      <w:r>
        <w:rPr>
          <w:rFonts w:ascii="Arial" w:cs="Arial" w:eastAsia="Arial" w:hAnsi="Arial"/>
          <w:sz w:val="18"/>
          <w:szCs w:val="18"/>
          <w:color w:val="auto"/>
        </w:rPr>
        <w:t>The following table summarizes the notional amounts of nondesignated commodity derivative contracts (units in thousands):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2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60" w:type="dxa"/>
            <w:vAlign w:val="bottom"/>
            <w:gridSpan w:val="3"/>
          </w:tcPr>
          <w:p>
            <w:pPr>
              <w:jc w:val="right"/>
              <w:ind w:right="1280"/>
              <w:spacing w:after="0"/>
              <w:rPr>
                <w:sz w:val="20"/>
                <w:szCs w:val="20"/>
                <w:color w:val="auto"/>
              </w:rPr>
            </w:pPr>
            <w:r>
              <w:rPr>
                <w:rFonts w:ascii="Arial" w:cs="Arial" w:eastAsia="Arial" w:hAnsi="Arial"/>
                <w:sz w:val="14"/>
                <w:szCs w:val="14"/>
                <w:b w:val="1"/>
                <w:bCs w:val="1"/>
                <w:color w:val="auto"/>
                <w:w w:val="79"/>
              </w:rPr>
              <w:t>Successor</w:t>
            </w:r>
          </w:p>
        </w:tc>
        <w:tc>
          <w:tcPr>
            <w:tcW w:w="0" w:type="dxa"/>
            <w:vAlign w:val="bottom"/>
          </w:tcPr>
          <w:p>
            <w:pPr>
              <w:spacing w:after="0"/>
              <w:rPr>
                <w:sz w:val="1"/>
                <w:szCs w:val="1"/>
                <w:color w:val="auto"/>
              </w:rPr>
            </w:pPr>
          </w:p>
        </w:tc>
      </w:tr>
      <w:tr>
        <w:trPr>
          <w:trHeight w:val="142"/>
        </w:trPr>
        <w:tc>
          <w:tcPr>
            <w:tcW w:w="700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Commodity</w:t>
            </w:r>
          </w:p>
        </w:tc>
        <w:tc>
          <w:tcPr>
            <w:tcW w:w="1400" w:type="dxa"/>
            <w:vAlign w:val="bottom"/>
            <w:gridSpan w:val="2"/>
            <w:vMerge w:val="restart"/>
          </w:tcPr>
          <w:p>
            <w:pPr>
              <w:ind w:left="260"/>
              <w:spacing w:after="0"/>
              <w:rPr>
                <w:sz w:val="20"/>
                <w:szCs w:val="20"/>
                <w:color w:val="auto"/>
              </w:rPr>
            </w:pPr>
            <w:r>
              <w:rPr>
                <w:rFonts w:ascii="Arial" w:cs="Arial" w:eastAsia="Arial" w:hAnsi="Arial"/>
                <w:sz w:val="14"/>
                <w:szCs w:val="14"/>
                <w:b w:val="1"/>
                <w:bCs w:val="1"/>
                <w:color w:val="auto"/>
              </w:rPr>
              <w:t>Units</w:t>
            </w:r>
          </w:p>
        </w:tc>
        <w:tc>
          <w:tcPr>
            <w:tcW w:w="2920" w:type="dxa"/>
            <w:vAlign w:val="bottom"/>
            <w:tcBorders>
              <w:top w:val="single" w:sz="8" w:color="auto"/>
              <w:bottom w:val="single" w:sz="8" w:color="auto"/>
            </w:tcBorders>
            <w:gridSpan w:val="4"/>
          </w:tcPr>
          <w:p>
            <w:pPr>
              <w:jc w:val="right"/>
              <w:ind w:right="839"/>
              <w:spacing w:after="0" w:line="142" w:lineRule="exact"/>
              <w:rPr>
                <w:sz w:val="20"/>
                <w:szCs w:val="20"/>
                <w:color w:val="auto"/>
              </w:rPr>
            </w:pPr>
            <w:r>
              <w:rPr>
                <w:rFonts w:ascii="Arial" w:cs="Arial" w:eastAsia="Arial" w:hAnsi="Arial"/>
                <w:sz w:val="14"/>
                <w:szCs w:val="14"/>
                <w:b w:val="1"/>
                <w:bCs w:val="1"/>
                <w:color w:val="auto"/>
              </w:rPr>
              <w:t>Contract Notional</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7000" w:type="dxa"/>
            <w:vAlign w:val="bottom"/>
            <w:gridSpan w:val="3"/>
            <w:vMerge w:val="continue"/>
          </w:tcPr>
          <w:p>
            <w:pPr>
              <w:spacing w:after="0"/>
              <w:rPr>
                <w:sz w:val="12"/>
                <w:szCs w:val="12"/>
                <w:color w:val="auto"/>
              </w:rPr>
            </w:pPr>
          </w:p>
        </w:tc>
        <w:tc>
          <w:tcPr>
            <w:tcW w:w="1400" w:type="dxa"/>
            <w:vAlign w:val="bottom"/>
            <w:gridSpan w:val="2"/>
            <w:vMerge w:val="continue"/>
          </w:tcPr>
          <w:p>
            <w:pPr>
              <w:spacing w:after="0"/>
              <w:rPr>
                <w:sz w:val="12"/>
                <w:szCs w:val="12"/>
                <w:color w:val="auto"/>
              </w:rPr>
            </w:pPr>
          </w:p>
        </w:tc>
        <w:tc>
          <w:tcPr>
            <w:tcW w:w="1160" w:type="dxa"/>
            <w:vAlign w:val="bottom"/>
            <w:gridSpan w:val="2"/>
          </w:tcPr>
          <w:p>
            <w:pPr>
              <w:jc w:val="right"/>
              <w:ind w:right="20"/>
              <w:spacing w:after="0" w:line="142" w:lineRule="exact"/>
              <w:rPr>
                <w:sz w:val="20"/>
                <w:szCs w:val="20"/>
                <w:color w:val="auto"/>
              </w:rPr>
            </w:pPr>
            <w:r>
              <w:rPr>
                <w:rFonts w:ascii="Arial" w:cs="Arial" w:eastAsia="Arial" w:hAnsi="Arial"/>
                <w:sz w:val="14"/>
                <w:szCs w:val="14"/>
                <w:b w:val="1"/>
                <w:bCs w:val="1"/>
                <w:color w:val="auto"/>
                <w:w w:val="85"/>
              </w:rPr>
              <w:t>September 30, 2010</w:t>
            </w:r>
          </w:p>
        </w:tc>
        <w:tc>
          <w:tcPr>
            <w:tcW w:w="680" w:type="dxa"/>
            <w:vAlign w:val="bottom"/>
          </w:tcPr>
          <w:p>
            <w:pPr>
              <w:spacing w:after="0"/>
              <w:rPr>
                <w:sz w:val="12"/>
                <w:szCs w:val="12"/>
                <w:color w:val="auto"/>
              </w:rPr>
            </w:pPr>
          </w:p>
        </w:tc>
        <w:tc>
          <w:tcPr>
            <w:tcW w:w="1080" w:type="dxa"/>
            <w:vAlign w:val="bottom"/>
          </w:tcPr>
          <w:p>
            <w:pPr>
              <w:jc w:val="right"/>
              <w:spacing w:after="0" w:line="142" w:lineRule="exact"/>
              <w:rPr>
                <w:sz w:val="20"/>
                <w:szCs w:val="20"/>
                <w:color w:val="auto"/>
              </w:rPr>
            </w:pPr>
            <w:r>
              <w:rPr>
                <w:rFonts w:ascii="Arial" w:cs="Arial" w:eastAsia="Arial" w:hAnsi="Arial"/>
                <w:sz w:val="14"/>
                <w:szCs w:val="14"/>
                <w:b w:val="1"/>
                <w:bCs w:val="1"/>
                <w:color w:val="auto"/>
                <w:w w:val="84"/>
              </w:rPr>
              <w:t>December 31, 2009</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628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69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Aluminum and aluminum alloy</w:t>
            </w:r>
          </w:p>
        </w:tc>
        <w:tc>
          <w:tcPr>
            <w:tcW w:w="14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Metric tons</w:t>
            </w:r>
          </w:p>
        </w:tc>
        <w:tc>
          <w:tcPr>
            <w:tcW w:w="11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263</w:t>
            </w:r>
          </w:p>
        </w:tc>
        <w:tc>
          <w:tcPr>
            <w:tcW w:w="1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80" w:type="dxa"/>
            <w:vAlign w:val="bottom"/>
            <w:gridSpan w:val="2"/>
          </w:tcPr>
          <w:p>
            <w:pPr>
              <w:spacing w:after="0"/>
              <w:rPr>
                <w:sz w:val="20"/>
                <w:szCs w:val="20"/>
                <w:color w:val="auto"/>
              </w:rPr>
            </w:pPr>
            <w:r>
              <w:rPr>
                <w:rFonts w:ascii="Arial" w:cs="Arial" w:eastAsia="Arial" w:hAnsi="Arial"/>
                <w:sz w:val="18"/>
                <w:szCs w:val="18"/>
                <w:color w:val="auto"/>
              </w:rPr>
              <w:t>Copper</w:t>
            </w:r>
          </w:p>
        </w:tc>
        <w:tc>
          <w:tcPr>
            <w:tcW w:w="1400" w:type="dxa"/>
            <w:vAlign w:val="bottom"/>
            <w:gridSpan w:val="2"/>
          </w:tcPr>
          <w:p>
            <w:pPr>
              <w:spacing w:after="0"/>
              <w:rPr>
                <w:sz w:val="20"/>
                <w:szCs w:val="20"/>
                <w:color w:val="auto"/>
              </w:rPr>
            </w:pPr>
            <w:r>
              <w:rPr>
                <w:rFonts w:ascii="Arial" w:cs="Arial" w:eastAsia="Arial" w:hAnsi="Arial"/>
                <w:sz w:val="18"/>
                <w:szCs w:val="18"/>
                <w:color w:val="auto"/>
              </w:rPr>
              <w:t>Metric tons</w:t>
            </w:r>
          </w:p>
        </w:tc>
        <w:tc>
          <w:tcPr>
            <w:tcW w:w="1160" w:type="dxa"/>
            <w:vAlign w:val="bottom"/>
            <w:gridSpan w:val="2"/>
          </w:tcPr>
          <w:p>
            <w:pPr>
              <w:jc w:val="right"/>
              <w:ind w:right="20"/>
              <w:spacing w:after="0"/>
              <w:rPr>
                <w:sz w:val="20"/>
                <w:szCs w:val="20"/>
                <w:color w:val="auto"/>
              </w:rPr>
            </w:pPr>
            <w:r>
              <w:rPr>
                <w:rFonts w:ascii="Arial" w:cs="Arial" w:eastAsia="Arial" w:hAnsi="Arial"/>
                <w:sz w:val="18"/>
                <w:szCs w:val="18"/>
                <w:color w:val="auto"/>
              </w:rPr>
              <w:t>26</w:t>
            </w:r>
          </w:p>
        </w:tc>
        <w:tc>
          <w:tcPr>
            <w:tcW w:w="1760" w:type="dxa"/>
            <w:vAlign w:val="bottom"/>
            <w:gridSpan w:val="2"/>
          </w:tcPr>
          <w:p>
            <w:pPr>
              <w:jc w:val="right"/>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Lead</w:t>
            </w:r>
          </w:p>
        </w:tc>
        <w:tc>
          <w:tcPr>
            <w:tcW w:w="14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Metric tons</w:t>
            </w:r>
          </w:p>
        </w:tc>
        <w:tc>
          <w:tcPr>
            <w:tcW w:w="11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43</w:t>
            </w:r>
          </w:p>
        </w:tc>
        <w:tc>
          <w:tcPr>
            <w:tcW w:w="1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80" w:type="dxa"/>
            <w:vAlign w:val="bottom"/>
            <w:gridSpan w:val="2"/>
          </w:tcPr>
          <w:p>
            <w:pPr>
              <w:spacing w:after="0"/>
              <w:rPr>
                <w:sz w:val="20"/>
                <w:szCs w:val="20"/>
                <w:color w:val="auto"/>
              </w:rPr>
            </w:pPr>
            <w:r>
              <w:rPr>
                <w:rFonts w:ascii="Arial" w:cs="Arial" w:eastAsia="Arial" w:hAnsi="Arial"/>
                <w:sz w:val="18"/>
                <w:szCs w:val="18"/>
                <w:color w:val="auto"/>
              </w:rPr>
              <w:t>Heating oil</w:t>
            </w:r>
          </w:p>
        </w:tc>
        <w:tc>
          <w:tcPr>
            <w:tcW w:w="1400" w:type="dxa"/>
            <w:vAlign w:val="bottom"/>
            <w:gridSpan w:val="2"/>
          </w:tcPr>
          <w:p>
            <w:pPr>
              <w:spacing w:after="0"/>
              <w:rPr>
                <w:sz w:val="20"/>
                <w:szCs w:val="20"/>
                <w:color w:val="auto"/>
              </w:rPr>
            </w:pPr>
            <w:r>
              <w:rPr>
                <w:rFonts w:ascii="Arial" w:cs="Arial" w:eastAsia="Arial" w:hAnsi="Arial"/>
                <w:sz w:val="18"/>
                <w:szCs w:val="18"/>
                <w:color w:val="auto"/>
              </w:rPr>
              <w:t>Gallons</w:t>
            </w:r>
          </w:p>
        </w:tc>
        <w:tc>
          <w:tcPr>
            <w:tcW w:w="1160" w:type="dxa"/>
            <w:vAlign w:val="bottom"/>
            <w:gridSpan w:val="2"/>
          </w:tcPr>
          <w:p>
            <w:pPr>
              <w:jc w:val="right"/>
              <w:ind w:right="20"/>
              <w:spacing w:after="0"/>
              <w:rPr>
                <w:sz w:val="20"/>
                <w:szCs w:val="20"/>
                <w:color w:val="auto"/>
              </w:rPr>
            </w:pPr>
            <w:r>
              <w:rPr>
                <w:rFonts w:ascii="Arial" w:cs="Arial" w:eastAsia="Arial" w:hAnsi="Arial"/>
                <w:sz w:val="18"/>
                <w:szCs w:val="18"/>
                <w:color w:val="auto"/>
              </w:rPr>
              <w:t>94,654</w:t>
            </w:r>
          </w:p>
        </w:tc>
        <w:tc>
          <w:tcPr>
            <w:tcW w:w="1760" w:type="dxa"/>
            <w:vAlign w:val="bottom"/>
            <w:gridSpan w:val="2"/>
          </w:tcPr>
          <w:p>
            <w:pPr>
              <w:jc w:val="right"/>
              <w:spacing w:after="0"/>
              <w:rPr>
                <w:sz w:val="20"/>
                <w:szCs w:val="20"/>
                <w:color w:val="auto"/>
              </w:rPr>
            </w:pPr>
            <w:r>
              <w:rPr>
                <w:rFonts w:ascii="Arial" w:cs="Arial" w:eastAsia="Arial" w:hAnsi="Arial"/>
                <w:sz w:val="18"/>
                <w:szCs w:val="18"/>
                <w:color w:val="auto"/>
              </w:rPr>
              <w:t>10,797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Natural gas</w:t>
            </w:r>
          </w:p>
        </w:tc>
        <w:tc>
          <w:tcPr>
            <w:tcW w:w="14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MMBTU</w:t>
            </w:r>
          </w:p>
        </w:tc>
        <w:tc>
          <w:tcPr>
            <w:tcW w:w="11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8,303</w:t>
            </w:r>
          </w:p>
        </w:tc>
        <w:tc>
          <w:tcPr>
            <w:tcW w:w="1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1,355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80" w:type="dxa"/>
            <w:vAlign w:val="bottom"/>
            <w:gridSpan w:val="2"/>
          </w:tcPr>
          <w:p>
            <w:pPr>
              <w:spacing w:after="0"/>
              <w:rPr>
                <w:sz w:val="20"/>
                <w:szCs w:val="20"/>
                <w:color w:val="auto"/>
              </w:rPr>
            </w:pPr>
            <w:r>
              <w:rPr>
                <w:rFonts w:ascii="Arial" w:cs="Arial" w:eastAsia="Arial" w:hAnsi="Arial"/>
                <w:sz w:val="18"/>
                <w:szCs w:val="18"/>
                <w:color w:val="auto"/>
              </w:rPr>
              <w:t>Natural gas</w:t>
            </w:r>
          </w:p>
        </w:tc>
        <w:tc>
          <w:tcPr>
            <w:tcW w:w="1400" w:type="dxa"/>
            <w:vAlign w:val="bottom"/>
            <w:gridSpan w:val="2"/>
          </w:tcPr>
          <w:p>
            <w:pPr>
              <w:spacing w:after="0"/>
              <w:rPr>
                <w:sz w:val="20"/>
                <w:szCs w:val="20"/>
                <w:color w:val="auto"/>
              </w:rPr>
            </w:pPr>
            <w:r>
              <w:rPr>
                <w:rFonts w:ascii="Arial" w:cs="Arial" w:eastAsia="Arial" w:hAnsi="Arial"/>
                <w:sz w:val="18"/>
                <w:szCs w:val="18"/>
                <w:color w:val="auto"/>
              </w:rPr>
              <w:t>Gigajoules</w:t>
            </w:r>
          </w:p>
        </w:tc>
        <w:tc>
          <w:tcPr>
            <w:tcW w:w="1160" w:type="dxa"/>
            <w:vAlign w:val="bottom"/>
            <w:gridSpan w:val="2"/>
          </w:tcPr>
          <w:p>
            <w:pPr>
              <w:jc w:val="right"/>
              <w:ind w:right="20"/>
              <w:spacing w:after="0"/>
              <w:rPr>
                <w:sz w:val="20"/>
                <w:szCs w:val="20"/>
                <w:color w:val="auto"/>
              </w:rPr>
            </w:pPr>
            <w:r>
              <w:rPr>
                <w:rFonts w:ascii="Arial" w:cs="Arial" w:eastAsia="Arial" w:hAnsi="Arial"/>
                <w:sz w:val="18"/>
                <w:szCs w:val="18"/>
                <w:color w:val="auto"/>
              </w:rPr>
              <w:t>1,000</w:t>
            </w:r>
          </w:p>
        </w:tc>
        <w:tc>
          <w:tcPr>
            <w:tcW w:w="1760" w:type="dxa"/>
            <w:vAlign w:val="bottom"/>
            <w:gridSpan w:val="2"/>
          </w:tcPr>
          <w:p>
            <w:pPr>
              <w:jc w:val="right"/>
              <w:spacing w:after="0"/>
              <w:rPr>
                <w:sz w:val="20"/>
                <w:szCs w:val="20"/>
                <w:color w:val="auto"/>
              </w:rPr>
            </w:pPr>
            <w:r>
              <w:rPr>
                <w:rFonts w:ascii="Arial" w:cs="Arial" w:eastAsia="Arial" w:hAnsi="Arial"/>
                <w:sz w:val="18"/>
                <w:szCs w:val="18"/>
                <w:color w:val="auto"/>
              </w:rPr>
              <w:t>150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Palladium</w:t>
            </w:r>
          </w:p>
        </w:tc>
        <w:tc>
          <w:tcPr>
            <w:tcW w:w="14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Troy ounce</w:t>
            </w:r>
          </w:p>
        </w:tc>
        <w:tc>
          <w:tcPr>
            <w:tcW w:w="11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110</w:t>
            </w:r>
          </w:p>
        </w:tc>
        <w:tc>
          <w:tcPr>
            <w:tcW w:w="6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980" w:type="dxa"/>
            <w:vAlign w:val="bottom"/>
            <w:gridSpan w:val="2"/>
          </w:tcPr>
          <w:p>
            <w:pPr>
              <w:spacing w:after="0"/>
              <w:rPr>
                <w:sz w:val="20"/>
                <w:szCs w:val="20"/>
                <w:color w:val="auto"/>
              </w:rPr>
            </w:pPr>
            <w:r>
              <w:rPr>
                <w:rFonts w:ascii="Arial" w:cs="Arial" w:eastAsia="Arial" w:hAnsi="Arial"/>
                <w:sz w:val="18"/>
                <w:szCs w:val="18"/>
                <w:color w:val="auto"/>
              </w:rPr>
              <w:t>Platinum</w:t>
            </w:r>
          </w:p>
        </w:tc>
        <w:tc>
          <w:tcPr>
            <w:tcW w:w="1400" w:type="dxa"/>
            <w:vAlign w:val="bottom"/>
            <w:gridSpan w:val="2"/>
          </w:tcPr>
          <w:p>
            <w:pPr>
              <w:spacing w:after="0"/>
              <w:rPr>
                <w:sz w:val="20"/>
                <w:szCs w:val="20"/>
                <w:color w:val="auto"/>
              </w:rPr>
            </w:pPr>
            <w:r>
              <w:rPr>
                <w:rFonts w:ascii="Arial" w:cs="Arial" w:eastAsia="Arial" w:hAnsi="Arial"/>
                <w:sz w:val="18"/>
                <w:szCs w:val="18"/>
                <w:color w:val="auto"/>
              </w:rPr>
              <w:t>Troy ounce</w:t>
            </w:r>
          </w:p>
        </w:tc>
        <w:tc>
          <w:tcPr>
            <w:tcW w:w="1160" w:type="dxa"/>
            <w:vAlign w:val="bottom"/>
            <w:gridSpan w:val="2"/>
          </w:tcPr>
          <w:p>
            <w:pPr>
              <w:jc w:val="right"/>
              <w:ind w:right="20"/>
              <w:spacing w:after="0"/>
              <w:rPr>
                <w:sz w:val="20"/>
                <w:szCs w:val="20"/>
                <w:color w:val="auto"/>
              </w:rPr>
            </w:pPr>
            <w:r>
              <w:rPr>
                <w:rFonts w:ascii="Arial" w:cs="Arial" w:eastAsia="Arial" w:hAnsi="Arial"/>
                <w:sz w:val="18"/>
                <w:szCs w:val="18"/>
                <w:color w:val="auto"/>
              </w:rPr>
              <w:t>15</w:t>
            </w:r>
          </w:p>
        </w:tc>
        <w:tc>
          <w:tcPr>
            <w:tcW w:w="680" w:type="dxa"/>
            <w:vAlign w:val="bottom"/>
          </w:tcPr>
          <w:p>
            <w:pPr>
              <w:spacing w:after="0"/>
              <w:rPr>
                <w:sz w:val="19"/>
                <w:szCs w:val="19"/>
                <w:color w:val="auto"/>
              </w:rPr>
            </w:pPr>
          </w:p>
        </w:tc>
        <w:tc>
          <w:tcPr>
            <w:tcW w:w="11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147"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Interest Rate Swap Derivatives</w:t>
      </w:r>
    </w:p>
    <w:p>
      <w:pPr>
        <w:spacing w:after="0" w:line="171" w:lineRule="exact"/>
        <w:rPr>
          <w:sz w:val="20"/>
          <w:szCs w:val="20"/>
          <w:color w:val="auto"/>
        </w:rPr>
      </w:pPr>
    </w:p>
    <w:p>
      <w:pPr>
        <w:ind w:left="240"/>
        <w:spacing w:after="0"/>
        <w:rPr>
          <w:sz w:val="20"/>
          <w:szCs w:val="20"/>
          <w:color w:val="auto"/>
        </w:rPr>
      </w:pPr>
      <w:r>
        <w:rPr>
          <w:rFonts w:ascii="Arial" w:cs="Arial" w:eastAsia="Arial" w:hAnsi="Arial"/>
          <w:sz w:val="18"/>
          <w:szCs w:val="18"/>
          <w:color w:val="auto"/>
        </w:rPr>
        <w:t>At September 30, 2010, we did not have any nondesignated interest rate swap derivatives.</w:t>
      </w:r>
    </w:p>
    <w:p>
      <w:pPr>
        <w:spacing w:after="0" w:line="171" w:lineRule="exact"/>
        <w:rPr>
          <w:sz w:val="20"/>
          <w:szCs w:val="20"/>
          <w:color w:val="auto"/>
        </w:rPr>
      </w:pPr>
    </w:p>
    <w:p>
      <w:pPr>
        <w:jc w:val="both"/>
        <w:ind w:right="80" w:firstLine="228"/>
        <w:spacing w:after="0" w:line="268" w:lineRule="auto"/>
        <w:rPr>
          <w:sz w:val="20"/>
          <w:szCs w:val="20"/>
          <w:color w:val="auto"/>
        </w:rPr>
      </w:pPr>
      <w:r>
        <w:rPr>
          <w:rFonts w:ascii="Arial" w:cs="Arial" w:eastAsia="Arial" w:hAnsi="Arial"/>
          <w:sz w:val="18"/>
          <w:szCs w:val="18"/>
          <w:color w:val="auto"/>
        </w:rPr>
        <w:t>Old GM previously used interest rate swap derivatives to economically hedge exposure to changes in the fair value of fixed rate debt. Gains and losses related to the changes in the fair value of these nondesignated derivatives were recorded in Interest expense.</w:t>
      </w:r>
    </w:p>
    <w:p>
      <w:pPr>
        <w:spacing w:after="0" w:line="132"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Foreign Currency Exchange Derivatives</w:t>
      </w:r>
    </w:p>
    <w:p>
      <w:pPr>
        <w:spacing w:after="0" w:line="171" w:lineRule="exact"/>
        <w:rPr>
          <w:sz w:val="20"/>
          <w:szCs w:val="20"/>
          <w:color w:val="auto"/>
        </w:rPr>
      </w:pPr>
    </w:p>
    <w:p>
      <w:pPr>
        <w:jc w:val="both"/>
        <w:ind w:right="240" w:firstLine="228"/>
        <w:spacing w:after="0" w:line="335" w:lineRule="auto"/>
        <w:rPr>
          <w:sz w:val="20"/>
          <w:szCs w:val="20"/>
          <w:color w:val="auto"/>
        </w:rPr>
      </w:pPr>
      <w:r>
        <w:rPr>
          <w:rFonts w:ascii="Arial" w:cs="Arial" w:eastAsia="Arial" w:hAnsi="Arial"/>
          <w:sz w:val="15"/>
          <w:szCs w:val="15"/>
          <w:color w:val="auto"/>
        </w:rPr>
        <w:t>Foreign currency exchange derivatives are used to economically hedge exposure to foreign currency exchange risks associated with: (1) forecasted foreign currency denominated purchases and sales of vehicles and parts; and (2) variability in cash flows related to interest and principal payments on foreign currency denominated debt. At September 30, 2010 we managed foreign currency exchange risk through the use of foreign currency options and forward contracts.</w:t>
      </w:r>
    </w:p>
    <w:p>
      <w:pPr>
        <w:spacing w:after="0" w:line="7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420"/>
          </w:cols>
          <w:pgMar w:left="240" w:top="459" w:right="239" w:bottom="1440" w:gutter="0" w:footer="0" w:header="0"/>
        </w:sectPr>
      </w:pPr>
    </w:p>
    <w:bookmarkStart w:id="44" w:name="page45"/>
    <w:bookmarkEnd w:id="4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339" w:lineRule="exact"/>
        <w:rPr>
          <w:sz w:val="20"/>
          <w:szCs w:val="20"/>
          <w:color w:val="auto"/>
        </w:rPr>
      </w:pPr>
    </w:p>
    <w:p>
      <w:pPr>
        <w:ind w:left="240"/>
        <w:spacing w:after="0"/>
        <w:rPr>
          <w:sz w:val="20"/>
          <w:szCs w:val="20"/>
          <w:color w:val="auto"/>
        </w:rPr>
      </w:pPr>
      <w:r>
        <w:rPr>
          <w:rFonts w:ascii="Arial" w:cs="Arial" w:eastAsia="Arial" w:hAnsi="Arial"/>
          <w:sz w:val="18"/>
          <w:szCs w:val="18"/>
          <w:color w:val="auto"/>
        </w:rPr>
        <w:t>The following table summarizes the total notional amounts of nondesignated foreign currency exchange derivatives (dollars in millions):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960" w:type="dxa"/>
            <w:vAlign w:val="bottom"/>
          </w:tcPr>
          <w:p>
            <w:pPr>
              <w:spacing w:after="0"/>
              <w:rPr>
                <w:sz w:val="14"/>
                <w:szCs w:val="14"/>
                <w:color w:val="auto"/>
              </w:rPr>
            </w:pPr>
          </w:p>
        </w:tc>
        <w:tc>
          <w:tcPr>
            <w:tcW w:w="2160" w:type="dxa"/>
            <w:vAlign w:val="bottom"/>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260" w:type="dxa"/>
            <w:vAlign w:val="bottom"/>
            <w:tcBorders>
              <w:bottom w:val="single" w:sz="8" w:color="auto"/>
            </w:tcBorders>
            <w:gridSpan w:val="2"/>
          </w:tcPr>
          <w:p>
            <w:pPr>
              <w:jc w:val="right"/>
              <w:ind w:right="552"/>
              <w:spacing w:after="0"/>
              <w:rPr>
                <w:sz w:val="20"/>
                <w:szCs w:val="20"/>
                <w:color w:val="auto"/>
              </w:rPr>
            </w:pPr>
            <w:r>
              <w:rPr>
                <w:rFonts w:ascii="Arial" w:cs="Arial" w:eastAsia="Arial" w:hAnsi="Arial"/>
                <w:sz w:val="14"/>
                <w:szCs w:val="14"/>
                <w:b w:val="1"/>
                <w:bCs w:val="1"/>
                <w:color w:val="auto"/>
                <w:w w:val="87"/>
              </w:rPr>
              <w:t>Successor</w:t>
            </w:r>
          </w:p>
        </w:tc>
        <w:tc>
          <w:tcPr>
            <w:tcW w:w="7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42"/>
        </w:trPr>
        <w:tc>
          <w:tcPr>
            <w:tcW w:w="5960" w:type="dxa"/>
            <w:vAlign w:val="bottom"/>
          </w:tcPr>
          <w:p>
            <w:pPr>
              <w:spacing w:after="0"/>
              <w:rPr>
                <w:sz w:val="12"/>
                <w:szCs w:val="12"/>
                <w:color w:val="auto"/>
              </w:rPr>
            </w:pPr>
          </w:p>
        </w:tc>
        <w:tc>
          <w:tcPr>
            <w:tcW w:w="2160" w:type="dxa"/>
            <w:vAlign w:val="bottom"/>
          </w:tcPr>
          <w:p>
            <w:pPr>
              <w:spacing w:after="0"/>
              <w:rPr>
                <w:sz w:val="12"/>
                <w:szCs w:val="12"/>
                <w:color w:val="auto"/>
              </w:rPr>
            </w:pPr>
          </w:p>
        </w:tc>
        <w:tc>
          <w:tcPr>
            <w:tcW w:w="1140" w:type="dxa"/>
            <w:vAlign w:val="bottom"/>
            <w:tcBorders>
              <w:bottom w:val="single" w:sz="8" w:color="auto"/>
            </w:tcBorders>
            <w:gridSpan w:val="2"/>
          </w:tcPr>
          <w:p>
            <w:pPr>
              <w:spacing w:after="0" w:line="142" w:lineRule="exact"/>
              <w:rPr>
                <w:sz w:val="20"/>
                <w:szCs w:val="20"/>
                <w:color w:val="auto"/>
              </w:rPr>
            </w:pPr>
            <w:r>
              <w:rPr>
                <w:rFonts w:ascii="Arial" w:cs="Arial" w:eastAsia="Arial" w:hAnsi="Arial"/>
                <w:sz w:val="14"/>
                <w:szCs w:val="14"/>
                <w:b w:val="1"/>
                <w:bCs w:val="1"/>
                <w:color w:val="auto"/>
                <w:w w:val="85"/>
              </w:rPr>
              <w:t>September 30, 2010</w:t>
            </w:r>
          </w:p>
        </w:tc>
        <w:tc>
          <w:tcPr>
            <w:tcW w:w="1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80" w:type="dxa"/>
            <w:vAlign w:val="bottom"/>
            <w:tcBorders>
              <w:bottom w:val="single" w:sz="8" w:color="auto"/>
            </w:tcBorders>
            <w:gridSpan w:val="2"/>
          </w:tcPr>
          <w:p>
            <w:pPr>
              <w:jc w:val="right"/>
              <w:spacing w:after="0" w:line="142" w:lineRule="exact"/>
              <w:rPr>
                <w:sz w:val="20"/>
                <w:szCs w:val="20"/>
                <w:color w:val="auto"/>
              </w:rPr>
            </w:pPr>
            <w:r>
              <w:rPr>
                <w:rFonts w:ascii="Arial" w:cs="Arial" w:eastAsia="Arial" w:hAnsi="Arial"/>
                <w:sz w:val="14"/>
                <w:szCs w:val="14"/>
                <w:b w:val="1"/>
                <w:bCs w:val="1"/>
                <w:color w:val="auto"/>
                <w:w w:val="84"/>
              </w:rPr>
              <w:t>December 31, 2009</w:t>
            </w:r>
          </w:p>
        </w:tc>
        <w:tc>
          <w:tcPr>
            <w:tcW w:w="100" w:type="dxa"/>
            <w:vAlign w:val="bottom"/>
          </w:tcPr>
          <w:p>
            <w:pPr>
              <w:spacing w:after="0"/>
              <w:rPr>
                <w:sz w:val="12"/>
                <w:szCs w:val="12"/>
                <w:color w:val="auto"/>
              </w:rPr>
            </w:pPr>
          </w:p>
        </w:tc>
      </w:tr>
      <w:tr>
        <w:trPr>
          <w:trHeight w:val="210"/>
        </w:trPr>
        <w:tc>
          <w:tcPr>
            <w:tcW w:w="5960" w:type="dxa"/>
            <w:vAlign w:val="bottom"/>
            <w:shd w:val="clear" w:color="auto" w:fill="CCEEFF"/>
          </w:tcPr>
          <w:p>
            <w:pPr>
              <w:spacing w:after="0"/>
              <w:rPr>
                <w:sz w:val="20"/>
                <w:szCs w:val="20"/>
                <w:color w:val="auto"/>
              </w:rPr>
            </w:pPr>
            <w:r>
              <w:rPr>
                <w:rFonts w:ascii="Arial" w:cs="Arial" w:eastAsia="Arial" w:hAnsi="Arial"/>
                <w:sz w:val="18"/>
                <w:szCs w:val="18"/>
                <w:color w:val="auto"/>
              </w:rPr>
              <w:t>Nondesignated foreign currency exchange derivatives</w:t>
            </w:r>
          </w:p>
        </w:tc>
        <w:tc>
          <w:tcPr>
            <w:tcW w:w="2580" w:type="dxa"/>
            <w:vAlign w:val="bottom"/>
            <w:gridSpan w:val="2"/>
            <w:shd w:val="clear" w:color="auto" w:fill="CCEEFF"/>
          </w:tcPr>
          <w:p>
            <w:pPr>
              <w:ind w:left="2160"/>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4,538</w:t>
            </w:r>
          </w:p>
        </w:tc>
        <w:tc>
          <w:tcPr>
            <w:tcW w:w="1260" w:type="dxa"/>
            <w:vAlign w:val="bottom"/>
            <w:gridSpan w:val="2"/>
            <w:shd w:val="clear" w:color="auto" w:fill="CCEEFF"/>
          </w:tcPr>
          <w:p>
            <w:pPr>
              <w:jc w:val="right"/>
              <w:ind w:right="232"/>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6,333</w:t>
            </w:r>
          </w:p>
        </w:tc>
        <w:tc>
          <w:tcPr>
            <w:tcW w:w="100" w:type="dxa"/>
            <w:vAlign w:val="bottom"/>
            <w:shd w:val="clear" w:color="auto" w:fill="CCEEFF"/>
          </w:tcPr>
          <w:p>
            <w:pPr>
              <w:spacing w:after="0"/>
              <w:rPr>
                <w:sz w:val="18"/>
                <w:szCs w:val="18"/>
                <w:color w:val="auto"/>
              </w:rPr>
            </w:pPr>
          </w:p>
        </w:tc>
      </w:tr>
    </w:tbl>
    <w:p>
      <w:pPr>
        <w:spacing w:after="0" w:line="154" w:lineRule="exact"/>
        <w:rPr>
          <w:sz w:val="20"/>
          <w:szCs w:val="20"/>
          <w:color w:val="auto"/>
        </w:rPr>
      </w:pPr>
    </w:p>
    <w:p>
      <w:pPr>
        <w:ind w:right="160" w:firstLine="228"/>
        <w:spacing w:after="0" w:line="259" w:lineRule="auto"/>
        <w:rPr>
          <w:sz w:val="20"/>
          <w:szCs w:val="20"/>
          <w:color w:val="auto"/>
        </w:rPr>
      </w:pPr>
      <w:r>
        <w:rPr>
          <w:rFonts w:ascii="Arial" w:cs="Arial" w:eastAsia="Arial" w:hAnsi="Arial"/>
          <w:sz w:val="18"/>
          <w:szCs w:val="18"/>
          <w:color w:val="auto"/>
        </w:rPr>
        <w:t>Old GM recorded gains and losses related to these foreign currency exchange derivatives in: (1) Sales for derivatives that economically hedged sales of parts and vehicles; (2) Cost of sales for derivatives that economically hedged purchases of parts and vehicles; and (3) Cost of sales for derivatives that economically hedged foreign currency risk related to foreign currency denominated debt.</w:t>
      </w:r>
    </w:p>
    <w:p>
      <w:pPr>
        <w:spacing w:after="0" w:line="140"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Other Derivatives</w:t>
      </w:r>
    </w:p>
    <w:p>
      <w:pPr>
        <w:spacing w:after="0" w:line="171" w:lineRule="exact"/>
        <w:rPr>
          <w:sz w:val="20"/>
          <w:szCs w:val="20"/>
          <w:color w:val="auto"/>
        </w:rPr>
      </w:pPr>
    </w:p>
    <w:p>
      <w:pPr>
        <w:jc w:val="both"/>
        <w:ind w:right="40" w:firstLine="228"/>
        <w:spacing w:after="0" w:line="306" w:lineRule="auto"/>
        <w:rPr>
          <w:sz w:val="20"/>
          <w:szCs w:val="20"/>
          <w:color w:val="auto"/>
        </w:rPr>
      </w:pPr>
      <w:r>
        <w:rPr>
          <w:rFonts w:ascii="Arial" w:cs="Arial" w:eastAsia="Arial" w:hAnsi="Arial"/>
          <w:sz w:val="16"/>
          <w:szCs w:val="16"/>
          <w:color w:val="auto"/>
        </w:rPr>
        <w:t>In September 2009 in connection with an agreement with American Axle, we received warrants to purchase 4 million shares of American Axle common stock exercisable at $2.76 per share. The fair value of the warrants on the date of receipt was recorded as a Non-current asset. Gains and losses related to these warrants were recorded in Interest income and other non-operating income, net. At September 30, 2010 the fair value of these warrants was $29 million.</w:t>
      </w:r>
    </w:p>
    <w:p>
      <w:pPr>
        <w:spacing w:after="0" w:line="107" w:lineRule="exact"/>
        <w:rPr>
          <w:sz w:val="20"/>
          <w:szCs w:val="20"/>
          <w:color w:val="auto"/>
        </w:rPr>
      </w:pPr>
    </w:p>
    <w:p>
      <w:pPr>
        <w:jc w:val="both"/>
        <w:ind w:right="60" w:firstLine="228"/>
        <w:spacing w:after="0" w:line="268" w:lineRule="auto"/>
        <w:rPr>
          <w:sz w:val="20"/>
          <w:szCs w:val="20"/>
          <w:color w:val="auto"/>
        </w:rPr>
      </w:pPr>
      <w:r>
        <w:rPr>
          <w:rFonts w:ascii="Arial" w:cs="Arial" w:eastAsia="Arial" w:hAnsi="Arial"/>
          <w:sz w:val="18"/>
          <w:szCs w:val="18"/>
          <w:color w:val="auto"/>
        </w:rPr>
        <w:t>On July 10, 2009 in connection with the 363 Sale, we issued warrants to MLC and the New VEBA to acquire shares of our common stock. These warrants are classified in equity and indexed to our common stock.</w:t>
      </w:r>
    </w:p>
    <w:p>
      <w:pPr>
        <w:spacing w:after="0" w:line="132" w:lineRule="exact"/>
        <w:rPr>
          <w:sz w:val="20"/>
          <w:szCs w:val="20"/>
          <w:color w:val="auto"/>
        </w:rPr>
      </w:pPr>
    </w:p>
    <w:p>
      <w:pPr>
        <w:ind w:right="60" w:firstLine="228"/>
        <w:spacing w:after="0" w:line="259" w:lineRule="auto"/>
        <w:rPr>
          <w:sz w:val="20"/>
          <w:szCs w:val="20"/>
          <w:color w:val="auto"/>
        </w:rPr>
      </w:pPr>
      <w:r>
        <w:rPr>
          <w:rFonts w:ascii="Arial" w:cs="Arial" w:eastAsia="Arial" w:hAnsi="Arial"/>
          <w:sz w:val="18"/>
          <w:szCs w:val="18"/>
          <w:color w:val="auto"/>
        </w:rPr>
        <w:t>In connection with the UST Loan Agreement, Old GM granted warrants to the UST for 122 million shares of its common stock exercisable at $3.57 per share. Old GM recorded the warrants as a liability and recorded gains and losses related to this derivative in Interest income and other non-operating income, net. In connection with the 363 Sale, the UST returned the warrants and they were cancelled.</w:t>
      </w:r>
    </w:p>
    <w:p>
      <w:pPr>
        <w:spacing w:after="0" w:line="140"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Fair Value of Nondesignated Derivatives</w:t>
      </w:r>
    </w:p>
    <w:p>
      <w:pPr>
        <w:spacing w:after="0" w:line="171" w:lineRule="exact"/>
        <w:rPr>
          <w:sz w:val="20"/>
          <w:szCs w:val="20"/>
          <w:color w:val="auto"/>
        </w:rPr>
      </w:pPr>
    </w:p>
    <w:p>
      <w:pPr>
        <w:ind w:left="240"/>
        <w:spacing w:after="0"/>
        <w:rPr>
          <w:sz w:val="20"/>
          <w:szCs w:val="20"/>
          <w:color w:val="auto"/>
        </w:rPr>
      </w:pPr>
      <w:r>
        <w:rPr>
          <w:rFonts w:ascii="Arial" w:cs="Arial" w:eastAsia="Arial" w:hAnsi="Arial"/>
          <w:sz w:val="18"/>
          <w:szCs w:val="18"/>
          <w:color w:val="auto"/>
        </w:rPr>
        <w:t>The following table summarizes the fair value of our nondesignated derivative instruments (dollars in millions):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60" w:type="dxa"/>
            <w:vAlign w:val="bottom"/>
          </w:tcPr>
          <w:p>
            <w:pPr>
              <w:spacing w:after="0"/>
              <w:rPr>
                <w:sz w:val="14"/>
                <w:szCs w:val="14"/>
                <w:color w:val="auto"/>
              </w:rPr>
            </w:pPr>
          </w:p>
        </w:tc>
        <w:tc>
          <w:tcPr>
            <w:tcW w:w="3880" w:type="dxa"/>
            <w:vAlign w:val="bottom"/>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380" w:type="dxa"/>
            <w:vAlign w:val="bottom"/>
            <w:tcBorders>
              <w:bottom w:val="single" w:sz="8" w:color="auto"/>
            </w:tcBorders>
            <w:gridSpan w:val="2"/>
          </w:tcPr>
          <w:p>
            <w:pPr>
              <w:ind w:left="100"/>
              <w:spacing w:after="0"/>
              <w:rPr>
                <w:sz w:val="20"/>
                <w:szCs w:val="20"/>
                <w:color w:val="auto"/>
              </w:rPr>
            </w:pPr>
            <w:r>
              <w:rPr>
                <w:rFonts w:ascii="Arial" w:cs="Arial" w:eastAsia="Arial" w:hAnsi="Arial"/>
                <w:sz w:val="14"/>
                <w:szCs w:val="14"/>
                <w:b w:val="1"/>
                <w:bCs w:val="1"/>
                <w:color w:val="auto"/>
              </w:rPr>
              <w:t>Successor</w:t>
            </w:r>
          </w:p>
        </w:tc>
        <w:tc>
          <w:tcPr>
            <w:tcW w:w="34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1160" w:type="dxa"/>
            <w:vAlign w:val="bottom"/>
          </w:tcPr>
          <w:p>
            <w:pPr>
              <w:spacing w:after="0"/>
              <w:rPr>
                <w:sz w:val="12"/>
                <w:szCs w:val="12"/>
                <w:color w:val="auto"/>
              </w:rPr>
            </w:pPr>
          </w:p>
        </w:tc>
        <w:tc>
          <w:tcPr>
            <w:tcW w:w="3880" w:type="dxa"/>
            <w:vAlign w:val="bottom"/>
          </w:tcPr>
          <w:p>
            <w:pPr>
              <w:spacing w:after="0"/>
              <w:rPr>
                <w:sz w:val="12"/>
                <w:szCs w:val="12"/>
                <w:color w:val="auto"/>
              </w:rPr>
            </w:pPr>
          </w:p>
        </w:tc>
        <w:tc>
          <w:tcPr>
            <w:tcW w:w="700" w:type="dxa"/>
            <w:vAlign w:val="bottom"/>
            <w:tcBorders>
              <w:bottom w:val="single" w:sz="8" w:color="auto"/>
            </w:tcBorders>
          </w:tcPr>
          <w:p>
            <w:pPr>
              <w:spacing w:after="0"/>
              <w:rPr>
                <w:sz w:val="12"/>
                <w:szCs w:val="12"/>
                <w:color w:val="auto"/>
              </w:rPr>
            </w:pPr>
          </w:p>
        </w:tc>
        <w:tc>
          <w:tcPr>
            <w:tcW w:w="1240" w:type="dxa"/>
            <w:vAlign w:val="bottom"/>
            <w:tcBorders>
              <w:bottom w:val="single" w:sz="8" w:color="auto"/>
            </w:tcBorders>
            <w:gridSpan w:val="3"/>
          </w:tcPr>
          <w:p>
            <w:pPr>
              <w:ind w:left="80"/>
              <w:spacing w:after="0" w:line="142" w:lineRule="exact"/>
              <w:rPr>
                <w:sz w:val="20"/>
                <w:szCs w:val="20"/>
                <w:color w:val="auto"/>
              </w:rPr>
            </w:pPr>
            <w:r>
              <w:rPr>
                <w:rFonts w:ascii="Arial" w:cs="Arial" w:eastAsia="Arial" w:hAnsi="Arial"/>
                <w:sz w:val="14"/>
                <w:szCs w:val="14"/>
                <w:b w:val="1"/>
                <w:bCs w:val="1"/>
                <w:color w:val="auto"/>
                <w:w w:val="87"/>
              </w:rPr>
              <w:t>September 30, 2010</w:t>
            </w:r>
          </w:p>
        </w:tc>
        <w:tc>
          <w:tcPr>
            <w:tcW w:w="740" w:type="dxa"/>
            <w:vAlign w:val="bottom"/>
            <w:tcBorders>
              <w:bottom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700" w:type="dxa"/>
            <w:vAlign w:val="bottom"/>
            <w:tcBorders>
              <w:bottom w:val="single" w:sz="8" w:color="auto"/>
            </w:tcBorders>
          </w:tcPr>
          <w:p>
            <w:pPr>
              <w:spacing w:after="0"/>
              <w:rPr>
                <w:sz w:val="12"/>
                <w:szCs w:val="12"/>
                <w:color w:val="auto"/>
              </w:rPr>
            </w:pPr>
          </w:p>
        </w:tc>
        <w:tc>
          <w:tcPr>
            <w:tcW w:w="1800" w:type="dxa"/>
            <w:vAlign w:val="bottom"/>
            <w:tcBorders>
              <w:bottom w:val="single" w:sz="8" w:color="auto"/>
            </w:tcBorders>
            <w:gridSpan w:val="3"/>
          </w:tcPr>
          <w:p>
            <w:pPr>
              <w:ind w:left="180"/>
              <w:spacing w:after="0" w:line="142" w:lineRule="exact"/>
              <w:rPr>
                <w:sz w:val="20"/>
                <w:szCs w:val="20"/>
                <w:color w:val="auto"/>
              </w:rPr>
            </w:pPr>
            <w:r>
              <w:rPr>
                <w:rFonts w:ascii="Arial" w:cs="Arial" w:eastAsia="Arial" w:hAnsi="Arial"/>
                <w:sz w:val="14"/>
                <w:szCs w:val="14"/>
                <w:b w:val="1"/>
                <w:bCs w:val="1"/>
                <w:color w:val="auto"/>
              </w:rPr>
              <w:t>December 31, 2009</w:t>
            </w:r>
          </w:p>
        </w:tc>
        <w:tc>
          <w:tcPr>
            <w:tcW w:w="34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9"/>
        </w:trPr>
        <w:tc>
          <w:tcPr>
            <w:tcW w:w="1160" w:type="dxa"/>
            <w:vAlign w:val="bottom"/>
          </w:tcPr>
          <w:p>
            <w:pPr>
              <w:spacing w:after="0"/>
              <w:rPr>
                <w:sz w:val="11"/>
                <w:szCs w:val="11"/>
                <w:color w:val="auto"/>
              </w:rPr>
            </w:pPr>
          </w:p>
        </w:tc>
        <w:tc>
          <w:tcPr>
            <w:tcW w:w="3880" w:type="dxa"/>
            <w:vAlign w:val="bottom"/>
          </w:tcPr>
          <w:p>
            <w:pPr>
              <w:spacing w:after="0"/>
              <w:rPr>
                <w:sz w:val="11"/>
                <w:szCs w:val="11"/>
                <w:color w:val="auto"/>
              </w:rPr>
            </w:pPr>
          </w:p>
        </w:tc>
        <w:tc>
          <w:tcPr>
            <w:tcW w:w="700" w:type="dxa"/>
            <w:vAlign w:val="bottom"/>
          </w:tcPr>
          <w:p>
            <w:pPr>
              <w:ind w:left="360"/>
              <w:spacing w:after="0" w:line="129" w:lineRule="exact"/>
              <w:rPr>
                <w:sz w:val="20"/>
                <w:szCs w:val="20"/>
                <w:color w:val="auto"/>
              </w:rPr>
            </w:pPr>
            <w:r>
              <w:rPr>
                <w:rFonts w:ascii="Arial" w:cs="Arial" w:eastAsia="Arial" w:hAnsi="Arial"/>
                <w:sz w:val="14"/>
                <w:szCs w:val="14"/>
                <w:b w:val="1"/>
                <w:bCs w:val="1"/>
                <w:color w:val="auto"/>
                <w:w w:val="83"/>
              </w:rPr>
              <w:t>Asset</w:t>
            </w:r>
          </w:p>
        </w:tc>
        <w:tc>
          <w:tcPr>
            <w:tcW w:w="3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40" w:type="dxa"/>
            <w:vAlign w:val="bottom"/>
          </w:tcPr>
          <w:p>
            <w:pPr>
              <w:jc w:val="right"/>
              <w:ind w:right="115"/>
              <w:spacing w:after="0" w:line="129" w:lineRule="exact"/>
              <w:rPr>
                <w:sz w:val="20"/>
                <w:szCs w:val="20"/>
                <w:color w:val="auto"/>
              </w:rPr>
            </w:pPr>
            <w:r>
              <w:rPr>
                <w:rFonts w:ascii="Arial" w:cs="Arial" w:eastAsia="Arial" w:hAnsi="Arial"/>
                <w:sz w:val="14"/>
                <w:szCs w:val="14"/>
                <w:b w:val="1"/>
                <w:bCs w:val="1"/>
                <w:color w:val="auto"/>
                <w:w w:val="98"/>
              </w:rPr>
              <w:t>Liability</w:t>
            </w: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ind w:left="360"/>
              <w:spacing w:after="0" w:line="129" w:lineRule="exact"/>
              <w:rPr>
                <w:sz w:val="20"/>
                <w:szCs w:val="20"/>
                <w:color w:val="auto"/>
              </w:rPr>
            </w:pPr>
            <w:r>
              <w:rPr>
                <w:rFonts w:ascii="Arial" w:cs="Arial" w:eastAsia="Arial" w:hAnsi="Arial"/>
                <w:sz w:val="14"/>
                <w:szCs w:val="14"/>
                <w:b w:val="1"/>
                <w:bCs w:val="1"/>
                <w:color w:val="auto"/>
                <w:w w:val="83"/>
              </w:rPr>
              <w:t>Asset</w:t>
            </w:r>
          </w:p>
        </w:tc>
        <w:tc>
          <w:tcPr>
            <w:tcW w:w="3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40" w:type="dxa"/>
            <w:vAlign w:val="bottom"/>
            <w:gridSpan w:val="2"/>
          </w:tcPr>
          <w:p>
            <w:pPr>
              <w:jc w:val="right"/>
              <w:ind w:right="175"/>
              <w:spacing w:after="0" w:line="129" w:lineRule="exact"/>
              <w:rPr>
                <w:sz w:val="20"/>
                <w:szCs w:val="20"/>
                <w:color w:val="auto"/>
              </w:rPr>
            </w:pPr>
            <w:r>
              <w:rPr>
                <w:rFonts w:ascii="Arial" w:cs="Arial" w:eastAsia="Arial" w:hAnsi="Arial"/>
                <w:sz w:val="14"/>
                <w:szCs w:val="14"/>
                <w:b w:val="1"/>
                <w:bCs w:val="1"/>
                <w:color w:val="auto"/>
              </w:rPr>
              <w:t>Liability</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1160" w:type="dxa"/>
            <w:vAlign w:val="bottom"/>
          </w:tcPr>
          <w:p>
            <w:pPr>
              <w:spacing w:after="0"/>
              <w:rPr>
                <w:sz w:val="14"/>
                <w:szCs w:val="14"/>
                <w:color w:val="auto"/>
              </w:rPr>
            </w:pPr>
          </w:p>
        </w:tc>
        <w:tc>
          <w:tcPr>
            <w:tcW w:w="3880" w:type="dxa"/>
            <w:vAlign w:val="bottom"/>
          </w:tcPr>
          <w:p>
            <w:pPr>
              <w:spacing w:after="0"/>
              <w:rPr>
                <w:sz w:val="14"/>
                <w:szCs w:val="14"/>
                <w:color w:val="auto"/>
              </w:rPr>
            </w:pPr>
          </w:p>
        </w:tc>
        <w:tc>
          <w:tcPr>
            <w:tcW w:w="700" w:type="dxa"/>
            <w:vAlign w:val="bottom"/>
          </w:tcPr>
          <w:p>
            <w:pPr>
              <w:spacing w:after="0"/>
              <w:rPr>
                <w:sz w:val="20"/>
                <w:szCs w:val="20"/>
                <w:color w:val="auto"/>
              </w:rPr>
            </w:pPr>
            <w:r>
              <w:rPr>
                <w:rFonts w:ascii="Arial" w:cs="Arial" w:eastAsia="Arial" w:hAnsi="Arial"/>
                <w:sz w:val="14"/>
                <w:szCs w:val="14"/>
                <w:b w:val="1"/>
                <w:bCs w:val="1"/>
                <w:color w:val="auto"/>
                <w:w w:val="90"/>
              </w:rPr>
              <w:t>Derivatives</w:t>
            </w:r>
          </w:p>
        </w:tc>
        <w:tc>
          <w:tcPr>
            <w:tcW w:w="340" w:type="dxa"/>
            <w:vAlign w:val="bottom"/>
          </w:tcPr>
          <w:p>
            <w:pPr>
              <w:jc w:val="right"/>
              <w:spacing w:after="0"/>
              <w:rPr>
                <w:sz w:val="20"/>
                <w:szCs w:val="20"/>
                <w:color w:val="auto"/>
              </w:rPr>
            </w:pPr>
            <w:r>
              <w:rPr>
                <w:rFonts w:ascii="Arial" w:cs="Arial" w:eastAsia="Arial" w:hAnsi="Arial"/>
                <w:sz w:val="14"/>
                <w:szCs w:val="14"/>
                <w:b w:val="1"/>
                <w:bCs w:val="1"/>
                <w:color w:val="auto"/>
                <w:w w:val="91"/>
              </w:rPr>
              <w:t>(a)(b)</w:t>
            </w:r>
          </w:p>
        </w:tc>
        <w:tc>
          <w:tcPr>
            <w:tcW w:w="760" w:type="dxa"/>
            <w:vAlign w:val="bottom"/>
          </w:tcPr>
          <w:p>
            <w:pPr>
              <w:spacing w:after="0"/>
              <w:rPr>
                <w:sz w:val="14"/>
                <w:szCs w:val="14"/>
                <w:color w:val="auto"/>
              </w:rPr>
            </w:pPr>
          </w:p>
        </w:tc>
        <w:tc>
          <w:tcPr>
            <w:tcW w:w="960" w:type="dxa"/>
            <w:vAlign w:val="bottom"/>
            <w:gridSpan w:val="3"/>
          </w:tcPr>
          <w:p>
            <w:pPr>
              <w:spacing w:after="0"/>
              <w:rPr>
                <w:sz w:val="20"/>
                <w:szCs w:val="20"/>
                <w:color w:val="auto"/>
              </w:rPr>
            </w:pPr>
            <w:r>
              <w:rPr>
                <w:rFonts w:ascii="Arial" w:cs="Arial" w:eastAsia="Arial" w:hAnsi="Arial"/>
                <w:sz w:val="14"/>
                <w:szCs w:val="14"/>
                <w:b w:val="1"/>
                <w:bCs w:val="1"/>
                <w:color w:val="auto"/>
                <w:w w:val="98"/>
              </w:rPr>
              <w:t>Derivatives (c)</w:t>
            </w:r>
          </w:p>
        </w:tc>
        <w:tc>
          <w:tcPr>
            <w:tcW w:w="680" w:type="dxa"/>
            <w:vAlign w:val="bottom"/>
          </w:tcPr>
          <w:p>
            <w:pPr>
              <w:spacing w:after="0"/>
              <w:rPr>
                <w:sz w:val="14"/>
                <w:szCs w:val="14"/>
                <w:color w:val="auto"/>
              </w:rPr>
            </w:pPr>
          </w:p>
        </w:tc>
        <w:tc>
          <w:tcPr>
            <w:tcW w:w="700" w:type="dxa"/>
            <w:vAlign w:val="bottom"/>
          </w:tcPr>
          <w:p>
            <w:pPr>
              <w:spacing w:after="0"/>
              <w:rPr>
                <w:sz w:val="20"/>
                <w:szCs w:val="20"/>
                <w:color w:val="auto"/>
              </w:rPr>
            </w:pPr>
            <w:r>
              <w:rPr>
                <w:rFonts w:ascii="Arial" w:cs="Arial" w:eastAsia="Arial" w:hAnsi="Arial"/>
                <w:sz w:val="14"/>
                <w:szCs w:val="14"/>
                <w:b w:val="1"/>
                <w:bCs w:val="1"/>
                <w:color w:val="auto"/>
                <w:w w:val="90"/>
              </w:rPr>
              <w:t>Derivatives</w:t>
            </w:r>
          </w:p>
        </w:tc>
        <w:tc>
          <w:tcPr>
            <w:tcW w:w="340" w:type="dxa"/>
            <w:vAlign w:val="bottom"/>
          </w:tcPr>
          <w:p>
            <w:pPr>
              <w:jc w:val="right"/>
              <w:spacing w:after="0"/>
              <w:rPr>
                <w:sz w:val="20"/>
                <w:szCs w:val="20"/>
                <w:color w:val="auto"/>
              </w:rPr>
            </w:pPr>
            <w:r>
              <w:rPr>
                <w:rFonts w:ascii="Arial" w:cs="Arial" w:eastAsia="Arial" w:hAnsi="Arial"/>
                <w:sz w:val="14"/>
                <w:szCs w:val="14"/>
                <w:b w:val="1"/>
                <w:bCs w:val="1"/>
                <w:color w:val="auto"/>
                <w:w w:val="91"/>
              </w:rPr>
              <w:t>(a)(b)</w:t>
            </w:r>
          </w:p>
        </w:tc>
        <w:tc>
          <w:tcPr>
            <w:tcW w:w="760" w:type="dxa"/>
            <w:vAlign w:val="bottom"/>
          </w:tcPr>
          <w:p>
            <w:pPr>
              <w:spacing w:after="0"/>
              <w:rPr>
                <w:sz w:val="14"/>
                <w:szCs w:val="14"/>
                <w:color w:val="auto"/>
              </w:rPr>
            </w:pPr>
          </w:p>
        </w:tc>
        <w:tc>
          <w:tcPr>
            <w:tcW w:w="700" w:type="dxa"/>
            <w:vAlign w:val="bottom"/>
          </w:tcPr>
          <w:p>
            <w:pPr>
              <w:spacing w:after="0"/>
              <w:rPr>
                <w:sz w:val="20"/>
                <w:szCs w:val="20"/>
                <w:color w:val="auto"/>
              </w:rPr>
            </w:pPr>
            <w:r>
              <w:rPr>
                <w:rFonts w:ascii="Arial" w:cs="Arial" w:eastAsia="Arial" w:hAnsi="Arial"/>
                <w:sz w:val="14"/>
                <w:szCs w:val="14"/>
                <w:b w:val="1"/>
                <w:bCs w:val="1"/>
                <w:color w:val="auto"/>
                <w:w w:val="90"/>
              </w:rPr>
              <w:t>Derivatives</w:t>
            </w:r>
          </w:p>
        </w:tc>
        <w:tc>
          <w:tcPr>
            <w:tcW w:w="440" w:type="dxa"/>
            <w:vAlign w:val="bottom"/>
            <w:gridSpan w:val="2"/>
          </w:tcPr>
          <w:p>
            <w:pPr>
              <w:jc w:val="right"/>
              <w:ind w:right="100"/>
              <w:spacing w:after="0"/>
              <w:rPr>
                <w:sz w:val="20"/>
                <w:szCs w:val="20"/>
                <w:color w:val="auto"/>
              </w:rPr>
            </w:pPr>
            <w:r>
              <w:rPr>
                <w:rFonts w:ascii="Arial" w:cs="Arial" w:eastAsia="Arial" w:hAnsi="Arial"/>
                <w:sz w:val="14"/>
                <w:szCs w:val="14"/>
                <w:b w:val="1"/>
                <w:bCs w:val="1"/>
                <w:color w:val="auto"/>
                <w:w w:val="91"/>
              </w:rPr>
              <w:t>(c)(d)</w:t>
            </w:r>
          </w:p>
        </w:tc>
        <w:tc>
          <w:tcPr>
            <w:tcW w:w="0" w:type="dxa"/>
            <w:vAlign w:val="bottom"/>
          </w:tcPr>
          <w:p>
            <w:pPr>
              <w:spacing w:after="0"/>
              <w:rPr>
                <w:sz w:val="1"/>
                <w:szCs w:val="1"/>
                <w:color w:val="auto"/>
              </w:rPr>
            </w:pPr>
          </w:p>
        </w:tc>
      </w:tr>
      <w:tr>
        <w:trPr>
          <w:trHeight w:val="210"/>
        </w:trPr>
        <w:tc>
          <w:tcPr>
            <w:tcW w:w="504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Current Portion</w:t>
            </w:r>
          </w:p>
        </w:tc>
        <w:tc>
          <w:tcPr>
            <w:tcW w:w="700" w:type="dxa"/>
            <w:vAlign w:val="bottom"/>
            <w:tcBorders>
              <w:top w:val="single" w:sz="8" w:color="auto"/>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40" w:type="dxa"/>
            <w:vAlign w:val="bottom"/>
            <w:gridSpan w:val="2"/>
          </w:tcPr>
          <w:p>
            <w:pPr>
              <w:spacing w:after="0"/>
              <w:rPr>
                <w:sz w:val="20"/>
                <w:szCs w:val="20"/>
                <w:color w:val="auto"/>
              </w:rPr>
            </w:pPr>
            <w:r>
              <w:rPr>
                <w:rFonts w:ascii="Arial" w:cs="Arial" w:eastAsia="Arial" w:hAnsi="Arial"/>
                <w:sz w:val="18"/>
                <w:szCs w:val="18"/>
                <w:color w:val="auto"/>
              </w:rPr>
              <w:t>Foreign currency exchange derivatives</w:t>
            </w:r>
          </w:p>
        </w:tc>
        <w:tc>
          <w:tcPr>
            <w:tcW w:w="700" w:type="dxa"/>
            <w:vAlign w:val="bottom"/>
          </w:tcPr>
          <w:p>
            <w:pPr>
              <w:spacing w:after="0"/>
              <w:rPr>
                <w:sz w:val="20"/>
                <w:szCs w:val="20"/>
                <w:color w:val="auto"/>
              </w:rPr>
            </w:pPr>
            <w:r>
              <w:rPr>
                <w:rFonts w:ascii="Arial" w:cs="Arial" w:eastAsia="Arial" w:hAnsi="Arial"/>
                <w:sz w:val="18"/>
                <w:szCs w:val="18"/>
                <w:color w:val="auto"/>
              </w:rPr>
              <w:t>$</w:t>
            </w:r>
          </w:p>
        </w:tc>
        <w:tc>
          <w:tcPr>
            <w:tcW w:w="340" w:type="dxa"/>
            <w:vAlign w:val="bottom"/>
          </w:tcPr>
          <w:p>
            <w:pPr>
              <w:jc w:val="right"/>
              <w:spacing w:after="0"/>
              <w:rPr>
                <w:sz w:val="20"/>
                <w:szCs w:val="20"/>
                <w:color w:val="auto"/>
              </w:rPr>
            </w:pPr>
            <w:r>
              <w:rPr>
                <w:rFonts w:ascii="Arial" w:cs="Arial" w:eastAsia="Arial" w:hAnsi="Arial"/>
                <w:sz w:val="18"/>
                <w:szCs w:val="18"/>
                <w:color w:val="auto"/>
              </w:rPr>
              <w:t>65</w:t>
            </w:r>
          </w:p>
        </w:tc>
        <w:tc>
          <w:tcPr>
            <w:tcW w:w="900" w:type="dxa"/>
            <w:vAlign w:val="bottom"/>
            <w:gridSpan w:val="2"/>
          </w:tcPr>
          <w:p>
            <w:pPr>
              <w:ind w:left="760"/>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80"/>
              <w:spacing w:after="0"/>
              <w:rPr>
                <w:sz w:val="20"/>
                <w:szCs w:val="20"/>
                <w:color w:val="auto"/>
              </w:rPr>
            </w:pPr>
            <w:r>
              <w:rPr>
                <w:rFonts w:ascii="Arial" w:cs="Arial" w:eastAsia="Arial" w:hAnsi="Arial"/>
                <w:sz w:val="18"/>
                <w:szCs w:val="18"/>
                <w:color w:val="auto"/>
              </w:rPr>
              <w:t>222</w:t>
            </w:r>
          </w:p>
        </w:tc>
        <w:tc>
          <w:tcPr>
            <w:tcW w:w="1380" w:type="dxa"/>
            <w:vAlign w:val="bottom"/>
            <w:gridSpan w:val="2"/>
          </w:tcPr>
          <w:p>
            <w:pPr>
              <w:ind w:left="680"/>
              <w:spacing w:after="0"/>
              <w:rPr>
                <w:sz w:val="20"/>
                <w:szCs w:val="20"/>
                <w:color w:val="auto"/>
              </w:rPr>
            </w:pPr>
            <w:r>
              <w:rPr>
                <w:rFonts w:ascii="Arial" w:cs="Arial" w:eastAsia="Arial" w:hAnsi="Arial"/>
                <w:sz w:val="18"/>
                <w:szCs w:val="18"/>
                <w:color w:val="auto"/>
              </w:rPr>
              <w:t>$</w:t>
            </w:r>
          </w:p>
        </w:tc>
        <w:tc>
          <w:tcPr>
            <w:tcW w:w="340" w:type="dxa"/>
            <w:vAlign w:val="bottom"/>
          </w:tcPr>
          <w:p>
            <w:pPr>
              <w:jc w:val="right"/>
              <w:spacing w:after="0"/>
              <w:rPr>
                <w:sz w:val="20"/>
                <w:szCs w:val="20"/>
                <w:color w:val="auto"/>
              </w:rPr>
            </w:pPr>
            <w:r>
              <w:rPr>
                <w:rFonts w:ascii="Arial" w:cs="Arial" w:eastAsia="Arial" w:hAnsi="Arial"/>
                <w:sz w:val="18"/>
                <w:szCs w:val="18"/>
                <w:color w:val="auto"/>
              </w:rPr>
              <w:t>104</w:t>
            </w:r>
          </w:p>
        </w:tc>
        <w:tc>
          <w:tcPr>
            <w:tcW w:w="1460" w:type="dxa"/>
            <w:vAlign w:val="bottom"/>
            <w:gridSpan w:val="2"/>
          </w:tcPr>
          <w:p>
            <w:pPr>
              <w:ind w:left="760"/>
              <w:spacing w:after="0"/>
              <w:rPr>
                <w:sz w:val="20"/>
                <w:szCs w:val="20"/>
                <w:color w:val="auto"/>
              </w:rPr>
            </w:pPr>
            <w:r>
              <w:rPr>
                <w:rFonts w:ascii="Arial" w:cs="Arial" w:eastAsia="Arial" w:hAnsi="Arial"/>
                <w:sz w:val="18"/>
                <w:szCs w:val="18"/>
                <w:color w:val="auto"/>
              </w:rPr>
              <w:t>$</w:t>
            </w:r>
          </w:p>
        </w:tc>
        <w:tc>
          <w:tcPr>
            <w:tcW w:w="340" w:type="dxa"/>
            <w:vAlign w:val="bottom"/>
          </w:tcPr>
          <w:p>
            <w:pPr>
              <w:jc w:val="right"/>
              <w:spacing w:after="0"/>
              <w:rPr>
                <w:sz w:val="20"/>
                <w:szCs w:val="20"/>
                <w:color w:val="auto"/>
              </w:rPr>
            </w:pPr>
            <w:r>
              <w:rPr>
                <w:rFonts w:ascii="Arial" w:cs="Arial" w:eastAsia="Arial" w:hAnsi="Arial"/>
                <w:sz w:val="18"/>
                <w:szCs w:val="18"/>
                <w:color w:val="auto"/>
              </w:rPr>
              <w:t>568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Commodity derivatives</w:t>
            </w:r>
          </w:p>
        </w:tc>
        <w:tc>
          <w:tcPr>
            <w:tcW w:w="700" w:type="dxa"/>
            <w:vAlign w:val="bottom"/>
            <w:shd w:val="clear" w:color="auto" w:fill="CCEEFF"/>
          </w:tcPr>
          <w:p>
            <w:pPr>
              <w:spacing w:after="0"/>
              <w:rPr>
                <w:sz w:val="18"/>
                <w:szCs w:val="18"/>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w:t>
            </w:r>
          </w:p>
        </w:tc>
        <w:tc>
          <w:tcPr>
            <w:tcW w:w="7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7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5040" w:type="dxa"/>
            <w:vAlign w:val="bottom"/>
            <w:gridSpan w:val="2"/>
            <w:vMerge w:val="restart"/>
          </w:tcPr>
          <w:p>
            <w:pPr>
              <w:spacing w:after="0"/>
              <w:rPr>
                <w:sz w:val="20"/>
                <w:szCs w:val="20"/>
                <w:color w:val="auto"/>
              </w:rPr>
            </w:pPr>
            <w:r>
              <w:rPr>
                <w:rFonts w:ascii="Arial" w:cs="Arial" w:eastAsia="Arial" w:hAnsi="Arial"/>
                <w:sz w:val="18"/>
                <w:szCs w:val="18"/>
                <w:color w:val="auto"/>
              </w:rPr>
              <w:t>Total current portion</w:t>
            </w:r>
          </w:p>
        </w:tc>
        <w:tc>
          <w:tcPr>
            <w:tcW w:w="70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5040" w:type="dxa"/>
            <w:vAlign w:val="bottom"/>
            <w:gridSpan w:val="2"/>
            <w:vMerge w:val="continue"/>
          </w:tcPr>
          <w:p>
            <w:pPr>
              <w:spacing w:after="0"/>
              <w:rPr>
                <w:sz w:val="19"/>
                <w:szCs w:val="19"/>
                <w:color w:val="auto"/>
              </w:rPr>
            </w:pPr>
          </w:p>
        </w:tc>
        <w:tc>
          <w:tcPr>
            <w:tcW w:w="700" w:type="dxa"/>
            <w:vAlign w:val="bottom"/>
          </w:tcPr>
          <w:p>
            <w:pPr>
              <w:spacing w:after="0"/>
              <w:rPr>
                <w:sz w:val="20"/>
                <w:szCs w:val="20"/>
                <w:color w:val="auto"/>
              </w:rPr>
            </w:pPr>
            <w:r>
              <w:rPr>
                <w:rFonts w:ascii="Arial" w:cs="Arial" w:eastAsia="Arial" w:hAnsi="Arial"/>
                <w:sz w:val="18"/>
                <w:szCs w:val="18"/>
                <w:color w:val="auto"/>
              </w:rPr>
              <w:t>$</w:t>
            </w:r>
          </w:p>
        </w:tc>
        <w:tc>
          <w:tcPr>
            <w:tcW w:w="340" w:type="dxa"/>
            <w:vAlign w:val="bottom"/>
          </w:tcPr>
          <w:p>
            <w:pPr>
              <w:jc w:val="right"/>
              <w:spacing w:after="0"/>
              <w:rPr>
                <w:sz w:val="20"/>
                <w:szCs w:val="20"/>
                <w:color w:val="auto"/>
              </w:rPr>
            </w:pPr>
            <w:r>
              <w:rPr>
                <w:rFonts w:ascii="Arial" w:cs="Arial" w:eastAsia="Arial" w:hAnsi="Arial"/>
                <w:sz w:val="18"/>
                <w:szCs w:val="18"/>
                <w:color w:val="auto"/>
              </w:rPr>
              <w:t>121</w:t>
            </w:r>
          </w:p>
        </w:tc>
        <w:tc>
          <w:tcPr>
            <w:tcW w:w="760" w:type="dxa"/>
            <w:vAlign w:val="bottom"/>
          </w:tcPr>
          <w:p>
            <w:pPr>
              <w:spacing w:after="0"/>
              <w:rPr>
                <w:sz w:val="19"/>
                <w:szCs w:val="19"/>
                <w:color w:val="auto"/>
              </w:rPr>
            </w:pP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222</w:t>
            </w:r>
          </w:p>
        </w:tc>
        <w:tc>
          <w:tcPr>
            <w:tcW w:w="80" w:type="dxa"/>
            <w:vAlign w:val="bottom"/>
          </w:tcPr>
          <w:p>
            <w:pPr>
              <w:spacing w:after="0"/>
              <w:rPr>
                <w:sz w:val="19"/>
                <w:szCs w:val="19"/>
                <w:color w:val="auto"/>
              </w:rPr>
            </w:pPr>
          </w:p>
        </w:tc>
        <w:tc>
          <w:tcPr>
            <w:tcW w:w="1380" w:type="dxa"/>
            <w:vAlign w:val="bottom"/>
            <w:gridSpan w:val="2"/>
          </w:tcPr>
          <w:p>
            <w:pPr>
              <w:ind w:left="680"/>
              <w:spacing w:after="0"/>
              <w:rPr>
                <w:sz w:val="20"/>
                <w:szCs w:val="20"/>
                <w:color w:val="auto"/>
              </w:rPr>
            </w:pPr>
            <w:r>
              <w:rPr>
                <w:rFonts w:ascii="Arial" w:cs="Arial" w:eastAsia="Arial" w:hAnsi="Arial"/>
                <w:sz w:val="18"/>
                <w:szCs w:val="18"/>
                <w:color w:val="auto"/>
              </w:rPr>
              <w:t>$</w:t>
            </w:r>
          </w:p>
        </w:tc>
        <w:tc>
          <w:tcPr>
            <w:tcW w:w="340" w:type="dxa"/>
            <w:vAlign w:val="bottom"/>
          </w:tcPr>
          <w:p>
            <w:pPr>
              <w:jc w:val="right"/>
              <w:spacing w:after="0"/>
              <w:rPr>
                <w:sz w:val="20"/>
                <w:szCs w:val="20"/>
                <w:color w:val="auto"/>
              </w:rPr>
            </w:pPr>
            <w:r>
              <w:rPr>
                <w:rFonts w:ascii="Arial" w:cs="Arial" w:eastAsia="Arial" w:hAnsi="Arial"/>
                <w:sz w:val="18"/>
                <w:szCs w:val="18"/>
                <w:color w:val="auto"/>
              </w:rPr>
              <w:t>115</w:t>
            </w:r>
          </w:p>
        </w:tc>
        <w:tc>
          <w:tcPr>
            <w:tcW w:w="1460" w:type="dxa"/>
            <w:vAlign w:val="bottom"/>
            <w:gridSpan w:val="2"/>
          </w:tcPr>
          <w:p>
            <w:pPr>
              <w:ind w:left="760"/>
              <w:spacing w:after="0"/>
              <w:rPr>
                <w:sz w:val="20"/>
                <w:szCs w:val="20"/>
                <w:color w:val="auto"/>
              </w:rPr>
            </w:pPr>
            <w:r>
              <w:rPr>
                <w:rFonts w:ascii="Arial" w:cs="Arial" w:eastAsia="Arial" w:hAnsi="Arial"/>
                <w:sz w:val="18"/>
                <w:szCs w:val="18"/>
                <w:color w:val="auto"/>
              </w:rPr>
              <w:t>$</w:t>
            </w:r>
          </w:p>
        </w:tc>
        <w:tc>
          <w:tcPr>
            <w:tcW w:w="340" w:type="dxa"/>
            <w:vAlign w:val="bottom"/>
          </w:tcPr>
          <w:p>
            <w:pPr>
              <w:jc w:val="right"/>
              <w:spacing w:after="0"/>
              <w:rPr>
                <w:sz w:val="20"/>
                <w:szCs w:val="20"/>
                <w:color w:val="auto"/>
              </w:rPr>
            </w:pPr>
            <w:r>
              <w:rPr>
                <w:rFonts w:ascii="Arial" w:cs="Arial" w:eastAsia="Arial" w:hAnsi="Arial"/>
                <w:sz w:val="18"/>
                <w:szCs w:val="18"/>
                <w:color w:val="auto"/>
              </w:rPr>
              <w:t>568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388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504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Non-Current Portion</w:t>
            </w:r>
          </w:p>
        </w:tc>
        <w:tc>
          <w:tcPr>
            <w:tcW w:w="7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40" w:type="dxa"/>
            <w:vAlign w:val="bottom"/>
            <w:gridSpan w:val="2"/>
          </w:tcPr>
          <w:p>
            <w:pPr>
              <w:spacing w:after="0"/>
              <w:rPr>
                <w:sz w:val="20"/>
                <w:szCs w:val="20"/>
                <w:color w:val="auto"/>
              </w:rPr>
            </w:pPr>
            <w:r>
              <w:rPr>
                <w:rFonts w:ascii="Arial" w:cs="Arial" w:eastAsia="Arial" w:hAnsi="Arial"/>
                <w:sz w:val="18"/>
                <w:szCs w:val="18"/>
                <w:color w:val="auto"/>
              </w:rPr>
              <w:t>Foreign currency exchange derivatives</w:t>
            </w:r>
          </w:p>
        </w:tc>
        <w:tc>
          <w:tcPr>
            <w:tcW w:w="700" w:type="dxa"/>
            <w:vAlign w:val="bottom"/>
          </w:tcPr>
          <w:p>
            <w:pPr>
              <w:spacing w:after="0"/>
              <w:rPr>
                <w:sz w:val="20"/>
                <w:szCs w:val="20"/>
                <w:color w:val="auto"/>
              </w:rPr>
            </w:pPr>
            <w:r>
              <w:rPr>
                <w:rFonts w:ascii="Arial" w:cs="Arial" w:eastAsia="Arial" w:hAnsi="Arial"/>
                <w:sz w:val="18"/>
                <w:szCs w:val="18"/>
                <w:color w:val="auto"/>
              </w:rPr>
              <w:t>$</w:t>
            </w:r>
          </w:p>
        </w:tc>
        <w:tc>
          <w:tcPr>
            <w:tcW w:w="340" w:type="dxa"/>
            <w:vAlign w:val="bottom"/>
          </w:tcPr>
          <w:p>
            <w:pPr>
              <w:jc w:val="right"/>
              <w:spacing w:after="0"/>
              <w:rPr>
                <w:sz w:val="20"/>
                <w:szCs w:val="20"/>
                <w:color w:val="auto"/>
              </w:rPr>
            </w:pPr>
            <w:r>
              <w:rPr>
                <w:rFonts w:ascii="Arial" w:cs="Arial" w:eastAsia="Arial" w:hAnsi="Arial"/>
                <w:sz w:val="18"/>
                <w:szCs w:val="18"/>
                <w:color w:val="auto"/>
              </w:rPr>
              <w:t>—</w:t>
            </w:r>
          </w:p>
        </w:tc>
        <w:tc>
          <w:tcPr>
            <w:tcW w:w="900" w:type="dxa"/>
            <w:vAlign w:val="bottom"/>
            <w:gridSpan w:val="2"/>
          </w:tcPr>
          <w:p>
            <w:pPr>
              <w:ind w:left="760"/>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380" w:type="dxa"/>
            <w:vAlign w:val="bottom"/>
            <w:gridSpan w:val="2"/>
          </w:tcPr>
          <w:p>
            <w:pPr>
              <w:ind w:left="680"/>
              <w:spacing w:after="0"/>
              <w:rPr>
                <w:sz w:val="20"/>
                <w:szCs w:val="20"/>
                <w:color w:val="auto"/>
              </w:rPr>
            </w:pPr>
            <w:r>
              <w:rPr>
                <w:rFonts w:ascii="Arial" w:cs="Arial" w:eastAsia="Arial" w:hAnsi="Arial"/>
                <w:sz w:val="18"/>
                <w:szCs w:val="18"/>
                <w:color w:val="auto"/>
              </w:rPr>
              <w:t>$</w:t>
            </w:r>
          </w:p>
        </w:tc>
        <w:tc>
          <w:tcPr>
            <w:tcW w:w="340" w:type="dxa"/>
            <w:vAlign w:val="bottom"/>
          </w:tcPr>
          <w:p>
            <w:pPr>
              <w:jc w:val="right"/>
              <w:spacing w:after="0"/>
              <w:rPr>
                <w:sz w:val="20"/>
                <w:szCs w:val="20"/>
                <w:color w:val="auto"/>
              </w:rPr>
            </w:pPr>
            <w:r>
              <w:rPr>
                <w:rFonts w:ascii="Arial" w:cs="Arial" w:eastAsia="Arial" w:hAnsi="Arial"/>
                <w:sz w:val="18"/>
                <w:szCs w:val="18"/>
                <w:color w:val="auto"/>
              </w:rPr>
              <w:t>19</w:t>
            </w:r>
          </w:p>
        </w:tc>
        <w:tc>
          <w:tcPr>
            <w:tcW w:w="1460" w:type="dxa"/>
            <w:vAlign w:val="bottom"/>
            <w:gridSpan w:val="2"/>
          </w:tcPr>
          <w:p>
            <w:pPr>
              <w:ind w:left="760"/>
              <w:spacing w:after="0"/>
              <w:rPr>
                <w:sz w:val="20"/>
                <w:szCs w:val="20"/>
                <w:color w:val="auto"/>
              </w:rPr>
            </w:pPr>
            <w:r>
              <w:rPr>
                <w:rFonts w:ascii="Arial" w:cs="Arial" w:eastAsia="Arial" w:hAnsi="Arial"/>
                <w:sz w:val="18"/>
                <w:szCs w:val="18"/>
                <w:color w:val="auto"/>
              </w:rPr>
              <w:t>$</w:t>
            </w:r>
          </w:p>
        </w:tc>
        <w:tc>
          <w:tcPr>
            <w:tcW w:w="340" w:type="dxa"/>
            <w:vAlign w:val="bottom"/>
          </w:tcPr>
          <w:p>
            <w:pPr>
              <w:jc w:val="right"/>
              <w:spacing w:after="0"/>
              <w:rPr>
                <w:sz w:val="20"/>
                <w:szCs w:val="20"/>
                <w:color w:val="auto"/>
              </w:rPr>
            </w:pPr>
            <w:r>
              <w:rPr>
                <w:rFonts w:ascii="Arial" w:cs="Arial" w:eastAsia="Arial" w:hAnsi="Arial"/>
                <w:sz w:val="18"/>
                <w:szCs w:val="18"/>
                <w:color w:val="auto"/>
              </w:rPr>
              <w:t>146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 derivatives</w:t>
            </w:r>
          </w:p>
        </w:tc>
        <w:tc>
          <w:tcPr>
            <w:tcW w:w="700" w:type="dxa"/>
            <w:vAlign w:val="bottom"/>
            <w:shd w:val="clear" w:color="auto" w:fill="CCEEFF"/>
          </w:tcPr>
          <w:p>
            <w:pPr>
              <w:spacing w:after="0"/>
              <w:rPr>
                <w:sz w:val="18"/>
                <w:szCs w:val="18"/>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w:t>
            </w:r>
          </w:p>
        </w:tc>
        <w:tc>
          <w:tcPr>
            <w:tcW w:w="7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7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5040" w:type="dxa"/>
            <w:vAlign w:val="bottom"/>
            <w:gridSpan w:val="2"/>
            <w:vMerge w:val="restart"/>
          </w:tcPr>
          <w:p>
            <w:pPr>
              <w:spacing w:after="0"/>
              <w:rPr>
                <w:sz w:val="20"/>
                <w:szCs w:val="20"/>
                <w:color w:val="auto"/>
              </w:rPr>
            </w:pPr>
            <w:r>
              <w:rPr>
                <w:rFonts w:ascii="Arial" w:cs="Arial" w:eastAsia="Arial" w:hAnsi="Arial"/>
                <w:sz w:val="18"/>
                <w:szCs w:val="18"/>
                <w:color w:val="auto"/>
              </w:rPr>
              <w:t>Total non-current portion</w:t>
            </w:r>
          </w:p>
        </w:tc>
        <w:tc>
          <w:tcPr>
            <w:tcW w:w="70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5040" w:type="dxa"/>
            <w:vAlign w:val="bottom"/>
            <w:gridSpan w:val="2"/>
            <w:vMerge w:val="continue"/>
          </w:tcPr>
          <w:p>
            <w:pPr>
              <w:spacing w:after="0"/>
              <w:rPr>
                <w:sz w:val="19"/>
                <w:szCs w:val="19"/>
                <w:color w:val="auto"/>
              </w:rPr>
            </w:pPr>
          </w:p>
        </w:tc>
        <w:tc>
          <w:tcPr>
            <w:tcW w:w="700" w:type="dxa"/>
            <w:vAlign w:val="bottom"/>
          </w:tcPr>
          <w:p>
            <w:pPr>
              <w:spacing w:after="0"/>
              <w:rPr>
                <w:sz w:val="20"/>
                <w:szCs w:val="20"/>
                <w:color w:val="auto"/>
              </w:rPr>
            </w:pPr>
            <w:r>
              <w:rPr>
                <w:rFonts w:ascii="Arial" w:cs="Arial" w:eastAsia="Arial" w:hAnsi="Arial"/>
                <w:sz w:val="18"/>
                <w:szCs w:val="18"/>
                <w:color w:val="auto"/>
              </w:rPr>
              <w:t>$</w:t>
            </w:r>
          </w:p>
        </w:tc>
        <w:tc>
          <w:tcPr>
            <w:tcW w:w="340" w:type="dxa"/>
            <w:vAlign w:val="bottom"/>
          </w:tcPr>
          <w:p>
            <w:pPr>
              <w:jc w:val="right"/>
              <w:spacing w:after="0"/>
              <w:rPr>
                <w:sz w:val="20"/>
                <w:szCs w:val="20"/>
                <w:color w:val="auto"/>
              </w:rPr>
            </w:pPr>
            <w:r>
              <w:rPr>
                <w:rFonts w:ascii="Arial" w:cs="Arial" w:eastAsia="Arial" w:hAnsi="Arial"/>
                <w:sz w:val="18"/>
                <w:szCs w:val="18"/>
                <w:color w:val="auto"/>
              </w:rPr>
              <w:t>29</w:t>
            </w:r>
          </w:p>
        </w:tc>
        <w:tc>
          <w:tcPr>
            <w:tcW w:w="760" w:type="dxa"/>
            <w:vAlign w:val="bottom"/>
          </w:tcPr>
          <w:p>
            <w:pPr>
              <w:spacing w:after="0"/>
              <w:rPr>
                <w:sz w:val="19"/>
                <w:szCs w:val="19"/>
                <w:color w:val="auto"/>
              </w:rPr>
            </w:pP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380" w:type="dxa"/>
            <w:vAlign w:val="bottom"/>
            <w:gridSpan w:val="2"/>
          </w:tcPr>
          <w:p>
            <w:pPr>
              <w:ind w:left="680"/>
              <w:spacing w:after="0"/>
              <w:rPr>
                <w:sz w:val="20"/>
                <w:szCs w:val="20"/>
                <w:color w:val="auto"/>
              </w:rPr>
            </w:pPr>
            <w:r>
              <w:rPr>
                <w:rFonts w:ascii="Arial" w:cs="Arial" w:eastAsia="Arial" w:hAnsi="Arial"/>
                <w:sz w:val="18"/>
                <w:szCs w:val="18"/>
                <w:color w:val="auto"/>
              </w:rPr>
              <w:t>$</w:t>
            </w:r>
          </w:p>
        </w:tc>
        <w:tc>
          <w:tcPr>
            <w:tcW w:w="340" w:type="dxa"/>
            <w:vAlign w:val="bottom"/>
          </w:tcPr>
          <w:p>
            <w:pPr>
              <w:jc w:val="right"/>
              <w:spacing w:after="0"/>
              <w:rPr>
                <w:sz w:val="20"/>
                <w:szCs w:val="20"/>
                <w:color w:val="auto"/>
              </w:rPr>
            </w:pPr>
            <w:r>
              <w:rPr>
                <w:rFonts w:ascii="Arial" w:cs="Arial" w:eastAsia="Arial" w:hAnsi="Arial"/>
                <w:sz w:val="18"/>
                <w:szCs w:val="18"/>
                <w:color w:val="auto"/>
              </w:rPr>
              <w:t>44</w:t>
            </w:r>
          </w:p>
        </w:tc>
        <w:tc>
          <w:tcPr>
            <w:tcW w:w="1460" w:type="dxa"/>
            <w:vAlign w:val="bottom"/>
            <w:gridSpan w:val="2"/>
          </w:tcPr>
          <w:p>
            <w:pPr>
              <w:ind w:left="760"/>
              <w:spacing w:after="0"/>
              <w:rPr>
                <w:sz w:val="20"/>
                <w:szCs w:val="20"/>
                <w:color w:val="auto"/>
              </w:rPr>
            </w:pPr>
            <w:r>
              <w:rPr>
                <w:rFonts w:ascii="Arial" w:cs="Arial" w:eastAsia="Arial" w:hAnsi="Arial"/>
                <w:sz w:val="18"/>
                <w:szCs w:val="18"/>
                <w:color w:val="auto"/>
              </w:rPr>
              <w:t>$</w:t>
            </w:r>
          </w:p>
        </w:tc>
        <w:tc>
          <w:tcPr>
            <w:tcW w:w="340" w:type="dxa"/>
            <w:vAlign w:val="bottom"/>
          </w:tcPr>
          <w:p>
            <w:pPr>
              <w:jc w:val="right"/>
              <w:spacing w:after="0"/>
              <w:rPr>
                <w:sz w:val="20"/>
                <w:szCs w:val="20"/>
                <w:color w:val="auto"/>
              </w:rPr>
            </w:pPr>
            <w:r>
              <w:rPr>
                <w:rFonts w:ascii="Arial" w:cs="Arial" w:eastAsia="Arial" w:hAnsi="Arial"/>
                <w:sz w:val="18"/>
                <w:szCs w:val="18"/>
                <w:color w:val="auto"/>
              </w:rPr>
              <w:t>146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388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3"/>
        </w:trPr>
        <w:tc>
          <w:tcPr>
            <w:tcW w:w="1160" w:type="dxa"/>
            <w:vAlign w:val="bottom"/>
            <w:tcBorders>
              <w:bottom w:val="single" w:sz="8" w:color="auto"/>
            </w:tcBorders>
          </w:tcPr>
          <w:p>
            <w:pPr>
              <w:spacing w:after="0"/>
              <w:rPr>
                <w:sz w:val="8"/>
                <w:szCs w:val="8"/>
                <w:color w:val="auto"/>
              </w:rPr>
            </w:pPr>
          </w:p>
        </w:tc>
        <w:tc>
          <w:tcPr>
            <w:tcW w:w="3880" w:type="dxa"/>
            <w:vAlign w:val="bottom"/>
          </w:tcPr>
          <w:p>
            <w:pPr>
              <w:spacing w:after="0"/>
              <w:rPr>
                <w:sz w:val="8"/>
                <w:szCs w:val="8"/>
                <w:color w:val="auto"/>
              </w:rPr>
            </w:pPr>
          </w:p>
        </w:tc>
        <w:tc>
          <w:tcPr>
            <w:tcW w:w="700" w:type="dxa"/>
            <w:vAlign w:val="bottom"/>
          </w:tcPr>
          <w:p>
            <w:pPr>
              <w:spacing w:after="0"/>
              <w:rPr>
                <w:sz w:val="8"/>
                <w:szCs w:val="8"/>
                <w:color w:val="auto"/>
              </w:rPr>
            </w:pPr>
          </w:p>
        </w:tc>
        <w:tc>
          <w:tcPr>
            <w:tcW w:w="340" w:type="dxa"/>
            <w:vAlign w:val="bottom"/>
          </w:tcPr>
          <w:p>
            <w:pPr>
              <w:spacing w:after="0"/>
              <w:rPr>
                <w:sz w:val="8"/>
                <w:szCs w:val="8"/>
                <w:color w:val="auto"/>
              </w:rPr>
            </w:pPr>
          </w:p>
        </w:tc>
        <w:tc>
          <w:tcPr>
            <w:tcW w:w="760" w:type="dxa"/>
            <w:vAlign w:val="bottom"/>
          </w:tcPr>
          <w:p>
            <w:pPr>
              <w:spacing w:after="0"/>
              <w:rPr>
                <w:sz w:val="8"/>
                <w:szCs w:val="8"/>
                <w:color w:val="auto"/>
              </w:rPr>
            </w:pPr>
          </w:p>
        </w:tc>
        <w:tc>
          <w:tcPr>
            <w:tcW w:w="140" w:type="dxa"/>
            <w:vAlign w:val="bottom"/>
          </w:tcPr>
          <w:p>
            <w:pPr>
              <w:spacing w:after="0"/>
              <w:rPr>
                <w:sz w:val="8"/>
                <w:szCs w:val="8"/>
                <w:color w:val="auto"/>
              </w:rPr>
            </w:pPr>
          </w:p>
        </w:tc>
        <w:tc>
          <w:tcPr>
            <w:tcW w:w="740" w:type="dxa"/>
            <w:vAlign w:val="bottom"/>
          </w:tcPr>
          <w:p>
            <w:pPr>
              <w:spacing w:after="0"/>
              <w:rPr>
                <w:sz w:val="8"/>
                <w:szCs w:val="8"/>
                <w:color w:val="auto"/>
              </w:rPr>
            </w:pPr>
          </w:p>
        </w:tc>
        <w:tc>
          <w:tcPr>
            <w:tcW w:w="80" w:type="dxa"/>
            <w:vAlign w:val="bottom"/>
          </w:tcPr>
          <w:p>
            <w:pPr>
              <w:spacing w:after="0"/>
              <w:rPr>
                <w:sz w:val="8"/>
                <w:szCs w:val="8"/>
                <w:color w:val="auto"/>
              </w:rPr>
            </w:pPr>
          </w:p>
        </w:tc>
        <w:tc>
          <w:tcPr>
            <w:tcW w:w="680" w:type="dxa"/>
            <w:vAlign w:val="bottom"/>
          </w:tcPr>
          <w:p>
            <w:pPr>
              <w:spacing w:after="0"/>
              <w:rPr>
                <w:sz w:val="8"/>
                <w:szCs w:val="8"/>
                <w:color w:val="auto"/>
              </w:rPr>
            </w:pPr>
          </w:p>
        </w:tc>
        <w:tc>
          <w:tcPr>
            <w:tcW w:w="700" w:type="dxa"/>
            <w:vAlign w:val="bottom"/>
          </w:tcPr>
          <w:p>
            <w:pPr>
              <w:spacing w:after="0"/>
              <w:rPr>
                <w:sz w:val="8"/>
                <w:szCs w:val="8"/>
                <w:color w:val="auto"/>
              </w:rPr>
            </w:pPr>
          </w:p>
        </w:tc>
        <w:tc>
          <w:tcPr>
            <w:tcW w:w="340" w:type="dxa"/>
            <w:vAlign w:val="bottom"/>
          </w:tcPr>
          <w:p>
            <w:pPr>
              <w:spacing w:after="0"/>
              <w:rPr>
                <w:sz w:val="8"/>
                <w:szCs w:val="8"/>
                <w:color w:val="auto"/>
              </w:rPr>
            </w:pPr>
          </w:p>
        </w:tc>
        <w:tc>
          <w:tcPr>
            <w:tcW w:w="760" w:type="dxa"/>
            <w:vAlign w:val="bottom"/>
          </w:tcPr>
          <w:p>
            <w:pPr>
              <w:spacing w:after="0"/>
              <w:rPr>
                <w:sz w:val="8"/>
                <w:szCs w:val="8"/>
                <w:color w:val="auto"/>
              </w:rPr>
            </w:pPr>
          </w:p>
        </w:tc>
        <w:tc>
          <w:tcPr>
            <w:tcW w:w="700" w:type="dxa"/>
            <w:vAlign w:val="bottom"/>
          </w:tcPr>
          <w:p>
            <w:pPr>
              <w:spacing w:after="0"/>
              <w:rPr>
                <w:sz w:val="8"/>
                <w:szCs w:val="8"/>
                <w:color w:val="auto"/>
              </w:rPr>
            </w:pPr>
          </w:p>
        </w:tc>
        <w:tc>
          <w:tcPr>
            <w:tcW w:w="34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19" w:lineRule="exact"/>
        <w:rPr>
          <w:sz w:val="20"/>
          <w:szCs w:val="20"/>
          <w:color w:val="auto"/>
        </w:rPr>
      </w:pPr>
    </w:p>
    <w:p>
      <w:pPr>
        <w:ind w:left="460" w:hanging="452"/>
        <w:spacing w:after="0"/>
        <w:tabs>
          <w:tab w:leader="none" w:pos="4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Recorded in Other current assets and deferred income taxes.</w:t>
      </w:r>
    </w:p>
    <w:p>
      <w:pPr>
        <w:spacing w:after="0" w:line="90" w:lineRule="exact"/>
        <w:rPr>
          <w:rFonts w:ascii="Arial" w:cs="Arial" w:eastAsia="Arial" w:hAnsi="Arial"/>
          <w:sz w:val="18"/>
          <w:szCs w:val="18"/>
          <w:color w:val="auto"/>
        </w:rPr>
      </w:pPr>
    </w:p>
    <w:p>
      <w:pPr>
        <w:ind w:left="460" w:hanging="452"/>
        <w:spacing w:after="0"/>
        <w:tabs>
          <w:tab w:leader="none" w:pos="4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Recorded in Other assets.</w:t>
      </w:r>
    </w:p>
    <w:p>
      <w:pPr>
        <w:spacing w:after="0" w:line="90" w:lineRule="exact"/>
        <w:rPr>
          <w:rFonts w:ascii="Arial" w:cs="Arial" w:eastAsia="Arial" w:hAnsi="Arial"/>
          <w:sz w:val="18"/>
          <w:szCs w:val="18"/>
          <w:color w:val="auto"/>
        </w:rPr>
      </w:pPr>
    </w:p>
    <w:p>
      <w:pPr>
        <w:ind w:left="460" w:hanging="452"/>
        <w:spacing w:after="0"/>
        <w:tabs>
          <w:tab w:leader="none" w:pos="4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Recorded in Accrued expenses.</w:t>
      </w:r>
    </w:p>
    <w:p>
      <w:pPr>
        <w:spacing w:after="0" w:line="90" w:lineRule="exact"/>
        <w:rPr>
          <w:rFonts w:ascii="Arial" w:cs="Arial" w:eastAsia="Arial" w:hAnsi="Arial"/>
          <w:sz w:val="18"/>
          <w:szCs w:val="18"/>
          <w:color w:val="auto"/>
        </w:rPr>
      </w:pPr>
    </w:p>
    <w:p>
      <w:pPr>
        <w:ind w:left="460" w:hanging="452"/>
        <w:spacing w:after="0"/>
        <w:tabs>
          <w:tab w:leader="none" w:pos="4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Recorded in Other liabilities and deferred income taxes.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420"/>
          </w:cols>
          <w:pgMar w:left="240" w:top="459" w:right="239" w:bottom="1440" w:gutter="0" w:footer="0" w:header="0"/>
        </w:sectPr>
      </w:pPr>
    </w:p>
    <w:bookmarkStart w:id="45" w:name="page46"/>
    <w:bookmarkEnd w:id="4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339"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Gains and (Losses) on Nondesignated Derivatives</w:t>
      </w:r>
    </w:p>
    <w:p>
      <w:pPr>
        <w:spacing w:after="0" w:line="171" w:lineRule="exact"/>
        <w:rPr>
          <w:sz w:val="20"/>
          <w:szCs w:val="20"/>
          <w:color w:val="auto"/>
        </w:rPr>
      </w:pPr>
    </w:p>
    <w:p>
      <w:pPr>
        <w:ind w:left="240"/>
        <w:spacing w:after="0"/>
        <w:rPr>
          <w:sz w:val="20"/>
          <w:szCs w:val="20"/>
          <w:color w:val="auto"/>
        </w:rPr>
      </w:pPr>
      <w:r>
        <w:rPr>
          <w:rFonts w:ascii="Arial" w:cs="Arial" w:eastAsia="Arial" w:hAnsi="Arial"/>
          <w:sz w:val="18"/>
          <w:szCs w:val="18"/>
          <w:color w:val="auto"/>
        </w:rPr>
        <w:t>The following schedule summarizes gains and (losses) recorded in earnings on nondesignated derivatives (dollars in millions):</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0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40" w:type="dxa"/>
            <w:vAlign w:val="bottom"/>
            <w:gridSpan w:val="2"/>
          </w:tcPr>
          <w:p>
            <w:pPr>
              <w:jc w:val="center"/>
              <w:ind w:right="600"/>
              <w:spacing w:after="0"/>
              <w:rPr>
                <w:sz w:val="20"/>
                <w:szCs w:val="20"/>
                <w:color w:val="auto"/>
              </w:rPr>
            </w:pPr>
            <w:r>
              <w:rPr>
                <w:rFonts w:ascii="Arial" w:cs="Arial" w:eastAsia="Arial" w:hAnsi="Arial"/>
                <w:sz w:val="14"/>
                <w:szCs w:val="14"/>
                <w:b w:val="1"/>
                <w:bCs w:val="1"/>
                <w:color w:val="auto"/>
                <w:w w:val="79"/>
              </w:rPr>
              <w:t>Successor</w:t>
            </w:r>
          </w:p>
        </w:tc>
        <w:tc>
          <w:tcPr>
            <w:tcW w:w="1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20" w:type="dxa"/>
            <w:vAlign w:val="bottom"/>
            <w:tcBorders>
              <w:right w:val="single" w:sz="8" w:color="auto"/>
            </w:tcBorders>
          </w:tcPr>
          <w:p>
            <w:pPr>
              <w:spacing w:after="0"/>
              <w:rPr>
                <w:sz w:val="14"/>
                <w:szCs w:val="14"/>
                <w:color w:val="auto"/>
              </w:rPr>
            </w:pPr>
          </w:p>
        </w:tc>
        <w:tc>
          <w:tcPr>
            <w:tcW w:w="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00" w:type="dxa"/>
            <w:vAlign w:val="bottom"/>
            <w:gridSpan w:val="5"/>
          </w:tcPr>
          <w:p>
            <w:pPr>
              <w:jc w:val="right"/>
              <w:ind w:right="620"/>
              <w:spacing w:after="0"/>
              <w:rPr>
                <w:sz w:val="20"/>
                <w:szCs w:val="20"/>
                <w:color w:val="auto"/>
              </w:rPr>
            </w:pPr>
            <w:r>
              <w:rPr>
                <w:rFonts w:ascii="Arial" w:cs="Arial" w:eastAsia="Arial" w:hAnsi="Arial"/>
                <w:sz w:val="14"/>
                <w:szCs w:val="14"/>
                <w:b w:val="1"/>
                <w:bCs w:val="1"/>
                <w:color w:val="auto"/>
              </w:rPr>
              <w:t>Predecessor</w:t>
            </w:r>
          </w:p>
        </w:tc>
        <w:tc>
          <w:tcPr>
            <w:tcW w:w="0" w:type="dxa"/>
            <w:vAlign w:val="bottom"/>
          </w:tcPr>
          <w:p>
            <w:pPr>
              <w:spacing w:after="0"/>
              <w:rPr>
                <w:sz w:val="1"/>
                <w:szCs w:val="1"/>
                <w:color w:val="auto"/>
              </w:rPr>
            </w:pPr>
          </w:p>
        </w:tc>
      </w:tr>
      <w:tr>
        <w:trPr>
          <w:trHeight w:val="129"/>
        </w:trPr>
        <w:tc>
          <w:tcPr>
            <w:tcW w:w="5060" w:type="dxa"/>
            <w:vAlign w:val="bottom"/>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660" w:type="dxa"/>
            <w:vAlign w:val="bottom"/>
            <w:tcBorders>
              <w:top w:val="single" w:sz="8" w:color="auto"/>
            </w:tcBorders>
          </w:tcPr>
          <w:p>
            <w:pPr>
              <w:spacing w:after="0"/>
              <w:rPr>
                <w:sz w:val="11"/>
                <w:szCs w:val="11"/>
                <w:color w:val="auto"/>
              </w:rPr>
            </w:pPr>
          </w:p>
        </w:tc>
        <w:tc>
          <w:tcPr>
            <w:tcW w:w="52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720" w:type="dxa"/>
            <w:vAlign w:val="bottom"/>
            <w:tcBorders>
              <w:top w:val="single" w:sz="8" w:color="auto"/>
            </w:tcBorders>
          </w:tcPr>
          <w:p>
            <w:pPr>
              <w:spacing w:after="0"/>
              <w:rPr>
                <w:sz w:val="11"/>
                <w:szCs w:val="11"/>
                <w:color w:val="auto"/>
              </w:rPr>
            </w:pPr>
          </w:p>
        </w:tc>
        <w:tc>
          <w:tcPr>
            <w:tcW w:w="520" w:type="dxa"/>
            <w:vAlign w:val="bottom"/>
            <w:tcBorders>
              <w:top w:val="single" w:sz="8" w:color="auto"/>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720" w:type="dxa"/>
            <w:vAlign w:val="bottom"/>
            <w:tcBorders>
              <w:top w:val="single" w:sz="8" w:color="auto"/>
            </w:tcBorders>
          </w:tcPr>
          <w:p>
            <w:pPr>
              <w:spacing w:after="0"/>
              <w:rPr>
                <w:sz w:val="11"/>
                <w:szCs w:val="11"/>
                <w:color w:val="auto"/>
              </w:rPr>
            </w:pPr>
          </w:p>
        </w:tc>
        <w:tc>
          <w:tcPr>
            <w:tcW w:w="620" w:type="dxa"/>
            <w:vAlign w:val="bottom"/>
            <w:tcBorders>
              <w:right w:val="single" w:sz="8" w:color="auto"/>
            </w:tcBorders>
          </w:tcPr>
          <w:p>
            <w:pPr>
              <w:spacing w:after="0"/>
              <w:rPr>
                <w:sz w:val="11"/>
                <w:szCs w:val="11"/>
                <w:color w:val="auto"/>
              </w:rPr>
            </w:pPr>
          </w:p>
        </w:tc>
        <w:tc>
          <w:tcPr>
            <w:tcW w:w="420" w:type="dxa"/>
            <w:vAlign w:val="bottom"/>
          </w:tcPr>
          <w:p>
            <w:pPr>
              <w:spacing w:after="0"/>
              <w:rPr>
                <w:sz w:val="11"/>
                <w:szCs w:val="11"/>
                <w:color w:val="auto"/>
              </w:rPr>
            </w:pPr>
          </w:p>
        </w:tc>
        <w:tc>
          <w:tcPr>
            <w:tcW w:w="500" w:type="dxa"/>
            <w:vAlign w:val="bottom"/>
            <w:tcBorders>
              <w:top w:val="single" w:sz="8" w:color="auto"/>
            </w:tcBorders>
            <w:gridSpan w:val="2"/>
          </w:tcPr>
          <w:p>
            <w:pPr>
              <w:jc w:val="center"/>
              <w:spacing w:after="0" w:line="129" w:lineRule="exact"/>
              <w:rPr>
                <w:sz w:val="20"/>
                <w:szCs w:val="20"/>
                <w:color w:val="auto"/>
              </w:rPr>
            </w:pPr>
            <w:r>
              <w:rPr>
                <w:rFonts w:ascii="Arial" w:cs="Arial" w:eastAsia="Arial" w:hAnsi="Arial"/>
                <w:sz w:val="14"/>
                <w:szCs w:val="14"/>
                <w:b w:val="1"/>
                <w:bCs w:val="1"/>
                <w:color w:val="auto"/>
                <w:w w:val="87"/>
              </w:rPr>
              <w:t>July 1,</w:t>
            </w:r>
          </w:p>
        </w:tc>
        <w:tc>
          <w:tcPr>
            <w:tcW w:w="540" w:type="dxa"/>
            <w:vAlign w:val="bottom"/>
            <w:tcBorders>
              <w:top w:val="single" w:sz="8" w:color="auto"/>
            </w:tcBorders>
          </w:tcPr>
          <w:p>
            <w:pPr>
              <w:spacing w:after="0"/>
              <w:rPr>
                <w:sz w:val="11"/>
                <w:szCs w:val="11"/>
                <w:color w:val="auto"/>
              </w:rPr>
            </w:pPr>
          </w:p>
        </w:tc>
        <w:tc>
          <w:tcPr>
            <w:tcW w:w="660" w:type="dxa"/>
            <w:vAlign w:val="bottom"/>
            <w:tcBorders>
              <w:top w:val="single" w:sz="8" w:color="auto"/>
            </w:tcBorders>
            <w:gridSpan w:val="2"/>
          </w:tcPr>
          <w:p>
            <w:pPr>
              <w:jc w:val="center"/>
              <w:spacing w:after="0" w:line="129" w:lineRule="exact"/>
              <w:rPr>
                <w:sz w:val="20"/>
                <w:szCs w:val="20"/>
                <w:color w:val="auto"/>
              </w:rPr>
            </w:pPr>
            <w:r>
              <w:rPr>
                <w:rFonts w:ascii="Arial" w:cs="Arial" w:eastAsia="Arial" w:hAnsi="Arial"/>
                <w:sz w:val="14"/>
                <w:szCs w:val="14"/>
                <w:b w:val="1"/>
                <w:bCs w:val="1"/>
                <w:color w:val="auto"/>
                <w:w w:val="89"/>
              </w:rPr>
              <w:t>January 1,</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5060" w:type="dxa"/>
            <w:vAlign w:val="bottom"/>
          </w:tcPr>
          <w:p>
            <w:pPr>
              <w:spacing w:after="0"/>
              <w:rPr>
                <w:sz w:val="12"/>
                <w:szCs w:val="12"/>
                <w:color w:val="auto"/>
              </w:rPr>
            </w:pPr>
          </w:p>
        </w:tc>
        <w:tc>
          <w:tcPr>
            <w:tcW w:w="82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w w:val="87"/>
              </w:rPr>
              <w:t>Three Months</w:t>
            </w:r>
          </w:p>
        </w:tc>
        <w:tc>
          <w:tcPr>
            <w:tcW w:w="520" w:type="dxa"/>
            <w:vAlign w:val="bottom"/>
          </w:tcPr>
          <w:p>
            <w:pPr>
              <w:spacing w:after="0"/>
              <w:rPr>
                <w:sz w:val="12"/>
                <w:szCs w:val="12"/>
                <w:color w:val="auto"/>
              </w:rPr>
            </w:pPr>
          </w:p>
        </w:tc>
        <w:tc>
          <w:tcPr>
            <w:tcW w:w="1340" w:type="dxa"/>
            <w:vAlign w:val="bottom"/>
            <w:gridSpan w:val="3"/>
          </w:tcPr>
          <w:p>
            <w:pPr>
              <w:jc w:val="center"/>
              <w:ind w:right="520"/>
              <w:spacing w:after="0" w:line="149" w:lineRule="exact"/>
              <w:rPr>
                <w:sz w:val="20"/>
                <w:szCs w:val="20"/>
                <w:color w:val="auto"/>
              </w:rPr>
            </w:pPr>
            <w:r>
              <w:rPr>
                <w:rFonts w:ascii="Arial" w:cs="Arial" w:eastAsia="Arial" w:hAnsi="Arial"/>
                <w:sz w:val="14"/>
                <w:szCs w:val="14"/>
                <w:b w:val="1"/>
                <w:bCs w:val="1"/>
                <w:color w:val="auto"/>
                <w:w w:val="88"/>
              </w:rPr>
              <w:t>Nine Months</w:t>
            </w:r>
          </w:p>
        </w:tc>
        <w:tc>
          <w:tcPr>
            <w:tcW w:w="1460" w:type="dxa"/>
            <w:vAlign w:val="bottom"/>
            <w:tcBorders>
              <w:right w:val="single" w:sz="8" w:color="auto"/>
            </w:tcBorders>
            <w:gridSpan w:val="3"/>
          </w:tcPr>
          <w:p>
            <w:pPr>
              <w:jc w:val="center"/>
              <w:ind w:right="620"/>
              <w:spacing w:after="0" w:line="149" w:lineRule="exact"/>
              <w:rPr>
                <w:sz w:val="20"/>
                <w:szCs w:val="20"/>
                <w:color w:val="auto"/>
              </w:rPr>
            </w:pPr>
            <w:r>
              <w:rPr>
                <w:rFonts w:ascii="Arial" w:cs="Arial" w:eastAsia="Arial" w:hAnsi="Arial"/>
                <w:sz w:val="14"/>
                <w:szCs w:val="14"/>
                <w:b w:val="1"/>
                <w:bCs w:val="1"/>
                <w:color w:val="auto"/>
                <w:w w:val="87"/>
              </w:rPr>
              <w:t>July 10, 2009</w:t>
            </w:r>
          </w:p>
        </w:tc>
        <w:tc>
          <w:tcPr>
            <w:tcW w:w="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tcPr>
          <w:p>
            <w:pPr>
              <w:jc w:val="center"/>
              <w:ind w:right="18"/>
              <w:spacing w:after="0" w:line="149" w:lineRule="exact"/>
              <w:rPr>
                <w:sz w:val="20"/>
                <w:szCs w:val="20"/>
                <w:color w:val="auto"/>
              </w:rPr>
            </w:pPr>
            <w:r>
              <w:rPr>
                <w:rFonts w:ascii="Arial" w:cs="Arial" w:eastAsia="Arial" w:hAnsi="Arial"/>
                <w:sz w:val="14"/>
                <w:szCs w:val="14"/>
                <w:b w:val="1"/>
                <w:bCs w:val="1"/>
                <w:color w:val="auto"/>
                <w:w w:val="83"/>
              </w:rPr>
              <w:t>2009</w:t>
            </w: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jc w:val="center"/>
              <w:ind w:right="38"/>
              <w:spacing w:after="0" w:line="149" w:lineRule="exact"/>
              <w:rPr>
                <w:sz w:val="20"/>
                <w:szCs w:val="20"/>
                <w:color w:val="auto"/>
              </w:rPr>
            </w:pPr>
            <w:r>
              <w:rPr>
                <w:rFonts w:ascii="Arial" w:cs="Arial" w:eastAsia="Arial" w:hAnsi="Arial"/>
                <w:sz w:val="14"/>
                <w:szCs w:val="14"/>
                <w:b w:val="1"/>
                <w:bCs w:val="1"/>
                <w:color w:val="auto"/>
                <w:w w:val="89"/>
              </w:rPr>
              <w:t>2009</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0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60" w:type="dxa"/>
            <w:vAlign w:val="bottom"/>
          </w:tcPr>
          <w:p>
            <w:pPr>
              <w:jc w:val="right"/>
              <w:ind w:right="136"/>
              <w:spacing w:after="0" w:line="149" w:lineRule="exact"/>
              <w:rPr>
                <w:sz w:val="20"/>
                <w:szCs w:val="20"/>
                <w:color w:val="auto"/>
              </w:rPr>
            </w:pPr>
            <w:r>
              <w:rPr>
                <w:rFonts w:ascii="Arial" w:cs="Arial" w:eastAsia="Arial" w:hAnsi="Arial"/>
                <w:sz w:val="14"/>
                <w:szCs w:val="14"/>
                <w:b w:val="1"/>
                <w:bCs w:val="1"/>
                <w:color w:val="auto"/>
                <w:w w:val="98"/>
              </w:rPr>
              <w:t>Ended</w:t>
            </w: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40" w:type="dxa"/>
            <w:vAlign w:val="bottom"/>
            <w:gridSpan w:val="2"/>
          </w:tcPr>
          <w:p>
            <w:pPr>
              <w:jc w:val="center"/>
              <w:ind w:right="620"/>
              <w:spacing w:after="0" w:line="149" w:lineRule="exact"/>
              <w:rPr>
                <w:sz w:val="20"/>
                <w:szCs w:val="20"/>
                <w:color w:val="auto"/>
              </w:rPr>
            </w:pPr>
            <w:r>
              <w:rPr>
                <w:rFonts w:ascii="Arial" w:cs="Arial" w:eastAsia="Arial" w:hAnsi="Arial"/>
                <w:sz w:val="14"/>
                <w:szCs w:val="14"/>
                <w:b w:val="1"/>
                <w:bCs w:val="1"/>
                <w:color w:val="auto"/>
                <w:w w:val="88"/>
              </w:rPr>
              <w:t>Ended</w:t>
            </w:r>
          </w:p>
        </w:tc>
        <w:tc>
          <w:tcPr>
            <w:tcW w:w="120" w:type="dxa"/>
            <w:vAlign w:val="bottom"/>
          </w:tcPr>
          <w:p>
            <w:pPr>
              <w:spacing w:after="0"/>
              <w:rPr>
                <w:sz w:val="12"/>
                <w:szCs w:val="12"/>
                <w:color w:val="auto"/>
              </w:rPr>
            </w:pPr>
          </w:p>
        </w:tc>
        <w:tc>
          <w:tcPr>
            <w:tcW w:w="1340" w:type="dxa"/>
            <w:vAlign w:val="bottom"/>
            <w:tcBorders>
              <w:right w:val="single" w:sz="8" w:color="auto"/>
            </w:tcBorders>
            <w:gridSpan w:val="2"/>
          </w:tcPr>
          <w:p>
            <w:pPr>
              <w:jc w:val="center"/>
              <w:ind w:right="740"/>
              <w:spacing w:after="0" w:line="149" w:lineRule="exact"/>
              <w:rPr>
                <w:sz w:val="20"/>
                <w:szCs w:val="20"/>
                <w:color w:val="auto"/>
              </w:rPr>
            </w:pPr>
            <w:r>
              <w:rPr>
                <w:rFonts w:ascii="Arial" w:cs="Arial" w:eastAsia="Arial" w:hAnsi="Arial"/>
                <w:sz w:val="14"/>
                <w:szCs w:val="14"/>
                <w:b w:val="1"/>
                <w:bCs w:val="1"/>
                <w:color w:val="auto"/>
                <w:w w:val="91"/>
              </w:rPr>
              <w:t>Through</w:t>
            </w:r>
          </w:p>
        </w:tc>
        <w:tc>
          <w:tcPr>
            <w:tcW w:w="420" w:type="dxa"/>
            <w:vAlign w:val="bottom"/>
          </w:tcPr>
          <w:p>
            <w:pPr>
              <w:spacing w:after="0"/>
              <w:rPr>
                <w:sz w:val="12"/>
                <w:szCs w:val="12"/>
                <w:color w:val="auto"/>
              </w:rPr>
            </w:pPr>
          </w:p>
        </w:tc>
        <w:tc>
          <w:tcPr>
            <w:tcW w:w="50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7"/>
              </w:rPr>
              <w:t>Through</w:t>
            </w:r>
          </w:p>
        </w:tc>
        <w:tc>
          <w:tcPr>
            <w:tcW w:w="540" w:type="dxa"/>
            <w:vAlign w:val="bottom"/>
          </w:tcPr>
          <w:p>
            <w:pPr>
              <w:spacing w:after="0"/>
              <w:rPr>
                <w:sz w:val="12"/>
                <w:szCs w:val="12"/>
                <w:color w:val="auto"/>
              </w:rPr>
            </w:pPr>
          </w:p>
        </w:tc>
        <w:tc>
          <w:tcPr>
            <w:tcW w:w="760" w:type="dxa"/>
            <w:vAlign w:val="bottom"/>
            <w:gridSpan w:val="3"/>
          </w:tcPr>
          <w:p>
            <w:pPr>
              <w:jc w:val="center"/>
              <w:ind w:right="120"/>
              <w:spacing w:after="0" w:line="149" w:lineRule="exact"/>
              <w:rPr>
                <w:sz w:val="20"/>
                <w:szCs w:val="20"/>
                <w:color w:val="auto"/>
              </w:rPr>
            </w:pPr>
            <w:r>
              <w:rPr>
                <w:rFonts w:ascii="Arial" w:cs="Arial" w:eastAsia="Arial" w:hAnsi="Arial"/>
                <w:sz w:val="14"/>
                <w:szCs w:val="14"/>
                <w:b w:val="1"/>
                <w:bCs w:val="1"/>
                <w:color w:val="auto"/>
                <w:w w:val="91"/>
              </w:rPr>
              <w:t>Through</w:t>
            </w:r>
          </w:p>
        </w:tc>
        <w:tc>
          <w:tcPr>
            <w:tcW w:w="0" w:type="dxa"/>
            <w:vAlign w:val="bottom"/>
          </w:tcPr>
          <w:p>
            <w:pPr>
              <w:spacing w:after="0"/>
              <w:rPr>
                <w:sz w:val="1"/>
                <w:szCs w:val="1"/>
                <w:color w:val="auto"/>
              </w:rPr>
            </w:pPr>
          </w:p>
        </w:tc>
      </w:tr>
      <w:tr>
        <w:trPr>
          <w:trHeight w:val="149"/>
        </w:trPr>
        <w:tc>
          <w:tcPr>
            <w:tcW w:w="5060" w:type="dxa"/>
            <w:vAlign w:val="bottom"/>
          </w:tcPr>
          <w:p>
            <w:pPr>
              <w:spacing w:after="0"/>
              <w:rPr>
                <w:sz w:val="12"/>
                <w:szCs w:val="12"/>
                <w:color w:val="auto"/>
              </w:rPr>
            </w:pPr>
          </w:p>
        </w:tc>
        <w:tc>
          <w:tcPr>
            <w:tcW w:w="82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w w:val="83"/>
              </w:rPr>
              <w:t>September 30,</w:t>
            </w:r>
          </w:p>
        </w:tc>
        <w:tc>
          <w:tcPr>
            <w:tcW w:w="520" w:type="dxa"/>
            <w:vAlign w:val="bottom"/>
          </w:tcPr>
          <w:p>
            <w:pPr>
              <w:spacing w:after="0"/>
              <w:rPr>
                <w:sz w:val="12"/>
                <w:szCs w:val="12"/>
                <w:color w:val="auto"/>
              </w:rPr>
            </w:pPr>
          </w:p>
        </w:tc>
        <w:tc>
          <w:tcPr>
            <w:tcW w:w="1340" w:type="dxa"/>
            <w:vAlign w:val="bottom"/>
            <w:gridSpan w:val="3"/>
          </w:tcPr>
          <w:p>
            <w:pPr>
              <w:jc w:val="center"/>
              <w:ind w:right="520"/>
              <w:spacing w:after="0" w:line="149" w:lineRule="exact"/>
              <w:rPr>
                <w:sz w:val="20"/>
                <w:szCs w:val="20"/>
                <w:color w:val="auto"/>
              </w:rPr>
            </w:pPr>
            <w:r>
              <w:rPr>
                <w:rFonts w:ascii="Arial" w:cs="Arial" w:eastAsia="Arial" w:hAnsi="Arial"/>
                <w:sz w:val="14"/>
                <w:szCs w:val="14"/>
                <w:b w:val="1"/>
                <w:bCs w:val="1"/>
                <w:color w:val="auto"/>
                <w:w w:val="85"/>
              </w:rPr>
              <w:t>September 30,</w:t>
            </w:r>
          </w:p>
        </w:tc>
        <w:tc>
          <w:tcPr>
            <w:tcW w:w="1460" w:type="dxa"/>
            <w:vAlign w:val="bottom"/>
            <w:tcBorders>
              <w:right w:val="single" w:sz="8" w:color="auto"/>
            </w:tcBorders>
            <w:gridSpan w:val="3"/>
          </w:tcPr>
          <w:p>
            <w:pPr>
              <w:jc w:val="center"/>
              <w:ind w:right="640"/>
              <w:spacing w:after="0" w:line="149" w:lineRule="exact"/>
              <w:rPr>
                <w:sz w:val="20"/>
                <w:szCs w:val="20"/>
                <w:color w:val="auto"/>
              </w:rPr>
            </w:pPr>
            <w:r>
              <w:rPr>
                <w:rFonts w:ascii="Arial" w:cs="Arial" w:eastAsia="Arial" w:hAnsi="Arial"/>
                <w:sz w:val="14"/>
                <w:szCs w:val="14"/>
                <w:b w:val="1"/>
                <w:bCs w:val="1"/>
                <w:color w:val="auto"/>
                <w:w w:val="85"/>
              </w:rPr>
              <w:t>September 30,</w:t>
            </w:r>
          </w:p>
        </w:tc>
        <w:tc>
          <w:tcPr>
            <w:tcW w:w="420" w:type="dxa"/>
            <w:vAlign w:val="bottom"/>
          </w:tcPr>
          <w:p>
            <w:pPr>
              <w:spacing w:after="0"/>
              <w:rPr>
                <w:sz w:val="12"/>
                <w:szCs w:val="12"/>
                <w:color w:val="auto"/>
              </w:rPr>
            </w:pPr>
          </w:p>
        </w:tc>
        <w:tc>
          <w:tcPr>
            <w:tcW w:w="50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7"/>
              </w:rPr>
              <w:t>July 9,</w:t>
            </w: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1"/>
              </w:rPr>
              <w:t>July 9,</w:t>
            </w:r>
          </w:p>
        </w:tc>
        <w:tc>
          <w:tcPr>
            <w:tcW w:w="0" w:type="dxa"/>
            <w:vAlign w:val="bottom"/>
          </w:tcPr>
          <w:p>
            <w:pPr>
              <w:spacing w:after="0"/>
              <w:rPr>
                <w:sz w:val="1"/>
                <w:szCs w:val="1"/>
                <w:color w:val="auto"/>
              </w:rPr>
            </w:pPr>
          </w:p>
        </w:tc>
      </w:tr>
      <w:tr>
        <w:trPr>
          <w:trHeight w:val="161"/>
        </w:trPr>
        <w:tc>
          <w:tcPr>
            <w:tcW w:w="506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196"/>
              <w:spacing w:after="0"/>
              <w:rPr>
                <w:sz w:val="20"/>
                <w:szCs w:val="20"/>
                <w:color w:val="auto"/>
              </w:rPr>
            </w:pPr>
            <w:r>
              <w:rPr>
                <w:rFonts w:ascii="Arial" w:cs="Arial" w:eastAsia="Arial" w:hAnsi="Arial"/>
                <w:sz w:val="14"/>
                <w:szCs w:val="14"/>
                <w:b w:val="1"/>
                <w:bCs w:val="1"/>
                <w:color w:val="auto"/>
              </w:rPr>
              <w:t>2010</w:t>
            </w:r>
          </w:p>
        </w:tc>
        <w:tc>
          <w:tcPr>
            <w:tcW w:w="5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center"/>
              <w:ind w:right="18"/>
              <w:spacing w:after="0"/>
              <w:rPr>
                <w:sz w:val="20"/>
                <w:szCs w:val="20"/>
                <w:color w:val="auto"/>
              </w:rPr>
            </w:pPr>
            <w:r>
              <w:rPr>
                <w:rFonts w:ascii="Arial" w:cs="Arial" w:eastAsia="Arial" w:hAnsi="Arial"/>
                <w:sz w:val="14"/>
                <w:szCs w:val="14"/>
                <w:b w:val="1"/>
                <w:bCs w:val="1"/>
                <w:color w:val="auto"/>
                <w:w w:val="83"/>
              </w:rPr>
              <w:t>2010</w:t>
            </w:r>
          </w:p>
        </w:tc>
        <w:tc>
          <w:tcPr>
            <w:tcW w:w="5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center"/>
              <w:ind w:right="36"/>
              <w:spacing w:after="0"/>
              <w:rPr>
                <w:sz w:val="20"/>
                <w:szCs w:val="20"/>
                <w:color w:val="auto"/>
              </w:rPr>
            </w:pPr>
            <w:r>
              <w:rPr>
                <w:rFonts w:ascii="Arial" w:cs="Arial" w:eastAsia="Arial" w:hAnsi="Arial"/>
                <w:sz w:val="14"/>
                <w:szCs w:val="14"/>
                <w:b w:val="1"/>
                <w:bCs w:val="1"/>
                <w:color w:val="auto"/>
                <w:w w:val="89"/>
              </w:rPr>
              <w:t>2009</w:t>
            </w:r>
          </w:p>
        </w:tc>
        <w:tc>
          <w:tcPr>
            <w:tcW w:w="620" w:type="dxa"/>
            <w:vAlign w:val="bottom"/>
            <w:tcBorders>
              <w:right w:val="single" w:sz="8" w:color="auto"/>
            </w:tcBorders>
          </w:tcPr>
          <w:p>
            <w:pPr>
              <w:spacing w:after="0"/>
              <w:rPr>
                <w:sz w:val="14"/>
                <w:szCs w:val="14"/>
                <w:color w:val="auto"/>
              </w:rPr>
            </w:pPr>
          </w:p>
        </w:tc>
        <w:tc>
          <w:tcPr>
            <w:tcW w:w="4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jc w:val="center"/>
              <w:ind w:right="18"/>
              <w:spacing w:after="0"/>
              <w:rPr>
                <w:sz w:val="20"/>
                <w:szCs w:val="20"/>
                <w:color w:val="auto"/>
              </w:rPr>
            </w:pPr>
            <w:r>
              <w:rPr>
                <w:rFonts w:ascii="Arial" w:cs="Arial" w:eastAsia="Arial" w:hAnsi="Arial"/>
                <w:sz w:val="14"/>
                <w:szCs w:val="14"/>
                <w:b w:val="1"/>
                <w:bCs w:val="1"/>
                <w:color w:val="auto"/>
                <w:w w:val="83"/>
              </w:rPr>
              <w:t>2009</w:t>
            </w:r>
          </w:p>
        </w:tc>
        <w:tc>
          <w:tcPr>
            <w:tcW w:w="5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jc w:val="center"/>
              <w:ind w:right="38"/>
              <w:spacing w:after="0"/>
              <w:rPr>
                <w:sz w:val="20"/>
                <w:szCs w:val="20"/>
                <w:color w:val="auto"/>
              </w:rPr>
            </w:pPr>
            <w:r>
              <w:rPr>
                <w:rFonts w:ascii="Arial" w:cs="Arial" w:eastAsia="Arial" w:hAnsi="Arial"/>
                <w:sz w:val="14"/>
                <w:szCs w:val="14"/>
                <w:b w:val="1"/>
                <w:bCs w:val="1"/>
                <w:color w:val="auto"/>
                <w:w w:val="89"/>
              </w:rPr>
              <w:t>2009</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50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Foreign Currency Exchange Derivatives</w:t>
            </w: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620" w:type="dxa"/>
            <w:vAlign w:val="bottom"/>
            <w:tcBorders>
              <w:right w:val="single" w:sz="8" w:color="auto"/>
            </w:tcBorders>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60" w:type="dxa"/>
            <w:vAlign w:val="bottom"/>
          </w:tcPr>
          <w:p>
            <w:pPr>
              <w:ind w:left="220"/>
              <w:spacing w:after="0"/>
              <w:rPr>
                <w:sz w:val="20"/>
                <w:szCs w:val="20"/>
                <w:color w:val="auto"/>
              </w:rPr>
            </w:pPr>
            <w:r>
              <w:rPr>
                <w:rFonts w:ascii="Arial" w:cs="Arial" w:eastAsia="Arial" w:hAnsi="Arial"/>
                <w:sz w:val="18"/>
                <w:szCs w:val="18"/>
                <w:color w:val="auto"/>
              </w:rPr>
              <w:t>Sales</w:t>
            </w: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w:t>
            </w: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520"/>
              <w:spacing w:after="0"/>
              <w:rPr>
                <w:sz w:val="20"/>
                <w:szCs w:val="20"/>
                <w:color w:val="auto"/>
              </w:rPr>
            </w:pPr>
            <w:r>
              <w:rPr>
                <w:rFonts w:ascii="Arial" w:cs="Arial" w:eastAsia="Arial" w:hAnsi="Arial"/>
                <w:sz w:val="18"/>
                <w:szCs w:val="18"/>
                <w:color w:val="auto"/>
              </w:rPr>
              <w:t>—</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tcBorders>
              <w:right w:val="single" w:sz="8" w:color="auto"/>
            </w:tcBorders>
            <w:gridSpan w:val="2"/>
          </w:tcPr>
          <w:p>
            <w:pPr>
              <w:jc w:val="right"/>
              <w:ind w:right="620"/>
              <w:spacing w:after="0"/>
              <w:rPr>
                <w:sz w:val="20"/>
                <w:szCs w:val="20"/>
                <w:color w:val="auto"/>
              </w:rPr>
            </w:pPr>
            <w:r>
              <w:rPr>
                <w:rFonts w:ascii="Arial" w:cs="Arial" w:eastAsia="Arial" w:hAnsi="Arial"/>
                <w:sz w:val="18"/>
                <w:szCs w:val="18"/>
                <w:color w:val="auto"/>
              </w:rPr>
              <w:t>—</w:t>
            </w:r>
          </w:p>
        </w:tc>
        <w:tc>
          <w:tcPr>
            <w:tcW w:w="5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00" w:type="dxa"/>
            <w:vAlign w:val="bottom"/>
          </w:tcPr>
          <w:p>
            <w:pPr>
              <w:jc w:val="right"/>
              <w:spacing w:after="0"/>
              <w:rPr>
                <w:sz w:val="20"/>
                <w:szCs w:val="20"/>
                <w:color w:val="auto"/>
              </w:rPr>
            </w:pPr>
            <w:r>
              <w:rPr>
                <w:rFonts w:ascii="Arial" w:cs="Arial" w:eastAsia="Arial" w:hAnsi="Arial"/>
                <w:sz w:val="18"/>
                <w:szCs w:val="18"/>
                <w:color w:val="auto"/>
              </w:rPr>
              <w:t>38</w:t>
            </w: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60" w:type="dxa"/>
            <w:vAlign w:val="bottom"/>
            <w:gridSpan w:val="2"/>
          </w:tcPr>
          <w:p>
            <w:pPr>
              <w:jc w:val="right"/>
              <w:ind w:right="40"/>
              <w:spacing w:after="0"/>
              <w:rPr>
                <w:sz w:val="20"/>
                <w:szCs w:val="20"/>
                <w:color w:val="auto"/>
              </w:rPr>
            </w:pPr>
            <w:r>
              <w:rPr>
                <w:rFonts w:ascii="Arial" w:cs="Arial" w:eastAsia="Arial" w:hAnsi="Arial"/>
                <w:sz w:val="18"/>
                <w:szCs w:val="18"/>
                <w:color w:val="auto"/>
              </w:rPr>
              <w:t>(688)</w:t>
            </w:r>
          </w:p>
        </w:tc>
        <w:tc>
          <w:tcPr>
            <w:tcW w:w="0" w:type="dxa"/>
            <w:vAlign w:val="bottom"/>
          </w:tcPr>
          <w:p>
            <w:pPr>
              <w:spacing w:after="0"/>
              <w:rPr>
                <w:sz w:val="1"/>
                <w:szCs w:val="1"/>
                <w:color w:val="auto"/>
              </w:rPr>
            </w:pPr>
          </w:p>
        </w:tc>
      </w:tr>
      <w:tr>
        <w:trPr>
          <w:trHeight w:val="216"/>
        </w:trPr>
        <w:tc>
          <w:tcPr>
            <w:tcW w:w="50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Cost of sales</w:t>
            </w: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340" w:type="dxa"/>
            <w:vAlign w:val="bottom"/>
            <w:tcBorders>
              <w:right w:val="single" w:sz="8" w:color="auto"/>
            </w:tcBorders>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(211)</w:t>
            </w:r>
          </w:p>
        </w:tc>
        <w:tc>
          <w:tcPr>
            <w:tcW w:w="0" w:type="dxa"/>
            <w:vAlign w:val="bottom"/>
          </w:tcPr>
          <w:p>
            <w:pPr>
              <w:spacing w:after="0"/>
              <w:rPr>
                <w:sz w:val="1"/>
                <w:szCs w:val="1"/>
                <w:color w:val="auto"/>
              </w:rPr>
            </w:pPr>
          </w:p>
        </w:tc>
      </w:tr>
      <w:tr>
        <w:trPr>
          <w:trHeight w:val="216"/>
        </w:trPr>
        <w:tc>
          <w:tcPr>
            <w:tcW w:w="5060" w:type="dxa"/>
            <w:vAlign w:val="bottom"/>
          </w:tcPr>
          <w:p>
            <w:pPr>
              <w:ind w:left="220"/>
              <w:spacing w:after="0"/>
              <w:rPr>
                <w:sz w:val="20"/>
                <w:szCs w:val="20"/>
                <w:color w:val="auto"/>
              </w:rPr>
            </w:pPr>
            <w:r>
              <w:rPr>
                <w:rFonts w:ascii="Arial" w:cs="Arial" w:eastAsia="Arial" w:hAnsi="Arial"/>
                <w:sz w:val="18"/>
                <w:szCs w:val="18"/>
                <w:color w:val="auto"/>
              </w:rPr>
              <w:t>Interest income and other non-operating income, net</w:t>
            </w:r>
          </w:p>
        </w:tc>
        <w:tc>
          <w:tcPr>
            <w:tcW w:w="1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35</w:t>
            </w: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65</w:t>
            </w:r>
          </w:p>
        </w:tc>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tcBorders>
              <w:right w:val="single" w:sz="8" w:color="auto"/>
            </w:tcBorders>
            <w:gridSpan w:val="2"/>
          </w:tcPr>
          <w:p>
            <w:pPr>
              <w:jc w:val="right"/>
              <w:ind w:right="620"/>
              <w:spacing w:after="0"/>
              <w:rPr>
                <w:sz w:val="20"/>
                <w:szCs w:val="20"/>
                <w:color w:val="auto"/>
              </w:rPr>
            </w:pPr>
            <w:r>
              <w:rPr>
                <w:rFonts w:ascii="Arial" w:cs="Arial" w:eastAsia="Arial" w:hAnsi="Arial"/>
                <w:sz w:val="18"/>
                <w:szCs w:val="18"/>
                <w:color w:val="auto"/>
              </w:rPr>
              <w:t>195</w:t>
            </w: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1</w:t>
            </w: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91</w:t>
            </w:r>
          </w:p>
        </w:tc>
        <w:tc>
          <w:tcPr>
            <w:tcW w:w="0" w:type="dxa"/>
            <w:vAlign w:val="bottom"/>
          </w:tcPr>
          <w:p>
            <w:pPr>
              <w:spacing w:after="0"/>
              <w:rPr>
                <w:sz w:val="1"/>
                <w:szCs w:val="1"/>
                <w:color w:val="auto"/>
              </w:rPr>
            </w:pPr>
          </w:p>
        </w:tc>
      </w:tr>
      <w:tr>
        <w:trPr>
          <w:trHeight w:val="216"/>
        </w:trPr>
        <w:tc>
          <w:tcPr>
            <w:tcW w:w="50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Interest Rate Swap Derivatives</w:t>
            </w: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620" w:type="dxa"/>
            <w:vAlign w:val="bottom"/>
            <w:tcBorders>
              <w:right w:val="single" w:sz="8" w:color="auto"/>
            </w:tcBorders>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60" w:type="dxa"/>
            <w:vAlign w:val="bottom"/>
          </w:tcPr>
          <w:p>
            <w:pPr>
              <w:ind w:left="220"/>
              <w:spacing w:after="0"/>
              <w:rPr>
                <w:sz w:val="20"/>
                <w:szCs w:val="20"/>
                <w:color w:val="auto"/>
              </w:rPr>
            </w:pPr>
            <w:r>
              <w:rPr>
                <w:rFonts w:ascii="Arial" w:cs="Arial" w:eastAsia="Arial" w:hAnsi="Arial"/>
                <w:sz w:val="18"/>
                <w:szCs w:val="18"/>
                <w:color w:val="auto"/>
              </w:rPr>
              <w:t>Interest expense</w:t>
            </w:r>
          </w:p>
        </w:tc>
        <w:tc>
          <w:tcPr>
            <w:tcW w:w="1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w:t>
            </w: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right"/>
              <w:ind w:right="5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340" w:type="dxa"/>
            <w:vAlign w:val="bottom"/>
            <w:tcBorders>
              <w:right w:val="single" w:sz="8" w:color="auto"/>
            </w:tcBorders>
            <w:gridSpan w:val="2"/>
          </w:tcPr>
          <w:p>
            <w:pPr>
              <w:jc w:val="right"/>
              <w:ind w:right="580"/>
              <w:spacing w:after="0"/>
              <w:rPr>
                <w:sz w:val="20"/>
                <w:szCs w:val="20"/>
                <w:color w:val="auto"/>
              </w:rPr>
            </w:pPr>
            <w:r>
              <w:rPr>
                <w:rFonts w:ascii="Arial" w:cs="Arial" w:eastAsia="Arial" w:hAnsi="Arial"/>
                <w:sz w:val="18"/>
                <w:szCs w:val="18"/>
                <w:color w:val="auto"/>
              </w:rPr>
              <w:t>(1)</w:t>
            </w: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w:t>
            </w: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40"/>
              <w:spacing w:after="0"/>
              <w:rPr>
                <w:sz w:val="20"/>
                <w:szCs w:val="20"/>
                <w:color w:val="auto"/>
              </w:rPr>
            </w:pPr>
            <w:r>
              <w:rPr>
                <w:rFonts w:ascii="Arial" w:cs="Arial" w:eastAsia="Arial" w:hAnsi="Arial"/>
                <w:sz w:val="18"/>
                <w:szCs w:val="18"/>
                <w:color w:val="auto"/>
              </w:rPr>
              <w:t>(38)</w:t>
            </w:r>
          </w:p>
        </w:tc>
        <w:tc>
          <w:tcPr>
            <w:tcW w:w="0" w:type="dxa"/>
            <w:vAlign w:val="bottom"/>
          </w:tcPr>
          <w:p>
            <w:pPr>
              <w:spacing w:after="0"/>
              <w:rPr>
                <w:sz w:val="1"/>
                <w:szCs w:val="1"/>
                <w:color w:val="auto"/>
              </w:rPr>
            </w:pPr>
          </w:p>
        </w:tc>
      </w:tr>
      <w:tr>
        <w:trPr>
          <w:trHeight w:val="216"/>
        </w:trPr>
        <w:tc>
          <w:tcPr>
            <w:tcW w:w="50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Commodity Derivative Contracts</w:t>
            </w: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620" w:type="dxa"/>
            <w:vAlign w:val="bottom"/>
            <w:tcBorders>
              <w:right w:val="single" w:sz="8" w:color="auto"/>
            </w:tcBorders>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60" w:type="dxa"/>
            <w:vAlign w:val="bottom"/>
          </w:tcPr>
          <w:p>
            <w:pPr>
              <w:ind w:left="220"/>
              <w:spacing w:after="0"/>
              <w:rPr>
                <w:sz w:val="20"/>
                <w:szCs w:val="20"/>
                <w:color w:val="auto"/>
              </w:rPr>
            </w:pPr>
            <w:r>
              <w:rPr>
                <w:rFonts w:ascii="Arial" w:cs="Arial" w:eastAsia="Arial" w:hAnsi="Arial"/>
                <w:sz w:val="18"/>
                <w:szCs w:val="18"/>
                <w:color w:val="auto"/>
              </w:rPr>
              <w:t>Cost of sales</w:t>
            </w:r>
          </w:p>
        </w:tc>
        <w:tc>
          <w:tcPr>
            <w:tcW w:w="1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w:t>
            </w: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right"/>
              <w:ind w:right="5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340" w:type="dxa"/>
            <w:vAlign w:val="bottom"/>
            <w:tcBorders>
              <w:right w:val="single" w:sz="8" w:color="auto"/>
            </w:tcBorders>
            <w:gridSpan w:val="2"/>
          </w:tcPr>
          <w:p>
            <w:pPr>
              <w:jc w:val="right"/>
              <w:ind w:right="620"/>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2</w:t>
            </w: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40"/>
              <w:spacing w:after="0"/>
              <w:rPr>
                <w:sz w:val="20"/>
                <w:szCs w:val="20"/>
                <w:color w:val="auto"/>
              </w:rPr>
            </w:pPr>
            <w:r>
              <w:rPr>
                <w:rFonts w:ascii="Arial" w:cs="Arial" w:eastAsia="Arial" w:hAnsi="Arial"/>
                <w:sz w:val="18"/>
                <w:szCs w:val="18"/>
                <w:color w:val="auto"/>
              </w:rPr>
              <w:t>(332)</w:t>
            </w:r>
          </w:p>
        </w:tc>
        <w:tc>
          <w:tcPr>
            <w:tcW w:w="0" w:type="dxa"/>
            <w:vAlign w:val="bottom"/>
          </w:tcPr>
          <w:p>
            <w:pPr>
              <w:spacing w:after="0"/>
              <w:rPr>
                <w:sz w:val="1"/>
                <w:szCs w:val="1"/>
                <w:color w:val="auto"/>
              </w:rPr>
            </w:pPr>
          </w:p>
        </w:tc>
      </w:tr>
      <w:tr>
        <w:trPr>
          <w:trHeight w:val="216"/>
        </w:trPr>
        <w:tc>
          <w:tcPr>
            <w:tcW w:w="50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Interest income and other non-operating income, net</w:t>
            </w: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(39)</w:t>
            </w:r>
          </w:p>
        </w:tc>
        <w:tc>
          <w:tcPr>
            <w:tcW w:w="120" w:type="dxa"/>
            <w:vAlign w:val="bottom"/>
            <w:shd w:val="clear" w:color="auto" w:fill="CCEEFF"/>
          </w:tcPr>
          <w:p>
            <w:pPr>
              <w:spacing w:after="0"/>
              <w:rPr>
                <w:sz w:val="18"/>
                <w:szCs w:val="18"/>
                <w:color w:val="auto"/>
              </w:rPr>
            </w:pPr>
          </w:p>
        </w:tc>
        <w:tc>
          <w:tcPr>
            <w:tcW w:w="1340" w:type="dxa"/>
            <w:vAlign w:val="bottom"/>
            <w:tcBorders>
              <w:right w:val="single" w:sz="8" w:color="auto"/>
            </w:tcBorders>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060" w:type="dxa"/>
            <w:vAlign w:val="bottom"/>
          </w:tcPr>
          <w:p>
            <w:pPr>
              <w:spacing w:after="0"/>
              <w:rPr>
                <w:sz w:val="20"/>
                <w:szCs w:val="20"/>
                <w:color w:val="auto"/>
              </w:rPr>
            </w:pPr>
            <w:r>
              <w:rPr>
                <w:rFonts w:ascii="Arial" w:cs="Arial" w:eastAsia="Arial" w:hAnsi="Arial"/>
                <w:sz w:val="18"/>
                <w:szCs w:val="18"/>
                <w:b w:val="1"/>
                <w:bCs w:val="1"/>
                <w:color w:val="auto"/>
              </w:rPr>
              <w:t>Other Derivatives</w:t>
            </w:r>
          </w:p>
        </w:tc>
        <w:tc>
          <w:tcPr>
            <w:tcW w:w="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20" w:type="dxa"/>
            <w:vAlign w:val="bottom"/>
            <w:tcBorders>
              <w:right w:val="single" w:sz="8" w:color="auto"/>
            </w:tcBorders>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Interest income and other non-operating income, net</w:t>
            </w: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5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40" w:type="dxa"/>
            <w:vAlign w:val="bottom"/>
            <w:tcBorders>
              <w:right w:val="single" w:sz="8" w:color="auto"/>
            </w:tcBorders>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(1)</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164</w:t>
            </w:r>
          </w:p>
        </w:tc>
        <w:tc>
          <w:tcPr>
            <w:tcW w:w="0" w:type="dxa"/>
            <w:vAlign w:val="bottom"/>
          </w:tcPr>
          <w:p>
            <w:pPr>
              <w:spacing w:after="0"/>
              <w:rPr>
                <w:sz w:val="1"/>
                <w:szCs w:val="1"/>
                <w:color w:val="auto"/>
              </w:rPr>
            </w:pPr>
          </w:p>
        </w:tc>
      </w:tr>
      <w:tr>
        <w:trPr>
          <w:trHeight w:val="20"/>
        </w:trPr>
        <w:tc>
          <w:tcPr>
            <w:tcW w:w="5060" w:type="dxa"/>
            <w:vAlign w:val="bottom"/>
            <w:vMerge w:val="restart"/>
          </w:tcPr>
          <w:p>
            <w:pPr>
              <w:spacing w:after="0"/>
              <w:rPr>
                <w:sz w:val="20"/>
                <w:szCs w:val="20"/>
                <w:color w:val="auto"/>
              </w:rPr>
            </w:pPr>
            <w:r>
              <w:rPr>
                <w:rFonts w:ascii="Arial" w:cs="Arial" w:eastAsia="Arial" w:hAnsi="Arial"/>
                <w:sz w:val="18"/>
                <w:szCs w:val="18"/>
                <w:color w:val="auto"/>
              </w:rPr>
              <w:t>Total gains (losses) recorded in earnings</w:t>
            </w:r>
          </w:p>
        </w:tc>
        <w:tc>
          <w:tcPr>
            <w:tcW w:w="16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620" w:type="dxa"/>
            <w:vAlign w:val="bottom"/>
            <w:tcBorders>
              <w:right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5060" w:type="dxa"/>
            <w:vAlign w:val="bottom"/>
            <w:vMerge w:val="continue"/>
          </w:tcPr>
          <w:p>
            <w:pPr>
              <w:spacing w:after="0"/>
              <w:rPr>
                <w:sz w:val="19"/>
                <w:szCs w:val="19"/>
                <w:color w:val="auto"/>
              </w:rPr>
            </w:pP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53</w:t>
            </w: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30</w:t>
            </w:r>
          </w:p>
        </w:tc>
        <w:tc>
          <w:tcPr>
            <w:tcW w:w="52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tcBorders>
              <w:right w:val="single" w:sz="8" w:color="auto"/>
            </w:tcBorders>
            <w:gridSpan w:val="2"/>
          </w:tcPr>
          <w:p>
            <w:pPr>
              <w:jc w:val="right"/>
              <w:ind w:right="620"/>
              <w:spacing w:after="0"/>
              <w:rPr>
                <w:sz w:val="20"/>
                <w:szCs w:val="20"/>
                <w:color w:val="auto"/>
              </w:rPr>
            </w:pPr>
            <w:r>
              <w:rPr>
                <w:rFonts w:ascii="Arial" w:cs="Arial" w:eastAsia="Arial" w:hAnsi="Arial"/>
                <w:sz w:val="18"/>
                <w:szCs w:val="18"/>
                <w:color w:val="auto"/>
              </w:rPr>
              <w:t>193</w:t>
            </w:r>
          </w:p>
        </w:tc>
        <w:tc>
          <w:tcPr>
            <w:tcW w:w="5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00" w:type="dxa"/>
            <w:vAlign w:val="bottom"/>
          </w:tcPr>
          <w:p>
            <w:pPr>
              <w:jc w:val="right"/>
              <w:spacing w:after="0"/>
              <w:rPr>
                <w:sz w:val="20"/>
                <w:szCs w:val="20"/>
                <w:color w:val="auto"/>
              </w:rPr>
            </w:pPr>
            <w:r>
              <w:rPr>
                <w:rFonts w:ascii="Arial" w:cs="Arial" w:eastAsia="Arial" w:hAnsi="Arial"/>
                <w:sz w:val="18"/>
                <w:szCs w:val="18"/>
                <w:color w:val="auto"/>
              </w:rPr>
              <w:t>48</w:t>
            </w: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60" w:type="dxa"/>
            <w:vAlign w:val="bottom"/>
            <w:gridSpan w:val="2"/>
          </w:tcPr>
          <w:p>
            <w:pPr>
              <w:jc w:val="right"/>
              <w:ind w:right="40"/>
              <w:spacing w:after="0"/>
              <w:rPr>
                <w:sz w:val="20"/>
                <w:szCs w:val="20"/>
                <w:color w:val="auto"/>
              </w:rPr>
            </w:pPr>
            <w:r>
              <w:rPr>
                <w:rFonts w:ascii="Arial" w:cs="Arial" w:eastAsia="Arial" w:hAnsi="Arial"/>
                <w:sz w:val="18"/>
                <w:szCs w:val="18"/>
                <w:color w:val="auto"/>
              </w:rPr>
              <w:t>(1,014)</w:t>
            </w:r>
          </w:p>
        </w:tc>
        <w:tc>
          <w:tcPr>
            <w:tcW w:w="0" w:type="dxa"/>
            <w:vAlign w:val="bottom"/>
          </w:tcPr>
          <w:p>
            <w:pPr>
              <w:spacing w:after="0"/>
              <w:rPr>
                <w:sz w:val="1"/>
                <w:szCs w:val="1"/>
                <w:color w:val="auto"/>
              </w:rPr>
            </w:pPr>
          </w:p>
        </w:tc>
      </w:tr>
      <w:tr>
        <w:trPr>
          <w:trHeight w:val="20"/>
        </w:trPr>
        <w:tc>
          <w:tcPr>
            <w:tcW w:w="50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right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Net Change in Accumulated Other Comprehensive Income (Loss)</w:t>
      </w:r>
    </w:p>
    <w:p>
      <w:pPr>
        <w:spacing w:after="0" w:line="177" w:lineRule="exact"/>
        <w:rPr>
          <w:sz w:val="20"/>
          <w:szCs w:val="20"/>
          <w:color w:val="auto"/>
        </w:rPr>
      </w:pPr>
    </w:p>
    <w:p>
      <w:pPr>
        <w:ind w:right="720" w:firstLine="228"/>
        <w:spacing w:after="0" w:line="268" w:lineRule="auto"/>
        <w:rPr>
          <w:sz w:val="20"/>
          <w:szCs w:val="20"/>
          <w:color w:val="auto"/>
        </w:rPr>
      </w:pPr>
      <w:r>
        <w:rPr>
          <w:rFonts w:ascii="Arial" w:cs="Arial" w:eastAsia="Arial" w:hAnsi="Arial"/>
          <w:sz w:val="18"/>
          <w:szCs w:val="18"/>
          <w:color w:val="auto"/>
        </w:rPr>
        <w:t>The following table summarizes the net change in Accumulated other comprehensive income (loss) related to cash flow hedging activities (dollars in millions):</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28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gridSpan w:val="2"/>
          </w:tcPr>
          <w:p>
            <w:pPr>
              <w:jc w:val="right"/>
              <w:ind w:right="52"/>
              <w:spacing w:after="0"/>
              <w:rPr>
                <w:sz w:val="20"/>
                <w:szCs w:val="20"/>
                <w:color w:val="auto"/>
              </w:rPr>
            </w:pPr>
            <w:r>
              <w:rPr>
                <w:rFonts w:ascii="Arial" w:cs="Arial" w:eastAsia="Arial" w:hAnsi="Arial"/>
                <w:sz w:val="14"/>
                <w:szCs w:val="14"/>
                <w:b w:val="1"/>
                <w:bCs w:val="1"/>
                <w:color w:val="auto"/>
                <w:w w:val="85"/>
              </w:rPr>
              <w:t>Predecessor</w:t>
            </w:r>
          </w:p>
        </w:tc>
        <w:tc>
          <w:tcPr>
            <w:tcW w:w="5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29"/>
        </w:trPr>
        <w:tc>
          <w:tcPr>
            <w:tcW w:w="9280" w:type="dxa"/>
            <w:vAlign w:val="bottom"/>
          </w:tcPr>
          <w:p>
            <w:pPr>
              <w:spacing w:after="0"/>
              <w:rPr>
                <w:sz w:val="11"/>
                <w:szCs w:val="11"/>
                <w:color w:val="auto"/>
              </w:rPr>
            </w:pPr>
          </w:p>
        </w:tc>
        <w:tc>
          <w:tcPr>
            <w:tcW w:w="620" w:type="dxa"/>
            <w:vAlign w:val="bottom"/>
            <w:gridSpan w:val="3"/>
          </w:tcPr>
          <w:p>
            <w:pPr>
              <w:jc w:val="center"/>
              <w:ind w:right="120"/>
              <w:spacing w:after="0" w:line="129" w:lineRule="exact"/>
              <w:rPr>
                <w:sz w:val="20"/>
                <w:szCs w:val="20"/>
                <w:color w:val="auto"/>
              </w:rPr>
            </w:pPr>
            <w:r>
              <w:rPr>
                <w:rFonts w:ascii="Arial" w:cs="Arial" w:eastAsia="Arial" w:hAnsi="Arial"/>
                <w:sz w:val="14"/>
                <w:szCs w:val="14"/>
                <w:b w:val="1"/>
                <w:bCs w:val="1"/>
                <w:color w:val="auto"/>
                <w:w w:val="87"/>
              </w:rPr>
              <w:t>July 1,</w:t>
            </w:r>
          </w:p>
        </w:tc>
        <w:tc>
          <w:tcPr>
            <w:tcW w:w="760" w:type="dxa"/>
            <w:vAlign w:val="bottom"/>
          </w:tcPr>
          <w:p>
            <w:pPr>
              <w:spacing w:after="0"/>
              <w:rPr>
                <w:sz w:val="11"/>
                <w:szCs w:val="11"/>
                <w:color w:val="auto"/>
              </w:rPr>
            </w:pPr>
          </w:p>
        </w:tc>
        <w:tc>
          <w:tcPr>
            <w:tcW w:w="660" w:type="dxa"/>
            <w:vAlign w:val="bottom"/>
            <w:gridSpan w:val="2"/>
          </w:tcPr>
          <w:p>
            <w:pPr>
              <w:jc w:val="center"/>
              <w:spacing w:after="0" w:line="129" w:lineRule="exact"/>
              <w:rPr>
                <w:sz w:val="20"/>
                <w:szCs w:val="20"/>
                <w:color w:val="auto"/>
              </w:rPr>
            </w:pPr>
            <w:r>
              <w:rPr>
                <w:rFonts w:ascii="Arial" w:cs="Arial" w:eastAsia="Arial" w:hAnsi="Arial"/>
                <w:sz w:val="14"/>
                <w:szCs w:val="14"/>
                <w:b w:val="1"/>
                <w:bCs w:val="1"/>
                <w:color w:val="auto"/>
                <w:w w:val="89"/>
              </w:rPr>
              <w:t>January 1,</w:t>
            </w:r>
          </w:p>
        </w:tc>
        <w:tc>
          <w:tcPr>
            <w:tcW w:w="100" w:type="dxa"/>
            <w:vAlign w:val="bottom"/>
          </w:tcPr>
          <w:p>
            <w:pPr>
              <w:spacing w:after="0"/>
              <w:rPr>
                <w:sz w:val="11"/>
                <w:szCs w:val="11"/>
                <w:color w:val="auto"/>
              </w:rPr>
            </w:pPr>
          </w:p>
        </w:tc>
      </w:tr>
      <w:tr>
        <w:trPr>
          <w:trHeight w:val="149"/>
        </w:trPr>
        <w:tc>
          <w:tcPr>
            <w:tcW w:w="9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0" w:type="dxa"/>
            <w:vAlign w:val="bottom"/>
          </w:tcPr>
          <w:p>
            <w:pPr>
              <w:jc w:val="center"/>
              <w:ind w:right="39"/>
              <w:spacing w:after="0" w:line="149" w:lineRule="exact"/>
              <w:rPr>
                <w:sz w:val="20"/>
                <w:szCs w:val="20"/>
                <w:color w:val="auto"/>
              </w:rPr>
            </w:pPr>
            <w:r>
              <w:rPr>
                <w:rFonts w:ascii="Arial" w:cs="Arial" w:eastAsia="Arial" w:hAnsi="Arial"/>
                <w:sz w:val="14"/>
                <w:szCs w:val="14"/>
                <w:b w:val="1"/>
                <w:bCs w:val="1"/>
                <w:color w:val="auto"/>
                <w:w w:val="89"/>
              </w:rPr>
              <w:t>2009</w:t>
            </w:r>
          </w:p>
        </w:tc>
        <w:tc>
          <w:tcPr>
            <w:tcW w:w="1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jc w:val="center"/>
              <w:ind w:right="41"/>
              <w:spacing w:after="0" w:line="149" w:lineRule="exact"/>
              <w:rPr>
                <w:sz w:val="20"/>
                <w:szCs w:val="20"/>
                <w:color w:val="auto"/>
              </w:rPr>
            </w:pPr>
            <w:r>
              <w:rPr>
                <w:rFonts w:ascii="Arial" w:cs="Arial" w:eastAsia="Arial" w:hAnsi="Arial"/>
                <w:sz w:val="14"/>
                <w:szCs w:val="14"/>
                <w:b w:val="1"/>
                <w:bCs w:val="1"/>
                <w:color w:val="auto"/>
                <w:w w:val="89"/>
              </w:rPr>
              <w:t>2009</w:t>
            </w:r>
          </w:p>
        </w:tc>
        <w:tc>
          <w:tcPr>
            <w:tcW w:w="100" w:type="dxa"/>
            <w:vAlign w:val="bottom"/>
          </w:tcPr>
          <w:p>
            <w:pPr>
              <w:spacing w:after="0"/>
              <w:rPr>
                <w:sz w:val="12"/>
                <w:szCs w:val="12"/>
                <w:color w:val="auto"/>
              </w:rPr>
            </w:pPr>
          </w:p>
        </w:tc>
      </w:tr>
      <w:tr>
        <w:trPr>
          <w:trHeight w:val="149"/>
        </w:trPr>
        <w:tc>
          <w:tcPr>
            <w:tcW w:w="9280" w:type="dxa"/>
            <w:vAlign w:val="bottom"/>
          </w:tcPr>
          <w:p>
            <w:pPr>
              <w:spacing w:after="0"/>
              <w:rPr>
                <w:sz w:val="12"/>
                <w:szCs w:val="12"/>
                <w:color w:val="auto"/>
              </w:rPr>
            </w:pPr>
          </w:p>
        </w:tc>
        <w:tc>
          <w:tcPr>
            <w:tcW w:w="620" w:type="dxa"/>
            <w:vAlign w:val="bottom"/>
            <w:gridSpan w:val="3"/>
          </w:tcPr>
          <w:p>
            <w:pPr>
              <w:jc w:val="center"/>
              <w:ind w:right="100"/>
              <w:spacing w:after="0" w:line="149" w:lineRule="exact"/>
              <w:rPr>
                <w:sz w:val="20"/>
                <w:szCs w:val="20"/>
                <w:color w:val="auto"/>
              </w:rPr>
            </w:pPr>
            <w:r>
              <w:rPr>
                <w:rFonts w:ascii="Arial" w:cs="Arial" w:eastAsia="Arial" w:hAnsi="Arial"/>
                <w:sz w:val="14"/>
                <w:szCs w:val="14"/>
                <w:b w:val="1"/>
                <w:bCs w:val="1"/>
                <w:color w:val="auto"/>
                <w:w w:val="91"/>
              </w:rPr>
              <w:t>Through</w:t>
            </w:r>
          </w:p>
        </w:tc>
        <w:tc>
          <w:tcPr>
            <w:tcW w:w="760" w:type="dxa"/>
            <w:vAlign w:val="bottom"/>
          </w:tcPr>
          <w:p>
            <w:pPr>
              <w:spacing w:after="0"/>
              <w:rPr>
                <w:sz w:val="12"/>
                <w:szCs w:val="12"/>
                <w:color w:val="auto"/>
              </w:rPr>
            </w:pPr>
          </w:p>
        </w:tc>
        <w:tc>
          <w:tcPr>
            <w:tcW w:w="760" w:type="dxa"/>
            <w:vAlign w:val="bottom"/>
            <w:gridSpan w:val="3"/>
          </w:tcPr>
          <w:p>
            <w:pPr>
              <w:jc w:val="center"/>
              <w:ind w:right="120"/>
              <w:spacing w:after="0" w:line="149" w:lineRule="exact"/>
              <w:rPr>
                <w:sz w:val="20"/>
                <w:szCs w:val="20"/>
                <w:color w:val="auto"/>
              </w:rPr>
            </w:pPr>
            <w:r>
              <w:rPr>
                <w:rFonts w:ascii="Arial" w:cs="Arial" w:eastAsia="Arial" w:hAnsi="Arial"/>
                <w:sz w:val="14"/>
                <w:szCs w:val="14"/>
                <w:b w:val="1"/>
                <w:bCs w:val="1"/>
                <w:color w:val="auto"/>
                <w:w w:val="91"/>
              </w:rPr>
              <w:t>Through</w:t>
            </w:r>
          </w:p>
        </w:tc>
      </w:tr>
      <w:tr>
        <w:trPr>
          <w:trHeight w:val="149"/>
        </w:trPr>
        <w:tc>
          <w:tcPr>
            <w:tcW w:w="9280" w:type="dxa"/>
            <w:vAlign w:val="bottom"/>
          </w:tcPr>
          <w:p>
            <w:pPr>
              <w:spacing w:after="0"/>
              <w:rPr>
                <w:sz w:val="12"/>
                <w:szCs w:val="12"/>
                <w:color w:val="auto"/>
              </w:rPr>
            </w:pPr>
          </w:p>
        </w:tc>
        <w:tc>
          <w:tcPr>
            <w:tcW w:w="620" w:type="dxa"/>
            <w:vAlign w:val="bottom"/>
            <w:gridSpan w:val="3"/>
          </w:tcPr>
          <w:p>
            <w:pPr>
              <w:jc w:val="center"/>
              <w:ind w:right="80"/>
              <w:spacing w:after="0" w:line="149" w:lineRule="exact"/>
              <w:rPr>
                <w:sz w:val="20"/>
                <w:szCs w:val="20"/>
                <w:color w:val="auto"/>
              </w:rPr>
            </w:pPr>
            <w:r>
              <w:rPr>
                <w:rFonts w:ascii="Arial" w:cs="Arial" w:eastAsia="Arial" w:hAnsi="Arial"/>
                <w:sz w:val="14"/>
                <w:szCs w:val="14"/>
                <w:b w:val="1"/>
                <w:bCs w:val="1"/>
                <w:color w:val="auto"/>
                <w:w w:val="87"/>
              </w:rPr>
              <w:t>July 9,</w:t>
            </w: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1"/>
              </w:rPr>
              <w:t>July 9,</w:t>
            </w:r>
          </w:p>
        </w:tc>
      </w:tr>
      <w:tr>
        <w:trPr>
          <w:trHeight w:val="161"/>
        </w:trPr>
        <w:tc>
          <w:tcPr>
            <w:tcW w:w="928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jc w:val="center"/>
              <w:ind w:right="39"/>
              <w:spacing w:after="0"/>
              <w:rPr>
                <w:sz w:val="20"/>
                <w:szCs w:val="20"/>
                <w:color w:val="auto"/>
              </w:rPr>
            </w:pPr>
            <w:r>
              <w:rPr>
                <w:rFonts w:ascii="Arial" w:cs="Arial" w:eastAsia="Arial" w:hAnsi="Arial"/>
                <w:sz w:val="14"/>
                <w:szCs w:val="14"/>
                <w:b w:val="1"/>
                <w:bCs w:val="1"/>
                <w:color w:val="auto"/>
                <w:w w:val="89"/>
              </w:rPr>
              <w:t>2009</w:t>
            </w:r>
          </w:p>
        </w:tc>
        <w:tc>
          <w:tcPr>
            <w:tcW w:w="1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jc w:val="center"/>
              <w:ind w:right="41"/>
              <w:spacing w:after="0"/>
              <w:rPr>
                <w:sz w:val="20"/>
                <w:szCs w:val="20"/>
                <w:color w:val="auto"/>
              </w:rPr>
            </w:pPr>
            <w:r>
              <w:rPr>
                <w:rFonts w:ascii="Arial" w:cs="Arial" w:eastAsia="Arial" w:hAnsi="Arial"/>
                <w:sz w:val="14"/>
                <w:szCs w:val="14"/>
                <w:b w:val="1"/>
                <w:bCs w:val="1"/>
                <w:color w:val="auto"/>
                <w:w w:val="89"/>
              </w:rPr>
              <w:t>2009</w:t>
            </w:r>
          </w:p>
        </w:tc>
        <w:tc>
          <w:tcPr>
            <w:tcW w:w="100" w:type="dxa"/>
            <w:vAlign w:val="bottom"/>
          </w:tcPr>
          <w:p>
            <w:pPr>
              <w:spacing w:after="0"/>
              <w:rPr>
                <w:sz w:val="14"/>
                <w:szCs w:val="14"/>
                <w:color w:val="auto"/>
              </w:rPr>
            </w:pPr>
          </w:p>
        </w:tc>
      </w:tr>
      <w:tr>
        <w:trPr>
          <w:trHeight w:val="210"/>
        </w:trPr>
        <w:tc>
          <w:tcPr>
            <w:tcW w:w="9280" w:type="dxa"/>
            <w:vAlign w:val="bottom"/>
            <w:shd w:val="clear" w:color="auto" w:fill="CCEEFF"/>
          </w:tcPr>
          <w:p>
            <w:pPr>
              <w:spacing w:after="0"/>
              <w:rPr>
                <w:sz w:val="20"/>
                <w:szCs w:val="20"/>
                <w:color w:val="auto"/>
              </w:rPr>
            </w:pPr>
            <w:r>
              <w:rPr>
                <w:rFonts w:ascii="Arial" w:cs="Arial" w:eastAsia="Arial" w:hAnsi="Arial"/>
                <w:sz w:val="18"/>
                <w:szCs w:val="18"/>
                <w:color w:val="auto"/>
              </w:rPr>
              <w:t>Beginning net unrealized gain (loss) on derivatives</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(409)</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(490)</w:t>
            </w:r>
          </w:p>
        </w:tc>
      </w:tr>
      <w:tr>
        <w:trPr>
          <w:trHeight w:val="216"/>
        </w:trPr>
        <w:tc>
          <w:tcPr>
            <w:tcW w:w="9280" w:type="dxa"/>
            <w:vAlign w:val="bottom"/>
          </w:tcPr>
          <w:p>
            <w:pPr>
              <w:spacing w:after="0"/>
              <w:rPr>
                <w:sz w:val="20"/>
                <w:szCs w:val="20"/>
                <w:color w:val="auto"/>
              </w:rPr>
            </w:pPr>
            <w:r>
              <w:rPr>
                <w:rFonts w:ascii="Arial" w:cs="Arial" w:eastAsia="Arial" w:hAnsi="Arial"/>
                <w:sz w:val="18"/>
                <w:szCs w:val="18"/>
                <w:color w:val="auto"/>
              </w:rPr>
              <w:t>Change in fair value</w:t>
            </w:r>
          </w:p>
        </w:tc>
        <w:tc>
          <w:tcPr>
            <w:tcW w:w="120" w:type="dxa"/>
            <w:vAlign w:val="bottom"/>
          </w:tcPr>
          <w:p>
            <w:pPr>
              <w:spacing w:after="0"/>
              <w:rPr>
                <w:sz w:val="18"/>
                <w:szCs w:val="18"/>
                <w:color w:val="auto"/>
              </w:rPr>
            </w:pPr>
          </w:p>
        </w:tc>
        <w:tc>
          <w:tcPr>
            <w:tcW w:w="5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9280" w:type="dxa"/>
            <w:vAlign w:val="bottom"/>
            <w:shd w:val="clear" w:color="auto" w:fill="CCEEFF"/>
          </w:tcPr>
          <w:p>
            <w:pPr>
              <w:spacing w:after="0"/>
              <w:rPr>
                <w:sz w:val="20"/>
                <w:szCs w:val="20"/>
                <w:color w:val="auto"/>
              </w:rPr>
            </w:pPr>
            <w:r>
              <w:rPr>
                <w:rFonts w:ascii="Arial" w:cs="Arial" w:eastAsia="Arial" w:hAnsi="Arial"/>
                <w:sz w:val="18"/>
                <w:szCs w:val="18"/>
                <w:color w:val="auto"/>
              </w:rPr>
              <w:t>Reclassification to earnings</w:t>
            </w:r>
          </w:p>
        </w:tc>
        <w:tc>
          <w:tcPr>
            <w:tcW w:w="120" w:type="dxa"/>
            <w:vAlign w:val="bottom"/>
            <w:tcBorders>
              <w:bottom w:val="single" w:sz="8" w:color="auto"/>
            </w:tcBorders>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99</w:t>
            </w:r>
          </w:p>
        </w:tc>
        <w:tc>
          <w:tcPr>
            <w:tcW w:w="100" w:type="dxa"/>
            <w:vAlign w:val="bottom"/>
            <w:shd w:val="clear" w:color="auto" w:fill="CCEEFF"/>
          </w:tcPr>
          <w:p>
            <w:pPr>
              <w:spacing w:after="0"/>
              <w:rPr>
                <w:sz w:val="18"/>
                <w:szCs w:val="18"/>
                <w:color w:val="auto"/>
              </w:rPr>
            </w:pPr>
          </w:p>
        </w:tc>
      </w:tr>
      <w:tr>
        <w:trPr>
          <w:trHeight w:val="222"/>
        </w:trPr>
        <w:tc>
          <w:tcPr>
            <w:tcW w:w="9280" w:type="dxa"/>
            <w:vAlign w:val="bottom"/>
          </w:tcPr>
          <w:p>
            <w:pPr>
              <w:spacing w:after="0"/>
              <w:rPr>
                <w:sz w:val="20"/>
                <w:szCs w:val="20"/>
                <w:color w:val="auto"/>
              </w:rPr>
            </w:pPr>
            <w:r>
              <w:rPr>
                <w:rFonts w:ascii="Arial" w:cs="Arial" w:eastAsia="Arial" w:hAnsi="Arial"/>
                <w:sz w:val="18"/>
                <w:szCs w:val="18"/>
                <w:color w:val="auto"/>
              </w:rPr>
              <w:t>Ending net unrealized gain (loss) on derivatives</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00" w:type="dxa"/>
            <w:vAlign w:val="bottom"/>
            <w:gridSpan w:val="2"/>
          </w:tcPr>
          <w:p>
            <w:pPr>
              <w:jc w:val="right"/>
              <w:ind w:right="40"/>
              <w:spacing w:after="0"/>
              <w:rPr>
                <w:sz w:val="20"/>
                <w:szCs w:val="20"/>
                <w:color w:val="auto"/>
              </w:rPr>
            </w:pPr>
            <w:r>
              <w:rPr>
                <w:rFonts w:ascii="Arial" w:cs="Arial" w:eastAsia="Arial" w:hAnsi="Arial"/>
                <w:sz w:val="18"/>
                <w:szCs w:val="18"/>
                <w:color w:val="auto"/>
              </w:rPr>
              <w:t>(391)</w:t>
            </w: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60" w:type="dxa"/>
            <w:vAlign w:val="bottom"/>
            <w:gridSpan w:val="2"/>
          </w:tcPr>
          <w:p>
            <w:pPr>
              <w:jc w:val="right"/>
              <w:ind w:right="40"/>
              <w:spacing w:after="0"/>
              <w:rPr>
                <w:sz w:val="20"/>
                <w:szCs w:val="20"/>
                <w:color w:val="auto"/>
              </w:rPr>
            </w:pPr>
            <w:r>
              <w:rPr>
                <w:rFonts w:ascii="Arial" w:cs="Arial" w:eastAsia="Arial" w:hAnsi="Arial"/>
                <w:sz w:val="18"/>
                <w:szCs w:val="18"/>
                <w:color w:val="auto"/>
              </w:rPr>
              <w:t>(391)</w:t>
            </w:r>
          </w:p>
        </w:tc>
      </w:tr>
      <w:tr>
        <w:trPr>
          <w:trHeight w:val="20"/>
        </w:trPr>
        <w:tc>
          <w:tcPr>
            <w:tcW w:w="92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67" w:lineRule="exact"/>
        <w:rPr>
          <w:sz w:val="20"/>
          <w:szCs w:val="20"/>
          <w:color w:val="auto"/>
        </w:rPr>
      </w:pPr>
    </w:p>
    <w:p>
      <w:pPr>
        <w:ind w:right="840" w:firstLine="228"/>
        <w:spacing w:after="0" w:line="268" w:lineRule="auto"/>
        <w:rPr>
          <w:sz w:val="20"/>
          <w:szCs w:val="20"/>
          <w:color w:val="auto"/>
        </w:rPr>
      </w:pPr>
      <w:r>
        <w:rPr>
          <w:rFonts w:ascii="Arial" w:cs="Arial" w:eastAsia="Arial" w:hAnsi="Arial"/>
          <w:sz w:val="18"/>
          <w:szCs w:val="18"/>
          <w:color w:val="auto"/>
        </w:rPr>
        <w:t>In connection with our application of fresh-start reporting, the remaining previously deferred cash flow hedging gains and losses of $391 million in Accumulated other comprehensive income (loss) were adjusted to $0 at July 10, 2009.</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17. Commitments and Contingencies</w:t>
      </w:r>
    </w:p>
    <w:p>
      <w:pPr>
        <w:spacing w:after="0" w:line="177" w:lineRule="exact"/>
        <w:rPr>
          <w:sz w:val="20"/>
          <w:szCs w:val="20"/>
          <w:color w:val="auto"/>
        </w:rPr>
      </w:pPr>
    </w:p>
    <w:p>
      <w:pPr>
        <w:ind w:left="240"/>
        <w:spacing w:after="0"/>
        <w:rPr>
          <w:sz w:val="20"/>
          <w:szCs w:val="20"/>
          <w:color w:val="auto"/>
        </w:rPr>
      </w:pPr>
      <w:r>
        <w:rPr>
          <w:rFonts w:ascii="Arial" w:cs="Arial" w:eastAsia="Arial" w:hAnsi="Arial"/>
          <w:sz w:val="18"/>
          <w:szCs w:val="18"/>
          <w:color w:val="auto"/>
        </w:rPr>
        <w:t>The following tables summarize information related to Commitments and contingencies (dollars in millions):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740" w:type="dxa"/>
            <w:vAlign w:val="bottom"/>
          </w:tcPr>
          <w:p>
            <w:pPr>
              <w:spacing w:after="0"/>
              <w:rPr>
                <w:sz w:val="14"/>
                <w:szCs w:val="14"/>
                <w:color w:val="auto"/>
              </w:rPr>
            </w:pPr>
          </w:p>
        </w:tc>
        <w:tc>
          <w:tcPr>
            <w:tcW w:w="232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gridSpan w:val="2"/>
          </w:tcPr>
          <w:p>
            <w:pPr>
              <w:ind w:left="60"/>
              <w:spacing w:after="0"/>
              <w:rPr>
                <w:sz w:val="20"/>
                <w:szCs w:val="20"/>
                <w:color w:val="auto"/>
              </w:rPr>
            </w:pPr>
            <w:r>
              <w:rPr>
                <w:rFonts w:ascii="Arial" w:cs="Arial" w:eastAsia="Arial" w:hAnsi="Arial"/>
                <w:sz w:val="14"/>
                <w:szCs w:val="14"/>
                <w:b w:val="1"/>
                <w:bCs w:val="1"/>
                <w:color w:val="auto"/>
              </w:rPr>
              <w:t>Successor</w:t>
            </w:r>
          </w:p>
        </w:tc>
        <w:tc>
          <w:tcPr>
            <w:tcW w:w="34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42"/>
        </w:trPr>
        <w:tc>
          <w:tcPr>
            <w:tcW w:w="4740" w:type="dxa"/>
            <w:vAlign w:val="bottom"/>
          </w:tcPr>
          <w:p>
            <w:pPr>
              <w:spacing w:after="0"/>
              <w:rPr>
                <w:sz w:val="12"/>
                <w:szCs w:val="12"/>
                <w:color w:val="auto"/>
              </w:rPr>
            </w:pPr>
          </w:p>
        </w:tc>
        <w:tc>
          <w:tcPr>
            <w:tcW w:w="2320" w:type="dxa"/>
            <w:vAlign w:val="bottom"/>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1580" w:type="dxa"/>
            <w:vAlign w:val="bottom"/>
            <w:tcBorders>
              <w:bottom w:val="single" w:sz="8" w:color="auto"/>
            </w:tcBorders>
            <w:gridSpan w:val="4"/>
          </w:tcPr>
          <w:p>
            <w:pPr>
              <w:jc w:val="right"/>
              <w:ind w:right="256"/>
              <w:spacing w:after="0" w:line="142" w:lineRule="exact"/>
              <w:rPr>
                <w:sz w:val="20"/>
                <w:szCs w:val="20"/>
                <w:color w:val="auto"/>
              </w:rPr>
            </w:pPr>
            <w:r>
              <w:rPr>
                <w:rFonts w:ascii="Arial" w:cs="Arial" w:eastAsia="Arial" w:hAnsi="Arial"/>
                <w:sz w:val="14"/>
                <w:szCs w:val="14"/>
                <w:b w:val="1"/>
                <w:bCs w:val="1"/>
                <w:color w:val="auto"/>
                <w:w w:val="93"/>
              </w:rPr>
              <w:t>September 30, 2010</w:t>
            </w:r>
          </w:p>
        </w:tc>
        <w:tc>
          <w:tcPr>
            <w:tcW w:w="640" w:type="dxa"/>
            <w:vAlign w:val="bottom"/>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1600" w:type="dxa"/>
            <w:vAlign w:val="bottom"/>
            <w:tcBorders>
              <w:bottom w:val="single" w:sz="8" w:color="auto"/>
            </w:tcBorders>
            <w:gridSpan w:val="4"/>
          </w:tcPr>
          <w:p>
            <w:pPr>
              <w:jc w:val="right"/>
              <w:ind w:right="276"/>
              <w:spacing w:after="0" w:line="142" w:lineRule="exact"/>
              <w:rPr>
                <w:sz w:val="20"/>
                <w:szCs w:val="20"/>
                <w:color w:val="auto"/>
              </w:rPr>
            </w:pPr>
            <w:r>
              <w:rPr>
                <w:rFonts w:ascii="Arial" w:cs="Arial" w:eastAsia="Arial" w:hAnsi="Arial"/>
                <w:sz w:val="14"/>
                <w:szCs w:val="14"/>
                <w:b w:val="1"/>
                <w:bCs w:val="1"/>
                <w:color w:val="auto"/>
                <w:w w:val="96"/>
              </w:rPr>
              <w:t>December 31, 2009</w:t>
            </w:r>
          </w:p>
        </w:tc>
        <w:tc>
          <w:tcPr>
            <w:tcW w:w="100" w:type="dxa"/>
            <w:vAlign w:val="bottom"/>
          </w:tcPr>
          <w:p>
            <w:pPr>
              <w:spacing w:after="0"/>
              <w:rPr>
                <w:sz w:val="12"/>
                <w:szCs w:val="12"/>
                <w:color w:val="auto"/>
              </w:rPr>
            </w:pPr>
          </w:p>
        </w:tc>
      </w:tr>
      <w:tr>
        <w:trPr>
          <w:trHeight w:val="129"/>
        </w:trPr>
        <w:tc>
          <w:tcPr>
            <w:tcW w:w="4740" w:type="dxa"/>
            <w:vAlign w:val="bottom"/>
          </w:tcPr>
          <w:p>
            <w:pPr>
              <w:spacing w:after="0"/>
              <w:rPr>
                <w:sz w:val="11"/>
                <w:szCs w:val="11"/>
                <w:color w:val="auto"/>
              </w:rPr>
            </w:pPr>
          </w:p>
        </w:tc>
        <w:tc>
          <w:tcPr>
            <w:tcW w:w="23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gridSpan w:val="2"/>
          </w:tcPr>
          <w:p>
            <w:pPr>
              <w:spacing w:after="0" w:line="129" w:lineRule="exact"/>
              <w:rPr>
                <w:sz w:val="20"/>
                <w:szCs w:val="20"/>
                <w:color w:val="auto"/>
              </w:rPr>
            </w:pPr>
            <w:r>
              <w:rPr>
                <w:rFonts w:ascii="Arial" w:cs="Arial" w:eastAsia="Arial" w:hAnsi="Arial"/>
                <w:sz w:val="14"/>
                <w:szCs w:val="14"/>
                <w:b w:val="1"/>
                <w:bCs w:val="1"/>
                <w:color w:val="auto"/>
                <w:w w:val="89"/>
              </w:rPr>
              <w:t>Maximum</w:t>
            </w: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gridSpan w:val="2"/>
          </w:tcPr>
          <w:p>
            <w:pPr>
              <w:spacing w:after="0" w:line="129" w:lineRule="exact"/>
              <w:rPr>
                <w:sz w:val="20"/>
                <w:szCs w:val="20"/>
                <w:color w:val="auto"/>
              </w:rPr>
            </w:pPr>
            <w:r>
              <w:rPr>
                <w:rFonts w:ascii="Arial" w:cs="Arial" w:eastAsia="Arial" w:hAnsi="Arial"/>
                <w:sz w:val="14"/>
                <w:szCs w:val="14"/>
                <w:b w:val="1"/>
                <w:bCs w:val="1"/>
                <w:color w:val="auto"/>
                <w:w w:val="89"/>
              </w:rPr>
              <w:t>Maximum</w:t>
            </w:r>
          </w:p>
        </w:tc>
        <w:tc>
          <w:tcPr>
            <w:tcW w:w="100" w:type="dxa"/>
            <w:vAlign w:val="bottom"/>
          </w:tcPr>
          <w:p>
            <w:pPr>
              <w:spacing w:after="0"/>
              <w:rPr>
                <w:sz w:val="11"/>
                <w:szCs w:val="11"/>
                <w:color w:val="auto"/>
              </w:rPr>
            </w:pPr>
          </w:p>
        </w:tc>
      </w:tr>
      <w:tr>
        <w:trPr>
          <w:trHeight w:val="149"/>
        </w:trPr>
        <w:tc>
          <w:tcPr>
            <w:tcW w:w="4740" w:type="dxa"/>
            <w:vAlign w:val="bottom"/>
          </w:tcPr>
          <w:p>
            <w:pPr>
              <w:spacing w:after="0"/>
              <w:rPr>
                <w:sz w:val="12"/>
                <w:szCs w:val="12"/>
                <w:color w:val="auto"/>
              </w:rPr>
            </w:pPr>
          </w:p>
        </w:tc>
        <w:tc>
          <w:tcPr>
            <w:tcW w:w="2320" w:type="dxa"/>
            <w:vAlign w:val="bottom"/>
          </w:tcPr>
          <w:p>
            <w:pPr>
              <w:spacing w:after="0"/>
              <w:rPr>
                <w:sz w:val="12"/>
                <w:szCs w:val="12"/>
                <w:color w:val="auto"/>
              </w:rPr>
            </w:pPr>
          </w:p>
        </w:tc>
        <w:tc>
          <w:tcPr>
            <w:tcW w:w="1200" w:type="dxa"/>
            <w:vAlign w:val="bottom"/>
            <w:gridSpan w:val="3"/>
          </w:tcPr>
          <w:p>
            <w:pPr>
              <w:ind w:left="40"/>
              <w:spacing w:after="0" w:line="149" w:lineRule="exact"/>
              <w:rPr>
                <w:sz w:val="20"/>
                <w:szCs w:val="20"/>
                <w:color w:val="auto"/>
              </w:rPr>
            </w:pPr>
            <w:r>
              <w:rPr>
                <w:rFonts w:ascii="Arial" w:cs="Arial" w:eastAsia="Arial" w:hAnsi="Arial"/>
                <w:sz w:val="14"/>
                <w:szCs w:val="14"/>
                <w:b w:val="1"/>
                <w:bCs w:val="1"/>
                <w:color w:val="auto"/>
              </w:rPr>
              <w:t>Liability</w:t>
            </w:r>
          </w:p>
        </w:tc>
        <w:tc>
          <w:tcPr>
            <w:tcW w:w="600" w:type="dxa"/>
            <w:vAlign w:val="bottom"/>
            <w:gridSpan w:val="2"/>
          </w:tcPr>
          <w:p>
            <w:pPr>
              <w:jc w:val="right"/>
              <w:spacing w:after="0" w:line="149" w:lineRule="exact"/>
              <w:rPr>
                <w:sz w:val="20"/>
                <w:szCs w:val="20"/>
                <w:color w:val="auto"/>
              </w:rPr>
            </w:pPr>
            <w:r>
              <w:rPr>
                <w:rFonts w:ascii="Arial" w:cs="Arial" w:eastAsia="Arial" w:hAnsi="Arial"/>
                <w:sz w:val="14"/>
                <w:szCs w:val="14"/>
                <w:b w:val="1"/>
                <w:bCs w:val="1"/>
                <w:color w:val="auto"/>
                <w:w w:val="98"/>
              </w:rPr>
              <w:t>Liability</w:t>
            </w:r>
          </w:p>
        </w:tc>
        <w:tc>
          <w:tcPr>
            <w:tcW w:w="640" w:type="dxa"/>
            <w:vAlign w:val="bottom"/>
          </w:tcPr>
          <w:p>
            <w:pPr>
              <w:spacing w:after="0"/>
              <w:rPr>
                <w:sz w:val="12"/>
                <w:szCs w:val="12"/>
                <w:color w:val="auto"/>
              </w:rPr>
            </w:pPr>
          </w:p>
        </w:tc>
        <w:tc>
          <w:tcPr>
            <w:tcW w:w="560" w:type="dxa"/>
            <w:vAlign w:val="bottom"/>
            <w:gridSpan w:val="2"/>
          </w:tcPr>
          <w:p>
            <w:pPr>
              <w:jc w:val="right"/>
              <w:spacing w:after="0" w:line="149" w:lineRule="exact"/>
              <w:rPr>
                <w:sz w:val="20"/>
                <w:szCs w:val="20"/>
                <w:color w:val="auto"/>
              </w:rPr>
            </w:pPr>
            <w:r>
              <w:rPr>
                <w:rFonts w:ascii="Arial" w:cs="Arial" w:eastAsia="Arial" w:hAnsi="Arial"/>
                <w:sz w:val="14"/>
                <w:szCs w:val="14"/>
                <w:b w:val="1"/>
                <w:bCs w:val="1"/>
                <w:color w:val="auto"/>
                <w:w w:val="98"/>
              </w:rPr>
              <w:t>Liability</w:t>
            </w:r>
          </w:p>
        </w:tc>
        <w:tc>
          <w:tcPr>
            <w:tcW w:w="660" w:type="dxa"/>
            <w:vAlign w:val="bottom"/>
          </w:tcPr>
          <w:p>
            <w:pPr>
              <w:spacing w:after="0"/>
              <w:rPr>
                <w:sz w:val="12"/>
                <w:szCs w:val="12"/>
                <w:color w:val="auto"/>
              </w:rPr>
            </w:pPr>
          </w:p>
        </w:tc>
        <w:tc>
          <w:tcPr>
            <w:tcW w:w="700" w:type="dxa"/>
            <w:vAlign w:val="bottom"/>
            <w:gridSpan w:val="3"/>
          </w:tcPr>
          <w:p>
            <w:pPr>
              <w:jc w:val="center"/>
              <w:ind w:right="120"/>
              <w:spacing w:after="0" w:line="149" w:lineRule="exact"/>
              <w:rPr>
                <w:sz w:val="20"/>
                <w:szCs w:val="20"/>
                <w:color w:val="auto"/>
              </w:rPr>
            </w:pPr>
            <w:r>
              <w:rPr>
                <w:rFonts w:ascii="Arial" w:cs="Arial" w:eastAsia="Arial" w:hAnsi="Arial"/>
                <w:sz w:val="14"/>
                <w:szCs w:val="14"/>
                <w:b w:val="1"/>
                <w:bCs w:val="1"/>
                <w:color w:val="auto"/>
                <w:w w:val="94"/>
              </w:rPr>
              <w:t>Liability</w:t>
            </w:r>
          </w:p>
        </w:tc>
      </w:tr>
      <w:tr>
        <w:trPr>
          <w:trHeight w:val="161"/>
        </w:trPr>
        <w:tc>
          <w:tcPr>
            <w:tcW w:w="4740" w:type="dxa"/>
            <w:vAlign w:val="bottom"/>
          </w:tcPr>
          <w:p>
            <w:pPr>
              <w:spacing w:after="0"/>
              <w:rPr>
                <w:sz w:val="14"/>
                <w:szCs w:val="14"/>
                <w:color w:val="auto"/>
              </w:rPr>
            </w:pPr>
          </w:p>
        </w:tc>
        <w:tc>
          <w:tcPr>
            <w:tcW w:w="2320" w:type="dxa"/>
            <w:vAlign w:val="bottom"/>
          </w:tcPr>
          <w:p>
            <w:pPr>
              <w:spacing w:after="0"/>
              <w:rPr>
                <w:sz w:val="14"/>
                <w:szCs w:val="14"/>
                <w:color w:val="auto"/>
              </w:rPr>
            </w:pPr>
          </w:p>
        </w:tc>
        <w:tc>
          <w:tcPr>
            <w:tcW w:w="1200" w:type="dxa"/>
            <w:vAlign w:val="bottom"/>
            <w:gridSpan w:val="3"/>
          </w:tcPr>
          <w:p>
            <w:pPr>
              <w:spacing w:after="0"/>
              <w:rPr>
                <w:sz w:val="20"/>
                <w:szCs w:val="20"/>
                <w:color w:val="auto"/>
              </w:rPr>
            </w:pPr>
            <w:r>
              <w:rPr>
                <w:rFonts w:ascii="Arial" w:cs="Arial" w:eastAsia="Arial" w:hAnsi="Arial"/>
                <w:sz w:val="14"/>
                <w:szCs w:val="14"/>
                <w:b w:val="1"/>
                <w:bCs w:val="1"/>
                <w:color w:val="auto"/>
              </w:rPr>
              <w:t>Recorded</w:t>
            </w:r>
          </w:p>
        </w:tc>
        <w:tc>
          <w:tcPr>
            <w:tcW w:w="160" w:type="dxa"/>
            <w:vAlign w:val="bottom"/>
          </w:tcPr>
          <w:p>
            <w:pPr>
              <w:spacing w:after="0"/>
              <w:rPr>
                <w:sz w:val="14"/>
                <w:szCs w:val="14"/>
                <w:color w:val="auto"/>
              </w:rPr>
            </w:pPr>
          </w:p>
        </w:tc>
        <w:tc>
          <w:tcPr>
            <w:tcW w:w="440" w:type="dxa"/>
            <w:vAlign w:val="bottom"/>
          </w:tcPr>
          <w:p>
            <w:pPr>
              <w:jc w:val="right"/>
              <w:ind w:right="136"/>
              <w:spacing w:after="0"/>
              <w:rPr>
                <w:sz w:val="20"/>
                <w:szCs w:val="20"/>
                <w:color w:val="auto"/>
              </w:rPr>
            </w:pPr>
            <w:r>
              <w:rPr>
                <w:rFonts w:ascii="Arial" w:cs="Arial" w:eastAsia="Arial" w:hAnsi="Arial"/>
                <w:sz w:val="14"/>
                <w:szCs w:val="14"/>
                <w:b w:val="1"/>
                <w:bCs w:val="1"/>
                <w:color w:val="auto"/>
              </w:rPr>
              <w:t>(a)</w:t>
            </w:r>
          </w:p>
        </w:tc>
        <w:tc>
          <w:tcPr>
            <w:tcW w:w="640" w:type="dxa"/>
            <w:vAlign w:val="bottom"/>
          </w:tcPr>
          <w:p>
            <w:pPr>
              <w:spacing w:after="0"/>
              <w:rPr>
                <w:sz w:val="14"/>
                <w:szCs w:val="14"/>
                <w:color w:val="auto"/>
              </w:rPr>
            </w:pPr>
          </w:p>
        </w:tc>
        <w:tc>
          <w:tcPr>
            <w:tcW w:w="560" w:type="dxa"/>
            <w:vAlign w:val="bottom"/>
            <w:gridSpan w:val="2"/>
          </w:tcPr>
          <w:p>
            <w:pPr>
              <w:spacing w:after="0"/>
              <w:rPr>
                <w:sz w:val="20"/>
                <w:szCs w:val="20"/>
                <w:color w:val="auto"/>
              </w:rPr>
            </w:pPr>
            <w:r>
              <w:rPr>
                <w:rFonts w:ascii="Arial" w:cs="Arial" w:eastAsia="Arial" w:hAnsi="Arial"/>
                <w:sz w:val="14"/>
                <w:szCs w:val="14"/>
                <w:b w:val="1"/>
                <w:bCs w:val="1"/>
                <w:color w:val="auto"/>
                <w:w w:val="83"/>
              </w:rPr>
              <w:t>Recorded</w:t>
            </w:r>
          </w:p>
        </w:tc>
        <w:tc>
          <w:tcPr>
            <w:tcW w:w="6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3"/>
              </w:rPr>
              <w:t>(a)</w:t>
            </w:r>
          </w:p>
        </w:tc>
      </w:tr>
      <w:tr>
        <w:trPr>
          <w:trHeight w:val="210"/>
        </w:trPr>
        <w:tc>
          <w:tcPr>
            <w:tcW w:w="47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Guarantees</w:t>
            </w:r>
          </w:p>
        </w:tc>
        <w:tc>
          <w:tcPr>
            <w:tcW w:w="2320" w:type="dxa"/>
            <w:vAlign w:val="bottom"/>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440" w:type="dxa"/>
            <w:vAlign w:val="bottom"/>
            <w:tcBorders>
              <w:top w:val="single" w:sz="8" w:color="auto"/>
            </w:tcBorders>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44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4740" w:type="dxa"/>
            <w:vAlign w:val="bottom"/>
          </w:tcPr>
          <w:p>
            <w:pPr>
              <w:ind w:left="220"/>
              <w:spacing w:after="0"/>
              <w:rPr>
                <w:sz w:val="20"/>
                <w:szCs w:val="20"/>
                <w:color w:val="auto"/>
              </w:rPr>
            </w:pPr>
            <w:r>
              <w:rPr>
                <w:rFonts w:ascii="Arial" w:cs="Arial" w:eastAsia="Arial" w:hAnsi="Arial"/>
                <w:sz w:val="18"/>
                <w:szCs w:val="18"/>
                <w:color w:val="auto"/>
              </w:rPr>
              <w:t>Operating lease residual values (b)</w:t>
            </w:r>
          </w:p>
        </w:tc>
        <w:tc>
          <w:tcPr>
            <w:tcW w:w="2540" w:type="dxa"/>
            <w:vAlign w:val="bottom"/>
            <w:gridSpan w:val="2"/>
          </w:tcPr>
          <w:p>
            <w:pPr>
              <w:ind w:left="2320"/>
              <w:spacing w:after="0"/>
              <w:rPr>
                <w:sz w:val="20"/>
                <w:szCs w:val="20"/>
                <w:color w:val="auto"/>
              </w:rPr>
            </w:pPr>
            <w:r>
              <w:rPr>
                <w:rFonts w:ascii="Arial" w:cs="Arial" w:eastAsia="Arial" w:hAnsi="Arial"/>
                <w:sz w:val="18"/>
                <w:szCs w:val="18"/>
                <w:color w:val="auto"/>
              </w:rPr>
              <w:t>$</w:t>
            </w:r>
          </w:p>
        </w:tc>
        <w:tc>
          <w:tcPr>
            <w:tcW w:w="980" w:type="dxa"/>
            <w:vAlign w:val="bottom"/>
            <w:gridSpan w:val="2"/>
          </w:tcPr>
          <w:p>
            <w:pPr>
              <w:ind w:left="1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440" w:type="dxa"/>
            <w:vAlign w:val="bottom"/>
          </w:tcPr>
          <w:p>
            <w:pPr>
              <w:jc w:val="right"/>
              <w:spacing w:after="0"/>
              <w:rPr>
                <w:sz w:val="20"/>
                <w:szCs w:val="20"/>
                <w:color w:val="auto"/>
              </w:rPr>
            </w:pPr>
            <w:r>
              <w:rPr>
                <w:rFonts w:ascii="Arial" w:cs="Arial" w:eastAsia="Arial" w:hAnsi="Arial"/>
                <w:sz w:val="18"/>
                <w:szCs w:val="18"/>
                <w:color w:val="auto"/>
              </w:rPr>
              <w:t>76</w:t>
            </w:r>
          </w:p>
        </w:tc>
        <w:tc>
          <w:tcPr>
            <w:tcW w:w="860" w:type="dxa"/>
            <w:vAlign w:val="bottom"/>
            <w:gridSpan w:val="2"/>
          </w:tcPr>
          <w:p>
            <w:pPr>
              <w:ind w:left="640"/>
              <w:spacing w:after="0"/>
              <w:rPr>
                <w:sz w:val="20"/>
                <w:szCs w:val="20"/>
                <w:color w:val="auto"/>
              </w:rPr>
            </w:pPr>
            <w:r>
              <w:rPr>
                <w:rFonts w:ascii="Arial" w:cs="Arial" w:eastAsia="Arial" w:hAnsi="Arial"/>
                <w:sz w:val="18"/>
                <w:szCs w:val="18"/>
                <w:color w:val="auto"/>
              </w:rPr>
              <w:t>$</w:t>
            </w:r>
          </w:p>
        </w:tc>
        <w:tc>
          <w:tcPr>
            <w:tcW w:w="340" w:type="dxa"/>
            <w:vAlign w:val="bottom"/>
          </w:tcPr>
          <w:p>
            <w:pPr>
              <w:jc w:val="right"/>
              <w:spacing w:after="0"/>
              <w:rPr>
                <w:sz w:val="20"/>
                <w:szCs w:val="20"/>
                <w:color w:val="auto"/>
              </w:rPr>
            </w:pPr>
            <w:r>
              <w:rPr>
                <w:rFonts w:ascii="Arial" w:cs="Arial" w:eastAsia="Arial" w:hAnsi="Arial"/>
                <w:sz w:val="18"/>
                <w:szCs w:val="18"/>
                <w:color w:val="auto"/>
              </w:rPr>
              <w:t>—</w:t>
            </w:r>
          </w:p>
        </w:tc>
        <w:tc>
          <w:tcPr>
            <w:tcW w:w="820" w:type="dxa"/>
            <w:vAlign w:val="bottom"/>
            <w:gridSpan w:val="2"/>
          </w:tcPr>
          <w:p>
            <w:pPr>
              <w:ind w:left="660"/>
              <w:spacing w:after="0"/>
              <w:rPr>
                <w:sz w:val="20"/>
                <w:szCs w:val="20"/>
                <w:color w:val="auto"/>
              </w:rPr>
            </w:pPr>
            <w:r>
              <w:rPr>
                <w:rFonts w:ascii="Arial" w:cs="Arial" w:eastAsia="Arial" w:hAnsi="Arial"/>
                <w:sz w:val="18"/>
                <w:szCs w:val="18"/>
                <w:color w:val="auto"/>
              </w:rPr>
              <w:t>$</w:t>
            </w:r>
          </w:p>
        </w:tc>
        <w:tc>
          <w:tcPr>
            <w:tcW w:w="440" w:type="dxa"/>
            <w:vAlign w:val="bottom"/>
          </w:tcPr>
          <w:p>
            <w:pPr>
              <w:jc w:val="right"/>
              <w:spacing w:after="0"/>
              <w:rPr>
                <w:sz w:val="20"/>
                <w:szCs w:val="20"/>
                <w:color w:val="auto"/>
              </w:rPr>
            </w:pPr>
            <w:r>
              <w:rPr>
                <w:rFonts w:ascii="Arial" w:cs="Arial" w:eastAsia="Arial" w:hAnsi="Arial"/>
                <w:sz w:val="18"/>
                <w:szCs w:val="18"/>
                <w:color w:val="auto"/>
              </w:rPr>
              <w:t>79</w:t>
            </w:r>
          </w:p>
        </w:tc>
        <w:tc>
          <w:tcPr>
            <w:tcW w:w="100" w:type="dxa"/>
            <w:vAlign w:val="bottom"/>
          </w:tcPr>
          <w:p>
            <w:pPr>
              <w:spacing w:after="0"/>
              <w:rPr>
                <w:sz w:val="18"/>
                <w:szCs w:val="18"/>
                <w:color w:val="auto"/>
              </w:rPr>
            </w:pPr>
          </w:p>
        </w:tc>
      </w:tr>
      <w:tr>
        <w:trPr>
          <w:trHeight w:val="216"/>
        </w:trPr>
        <w:tc>
          <w:tcPr>
            <w:tcW w:w="47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Supplier commitments and other related obligations</w:t>
            </w:r>
          </w:p>
        </w:tc>
        <w:tc>
          <w:tcPr>
            <w:tcW w:w="2540" w:type="dxa"/>
            <w:vAlign w:val="bottom"/>
            <w:gridSpan w:val="2"/>
            <w:shd w:val="clear" w:color="auto" w:fill="CCEEFF"/>
          </w:tcPr>
          <w:p>
            <w:pPr>
              <w:ind w:left="232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w:t>
            </w:r>
          </w:p>
        </w:tc>
        <w:tc>
          <w:tcPr>
            <w:tcW w:w="860" w:type="dxa"/>
            <w:vAlign w:val="bottom"/>
            <w:gridSpan w:val="2"/>
            <w:shd w:val="clear" w:color="auto" w:fill="CCEEFF"/>
          </w:tcPr>
          <w:p>
            <w:pPr>
              <w:ind w:left="64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820" w:type="dxa"/>
            <w:vAlign w:val="bottom"/>
            <w:gridSpan w:val="2"/>
            <w:shd w:val="clear" w:color="auto" w:fill="CCEEFF"/>
          </w:tcPr>
          <w:p>
            <w:pPr>
              <w:ind w:left="660"/>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218</w:t>
            </w:r>
          </w:p>
        </w:tc>
        <w:tc>
          <w:tcPr>
            <w:tcW w:w="100" w:type="dxa"/>
            <w:vAlign w:val="bottom"/>
            <w:shd w:val="clear" w:color="auto" w:fill="CCEEFF"/>
          </w:tcPr>
          <w:p>
            <w:pPr>
              <w:spacing w:after="0"/>
              <w:rPr>
                <w:sz w:val="18"/>
                <w:szCs w:val="18"/>
                <w:color w:val="auto"/>
              </w:rPr>
            </w:pPr>
          </w:p>
        </w:tc>
      </w:tr>
      <w:tr>
        <w:trPr>
          <w:trHeight w:val="216"/>
        </w:trPr>
        <w:tc>
          <w:tcPr>
            <w:tcW w:w="4740" w:type="dxa"/>
            <w:vAlign w:val="bottom"/>
          </w:tcPr>
          <w:p>
            <w:pPr>
              <w:ind w:left="220"/>
              <w:spacing w:after="0"/>
              <w:rPr>
                <w:sz w:val="20"/>
                <w:szCs w:val="20"/>
                <w:color w:val="auto"/>
              </w:rPr>
            </w:pPr>
            <w:r>
              <w:rPr>
                <w:rFonts w:ascii="Arial" w:cs="Arial" w:eastAsia="Arial" w:hAnsi="Arial"/>
                <w:sz w:val="18"/>
                <w:szCs w:val="18"/>
                <w:color w:val="auto"/>
              </w:rPr>
              <w:t>Ally Financial commercial loans (c)</w:t>
            </w:r>
          </w:p>
        </w:tc>
        <w:tc>
          <w:tcPr>
            <w:tcW w:w="2540" w:type="dxa"/>
            <w:vAlign w:val="bottom"/>
            <w:gridSpan w:val="2"/>
          </w:tcPr>
          <w:p>
            <w:pPr>
              <w:ind w:left="2320"/>
              <w:spacing w:after="0"/>
              <w:rPr>
                <w:sz w:val="20"/>
                <w:szCs w:val="20"/>
                <w:color w:val="auto"/>
              </w:rPr>
            </w:pPr>
            <w:r>
              <w:rPr>
                <w:rFonts w:ascii="Arial" w:cs="Arial" w:eastAsia="Arial" w:hAnsi="Arial"/>
                <w:sz w:val="18"/>
                <w:szCs w:val="18"/>
                <w:color w:val="auto"/>
              </w:rPr>
              <w:t>$</w:t>
            </w:r>
          </w:p>
        </w:tc>
        <w:tc>
          <w:tcPr>
            <w:tcW w:w="980" w:type="dxa"/>
            <w:vAlign w:val="bottom"/>
            <w:gridSpan w:val="2"/>
          </w:tcPr>
          <w:p>
            <w:pPr>
              <w:ind w:left="1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440" w:type="dxa"/>
            <w:vAlign w:val="bottom"/>
          </w:tcPr>
          <w:p>
            <w:pPr>
              <w:jc w:val="right"/>
              <w:spacing w:after="0"/>
              <w:rPr>
                <w:sz w:val="20"/>
                <w:szCs w:val="20"/>
                <w:color w:val="auto"/>
              </w:rPr>
            </w:pPr>
            <w:r>
              <w:rPr>
                <w:rFonts w:ascii="Arial" w:cs="Arial" w:eastAsia="Arial" w:hAnsi="Arial"/>
                <w:sz w:val="18"/>
                <w:szCs w:val="18"/>
                <w:color w:val="auto"/>
              </w:rPr>
              <w:t>28</w:t>
            </w:r>
          </w:p>
        </w:tc>
        <w:tc>
          <w:tcPr>
            <w:tcW w:w="860" w:type="dxa"/>
            <w:vAlign w:val="bottom"/>
            <w:gridSpan w:val="2"/>
          </w:tcPr>
          <w:p>
            <w:pPr>
              <w:ind w:left="640"/>
              <w:spacing w:after="0"/>
              <w:rPr>
                <w:sz w:val="20"/>
                <w:szCs w:val="20"/>
                <w:color w:val="auto"/>
              </w:rPr>
            </w:pPr>
            <w:r>
              <w:rPr>
                <w:rFonts w:ascii="Arial" w:cs="Arial" w:eastAsia="Arial" w:hAnsi="Arial"/>
                <w:sz w:val="18"/>
                <w:szCs w:val="18"/>
                <w:color w:val="auto"/>
              </w:rPr>
              <w:t>$</w:t>
            </w:r>
          </w:p>
        </w:tc>
        <w:tc>
          <w:tcPr>
            <w:tcW w:w="340" w:type="dxa"/>
            <w:vAlign w:val="bottom"/>
          </w:tcPr>
          <w:p>
            <w:pPr>
              <w:jc w:val="right"/>
              <w:spacing w:after="0"/>
              <w:rPr>
                <w:sz w:val="20"/>
                <w:szCs w:val="20"/>
                <w:color w:val="auto"/>
              </w:rPr>
            </w:pPr>
            <w:r>
              <w:rPr>
                <w:rFonts w:ascii="Arial" w:cs="Arial" w:eastAsia="Arial" w:hAnsi="Arial"/>
                <w:sz w:val="18"/>
                <w:szCs w:val="18"/>
                <w:color w:val="auto"/>
              </w:rPr>
              <w:t>2</w:t>
            </w:r>
          </w:p>
        </w:tc>
        <w:tc>
          <w:tcPr>
            <w:tcW w:w="820" w:type="dxa"/>
            <w:vAlign w:val="bottom"/>
            <w:gridSpan w:val="2"/>
          </w:tcPr>
          <w:p>
            <w:pPr>
              <w:ind w:left="660"/>
              <w:spacing w:after="0"/>
              <w:rPr>
                <w:sz w:val="20"/>
                <w:szCs w:val="20"/>
                <w:color w:val="auto"/>
              </w:rPr>
            </w:pPr>
            <w:r>
              <w:rPr>
                <w:rFonts w:ascii="Arial" w:cs="Arial" w:eastAsia="Arial" w:hAnsi="Arial"/>
                <w:sz w:val="18"/>
                <w:szCs w:val="18"/>
                <w:color w:val="auto"/>
              </w:rPr>
              <w:t>$</w:t>
            </w:r>
          </w:p>
        </w:tc>
        <w:tc>
          <w:tcPr>
            <w:tcW w:w="440" w:type="dxa"/>
            <w:vAlign w:val="bottom"/>
          </w:tcPr>
          <w:p>
            <w:pPr>
              <w:jc w:val="right"/>
              <w:spacing w:after="0"/>
              <w:rPr>
                <w:sz w:val="20"/>
                <w:szCs w:val="20"/>
                <w:color w:val="auto"/>
              </w:rPr>
            </w:pPr>
            <w:r>
              <w:rPr>
                <w:rFonts w:ascii="Arial" w:cs="Arial" w:eastAsia="Arial" w:hAnsi="Arial"/>
                <w:sz w:val="18"/>
                <w:szCs w:val="18"/>
                <w:color w:val="auto"/>
              </w:rPr>
              <w:t>167</w:t>
            </w:r>
          </w:p>
        </w:tc>
        <w:tc>
          <w:tcPr>
            <w:tcW w:w="100" w:type="dxa"/>
            <w:vAlign w:val="bottom"/>
          </w:tcPr>
          <w:p>
            <w:pPr>
              <w:spacing w:after="0"/>
              <w:rPr>
                <w:sz w:val="18"/>
                <w:szCs w:val="18"/>
                <w:color w:val="auto"/>
              </w:rPr>
            </w:pPr>
          </w:p>
        </w:tc>
      </w:tr>
      <w:tr>
        <w:trPr>
          <w:trHeight w:val="216"/>
        </w:trPr>
        <w:tc>
          <w:tcPr>
            <w:tcW w:w="47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Other product-related claims</w:t>
            </w:r>
          </w:p>
        </w:tc>
        <w:tc>
          <w:tcPr>
            <w:tcW w:w="2540" w:type="dxa"/>
            <w:vAlign w:val="bottom"/>
            <w:gridSpan w:val="2"/>
            <w:shd w:val="clear" w:color="auto" w:fill="CCEEFF"/>
          </w:tcPr>
          <w:p>
            <w:pPr>
              <w:ind w:left="232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56</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480</w:t>
            </w:r>
          </w:p>
        </w:tc>
        <w:tc>
          <w:tcPr>
            <w:tcW w:w="860" w:type="dxa"/>
            <w:vAlign w:val="bottom"/>
            <w:gridSpan w:val="2"/>
            <w:shd w:val="clear" w:color="auto" w:fill="CCEEFF"/>
          </w:tcPr>
          <w:p>
            <w:pPr>
              <w:ind w:left="64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w:t>
            </w:r>
          </w:p>
        </w:tc>
        <w:tc>
          <w:tcPr>
            <w:tcW w:w="820" w:type="dxa"/>
            <w:vAlign w:val="bottom"/>
            <w:gridSpan w:val="2"/>
            <w:shd w:val="clear" w:color="auto" w:fill="CCEEFF"/>
          </w:tcPr>
          <w:p>
            <w:pPr>
              <w:ind w:left="660"/>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553</w:t>
            </w:r>
          </w:p>
        </w:tc>
        <w:tc>
          <w:tcPr>
            <w:tcW w:w="100" w:type="dxa"/>
            <w:vAlign w:val="bottom"/>
            <w:shd w:val="clear" w:color="auto" w:fill="CCEEFF"/>
          </w:tcPr>
          <w:p>
            <w:pPr>
              <w:spacing w:after="0"/>
              <w:rPr>
                <w:sz w:val="18"/>
                <w:szCs w:val="18"/>
                <w:color w:val="auto"/>
              </w:rPr>
            </w:pPr>
          </w:p>
        </w:tc>
      </w:tr>
      <w:tr>
        <w:trPr>
          <w:trHeight w:val="363"/>
        </w:trPr>
        <w:tc>
          <w:tcPr>
            <w:tcW w:w="4740" w:type="dxa"/>
            <w:vAlign w:val="bottom"/>
          </w:tcPr>
          <w:p>
            <w:pPr>
              <w:spacing w:after="0"/>
              <w:rPr>
                <w:sz w:val="24"/>
                <w:szCs w:val="24"/>
                <w:color w:val="auto"/>
              </w:rPr>
            </w:pPr>
          </w:p>
        </w:tc>
        <w:tc>
          <w:tcPr>
            <w:tcW w:w="2320" w:type="dxa"/>
            <w:vAlign w:val="bottom"/>
          </w:tcPr>
          <w:p>
            <w:pPr>
              <w:ind w:left="880"/>
              <w:spacing w:after="0"/>
              <w:rPr>
                <w:sz w:val="20"/>
                <w:szCs w:val="20"/>
                <w:color w:val="auto"/>
              </w:rPr>
            </w:pPr>
            <w:r>
              <w:rPr>
                <w:rFonts w:ascii="Arial" w:cs="Arial" w:eastAsia="Arial" w:hAnsi="Arial"/>
                <w:sz w:val="18"/>
                <w:szCs w:val="18"/>
                <w:color w:val="auto"/>
              </w:rPr>
              <w:t>44</w:t>
            </w:r>
          </w:p>
        </w:tc>
        <w:tc>
          <w:tcPr>
            <w:tcW w:w="2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r>
    </w:tbl>
    <w:p>
      <w:pPr>
        <w:sectPr>
          <w:pgSz w:w="11900" w:h="16838" w:orient="portrait"/>
          <w:cols w:equalWidth="0" w:num="1">
            <w:col w:w="11420"/>
          </w:cols>
          <w:pgMar w:left="240" w:top="459" w:right="239" w:bottom="1440" w:gutter="0" w:footer="0" w:header="0"/>
        </w:sectPr>
      </w:pPr>
    </w:p>
    <w:bookmarkStart w:id="46" w:name="page47"/>
    <w:bookmarkEnd w:id="4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177800</wp:posOffset>
            </wp:positionV>
            <wp:extent cx="728980" cy="88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292" w:lineRule="exact"/>
        <w:rPr>
          <w:sz w:val="20"/>
          <w:szCs w:val="20"/>
          <w:color w:val="auto"/>
        </w:rPr>
      </w:pPr>
    </w:p>
    <w:p>
      <w:pPr>
        <w:ind w:left="460" w:hanging="452"/>
        <w:spacing w:after="0"/>
        <w:tabs>
          <w:tab w:leader="none" w:pos="4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Calculated as future undiscounted payments.</w:t>
      </w:r>
    </w:p>
    <w:p>
      <w:pPr>
        <w:spacing w:after="0" w:line="90" w:lineRule="exact"/>
        <w:rPr>
          <w:rFonts w:ascii="Arial" w:cs="Arial" w:eastAsia="Arial" w:hAnsi="Arial"/>
          <w:sz w:val="18"/>
          <w:szCs w:val="18"/>
          <w:color w:val="auto"/>
        </w:rPr>
      </w:pPr>
    </w:p>
    <w:p>
      <w:pPr>
        <w:ind w:left="460" w:hanging="452"/>
        <w:spacing w:after="0"/>
        <w:tabs>
          <w:tab w:leader="none" w:pos="4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Excludes residual support and risk sharing programs related to Ally Financial.</w:t>
      </w:r>
    </w:p>
    <w:p>
      <w:pPr>
        <w:spacing w:after="0" w:line="90" w:lineRule="exact"/>
        <w:rPr>
          <w:rFonts w:ascii="Arial" w:cs="Arial" w:eastAsia="Arial" w:hAnsi="Arial"/>
          <w:sz w:val="18"/>
          <w:szCs w:val="18"/>
          <w:color w:val="auto"/>
        </w:rPr>
      </w:pPr>
    </w:p>
    <w:p>
      <w:pPr>
        <w:ind w:left="460" w:hanging="452"/>
        <w:spacing w:after="0" w:line="255" w:lineRule="auto"/>
        <w:tabs>
          <w:tab w:leader="none" w:pos="4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At December 31, 2009 includes $127 million related to a guarantee provided to Ally Financial in Brazil in connection with dealer floor plan financing. At December 31, 2009 this guarantee was collateralized by certificates of deposit of $127 million purchased from Ally Financial to which we have title and which are recorded in Restricted cash and marketable securities. The purchase of the certificates of deposit was funded in part by contributions from dealers for which we have recorded a corresponding deposit liability of $104 million, which was recorded in Other liabilities at December 31, 2009. In the nine months ended September 30, 2010 this guarantee was terminated.</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7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260" w:type="dxa"/>
            <w:vAlign w:val="bottom"/>
            <w:tcBorders>
              <w:bottom w:val="single" w:sz="8" w:color="auto"/>
            </w:tcBorders>
            <w:gridSpan w:val="2"/>
          </w:tcPr>
          <w:p>
            <w:pPr>
              <w:ind w:left="80"/>
              <w:spacing w:after="0"/>
              <w:rPr>
                <w:sz w:val="20"/>
                <w:szCs w:val="20"/>
                <w:color w:val="auto"/>
              </w:rPr>
            </w:pPr>
            <w:r>
              <w:rPr>
                <w:rFonts w:ascii="Arial" w:cs="Arial" w:eastAsia="Arial" w:hAnsi="Arial"/>
                <w:sz w:val="14"/>
                <w:szCs w:val="14"/>
                <w:b w:val="1"/>
                <w:bCs w:val="1"/>
                <w:color w:val="auto"/>
              </w:rPr>
              <w:t>Successor</w:t>
            </w:r>
          </w:p>
        </w:tc>
        <w:tc>
          <w:tcPr>
            <w:tcW w:w="7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42"/>
        </w:trPr>
        <w:tc>
          <w:tcPr>
            <w:tcW w:w="5720" w:type="dxa"/>
            <w:vAlign w:val="bottom"/>
          </w:tcPr>
          <w:p>
            <w:pPr>
              <w:spacing w:after="0"/>
              <w:rPr>
                <w:sz w:val="12"/>
                <w:szCs w:val="12"/>
                <w:color w:val="auto"/>
              </w:rPr>
            </w:pPr>
          </w:p>
        </w:tc>
        <w:tc>
          <w:tcPr>
            <w:tcW w:w="2400" w:type="dxa"/>
            <w:vAlign w:val="bottom"/>
          </w:tcPr>
          <w:p>
            <w:pPr>
              <w:spacing w:after="0"/>
              <w:rPr>
                <w:sz w:val="12"/>
                <w:szCs w:val="12"/>
                <w:color w:val="auto"/>
              </w:rPr>
            </w:pPr>
          </w:p>
        </w:tc>
        <w:tc>
          <w:tcPr>
            <w:tcW w:w="1240" w:type="dxa"/>
            <w:vAlign w:val="bottom"/>
            <w:gridSpan w:val="3"/>
          </w:tcPr>
          <w:p>
            <w:pPr>
              <w:spacing w:after="0" w:line="142" w:lineRule="exact"/>
              <w:rPr>
                <w:sz w:val="20"/>
                <w:szCs w:val="20"/>
                <w:color w:val="auto"/>
              </w:rPr>
            </w:pPr>
            <w:r>
              <w:rPr>
                <w:rFonts w:ascii="Arial" w:cs="Arial" w:eastAsia="Arial" w:hAnsi="Arial"/>
                <w:sz w:val="14"/>
                <w:szCs w:val="14"/>
                <w:b w:val="1"/>
                <w:bCs w:val="1"/>
                <w:color w:val="auto"/>
                <w:w w:val="93"/>
              </w:rPr>
              <w:t>September 30, 2010</w:t>
            </w:r>
          </w:p>
        </w:tc>
        <w:tc>
          <w:tcPr>
            <w:tcW w:w="880" w:type="dxa"/>
            <w:vAlign w:val="bottom"/>
          </w:tcPr>
          <w:p>
            <w:pPr>
              <w:spacing w:after="0"/>
              <w:rPr>
                <w:sz w:val="12"/>
                <w:szCs w:val="12"/>
                <w:color w:val="auto"/>
              </w:rPr>
            </w:pPr>
          </w:p>
        </w:tc>
        <w:tc>
          <w:tcPr>
            <w:tcW w:w="1080" w:type="dxa"/>
            <w:vAlign w:val="bottom"/>
            <w:gridSpan w:val="2"/>
          </w:tcPr>
          <w:p>
            <w:pPr>
              <w:spacing w:after="0" w:line="142" w:lineRule="exact"/>
              <w:rPr>
                <w:sz w:val="20"/>
                <w:szCs w:val="20"/>
                <w:color w:val="auto"/>
              </w:rPr>
            </w:pPr>
            <w:r>
              <w:rPr>
                <w:rFonts w:ascii="Arial" w:cs="Arial" w:eastAsia="Arial" w:hAnsi="Arial"/>
                <w:sz w:val="14"/>
                <w:szCs w:val="14"/>
                <w:b w:val="1"/>
                <w:bCs w:val="1"/>
                <w:color w:val="auto"/>
                <w:w w:val="84"/>
              </w:rPr>
              <w:t>December 31, 2009</w:t>
            </w:r>
          </w:p>
        </w:tc>
        <w:tc>
          <w:tcPr>
            <w:tcW w:w="100" w:type="dxa"/>
            <w:vAlign w:val="bottom"/>
          </w:tcPr>
          <w:p>
            <w:pPr>
              <w:spacing w:after="0"/>
              <w:rPr>
                <w:sz w:val="12"/>
                <w:szCs w:val="12"/>
                <w:color w:val="auto"/>
              </w:rPr>
            </w:pPr>
          </w:p>
        </w:tc>
      </w:tr>
      <w:tr>
        <w:trPr>
          <w:trHeight w:val="142"/>
        </w:trPr>
        <w:tc>
          <w:tcPr>
            <w:tcW w:w="5720" w:type="dxa"/>
            <w:vAlign w:val="bottom"/>
          </w:tcPr>
          <w:p>
            <w:pPr>
              <w:spacing w:after="0"/>
              <w:rPr>
                <w:sz w:val="12"/>
                <w:szCs w:val="12"/>
                <w:color w:val="auto"/>
              </w:rPr>
            </w:pPr>
          </w:p>
        </w:tc>
        <w:tc>
          <w:tcPr>
            <w:tcW w:w="2400" w:type="dxa"/>
            <w:vAlign w:val="bottom"/>
          </w:tcPr>
          <w:p>
            <w:pPr>
              <w:spacing w:after="0"/>
              <w:rPr>
                <w:sz w:val="12"/>
                <w:szCs w:val="12"/>
                <w:color w:val="auto"/>
              </w:rPr>
            </w:pPr>
          </w:p>
        </w:tc>
        <w:tc>
          <w:tcPr>
            <w:tcW w:w="1140" w:type="dxa"/>
            <w:vAlign w:val="bottom"/>
            <w:tcBorders>
              <w:top w:val="single" w:sz="8" w:color="auto"/>
              <w:bottom w:val="single" w:sz="8" w:color="auto"/>
            </w:tcBorders>
            <w:gridSpan w:val="2"/>
          </w:tcPr>
          <w:p>
            <w:pPr>
              <w:ind w:left="20"/>
              <w:spacing w:after="0" w:line="142" w:lineRule="exact"/>
              <w:rPr>
                <w:sz w:val="20"/>
                <w:szCs w:val="20"/>
                <w:color w:val="auto"/>
              </w:rPr>
            </w:pPr>
            <w:r>
              <w:rPr>
                <w:rFonts w:ascii="Arial" w:cs="Arial" w:eastAsia="Arial" w:hAnsi="Arial"/>
                <w:sz w:val="14"/>
                <w:szCs w:val="14"/>
                <w:b w:val="1"/>
                <w:bCs w:val="1"/>
                <w:color w:val="auto"/>
                <w:w w:val="90"/>
              </w:rPr>
              <w:t>Liability Recorded</w:t>
            </w:r>
          </w:p>
        </w:tc>
        <w:tc>
          <w:tcPr>
            <w:tcW w:w="1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80" w:type="dxa"/>
            <w:vAlign w:val="bottom"/>
            <w:tcBorders>
              <w:top w:val="single" w:sz="8" w:color="auto"/>
              <w:bottom w:val="single" w:sz="8" w:color="auto"/>
            </w:tcBorders>
            <w:gridSpan w:val="2"/>
          </w:tcPr>
          <w:p>
            <w:pPr>
              <w:spacing w:after="0" w:line="142" w:lineRule="exact"/>
              <w:rPr>
                <w:sz w:val="20"/>
                <w:szCs w:val="20"/>
                <w:color w:val="auto"/>
              </w:rPr>
            </w:pPr>
            <w:r>
              <w:rPr>
                <w:rFonts w:ascii="Arial" w:cs="Arial" w:eastAsia="Arial" w:hAnsi="Arial"/>
                <w:sz w:val="14"/>
                <w:szCs w:val="14"/>
                <w:b w:val="1"/>
                <w:bCs w:val="1"/>
                <w:color w:val="auto"/>
                <w:w w:val="87"/>
              </w:rPr>
              <w:t>Liability Recorded</w:t>
            </w:r>
          </w:p>
        </w:tc>
        <w:tc>
          <w:tcPr>
            <w:tcW w:w="100" w:type="dxa"/>
            <w:vAlign w:val="bottom"/>
          </w:tcPr>
          <w:p>
            <w:pPr>
              <w:spacing w:after="0"/>
              <w:rPr>
                <w:sz w:val="12"/>
                <w:szCs w:val="12"/>
                <w:color w:val="auto"/>
              </w:rPr>
            </w:pPr>
          </w:p>
        </w:tc>
      </w:tr>
      <w:tr>
        <w:trPr>
          <w:trHeight w:val="210"/>
        </w:trPr>
        <w:tc>
          <w:tcPr>
            <w:tcW w:w="5720" w:type="dxa"/>
            <w:vAlign w:val="bottom"/>
            <w:shd w:val="clear" w:color="auto" w:fill="CCEEFF"/>
          </w:tcPr>
          <w:p>
            <w:pPr>
              <w:spacing w:after="0"/>
              <w:rPr>
                <w:sz w:val="20"/>
                <w:szCs w:val="20"/>
                <w:color w:val="auto"/>
              </w:rPr>
            </w:pPr>
            <w:r>
              <w:rPr>
                <w:rFonts w:ascii="Arial" w:cs="Arial" w:eastAsia="Arial" w:hAnsi="Arial"/>
                <w:sz w:val="18"/>
                <w:szCs w:val="18"/>
                <w:color w:val="auto"/>
              </w:rPr>
              <w:t>Environmental liability (a)</w:t>
            </w:r>
          </w:p>
        </w:tc>
        <w:tc>
          <w:tcPr>
            <w:tcW w:w="2820" w:type="dxa"/>
            <w:vAlign w:val="bottom"/>
            <w:gridSpan w:val="2"/>
            <w:shd w:val="clear" w:color="auto" w:fill="CCEEFF"/>
          </w:tcPr>
          <w:p>
            <w:pPr>
              <w:ind w:left="2400"/>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205</w:t>
            </w:r>
          </w:p>
        </w:tc>
        <w:tc>
          <w:tcPr>
            <w:tcW w:w="1260" w:type="dxa"/>
            <w:vAlign w:val="bottom"/>
            <w:gridSpan w:val="2"/>
            <w:shd w:val="clear" w:color="auto" w:fill="CCEEFF"/>
          </w:tcPr>
          <w:p>
            <w:pPr>
              <w:ind w:left="880"/>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190</w:t>
            </w:r>
          </w:p>
        </w:tc>
        <w:tc>
          <w:tcPr>
            <w:tcW w:w="100" w:type="dxa"/>
            <w:vAlign w:val="bottom"/>
            <w:shd w:val="clear" w:color="auto" w:fill="CCEEFF"/>
          </w:tcPr>
          <w:p>
            <w:pPr>
              <w:spacing w:after="0"/>
              <w:rPr>
                <w:sz w:val="18"/>
                <w:szCs w:val="18"/>
                <w:color w:val="auto"/>
              </w:rPr>
            </w:pPr>
          </w:p>
        </w:tc>
      </w:tr>
      <w:tr>
        <w:trPr>
          <w:trHeight w:val="216"/>
        </w:trPr>
        <w:tc>
          <w:tcPr>
            <w:tcW w:w="5720" w:type="dxa"/>
            <w:vAlign w:val="bottom"/>
          </w:tcPr>
          <w:p>
            <w:pPr>
              <w:spacing w:after="0"/>
              <w:rPr>
                <w:sz w:val="20"/>
                <w:szCs w:val="20"/>
                <w:color w:val="auto"/>
              </w:rPr>
            </w:pPr>
            <w:r>
              <w:rPr>
                <w:rFonts w:ascii="Arial" w:cs="Arial" w:eastAsia="Arial" w:hAnsi="Arial"/>
                <w:sz w:val="18"/>
                <w:szCs w:val="18"/>
                <w:color w:val="auto"/>
              </w:rPr>
              <w:t>Product liability</w:t>
            </w:r>
          </w:p>
        </w:tc>
        <w:tc>
          <w:tcPr>
            <w:tcW w:w="2820" w:type="dxa"/>
            <w:vAlign w:val="bottom"/>
            <w:gridSpan w:val="2"/>
          </w:tcPr>
          <w:p>
            <w:pPr>
              <w:ind w:left="2400"/>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318</w:t>
            </w:r>
          </w:p>
        </w:tc>
        <w:tc>
          <w:tcPr>
            <w:tcW w:w="1260" w:type="dxa"/>
            <w:vAlign w:val="bottom"/>
            <w:gridSpan w:val="2"/>
          </w:tcPr>
          <w:p>
            <w:pPr>
              <w:ind w:left="880"/>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319</w:t>
            </w:r>
          </w:p>
        </w:tc>
        <w:tc>
          <w:tcPr>
            <w:tcW w:w="100" w:type="dxa"/>
            <w:vAlign w:val="bottom"/>
          </w:tcPr>
          <w:p>
            <w:pPr>
              <w:spacing w:after="0"/>
              <w:rPr>
                <w:sz w:val="18"/>
                <w:szCs w:val="18"/>
                <w:color w:val="auto"/>
              </w:rPr>
            </w:pPr>
          </w:p>
        </w:tc>
      </w:tr>
      <w:tr>
        <w:trPr>
          <w:trHeight w:val="216"/>
        </w:trPr>
        <w:tc>
          <w:tcPr>
            <w:tcW w:w="5720" w:type="dxa"/>
            <w:vAlign w:val="bottom"/>
            <w:shd w:val="clear" w:color="auto" w:fill="CCEEFF"/>
          </w:tcPr>
          <w:p>
            <w:pPr>
              <w:spacing w:after="0"/>
              <w:rPr>
                <w:sz w:val="20"/>
                <w:szCs w:val="20"/>
                <w:color w:val="auto"/>
              </w:rPr>
            </w:pPr>
            <w:r>
              <w:rPr>
                <w:rFonts w:ascii="Arial" w:cs="Arial" w:eastAsia="Arial" w:hAnsi="Arial"/>
                <w:sz w:val="18"/>
                <w:szCs w:val="18"/>
                <w:color w:val="auto"/>
              </w:rPr>
              <w:t>Liability related to contingently issuable shares</w:t>
            </w:r>
          </w:p>
        </w:tc>
        <w:tc>
          <w:tcPr>
            <w:tcW w:w="2820" w:type="dxa"/>
            <w:vAlign w:val="bottom"/>
            <w:gridSpan w:val="2"/>
            <w:shd w:val="clear" w:color="auto" w:fill="CCEEFF"/>
          </w:tcPr>
          <w:p>
            <w:pPr>
              <w:ind w:left="2400"/>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231</w:t>
            </w:r>
          </w:p>
        </w:tc>
        <w:tc>
          <w:tcPr>
            <w:tcW w:w="1260" w:type="dxa"/>
            <w:vAlign w:val="bottom"/>
            <w:gridSpan w:val="2"/>
            <w:shd w:val="clear" w:color="auto" w:fill="CCEEFF"/>
          </w:tcPr>
          <w:p>
            <w:pPr>
              <w:ind w:left="880"/>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162</w:t>
            </w:r>
          </w:p>
        </w:tc>
        <w:tc>
          <w:tcPr>
            <w:tcW w:w="100" w:type="dxa"/>
            <w:vAlign w:val="bottom"/>
            <w:shd w:val="clear" w:color="auto" w:fill="CCEEFF"/>
          </w:tcPr>
          <w:p>
            <w:pPr>
              <w:spacing w:after="0"/>
              <w:rPr>
                <w:sz w:val="18"/>
                <w:szCs w:val="18"/>
                <w:color w:val="auto"/>
              </w:rPr>
            </w:pPr>
          </w:p>
        </w:tc>
      </w:tr>
      <w:tr>
        <w:trPr>
          <w:trHeight w:val="222"/>
        </w:trPr>
        <w:tc>
          <w:tcPr>
            <w:tcW w:w="5720" w:type="dxa"/>
            <w:vAlign w:val="bottom"/>
          </w:tcPr>
          <w:p>
            <w:pPr>
              <w:spacing w:after="0"/>
              <w:rPr>
                <w:sz w:val="20"/>
                <w:szCs w:val="20"/>
                <w:color w:val="auto"/>
              </w:rPr>
            </w:pPr>
            <w:r>
              <w:rPr>
                <w:rFonts w:ascii="Arial" w:cs="Arial" w:eastAsia="Arial" w:hAnsi="Arial"/>
                <w:sz w:val="18"/>
                <w:szCs w:val="18"/>
                <w:color w:val="auto"/>
              </w:rPr>
              <w:t>Other litigation-related liabilities (b)</w:t>
            </w:r>
          </w:p>
        </w:tc>
        <w:tc>
          <w:tcPr>
            <w:tcW w:w="2820" w:type="dxa"/>
            <w:vAlign w:val="bottom"/>
            <w:gridSpan w:val="2"/>
          </w:tcPr>
          <w:p>
            <w:pPr>
              <w:ind w:left="2400"/>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1,421</w:t>
            </w:r>
          </w:p>
        </w:tc>
        <w:tc>
          <w:tcPr>
            <w:tcW w:w="1260" w:type="dxa"/>
            <w:vAlign w:val="bottom"/>
            <w:gridSpan w:val="2"/>
          </w:tcPr>
          <w:p>
            <w:pPr>
              <w:ind w:left="880"/>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1,192</w:t>
            </w:r>
          </w:p>
        </w:tc>
        <w:tc>
          <w:tcPr>
            <w:tcW w:w="100" w:type="dxa"/>
            <w:vAlign w:val="bottom"/>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64770</wp:posOffset>
            </wp:positionV>
            <wp:extent cx="728980" cy="88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14" w:lineRule="exact"/>
        <w:rPr>
          <w:sz w:val="20"/>
          <w:szCs w:val="20"/>
          <w:color w:val="auto"/>
        </w:rPr>
      </w:pPr>
    </w:p>
    <w:p>
      <w:pPr>
        <w:ind w:left="460" w:right="440" w:hanging="452"/>
        <w:spacing w:after="0" w:line="268" w:lineRule="auto"/>
        <w:tabs>
          <w:tab w:leader="none" w:pos="4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Of the amounts we recorded, $40 million and $28 million were recorded in Accrued expenses at September 30, 2010 and December 31, 2009, and the remainder was recorded in Other liabilities.</w:t>
      </w:r>
    </w:p>
    <w:p>
      <w:pPr>
        <w:spacing w:after="0" w:line="50" w:lineRule="exact"/>
        <w:rPr>
          <w:rFonts w:ascii="Arial" w:cs="Arial" w:eastAsia="Arial" w:hAnsi="Arial"/>
          <w:sz w:val="18"/>
          <w:szCs w:val="18"/>
          <w:color w:val="auto"/>
        </w:rPr>
      </w:pPr>
    </w:p>
    <w:p>
      <w:pPr>
        <w:ind w:left="460" w:hanging="452"/>
        <w:spacing w:after="0"/>
        <w:tabs>
          <w:tab w:leader="none" w:pos="4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Consists primarily of tax-related litigation not recorded pursuant to ASC 740 as well as various non-U.S. labor related items.</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Guarantees</w:t>
      </w:r>
    </w:p>
    <w:p>
      <w:pPr>
        <w:spacing w:after="0" w:line="177" w:lineRule="exact"/>
        <w:rPr>
          <w:sz w:val="20"/>
          <w:szCs w:val="20"/>
          <w:color w:val="auto"/>
        </w:rPr>
      </w:pPr>
    </w:p>
    <w:p>
      <w:pPr>
        <w:ind w:right="120" w:firstLine="228"/>
        <w:spacing w:after="0" w:line="268" w:lineRule="auto"/>
        <w:rPr>
          <w:sz w:val="20"/>
          <w:szCs w:val="20"/>
          <w:color w:val="auto"/>
        </w:rPr>
      </w:pPr>
      <w:r>
        <w:rPr>
          <w:rFonts w:ascii="Arial" w:cs="Arial" w:eastAsia="Arial" w:hAnsi="Arial"/>
          <w:sz w:val="18"/>
          <w:szCs w:val="18"/>
          <w:color w:val="auto"/>
        </w:rPr>
        <w:t>We have provided guarantees related to the residual value of certain operating leases. These guarantees terminate in years ranging from 2011 to 2035. Certain leases contain renewal options.</w:t>
      </w:r>
    </w:p>
    <w:p>
      <w:pPr>
        <w:spacing w:after="0" w:line="132" w:lineRule="exact"/>
        <w:rPr>
          <w:sz w:val="20"/>
          <w:szCs w:val="20"/>
          <w:color w:val="auto"/>
        </w:rPr>
      </w:pPr>
    </w:p>
    <w:p>
      <w:pPr>
        <w:ind w:right="120" w:firstLine="228"/>
        <w:spacing w:after="0" w:line="268" w:lineRule="auto"/>
        <w:rPr>
          <w:sz w:val="20"/>
          <w:szCs w:val="20"/>
          <w:color w:val="auto"/>
        </w:rPr>
      </w:pPr>
      <w:r>
        <w:rPr>
          <w:rFonts w:ascii="Arial" w:cs="Arial" w:eastAsia="Arial" w:hAnsi="Arial"/>
          <w:sz w:val="18"/>
          <w:szCs w:val="18"/>
          <w:color w:val="auto"/>
        </w:rPr>
        <w:t>We have agreements with third parties that guarantee the fulfillment of certain suppliers’ commitments and other related obligations. These guarantees expire in years ranging from 2010 to 2013, or upon the occurrence of specific events.</w:t>
      </w:r>
    </w:p>
    <w:p>
      <w:pPr>
        <w:spacing w:after="0" w:line="132" w:lineRule="exact"/>
        <w:rPr>
          <w:sz w:val="20"/>
          <w:szCs w:val="20"/>
          <w:color w:val="auto"/>
        </w:rPr>
      </w:pPr>
    </w:p>
    <w:p>
      <w:pPr>
        <w:ind w:right="120" w:firstLine="228"/>
        <w:spacing w:after="0" w:line="268" w:lineRule="auto"/>
        <w:rPr>
          <w:sz w:val="20"/>
          <w:szCs w:val="20"/>
          <w:color w:val="auto"/>
        </w:rPr>
      </w:pPr>
      <w:r>
        <w:rPr>
          <w:rFonts w:ascii="Arial" w:cs="Arial" w:eastAsia="Arial" w:hAnsi="Arial"/>
          <w:sz w:val="18"/>
          <w:szCs w:val="18"/>
          <w:color w:val="auto"/>
        </w:rPr>
        <w:t>In some instances, certain assets of the party whose debt or performance we have guaranteed may offset, to some degree, the cost of the guarantee. The offset of certain of our payables to guaranteed parties may also offset certain guarantees, if triggered.</w:t>
      </w:r>
    </w:p>
    <w:p>
      <w:pPr>
        <w:spacing w:after="0" w:line="132" w:lineRule="exact"/>
        <w:rPr>
          <w:sz w:val="20"/>
          <w:szCs w:val="20"/>
          <w:color w:val="auto"/>
        </w:rPr>
      </w:pPr>
    </w:p>
    <w:p>
      <w:pPr>
        <w:ind w:right="440" w:firstLine="228"/>
        <w:spacing w:after="0" w:line="335" w:lineRule="auto"/>
        <w:rPr>
          <w:sz w:val="20"/>
          <w:szCs w:val="20"/>
          <w:color w:val="auto"/>
        </w:rPr>
      </w:pPr>
      <w:r>
        <w:rPr>
          <w:rFonts w:ascii="Arial" w:cs="Arial" w:eastAsia="Arial" w:hAnsi="Arial"/>
          <w:sz w:val="15"/>
          <w:szCs w:val="15"/>
          <w:color w:val="auto"/>
        </w:rPr>
        <w:t>We also provide payment guarantees on commercial loans made by Ally Financial and outstanding with certain third parties, such as dealers or rental car companies. These guarantees either expire in years ranging from 2011 to 2029 or are ongoing. We determined the value ascribed to the guarantees to be insignificant based on the credit worthiness of the third parties. Refer to Note 23 for additional information on guarantees that we provide to Ally Financial.</w:t>
      </w:r>
    </w:p>
    <w:p>
      <w:pPr>
        <w:spacing w:after="0" w:line="88" w:lineRule="exact"/>
        <w:rPr>
          <w:sz w:val="20"/>
          <w:szCs w:val="20"/>
          <w:color w:val="auto"/>
        </w:rPr>
      </w:pPr>
    </w:p>
    <w:p>
      <w:pPr>
        <w:ind w:right="240" w:firstLine="228"/>
        <w:spacing w:after="0" w:line="256" w:lineRule="auto"/>
        <w:rPr>
          <w:sz w:val="20"/>
          <w:szCs w:val="20"/>
          <w:color w:val="auto"/>
        </w:rPr>
      </w:pPr>
      <w:r>
        <w:rPr>
          <w:rFonts w:ascii="Arial" w:cs="Arial" w:eastAsia="Arial" w:hAnsi="Arial"/>
          <w:sz w:val="18"/>
          <w:szCs w:val="18"/>
          <w:color w:val="auto"/>
        </w:rPr>
        <w:t>In connection with certain divestitures, we have provided guarantees with respect to benefits to be paid to former employees relating to pensions, postretirement healthcare and life insurance. Aside from indemnifications and guarantees related to Delphi, as subsequently discussed, it is not possible to estimate our maximum exposure under these indemnifications or guarantees due to the conditional nature of these obligations. No amounts have been recorded for such obligations as they are not probable or estimable at this time.</w:t>
      </w:r>
    </w:p>
    <w:p>
      <w:pPr>
        <w:spacing w:after="0" w:line="143" w:lineRule="exact"/>
        <w:rPr>
          <w:sz w:val="20"/>
          <w:szCs w:val="20"/>
          <w:color w:val="auto"/>
        </w:rPr>
      </w:pPr>
    </w:p>
    <w:p>
      <w:pPr>
        <w:ind w:right="80" w:firstLine="228"/>
        <w:spacing w:after="0" w:line="256" w:lineRule="auto"/>
        <w:rPr>
          <w:sz w:val="20"/>
          <w:szCs w:val="20"/>
          <w:color w:val="auto"/>
        </w:rPr>
      </w:pPr>
      <w:r>
        <w:rPr>
          <w:rFonts w:ascii="Arial" w:cs="Arial" w:eastAsia="Arial" w:hAnsi="Arial"/>
          <w:sz w:val="18"/>
          <w:szCs w:val="18"/>
          <w:color w:val="auto"/>
        </w:rPr>
        <w:t>In addition to the guarantees and indemnifying agreements mentioned previously, we periodically enter into agreements that incorporate indemnification provisions in the normal course of business. Due to the nature of these agreements, the maximum potential amount of future undiscounted payments to which we may be exposed cannot be estimated. No amounts have been recorded for such indemnities as our obligations under them are not probable or estimable at this time.</w:t>
      </w:r>
    </w:p>
    <w:p>
      <w:pPr>
        <w:spacing w:after="0" w:line="143" w:lineRule="exact"/>
        <w:rPr>
          <w:sz w:val="20"/>
          <w:szCs w:val="20"/>
          <w:color w:val="auto"/>
        </w:rPr>
      </w:pPr>
    </w:p>
    <w:p>
      <w:pPr>
        <w:ind w:right="800" w:firstLine="228"/>
        <w:spacing w:after="0" w:line="268" w:lineRule="auto"/>
        <w:rPr>
          <w:sz w:val="20"/>
          <w:szCs w:val="20"/>
          <w:color w:val="auto"/>
        </w:rPr>
      </w:pPr>
      <w:r>
        <w:rPr>
          <w:rFonts w:ascii="Arial" w:cs="Arial" w:eastAsia="Arial" w:hAnsi="Arial"/>
          <w:sz w:val="18"/>
          <w:szCs w:val="18"/>
          <w:color w:val="auto"/>
        </w:rPr>
        <w:t>In addition to the guarantees and indemnifying agreements previously discussed, we indemnify dealers for certain product liability related claims as subsequently discussed.</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420"/>
          </w:cols>
          <w:pgMar w:left="240" w:top="459" w:right="239" w:bottom="1440" w:gutter="0" w:footer="0" w:header="0"/>
        </w:sectPr>
      </w:pPr>
    </w:p>
    <w:bookmarkStart w:id="47" w:name="page48"/>
    <w:bookmarkEnd w:id="4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339" w:lineRule="exact"/>
        <w:rPr>
          <w:sz w:val="20"/>
          <w:szCs w:val="20"/>
          <w:color w:val="auto"/>
        </w:rPr>
      </w:pPr>
    </w:p>
    <w:p>
      <w:pPr>
        <w:ind w:right="120" w:firstLine="228"/>
        <w:spacing w:after="0" w:line="268" w:lineRule="auto"/>
        <w:rPr>
          <w:sz w:val="20"/>
          <w:szCs w:val="20"/>
          <w:color w:val="auto"/>
        </w:rPr>
      </w:pPr>
      <w:r>
        <w:rPr>
          <w:rFonts w:ascii="Arial" w:cs="Arial" w:eastAsia="Arial" w:hAnsi="Arial"/>
          <w:sz w:val="18"/>
          <w:szCs w:val="18"/>
          <w:color w:val="auto"/>
        </w:rPr>
        <w:t>With respect to other product-related claims involving products manufactured by certain joint ventures, we believe that costs incurred are adequately covered by recorded accruals. These guarantees expire in 2022.</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Environmental</w:t>
      </w:r>
    </w:p>
    <w:p>
      <w:pPr>
        <w:spacing w:after="0" w:line="177" w:lineRule="exact"/>
        <w:rPr>
          <w:sz w:val="20"/>
          <w:szCs w:val="20"/>
          <w:color w:val="auto"/>
        </w:rPr>
      </w:pPr>
    </w:p>
    <w:p>
      <w:pPr>
        <w:ind w:right="140" w:firstLine="228"/>
        <w:spacing w:after="0" w:line="323" w:lineRule="auto"/>
        <w:rPr>
          <w:sz w:val="20"/>
          <w:szCs w:val="20"/>
          <w:color w:val="auto"/>
        </w:rPr>
      </w:pPr>
      <w:r>
        <w:rPr>
          <w:rFonts w:ascii="Arial" w:cs="Arial" w:eastAsia="Arial" w:hAnsi="Arial"/>
          <w:sz w:val="15"/>
          <w:szCs w:val="15"/>
          <w:color w:val="auto"/>
        </w:rPr>
        <w:t>Automotive operations, like operations of other companies engaged in similar businesses, are subject to a wide range of environmental protection laws, including laws regulating air emissions, water discharges, waste management and environmental remediation. We are in various stages of investigation or remediation for sites where contamination has been alleged. We are involved in a number of actions to remediate hazardous wastes as required by federal and state laws. Such statutes require that responsible parties fund remediation actions regardless of fault, legality of original disposal or ownership of a disposal site.</w:t>
      </w:r>
    </w:p>
    <w:p>
      <w:pPr>
        <w:spacing w:after="0" w:line="98" w:lineRule="exact"/>
        <w:rPr>
          <w:sz w:val="20"/>
          <w:szCs w:val="20"/>
          <w:color w:val="auto"/>
        </w:rPr>
      </w:pPr>
    </w:p>
    <w:p>
      <w:pPr>
        <w:ind w:right="40" w:firstLine="228"/>
        <w:spacing w:after="0" w:line="256" w:lineRule="auto"/>
        <w:rPr>
          <w:sz w:val="20"/>
          <w:szCs w:val="20"/>
          <w:color w:val="auto"/>
        </w:rPr>
      </w:pPr>
      <w:r>
        <w:rPr>
          <w:rFonts w:ascii="Arial" w:cs="Arial" w:eastAsia="Arial" w:hAnsi="Arial"/>
          <w:sz w:val="18"/>
          <w:szCs w:val="18"/>
          <w:color w:val="auto"/>
        </w:rPr>
        <w:t>The future effect of environmental matters, including potential liabilities, is often difficult to estimate. An environmental reserve is recorded when it is probable that a liability has been incurred and the amount of the liability can be reasonably estimated. This practice is followed whether the claims are asserted or unasserted. Liabilities have been recorded for the expected costs to be paid over the periods of remediation for the applicable sites, which typically range from five to 30 years.</w:t>
      </w:r>
    </w:p>
    <w:p>
      <w:pPr>
        <w:spacing w:after="0" w:line="143" w:lineRule="exact"/>
        <w:rPr>
          <w:sz w:val="20"/>
          <w:szCs w:val="20"/>
          <w:color w:val="auto"/>
        </w:rPr>
      </w:pPr>
    </w:p>
    <w:p>
      <w:pPr>
        <w:ind w:right="40" w:firstLine="228"/>
        <w:spacing w:after="0" w:line="256" w:lineRule="auto"/>
        <w:rPr>
          <w:sz w:val="20"/>
          <w:szCs w:val="20"/>
          <w:color w:val="auto"/>
        </w:rPr>
      </w:pPr>
      <w:r>
        <w:rPr>
          <w:rFonts w:ascii="Arial" w:cs="Arial" w:eastAsia="Arial" w:hAnsi="Arial"/>
          <w:sz w:val="18"/>
          <w:szCs w:val="18"/>
          <w:color w:val="auto"/>
        </w:rPr>
        <w:t>For many sites, the remediation costs and other damages for which we ultimately may be responsible may vary because of uncertainties with respect to factors such as the connection to the site or to materials there, the involvement of other potentially responsible parties, the application of laws and other standards or regulations, site conditions, and the nature and scope of investigations, studies and remediation to be undertaken (including the technologies to be required and the extent, duration and success of remediation).</w:t>
      </w:r>
    </w:p>
    <w:p>
      <w:pPr>
        <w:spacing w:after="0" w:line="143" w:lineRule="exact"/>
        <w:rPr>
          <w:sz w:val="20"/>
          <w:szCs w:val="20"/>
          <w:color w:val="auto"/>
        </w:rPr>
      </w:pPr>
    </w:p>
    <w:p>
      <w:pPr>
        <w:ind w:right="500" w:firstLine="228"/>
        <w:spacing w:after="0" w:line="306" w:lineRule="auto"/>
        <w:rPr>
          <w:sz w:val="20"/>
          <w:szCs w:val="20"/>
          <w:color w:val="auto"/>
        </w:rPr>
      </w:pPr>
      <w:r>
        <w:rPr>
          <w:rFonts w:ascii="Arial" w:cs="Arial" w:eastAsia="Arial" w:hAnsi="Arial"/>
          <w:sz w:val="16"/>
          <w:szCs w:val="16"/>
          <w:color w:val="auto"/>
        </w:rPr>
        <w:t>The final outcome of environmental matters cannot be predicted with certainty at this time. Accordingly, it is possible that the resolution of one or more environmental matters could exceed the amounts accrued in an amount that could be material to our financial condition and results of operations. At September 30, 2010 we estimate that remediation losses could range from $150 million to $390 million.</w:t>
      </w:r>
    </w:p>
    <w:p>
      <w:pPr>
        <w:spacing w:after="0" w:line="1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Product Liability</w:t>
      </w:r>
    </w:p>
    <w:p>
      <w:pPr>
        <w:spacing w:after="0" w:line="177" w:lineRule="exact"/>
        <w:rPr>
          <w:sz w:val="20"/>
          <w:szCs w:val="20"/>
          <w:color w:val="auto"/>
        </w:rPr>
      </w:pPr>
    </w:p>
    <w:p>
      <w:pPr>
        <w:ind w:firstLine="228"/>
        <w:spacing w:after="0" w:line="254" w:lineRule="auto"/>
        <w:rPr>
          <w:sz w:val="20"/>
          <w:szCs w:val="20"/>
          <w:color w:val="auto"/>
        </w:rPr>
      </w:pPr>
      <w:r>
        <w:rPr>
          <w:rFonts w:ascii="Arial" w:cs="Arial" w:eastAsia="Arial" w:hAnsi="Arial"/>
          <w:sz w:val="18"/>
          <w:szCs w:val="18"/>
          <w:color w:val="auto"/>
        </w:rPr>
        <w:t>With respect to product liability claims involving our and Old GM’s products, it is believed that any judgment against us for actual damages will be adequately covered by our recorded accruals and, where applicable, excess insurance coverage. Although punitive damages are claimed in some of these lawsuits, and such claims are inherently unpredictable, accruals incorporate historic experience with these types of claims. Liabilities have been recorded for the expected cost of all known product liability claims plus an estimate of the expected cost for all product liability claims that have already been incurred and are expected to be filed in the future for which we are self-insured. These amounts were recorded within Accrued expenses and exclude Old GM’s asbestos claims, which are discussed separately.</w:t>
      </w:r>
    </w:p>
    <w:p>
      <w:pPr>
        <w:spacing w:after="0" w:line="144" w:lineRule="exact"/>
        <w:rPr>
          <w:sz w:val="20"/>
          <w:szCs w:val="20"/>
          <w:color w:val="auto"/>
        </w:rPr>
      </w:pPr>
    </w:p>
    <w:p>
      <w:pPr>
        <w:ind w:right="20" w:firstLine="228"/>
        <w:spacing w:after="0" w:line="288" w:lineRule="auto"/>
        <w:rPr>
          <w:sz w:val="20"/>
          <w:szCs w:val="20"/>
          <w:color w:val="auto"/>
        </w:rPr>
      </w:pPr>
      <w:r>
        <w:rPr>
          <w:rFonts w:ascii="Arial" w:cs="Arial" w:eastAsia="Arial" w:hAnsi="Arial"/>
          <w:sz w:val="16"/>
          <w:szCs w:val="16"/>
          <w:color w:val="auto"/>
        </w:rPr>
        <w:t>In accordance with our assumption of dealer sales and service agreements, we indemnify dealers for certain product liability related claims. Our experience related to dealer indemnification obligations where we are not a party arising from incidents prior to July 10, 2009 is limited. We monitor actual claims experience for consistency with this estimate and make periodic adjustments as appropriate. Since July 10, 2009, the volume of product liability claims against us has been less than projected. In addition, as of this time due to the relatively short period for which we have been directly responsible for such claims, we have fewer pending matters than Old GM had in the past and than we expect in the future. Based on both management judgments concerning the projected number and value of both dealer indemnification obligations and product liability claims against us, we have estimated the associated liability. We have lowered our overall product liability estimate for dealer indemnifications and our exposure in the nine months ended September 30, 2010 resulting in a $132 million favorable adjustment driven primarily by a lower than expected volume of claims. We expect our product liability reserve to rise in future periods as new claims arise from incidents subsequent to July 9, 2009.</w:t>
      </w:r>
    </w:p>
    <w:p>
      <w:pPr>
        <w:spacing w:after="0" w:line="10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400"/>
          </w:cols>
          <w:pgMar w:left="240" w:top="459" w:right="259" w:bottom="1440" w:gutter="0" w:footer="0" w:header="0"/>
        </w:sectPr>
      </w:pPr>
    </w:p>
    <w:bookmarkStart w:id="48" w:name="page49"/>
    <w:bookmarkEnd w:id="4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Liability Related to Contingently Issuable Shares</w:t>
      </w:r>
    </w:p>
    <w:p>
      <w:pPr>
        <w:spacing w:after="0" w:line="177" w:lineRule="exact"/>
        <w:rPr>
          <w:sz w:val="20"/>
          <w:szCs w:val="20"/>
          <w:color w:val="auto"/>
        </w:rPr>
      </w:pPr>
    </w:p>
    <w:p>
      <w:pPr>
        <w:ind w:right="20" w:firstLine="228"/>
        <w:spacing w:after="0" w:line="289" w:lineRule="auto"/>
        <w:rPr>
          <w:sz w:val="20"/>
          <w:szCs w:val="20"/>
          <w:color w:val="auto"/>
        </w:rPr>
      </w:pPr>
      <w:r>
        <w:rPr>
          <w:rFonts w:ascii="Arial" w:cs="Arial" w:eastAsia="Arial" w:hAnsi="Arial"/>
          <w:sz w:val="16"/>
          <w:szCs w:val="16"/>
          <w:color w:val="auto"/>
        </w:rPr>
        <w:t>We are obligated to issue additional shares of our common stock to MLC (Adjustment Shares) in the event that allowed general unsecured claims against MLC, as estimated by the Bankruptcy Court, exceed $35.0 billion. The maximum number of Adjustment Shares issuable is 30 million shares (subject to adjustment to take into account stock dividends, stock splits and other transactions). The number of Adjustment Shares to be issued is calculated based on the extent to which estimated general unsecured claims exceed $35.0 billion with the maximum number of Adjustment Shares issued if estimated general unsecured claims total $42.0 billion or more. We determined that it is probable that general unsecured claims allowed against MLC will ultimately exceed $35.0 billion by at least $2.0 billion. In the circumstance where estimated general unsecured claims equal $37.0 billion, under the terms of the Purchase Agreement, we would be required to issue 8.6 million Adjustment Shares to MLC. At September 30, 2010, we increased our accrual related to this contingent obligation based on an updated estimate of the fair value of our common stock.</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Litigation-Related Liability</w:t>
      </w:r>
    </w:p>
    <w:p>
      <w:pPr>
        <w:spacing w:after="0" w:line="177" w:lineRule="exact"/>
        <w:rPr>
          <w:sz w:val="20"/>
          <w:szCs w:val="20"/>
          <w:color w:val="auto"/>
        </w:rPr>
      </w:pPr>
    </w:p>
    <w:p>
      <w:pPr>
        <w:ind w:firstLine="228"/>
        <w:spacing w:after="0" w:line="255" w:lineRule="auto"/>
        <w:rPr>
          <w:sz w:val="20"/>
          <w:szCs w:val="20"/>
          <w:color w:val="auto"/>
        </w:rPr>
      </w:pPr>
      <w:r>
        <w:rPr>
          <w:rFonts w:ascii="Arial" w:cs="Arial" w:eastAsia="Arial" w:hAnsi="Arial"/>
          <w:sz w:val="18"/>
          <w:szCs w:val="18"/>
          <w:color w:val="auto"/>
        </w:rPr>
        <w:t>Various legal actions, governmental investigations, claims and proceedings are pending against us or MLC including a number of shareholder class actions, bondholder class actions and class actions under the Employee Retirement Income Security Act of 1974, as amended, and other matters arising out of alleged product defects, including asbestos-related claims; employment-related matters; governmental regulations relating to safety, emissions, and fuel economy; product warranties; financial services; dealer, supplier and other contractual relationships; tax-related matters not recorded pursuant to ASC 740 and environmental matters.</w:t>
      </w:r>
    </w:p>
    <w:p>
      <w:pPr>
        <w:spacing w:after="0" w:line="143" w:lineRule="exact"/>
        <w:rPr>
          <w:sz w:val="20"/>
          <w:szCs w:val="20"/>
          <w:color w:val="auto"/>
        </w:rPr>
      </w:pPr>
    </w:p>
    <w:p>
      <w:pPr>
        <w:ind w:right="40" w:firstLine="228"/>
        <w:spacing w:after="0" w:line="286" w:lineRule="auto"/>
        <w:rPr>
          <w:sz w:val="20"/>
          <w:szCs w:val="20"/>
          <w:color w:val="auto"/>
        </w:rPr>
      </w:pPr>
      <w:r>
        <w:rPr>
          <w:rFonts w:ascii="Arial" w:cs="Arial" w:eastAsia="Arial" w:hAnsi="Arial"/>
          <w:sz w:val="16"/>
          <w:szCs w:val="16"/>
          <w:color w:val="auto"/>
        </w:rPr>
        <w:t>With regard to the litigation matters discussed in the previous paragraph, reserves have been established for matters in which it is believed that losses are probable and can be reasonably estimated, the majority of which are associated with tax-related matters not recorded pursuant to ASC 740 as well as various non-U.S. labor-related matters. Tax related matters not recorded pursuant to ASC 740 (indirect tax-related matters) are items being litigated globally pertaining to value added taxes, customs, duties, sales, property taxes and other non-income tax related tax exposures. The various non-U.S. labor-related matters include claims from current and former employees related to alleged unpaid wage, benefit, severance, and other compensation matters. Certain South American administrative and legal proceedings are indirect tax-related and may require that we deposit funds in escrow; such escrow deposits may range from $540 million to $720 million. Some of the matters may involve compensatory, punitive, or other treble damage claims, environmental remediation programs, or sanctions, that if granted, could require us to pay damages or make other expenditures in amounts that could not be reasonably estimated at September 30, 2010. We believe that appropriate accruals have been established for such matters based on information currently available. Reserves for litigation losses are recorded in Accrued expenses and Other liabilities and deferred income taxes. These accrued reserves represent the best estimate of amounts believed to be our and Old GM’s liability in a range of expected losses. Litigation is inherently unpredictable, however, and unfavorable resolutions could occur. Accordingly, it is possible that an adverse outcome from such proceedings could exceed the amounts accrued in an amount that could be material to our or Old GM’s financial condition, results of operations and cash flows in any particular reporting period.</w:t>
      </w:r>
    </w:p>
    <w:p>
      <w:pPr>
        <w:spacing w:after="0" w:line="121" w:lineRule="exact"/>
        <w:rPr>
          <w:sz w:val="20"/>
          <w:szCs w:val="20"/>
          <w:color w:val="auto"/>
        </w:rPr>
      </w:pPr>
    </w:p>
    <w:p>
      <w:pPr>
        <w:ind w:right="100" w:firstLine="228"/>
        <w:spacing w:after="0" w:line="289" w:lineRule="auto"/>
        <w:rPr>
          <w:sz w:val="20"/>
          <w:szCs w:val="20"/>
          <w:color w:val="auto"/>
        </w:rPr>
      </w:pPr>
      <w:r>
        <w:rPr>
          <w:rFonts w:ascii="Arial" w:cs="Arial" w:eastAsia="Arial" w:hAnsi="Arial"/>
          <w:sz w:val="16"/>
          <w:szCs w:val="16"/>
          <w:color w:val="auto"/>
        </w:rPr>
        <w:t>Commencing on or about September 29, 2010, current and former hourly employees of GM Daewoo, our majority-owned affiliate in the Republic of Korea, filed four separate group actions in the Incheon District Court in Incheon, Korea. The cases allege that GM Daewoo failed to include certain allowances in its calculation of Ordinary Wages due under the Presidential Decree of the Korean Labor Standards Act. Similar cases have been brought against other large employers in the Republic of Korea. At September 30, 2010, GM Daewoo accrued approximately 122 billion Korean won, which is approximately $110 million, in connection with these cases (70% of which will be reflected in our Net income attributable to stockholders, based on our ownership interest in GM Daewoo). In addition, the preliminary estimate of the upper end of the range for the reasonably possible loss in excess of the accrual is approximately 332 billion Korean won, which is approximately $290 million. These cases are in their earliest stages, and the scope of claims asserted may change. This accrual is included in the reserves for non-U.S. labor-related matters.</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Asbestos-Related Liability</w:t>
      </w:r>
    </w:p>
    <w:p>
      <w:pPr>
        <w:spacing w:after="0" w:line="177" w:lineRule="exact"/>
        <w:rPr>
          <w:sz w:val="20"/>
          <w:szCs w:val="20"/>
          <w:color w:val="auto"/>
        </w:rPr>
      </w:pPr>
    </w:p>
    <w:p>
      <w:pPr>
        <w:ind w:left="240"/>
        <w:spacing w:after="0"/>
        <w:rPr>
          <w:sz w:val="20"/>
          <w:szCs w:val="20"/>
          <w:color w:val="auto"/>
        </w:rPr>
      </w:pPr>
      <w:r>
        <w:rPr>
          <w:rFonts w:ascii="Arial" w:cs="Arial" w:eastAsia="Arial" w:hAnsi="Arial"/>
          <w:sz w:val="18"/>
          <w:szCs w:val="18"/>
          <w:color w:val="auto"/>
        </w:rPr>
        <w:t>In connection with the 363 Sale, MLC retained substantially all of the asbestos-related claims outstanding.</w:t>
      </w:r>
    </w:p>
    <w:p>
      <w:pPr>
        <w:spacing w:after="0" w:line="158"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420"/>
          </w:cols>
          <w:pgMar w:left="240" w:top="459" w:right="239" w:bottom="1440" w:gutter="0" w:footer="0" w:header="0"/>
        </w:sectPr>
      </w:pPr>
    </w:p>
    <w:bookmarkStart w:id="49" w:name="page50"/>
    <w:bookmarkEnd w:id="4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17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339" w:lineRule="exact"/>
        <w:rPr>
          <w:sz w:val="20"/>
          <w:szCs w:val="20"/>
          <w:color w:val="auto"/>
        </w:rPr>
      </w:pPr>
    </w:p>
    <w:p>
      <w:pPr>
        <w:ind w:right="840" w:firstLine="228"/>
        <w:spacing w:after="0" w:line="268" w:lineRule="auto"/>
        <w:rPr>
          <w:sz w:val="20"/>
          <w:szCs w:val="20"/>
          <w:color w:val="auto"/>
        </w:rPr>
      </w:pPr>
      <w:r>
        <w:rPr>
          <w:rFonts w:ascii="Arial" w:cs="Arial" w:eastAsia="Arial" w:hAnsi="Arial"/>
          <w:sz w:val="18"/>
          <w:szCs w:val="18"/>
          <w:color w:val="auto"/>
        </w:rPr>
        <w:t>Like most automobile manufacturers, Old GM had been subject to asbestos-related claims in recent years. These claims primarily arose from three circumstances:</w:t>
      </w:r>
    </w:p>
    <w:p>
      <w:pPr>
        <w:spacing w:after="0" w:line="172" w:lineRule="exact"/>
        <w:rPr>
          <w:sz w:val="20"/>
          <w:szCs w:val="20"/>
          <w:color w:val="auto"/>
        </w:rPr>
      </w:pPr>
    </w:p>
    <w:p>
      <w:pPr>
        <w:ind w:left="660" w:hanging="436"/>
        <w:spacing w:after="0"/>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A majority of these claims sought damages for illnesses alleged to have resulted from asbestos used in brake components;</w:t>
      </w:r>
    </w:p>
    <w:p>
      <w:pPr>
        <w:spacing w:after="0" w:line="90" w:lineRule="exact"/>
        <w:rPr>
          <w:rFonts w:ascii="Arial" w:cs="Arial" w:eastAsia="Arial" w:hAnsi="Arial"/>
          <w:sz w:val="18"/>
          <w:szCs w:val="18"/>
          <w:color w:val="auto"/>
        </w:rPr>
      </w:pPr>
    </w:p>
    <w:p>
      <w:pPr>
        <w:ind w:left="660" w:hanging="436"/>
        <w:spacing w:after="0"/>
        <w:tabs>
          <w:tab w:leader="none" w:pos="660" w:val="left"/>
        </w:tabs>
        <w:numPr>
          <w:ilvl w:val="0"/>
          <w:numId w:val="29"/>
        </w:numPr>
        <w:rPr>
          <w:rFonts w:ascii="Arial" w:cs="Arial" w:eastAsia="Arial" w:hAnsi="Arial"/>
          <w:sz w:val="16"/>
          <w:szCs w:val="16"/>
          <w:color w:val="auto"/>
        </w:rPr>
      </w:pPr>
      <w:r>
        <w:rPr>
          <w:rFonts w:ascii="Arial" w:cs="Arial" w:eastAsia="Arial" w:hAnsi="Arial"/>
          <w:sz w:val="16"/>
          <w:szCs w:val="16"/>
          <w:color w:val="auto"/>
        </w:rPr>
        <w:t>Limited numbers of claims have arisen from asbestos contained in the insulation and brakes used in the manufacturing of locomotives; and</w:t>
      </w:r>
    </w:p>
    <w:p>
      <w:pPr>
        <w:spacing w:after="0" w:line="113" w:lineRule="exact"/>
        <w:rPr>
          <w:rFonts w:ascii="Arial" w:cs="Arial" w:eastAsia="Arial" w:hAnsi="Arial"/>
          <w:sz w:val="16"/>
          <w:szCs w:val="16"/>
          <w:color w:val="auto"/>
        </w:rPr>
      </w:pPr>
    </w:p>
    <w:p>
      <w:pPr>
        <w:ind w:left="660" w:hanging="436"/>
        <w:spacing w:after="0"/>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Claims brought by contractors who allege exposure to asbestos-containing products while working on premises Old GM owned.</w:t>
      </w:r>
    </w:p>
    <w:p>
      <w:pPr>
        <w:spacing w:after="0" w:line="171" w:lineRule="exact"/>
        <w:rPr>
          <w:sz w:val="20"/>
          <w:szCs w:val="20"/>
          <w:color w:val="auto"/>
        </w:rPr>
      </w:pPr>
    </w:p>
    <w:p>
      <w:pPr>
        <w:ind w:right="20" w:firstLine="228"/>
        <w:spacing w:after="0" w:line="259" w:lineRule="auto"/>
        <w:rPr>
          <w:sz w:val="20"/>
          <w:szCs w:val="20"/>
          <w:color w:val="auto"/>
        </w:rPr>
      </w:pPr>
      <w:r>
        <w:rPr>
          <w:rFonts w:ascii="Arial" w:cs="Arial" w:eastAsia="Arial" w:hAnsi="Arial"/>
          <w:sz w:val="18"/>
          <w:szCs w:val="18"/>
          <w:color w:val="auto"/>
        </w:rPr>
        <w:t>Old GM had resolved many of the asbestos-related cases over the years for strategic litigation reasons such as avoiding defense costs and possible exposure to excessive verdicts. The amount expended on asbestos-related matters in any period depended on the number of claims filed, the amount of pre-trial proceedings and the number of trials and settlements in the period.</w:t>
      </w:r>
    </w:p>
    <w:p>
      <w:pPr>
        <w:spacing w:after="0" w:line="140" w:lineRule="exact"/>
        <w:rPr>
          <w:sz w:val="20"/>
          <w:szCs w:val="20"/>
          <w:color w:val="auto"/>
        </w:rPr>
      </w:pPr>
    </w:p>
    <w:p>
      <w:pPr>
        <w:jc w:val="both"/>
        <w:ind w:right="180" w:firstLine="228"/>
        <w:spacing w:after="0" w:line="306" w:lineRule="auto"/>
        <w:rPr>
          <w:sz w:val="20"/>
          <w:szCs w:val="20"/>
          <w:color w:val="auto"/>
        </w:rPr>
      </w:pPr>
      <w:r>
        <w:rPr>
          <w:rFonts w:ascii="Arial" w:cs="Arial" w:eastAsia="Arial" w:hAnsi="Arial"/>
          <w:sz w:val="16"/>
          <w:szCs w:val="16"/>
          <w:color w:val="auto"/>
        </w:rPr>
        <w:t>Old GM recorded the estimated liability associated with asbestos personal injury claims where the expected loss was both probable and could reasonably be estimated. Old GM retained a firm specializing in estimating asbestos claims to assist Old GM in determining the potential liability for pending and unasserted future asbestos personal injury claims. The analyses relied on and included the following information and factors:</w:t>
      </w:r>
    </w:p>
    <w:p>
      <w:pPr>
        <w:spacing w:after="0" w:line="147" w:lineRule="exact"/>
        <w:rPr>
          <w:sz w:val="20"/>
          <w:szCs w:val="20"/>
          <w:color w:val="auto"/>
        </w:rPr>
      </w:pPr>
    </w:p>
    <w:p>
      <w:pPr>
        <w:ind w:left="660" w:right="820" w:hanging="436"/>
        <w:spacing w:after="0" w:line="268" w:lineRule="auto"/>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A third party forecast of the projected incidence of malignant asbestos-related disease likely to occur in the general population of individuals occupationally exposed to asbestos;</w:t>
      </w:r>
    </w:p>
    <w:p>
      <w:pPr>
        <w:spacing w:after="0" w:line="50" w:lineRule="exact"/>
        <w:rPr>
          <w:rFonts w:ascii="Arial" w:cs="Arial" w:eastAsia="Arial" w:hAnsi="Arial"/>
          <w:sz w:val="18"/>
          <w:szCs w:val="18"/>
          <w:color w:val="auto"/>
        </w:rPr>
      </w:pPr>
    </w:p>
    <w:p>
      <w:pPr>
        <w:ind w:left="660" w:right="540" w:hanging="436"/>
        <w:spacing w:after="0" w:line="268" w:lineRule="auto"/>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Old GM’s Asbestos Claims Experience, based on data concerning claims filed against Old GM and resolved, amounts paid, and the nature of the asbestos-related disease or condition asserted during approximately the four years prior;</w:t>
      </w:r>
    </w:p>
    <w:p>
      <w:pPr>
        <w:spacing w:after="0" w:line="50" w:lineRule="exact"/>
        <w:rPr>
          <w:rFonts w:ascii="Arial" w:cs="Arial" w:eastAsia="Arial" w:hAnsi="Arial"/>
          <w:sz w:val="18"/>
          <w:szCs w:val="18"/>
          <w:color w:val="auto"/>
        </w:rPr>
      </w:pPr>
    </w:p>
    <w:p>
      <w:pPr>
        <w:ind w:left="660" w:right="220" w:hanging="436"/>
        <w:spacing w:after="0" w:line="332" w:lineRule="auto"/>
        <w:tabs>
          <w:tab w:leader="none" w:pos="660" w:val="left"/>
        </w:tabs>
        <w:numPr>
          <w:ilvl w:val="0"/>
          <w:numId w:val="30"/>
        </w:numPr>
        <w:rPr>
          <w:rFonts w:ascii="Arial" w:cs="Arial" w:eastAsia="Arial" w:hAnsi="Arial"/>
          <w:sz w:val="16"/>
          <w:szCs w:val="16"/>
          <w:color w:val="auto"/>
        </w:rPr>
      </w:pPr>
      <w:r>
        <w:rPr>
          <w:rFonts w:ascii="Arial" w:cs="Arial" w:eastAsia="Arial" w:hAnsi="Arial"/>
          <w:sz w:val="16"/>
          <w:szCs w:val="16"/>
          <w:color w:val="auto"/>
        </w:rPr>
        <w:t>The estimated rate of asbestos-related claims likely to be asserted against MLC in the future based on Old GM’s Asbestos Claims Experience and the projected incidence of asbestos-related disease in the general population of individuals occupationally exposed to asbestos;</w:t>
      </w:r>
    </w:p>
    <w:p>
      <w:pPr>
        <w:spacing w:after="0" w:line="4" w:lineRule="exact"/>
        <w:rPr>
          <w:rFonts w:ascii="Arial" w:cs="Arial" w:eastAsia="Arial" w:hAnsi="Arial"/>
          <w:sz w:val="16"/>
          <w:szCs w:val="16"/>
          <w:color w:val="auto"/>
        </w:rPr>
      </w:pPr>
    </w:p>
    <w:p>
      <w:pPr>
        <w:ind w:left="660" w:hanging="436"/>
        <w:spacing w:after="0"/>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estimated rate of dismissal of claims by disease type based on Old GM’s Asbestos Claims Experience; and</w:t>
      </w:r>
    </w:p>
    <w:p>
      <w:pPr>
        <w:spacing w:after="0" w:line="90" w:lineRule="exact"/>
        <w:rPr>
          <w:rFonts w:ascii="Arial" w:cs="Arial" w:eastAsia="Arial" w:hAnsi="Arial"/>
          <w:sz w:val="18"/>
          <w:szCs w:val="18"/>
          <w:color w:val="auto"/>
        </w:rPr>
      </w:pPr>
    </w:p>
    <w:p>
      <w:pPr>
        <w:ind w:left="660" w:hanging="436"/>
        <w:spacing w:after="0"/>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estimated indemnity value of the projected claims based on Old GM’s Asbestos Claims Experience, adjusted for inflation.</w:t>
      </w:r>
    </w:p>
    <w:p>
      <w:pPr>
        <w:spacing w:after="0" w:line="171" w:lineRule="exact"/>
        <w:rPr>
          <w:sz w:val="20"/>
          <w:szCs w:val="20"/>
          <w:color w:val="auto"/>
        </w:rPr>
      </w:pPr>
    </w:p>
    <w:p>
      <w:pPr>
        <w:ind w:firstLine="228"/>
        <w:spacing w:after="0" w:line="306" w:lineRule="auto"/>
        <w:rPr>
          <w:sz w:val="20"/>
          <w:szCs w:val="20"/>
          <w:color w:val="auto"/>
        </w:rPr>
      </w:pPr>
      <w:r>
        <w:rPr>
          <w:rFonts w:ascii="Arial" w:cs="Arial" w:eastAsia="Arial" w:hAnsi="Arial"/>
          <w:sz w:val="16"/>
          <w:szCs w:val="16"/>
          <w:color w:val="auto"/>
        </w:rPr>
        <w:t>Old GM reviewed a number of factors, including the analyses provided by the firm specializing in estimating asbestos claims in order to determine a reasonable estimate of the probable liability for pending and future asbestos-related claims projected to be asserted over the next 10 years, including legal defense costs. Old GM monitored actual claims experience for consistency with this estimate and made periodic adjustments as appropriate.</w:t>
      </w:r>
    </w:p>
    <w:p>
      <w:pPr>
        <w:spacing w:after="0" w:line="107" w:lineRule="exact"/>
        <w:rPr>
          <w:sz w:val="20"/>
          <w:szCs w:val="20"/>
          <w:color w:val="auto"/>
        </w:rPr>
      </w:pPr>
    </w:p>
    <w:p>
      <w:pPr>
        <w:ind w:right="40" w:firstLine="228"/>
        <w:spacing w:after="0" w:line="290" w:lineRule="auto"/>
        <w:rPr>
          <w:sz w:val="20"/>
          <w:szCs w:val="20"/>
          <w:color w:val="auto"/>
        </w:rPr>
      </w:pPr>
      <w:r>
        <w:rPr>
          <w:rFonts w:ascii="Arial" w:cs="Arial" w:eastAsia="Arial" w:hAnsi="Arial"/>
          <w:sz w:val="16"/>
          <w:szCs w:val="16"/>
          <w:color w:val="auto"/>
        </w:rPr>
        <w:t>Old GM believed that the analyses were based on the most relevant information available combined with reasonable assumptions, and that Old GM may prudently rely on their conclusions to determine the estimated liability for asbestos-related claims. Old GM noted, however, that the analyses were inherently subject to significant uncertainties. The data sources and assumptions used in connection with the analyses may not prove to be reliable predictors with respect to claims asserted against Old GM. Old GM’s experience in the past included substantial variation in relevant factors, and a change in any of these assumptions — which include the source of the claiming population, the filing rate and the value of claims — could significantly increase or decrease the estimate. In addition, other external factors such as legislation affecting the format or timing of litigation, the actions of other entities sued in asbestos personal injury actions, the distribution of assets from various trusts established to pay asbestos claims and the outcome of cases litigated to a final verdict could affect the estimate.</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GME Planned Spending Guarantee</w:t>
      </w:r>
    </w:p>
    <w:p>
      <w:pPr>
        <w:spacing w:after="0" w:line="177" w:lineRule="exact"/>
        <w:rPr>
          <w:sz w:val="20"/>
          <w:szCs w:val="20"/>
          <w:color w:val="auto"/>
        </w:rPr>
      </w:pPr>
    </w:p>
    <w:p>
      <w:pPr>
        <w:jc w:val="both"/>
        <w:ind w:firstLine="228"/>
        <w:spacing w:after="0" w:line="259" w:lineRule="auto"/>
        <w:rPr>
          <w:sz w:val="20"/>
          <w:szCs w:val="20"/>
          <w:color w:val="auto"/>
        </w:rPr>
      </w:pPr>
      <w:r>
        <w:rPr>
          <w:rFonts w:ascii="Arial" w:cs="Arial" w:eastAsia="Arial" w:hAnsi="Arial"/>
          <w:sz w:val="18"/>
          <w:szCs w:val="18"/>
          <w:color w:val="auto"/>
        </w:rPr>
        <w:t>As part of our Opel/Vauxhall restructuring plan, agreed to with European labor representatives, we have committed to achieve specified milestones associated with planned spending from 2011 to 2014 on certain product programs. If we fail to accomplish the requirements set out under the agreement, we will be required to pay certain amounts up to Euro 265 million for each of those years,</w:t>
      </w:r>
    </w:p>
    <w:p>
      <w:pPr>
        <w:spacing w:after="0" w:line="12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1380"/>
          </w:cols>
          <w:pgMar w:left="240" w:top="459" w:right="279" w:bottom="1440" w:gutter="0" w:footer="0" w:header="0"/>
        </w:sectPr>
      </w:pPr>
    </w:p>
    <w:bookmarkStart w:id="50" w:name="page51"/>
    <w:bookmarkEnd w:id="5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164" w:lineRule="exact"/>
        <w:rPr>
          <w:sz w:val="20"/>
          <w:szCs w:val="20"/>
          <w:color w:val="auto"/>
        </w:rPr>
      </w:pPr>
    </w:p>
    <w:p>
      <w:pPr>
        <w:jc w:val="both"/>
        <w:ind w:right="240"/>
        <w:spacing w:after="0" w:line="259" w:lineRule="auto"/>
        <w:rPr>
          <w:sz w:val="20"/>
          <w:szCs w:val="20"/>
          <w:color w:val="auto"/>
        </w:rPr>
      </w:pPr>
      <w:r>
        <w:rPr>
          <w:rFonts w:ascii="Arial" w:cs="Arial" w:eastAsia="Arial" w:hAnsi="Arial"/>
          <w:sz w:val="18"/>
          <w:szCs w:val="18"/>
          <w:color w:val="auto"/>
        </w:rPr>
        <w:t>and/or interest on those amounts, to our employees. Certain inventory with a carrying amount of $195 million at September 30, 2010 was pledged as collateral under the agreement. Management has the intent and believes it has the ability to meet the requirements under the agreement, which was finalized in the three months ended September 30, 2010.</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Delphi Corporation</w:t>
      </w:r>
    </w:p>
    <w:p>
      <w:pPr>
        <w:spacing w:after="0" w:line="177"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Benefit Guarantee</w:t>
      </w:r>
    </w:p>
    <w:p>
      <w:pPr>
        <w:spacing w:after="0" w:line="171" w:lineRule="exact"/>
        <w:rPr>
          <w:sz w:val="20"/>
          <w:szCs w:val="20"/>
          <w:color w:val="auto"/>
        </w:rPr>
      </w:pPr>
    </w:p>
    <w:p>
      <w:pPr>
        <w:ind w:firstLine="228"/>
        <w:spacing w:after="0" w:line="290" w:lineRule="auto"/>
        <w:rPr>
          <w:sz w:val="20"/>
          <w:szCs w:val="20"/>
          <w:color w:val="auto"/>
        </w:rPr>
      </w:pPr>
      <w:r>
        <w:rPr>
          <w:rFonts w:ascii="Arial" w:cs="Arial" w:eastAsia="Arial" w:hAnsi="Arial"/>
          <w:sz w:val="16"/>
          <w:szCs w:val="16"/>
          <w:color w:val="auto"/>
        </w:rPr>
        <w:t>In 1999 Old GM spun-off Delphi Automotive Systems Corporation, which became Delphi. At the time of the spin-off, employees of Delphi Automotive Systems Corporation became employees of Delphi. As part of the separation agreements, Delphi assumed the pension and other postretirement benefit obligations for the transferred U.S. hourly employees who retired after October 1, 2000. Additionally at the time of the spin-off, Old GM entered into the Delphi Benefit Guarantee Agreements with the UAW, the IUE-CWA and the USW. The Delphi Benefit Guarantee Agreements provided that in the event that Delphi or its successor companies ceased doing business, terminated its pension plan or ceased to provide credited service or OPEB benefits at certain levels due to financial distress, Old GM could be liable to provide the corresponding benefits for certain covered employees at the required level and to the extent the pension benefits Delphi and the PBGC provided fall short of the guaranteed amount.</w:t>
      </w:r>
    </w:p>
    <w:p>
      <w:pPr>
        <w:spacing w:after="0" w:line="118" w:lineRule="exact"/>
        <w:rPr>
          <w:sz w:val="20"/>
          <w:szCs w:val="20"/>
          <w:color w:val="auto"/>
        </w:rPr>
      </w:pPr>
    </w:p>
    <w:p>
      <w:pPr>
        <w:ind w:firstLine="228"/>
        <w:spacing w:after="0" w:line="290" w:lineRule="auto"/>
        <w:rPr>
          <w:sz w:val="20"/>
          <w:szCs w:val="20"/>
          <w:color w:val="auto"/>
        </w:rPr>
      </w:pPr>
      <w:r>
        <w:rPr>
          <w:rFonts w:ascii="Arial" w:cs="Arial" w:eastAsia="Arial" w:hAnsi="Arial"/>
          <w:sz w:val="16"/>
          <w:szCs w:val="16"/>
          <w:color w:val="auto"/>
        </w:rPr>
        <w:t>In October 2005 Old GM received notice from Delphi it would become obligated to provide benefits pursuant to the Delphi Benefit Guarantee Agreements in connection with Delphi’s commencement in October 2005 of Chapter 11 proceedings under the Bankruptcy Code. In June 2007 Old GM entered into a memorandum of understanding with Delphi and the UAW (Delphi UAW MOU) that included terms relating to the consensual triggering, under certain circumstances, of the Delphi Benefit Guarantee Agreements as well as additional terms relating to Delphi’s restructuring. Under the Delphi UAW MOU, Old GM also agreed to pay for certain healthcare costs of covered Delphi retirees and their beneficiaries in order to provide a level of benefits consistent with those provided to Old GM’s retirees and their beneficiaries if Delphi terminated OPEB benefits. In August 2007 Old GM also entered into memoranda of understanding with Delphi and the IUE-CWA and with Delphi and the USW containing terms consistent with the comprehensive Delphi UAW MOU.</w:t>
      </w:r>
    </w:p>
    <w:p>
      <w:pPr>
        <w:spacing w:after="0" w:line="118"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Delphi-GM Settlement Agreements</w:t>
      </w:r>
    </w:p>
    <w:p>
      <w:pPr>
        <w:spacing w:after="0" w:line="171" w:lineRule="exact"/>
        <w:rPr>
          <w:sz w:val="20"/>
          <w:szCs w:val="20"/>
          <w:color w:val="auto"/>
        </w:rPr>
      </w:pPr>
    </w:p>
    <w:p>
      <w:pPr>
        <w:ind w:right="60" w:firstLine="228"/>
        <w:spacing w:after="0" w:line="298" w:lineRule="auto"/>
        <w:rPr>
          <w:sz w:val="20"/>
          <w:szCs w:val="20"/>
          <w:color w:val="auto"/>
        </w:rPr>
      </w:pPr>
      <w:r>
        <w:rPr>
          <w:rFonts w:ascii="Arial" w:cs="Arial" w:eastAsia="Arial" w:hAnsi="Arial"/>
          <w:sz w:val="16"/>
          <w:szCs w:val="16"/>
          <w:color w:val="auto"/>
        </w:rPr>
        <w:t>In September 2007 and as amended at various times through September 2008, Old GM entered into agreements with Delphi. In September 2008 Old GM also entered into agreements with Delphi and the UAW, IUE-CWA and the USW. All of these agreements were intended to resolve, among other items, outstanding issues between Delphi and Old GM, govern certain aspects of Old GM’s ongoing commercial relationship with Delphi, address a limited transfer of pension assets and liabilities, and address the triggering of the Delphi Benefit Guarantee Agreements. In September 2008 these agreements became effective.</w:t>
      </w:r>
    </w:p>
    <w:p>
      <w:pPr>
        <w:spacing w:after="0" w:line="113" w:lineRule="exact"/>
        <w:rPr>
          <w:sz w:val="20"/>
          <w:szCs w:val="20"/>
          <w:color w:val="auto"/>
        </w:rPr>
      </w:pPr>
    </w:p>
    <w:p>
      <w:pPr>
        <w:ind w:left="240"/>
        <w:spacing w:after="0"/>
        <w:rPr>
          <w:sz w:val="20"/>
          <w:szCs w:val="20"/>
          <w:color w:val="auto"/>
        </w:rPr>
      </w:pPr>
      <w:r>
        <w:rPr>
          <w:rFonts w:ascii="Arial" w:cs="Arial" w:eastAsia="Arial" w:hAnsi="Arial"/>
          <w:sz w:val="18"/>
          <w:szCs w:val="18"/>
          <w:color w:val="auto"/>
        </w:rPr>
        <w:t>Upon consummation of the DMDA, these agreements were terminated with limited exceptions.</w:t>
      </w:r>
    </w:p>
    <w:p>
      <w:pPr>
        <w:spacing w:after="0" w:line="171"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Delphi Liquidity Support Agreements</w:t>
      </w:r>
    </w:p>
    <w:p>
      <w:pPr>
        <w:spacing w:after="0" w:line="171" w:lineRule="exact"/>
        <w:rPr>
          <w:sz w:val="20"/>
          <w:szCs w:val="20"/>
          <w:color w:val="auto"/>
        </w:rPr>
      </w:pPr>
    </w:p>
    <w:p>
      <w:pPr>
        <w:ind w:right="40" w:firstLine="228"/>
        <w:spacing w:after="0" w:line="256" w:lineRule="auto"/>
        <w:rPr>
          <w:sz w:val="20"/>
          <w:szCs w:val="20"/>
          <w:color w:val="auto"/>
        </w:rPr>
      </w:pPr>
      <w:r>
        <w:rPr>
          <w:rFonts w:ascii="Arial" w:cs="Arial" w:eastAsia="Arial" w:hAnsi="Arial"/>
          <w:sz w:val="18"/>
          <w:szCs w:val="18"/>
          <w:color w:val="auto"/>
        </w:rPr>
        <w:t>Beginning in 2008 Old GM entered into various agreements and amendments to such agreements to advance a maximum of $950 million to Delphi, subject to Delphi’s continued satisfaction of certain conditions and milestones. Old GM also agreed to accelerate payment of North American payables to Delphi at various amounts up to a maximum of $300 million. Upon consummation of the DMDA, we waived our rights to advanced amounts and accelerated payments of $850 million that became consideration to Delphi and other parties under the DMDA.</w:t>
      </w:r>
    </w:p>
    <w:p>
      <w:pPr>
        <w:spacing w:after="0" w:line="143"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Delphi Master Disposition Agreement</w:t>
      </w:r>
    </w:p>
    <w:p>
      <w:pPr>
        <w:spacing w:after="0" w:line="171" w:lineRule="exact"/>
        <w:rPr>
          <w:sz w:val="20"/>
          <w:szCs w:val="20"/>
          <w:color w:val="auto"/>
        </w:rPr>
      </w:pPr>
    </w:p>
    <w:p>
      <w:pPr>
        <w:ind w:right="220" w:firstLine="228"/>
        <w:spacing w:after="0" w:line="259" w:lineRule="auto"/>
        <w:rPr>
          <w:sz w:val="20"/>
          <w:szCs w:val="20"/>
          <w:color w:val="auto"/>
        </w:rPr>
      </w:pPr>
      <w:r>
        <w:rPr>
          <w:rFonts w:ascii="Arial" w:cs="Arial" w:eastAsia="Arial" w:hAnsi="Arial"/>
          <w:sz w:val="18"/>
          <w:szCs w:val="18"/>
          <w:color w:val="auto"/>
        </w:rPr>
        <w:t>In October 2009 we consummated the transaction contemplated by the DMDA with Delphi, New Delphi, Old GM, and other parties to the DMDA, as described in Note 4. Upon consummation of the DMDA, the Delphi-GM Settlement Agreements and Delphi liquidity support agreements discussed previously were terminated with limited exceptions, and we and Delphi waived all claims</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1400"/>
          </w:cols>
          <w:pgMar w:left="240" w:top="459" w:right="259" w:bottom="1440" w:gutter="0" w:footer="0" w:header="0"/>
        </w:sectPr>
      </w:pPr>
    </w:p>
    <w:bookmarkStart w:id="51" w:name="page52"/>
    <w:bookmarkEnd w:id="5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164" w:lineRule="exact"/>
        <w:rPr>
          <w:sz w:val="20"/>
          <w:szCs w:val="20"/>
          <w:color w:val="auto"/>
        </w:rPr>
      </w:pPr>
    </w:p>
    <w:p>
      <w:pPr>
        <w:ind w:right="340"/>
        <w:spacing w:after="0" w:line="268" w:lineRule="auto"/>
        <w:rPr>
          <w:sz w:val="20"/>
          <w:szCs w:val="20"/>
          <w:color w:val="auto"/>
        </w:rPr>
      </w:pPr>
      <w:r>
        <w:rPr>
          <w:rFonts w:ascii="Arial" w:cs="Arial" w:eastAsia="Arial" w:hAnsi="Arial"/>
          <w:sz w:val="18"/>
          <w:szCs w:val="18"/>
          <w:color w:val="auto"/>
        </w:rPr>
        <w:t>against each other. We maintain certain obligations relating to Delphi hourly employees to provide the difference between pension benefits paid by the PBGC according to regulation and those originally guaranteed by Old GM under the Delphi Benefit Guarantee Agreements.</w:t>
      </w:r>
    </w:p>
    <w:p>
      <w:pPr>
        <w:spacing w:after="0" w:line="132" w:lineRule="exact"/>
        <w:rPr>
          <w:sz w:val="20"/>
          <w:szCs w:val="20"/>
          <w:color w:val="auto"/>
        </w:rPr>
      </w:pPr>
    </w:p>
    <w:p>
      <w:pPr>
        <w:ind w:right="200" w:firstLine="228"/>
        <w:spacing w:after="0" w:line="298" w:lineRule="auto"/>
        <w:rPr>
          <w:sz w:val="20"/>
          <w:szCs w:val="20"/>
          <w:color w:val="auto"/>
        </w:rPr>
      </w:pPr>
      <w:r>
        <w:rPr>
          <w:rFonts w:ascii="Arial" w:cs="Arial" w:eastAsia="Arial" w:hAnsi="Arial"/>
          <w:sz w:val="16"/>
          <w:szCs w:val="16"/>
          <w:color w:val="auto"/>
        </w:rPr>
        <w:t>The DMDA established our ongoing commercial relationship with New Delphi. This included the continuation of all existing Delphi supply agreements and purchase orders for GMNA to the end of the related product program and New Delphi agreed to provide us with access rights designed to allow us to operate specific sites on defined triggering events to provide us with protection of supply. In addition, we and a class of New Delphi investors agreed to establish a secured delayed draw term loan facility for New Delphi, with each committing to provide loans of up to $500 million.</w:t>
      </w:r>
    </w:p>
    <w:p>
      <w:pPr>
        <w:spacing w:after="0" w:line="113"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Delphi Charges</w:t>
      </w:r>
    </w:p>
    <w:p>
      <w:pPr>
        <w:spacing w:after="0" w:line="171" w:lineRule="exact"/>
        <w:rPr>
          <w:sz w:val="20"/>
          <w:szCs w:val="20"/>
          <w:color w:val="auto"/>
        </w:rPr>
      </w:pPr>
    </w:p>
    <w:p>
      <w:pPr>
        <w:ind w:right="660" w:firstLine="228"/>
        <w:spacing w:after="0" w:line="268" w:lineRule="auto"/>
        <w:rPr>
          <w:sz w:val="20"/>
          <w:szCs w:val="20"/>
          <w:color w:val="auto"/>
        </w:rPr>
      </w:pPr>
      <w:r>
        <w:rPr>
          <w:rFonts w:ascii="Arial" w:cs="Arial" w:eastAsia="Arial" w:hAnsi="Arial"/>
          <w:sz w:val="18"/>
          <w:szCs w:val="18"/>
          <w:color w:val="auto"/>
        </w:rPr>
        <w:t>The following table summarizes charges that have been recorded with respect to obligations associated with the various Delphi agreements (dollars in millions):</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10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center"/>
              <w:ind w:right="81"/>
              <w:spacing w:after="0"/>
              <w:rPr>
                <w:sz w:val="20"/>
                <w:szCs w:val="20"/>
                <w:color w:val="auto"/>
              </w:rPr>
            </w:pPr>
            <w:r>
              <w:rPr>
                <w:rFonts w:ascii="Arial" w:cs="Arial" w:eastAsia="Arial" w:hAnsi="Arial"/>
                <w:sz w:val="14"/>
                <w:szCs w:val="14"/>
                <w:b w:val="1"/>
                <w:bCs w:val="1"/>
                <w:color w:val="auto"/>
                <w:w w:val="79"/>
              </w:rPr>
              <w:t>Successor</w:t>
            </w:r>
          </w:p>
        </w:tc>
        <w:tc>
          <w:tcPr>
            <w:tcW w:w="720" w:type="dxa"/>
            <w:vAlign w:val="bottom"/>
            <w:tcBorders>
              <w:right w:val="single" w:sz="8" w:color="auto"/>
            </w:tcBorders>
          </w:tcPr>
          <w:p>
            <w:pPr>
              <w:spacing w:after="0"/>
              <w:rPr>
                <w:sz w:val="14"/>
                <w:szCs w:val="14"/>
                <w:color w:val="auto"/>
              </w:rPr>
            </w:pPr>
          </w:p>
        </w:tc>
        <w:tc>
          <w:tcPr>
            <w:tcW w:w="5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w w:val="85"/>
              </w:rPr>
              <w:t>Predecessor</w:t>
            </w:r>
          </w:p>
        </w:tc>
        <w:tc>
          <w:tcPr>
            <w:tcW w:w="5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29"/>
        </w:trPr>
        <w:tc>
          <w:tcPr>
            <w:tcW w:w="7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720" w:type="dxa"/>
            <w:vAlign w:val="bottom"/>
            <w:tcBorders>
              <w:right w:val="single" w:sz="8" w:color="auto"/>
            </w:tcBorders>
          </w:tcPr>
          <w:p>
            <w:pPr>
              <w:spacing w:after="0"/>
              <w:rPr>
                <w:sz w:val="11"/>
                <w:szCs w:val="11"/>
                <w:color w:val="auto"/>
              </w:rPr>
            </w:pPr>
          </w:p>
        </w:tc>
        <w:tc>
          <w:tcPr>
            <w:tcW w:w="540" w:type="dxa"/>
            <w:vAlign w:val="bottom"/>
          </w:tcPr>
          <w:p>
            <w:pPr>
              <w:spacing w:after="0"/>
              <w:rPr>
                <w:sz w:val="11"/>
                <w:szCs w:val="11"/>
                <w:color w:val="auto"/>
              </w:rPr>
            </w:pPr>
          </w:p>
        </w:tc>
        <w:tc>
          <w:tcPr>
            <w:tcW w:w="520" w:type="dxa"/>
            <w:vAlign w:val="bottom"/>
            <w:gridSpan w:val="2"/>
          </w:tcPr>
          <w:p>
            <w:pPr>
              <w:jc w:val="center"/>
              <w:spacing w:after="0" w:line="129" w:lineRule="exact"/>
              <w:rPr>
                <w:sz w:val="20"/>
                <w:szCs w:val="20"/>
                <w:color w:val="auto"/>
              </w:rPr>
            </w:pPr>
            <w:r>
              <w:rPr>
                <w:rFonts w:ascii="Arial" w:cs="Arial" w:eastAsia="Arial" w:hAnsi="Arial"/>
                <w:sz w:val="14"/>
                <w:szCs w:val="14"/>
                <w:b w:val="1"/>
                <w:bCs w:val="1"/>
                <w:color w:val="auto"/>
                <w:w w:val="87"/>
              </w:rPr>
              <w:t>July 1,</w:t>
            </w:r>
          </w:p>
        </w:tc>
        <w:tc>
          <w:tcPr>
            <w:tcW w:w="640" w:type="dxa"/>
            <w:vAlign w:val="bottom"/>
          </w:tcPr>
          <w:p>
            <w:pPr>
              <w:spacing w:after="0"/>
              <w:rPr>
                <w:sz w:val="11"/>
                <w:szCs w:val="11"/>
                <w:color w:val="auto"/>
              </w:rPr>
            </w:pPr>
          </w:p>
        </w:tc>
        <w:tc>
          <w:tcPr>
            <w:tcW w:w="660" w:type="dxa"/>
            <w:vAlign w:val="bottom"/>
            <w:gridSpan w:val="2"/>
          </w:tcPr>
          <w:p>
            <w:pPr>
              <w:jc w:val="center"/>
              <w:spacing w:after="0" w:line="129" w:lineRule="exact"/>
              <w:rPr>
                <w:sz w:val="20"/>
                <w:szCs w:val="20"/>
                <w:color w:val="auto"/>
              </w:rPr>
            </w:pPr>
            <w:r>
              <w:rPr>
                <w:rFonts w:ascii="Arial" w:cs="Arial" w:eastAsia="Arial" w:hAnsi="Arial"/>
                <w:sz w:val="14"/>
                <w:szCs w:val="14"/>
                <w:b w:val="1"/>
                <w:bCs w:val="1"/>
                <w:color w:val="auto"/>
                <w:w w:val="86"/>
              </w:rPr>
              <w:t>January 1,</w:t>
            </w:r>
          </w:p>
        </w:tc>
        <w:tc>
          <w:tcPr>
            <w:tcW w:w="100" w:type="dxa"/>
            <w:vAlign w:val="bottom"/>
          </w:tcPr>
          <w:p>
            <w:pPr>
              <w:spacing w:after="0"/>
              <w:rPr>
                <w:sz w:val="11"/>
                <w:szCs w:val="11"/>
                <w:color w:val="auto"/>
              </w:rPr>
            </w:pPr>
          </w:p>
        </w:tc>
      </w:tr>
      <w:tr>
        <w:trPr>
          <w:trHeight w:val="149"/>
        </w:trPr>
        <w:tc>
          <w:tcPr>
            <w:tcW w:w="7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720" w:type="dxa"/>
            <w:vAlign w:val="bottom"/>
            <w:tcBorders>
              <w:right w:val="single" w:sz="8" w:color="auto"/>
            </w:tcBorders>
          </w:tcPr>
          <w:p>
            <w:pPr>
              <w:spacing w:after="0"/>
              <w:rPr>
                <w:sz w:val="12"/>
                <w:szCs w:val="12"/>
                <w:color w:val="auto"/>
              </w:rPr>
            </w:pP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20" w:type="dxa"/>
            <w:vAlign w:val="bottom"/>
          </w:tcPr>
          <w:p>
            <w:pPr>
              <w:jc w:val="center"/>
              <w:ind w:right="19"/>
              <w:spacing w:after="0" w:line="149" w:lineRule="exact"/>
              <w:rPr>
                <w:sz w:val="20"/>
                <w:szCs w:val="20"/>
                <w:color w:val="auto"/>
              </w:rPr>
            </w:pPr>
            <w:r>
              <w:rPr>
                <w:rFonts w:ascii="Arial" w:cs="Arial" w:eastAsia="Arial" w:hAnsi="Arial"/>
                <w:sz w:val="14"/>
                <w:szCs w:val="14"/>
                <w:b w:val="1"/>
                <w:bCs w:val="1"/>
                <w:color w:val="auto"/>
                <w:w w:val="89"/>
              </w:rPr>
              <w:t>2009</w:t>
            </w: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jc w:val="center"/>
              <w:ind w:right="41"/>
              <w:spacing w:after="0" w:line="149" w:lineRule="exact"/>
              <w:rPr>
                <w:sz w:val="20"/>
                <w:szCs w:val="20"/>
                <w:color w:val="auto"/>
              </w:rPr>
            </w:pPr>
            <w:r>
              <w:rPr>
                <w:rFonts w:ascii="Arial" w:cs="Arial" w:eastAsia="Arial" w:hAnsi="Arial"/>
                <w:sz w:val="14"/>
                <w:szCs w:val="14"/>
                <w:b w:val="1"/>
                <w:bCs w:val="1"/>
                <w:color w:val="auto"/>
                <w:w w:val="83"/>
              </w:rPr>
              <w:t>2009</w:t>
            </w:r>
          </w:p>
        </w:tc>
        <w:tc>
          <w:tcPr>
            <w:tcW w:w="100" w:type="dxa"/>
            <w:vAlign w:val="bottom"/>
          </w:tcPr>
          <w:p>
            <w:pPr>
              <w:spacing w:after="0"/>
              <w:rPr>
                <w:sz w:val="12"/>
                <w:szCs w:val="12"/>
                <w:color w:val="auto"/>
              </w:rPr>
            </w:pPr>
          </w:p>
        </w:tc>
      </w:tr>
      <w:tr>
        <w:trPr>
          <w:trHeight w:val="149"/>
        </w:trPr>
        <w:tc>
          <w:tcPr>
            <w:tcW w:w="7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0" w:type="dxa"/>
            <w:vAlign w:val="bottom"/>
          </w:tcPr>
          <w:p>
            <w:pPr>
              <w:jc w:val="center"/>
              <w:ind w:right="81"/>
              <w:spacing w:after="0" w:line="149" w:lineRule="exact"/>
              <w:rPr>
                <w:sz w:val="20"/>
                <w:szCs w:val="20"/>
                <w:color w:val="auto"/>
              </w:rPr>
            </w:pPr>
            <w:r>
              <w:rPr>
                <w:rFonts w:ascii="Arial" w:cs="Arial" w:eastAsia="Arial" w:hAnsi="Arial"/>
                <w:sz w:val="14"/>
                <w:szCs w:val="14"/>
                <w:b w:val="1"/>
                <w:bCs w:val="1"/>
                <w:color w:val="auto"/>
                <w:w w:val="87"/>
              </w:rPr>
              <w:t>July 10, 2009</w:t>
            </w:r>
          </w:p>
        </w:tc>
        <w:tc>
          <w:tcPr>
            <w:tcW w:w="720" w:type="dxa"/>
            <w:vAlign w:val="bottom"/>
            <w:tcBorders>
              <w:right w:val="single" w:sz="8" w:color="auto"/>
            </w:tcBorders>
          </w:tcPr>
          <w:p>
            <w:pPr>
              <w:spacing w:after="0"/>
              <w:rPr>
                <w:sz w:val="12"/>
                <w:szCs w:val="12"/>
                <w:color w:val="auto"/>
              </w:rPr>
            </w:pPr>
          </w:p>
        </w:tc>
        <w:tc>
          <w:tcPr>
            <w:tcW w:w="540" w:type="dxa"/>
            <w:vAlign w:val="bottom"/>
          </w:tcPr>
          <w:p>
            <w:pPr>
              <w:spacing w:after="0"/>
              <w:rPr>
                <w:sz w:val="12"/>
                <w:szCs w:val="12"/>
                <w:color w:val="auto"/>
              </w:rPr>
            </w:pPr>
          </w:p>
        </w:tc>
        <w:tc>
          <w:tcPr>
            <w:tcW w:w="52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1"/>
              </w:rPr>
              <w:t>Through</w:t>
            </w:r>
          </w:p>
        </w:tc>
        <w:tc>
          <w:tcPr>
            <w:tcW w:w="640" w:type="dxa"/>
            <w:vAlign w:val="bottom"/>
          </w:tcPr>
          <w:p>
            <w:pPr>
              <w:spacing w:after="0"/>
              <w:rPr>
                <w:sz w:val="12"/>
                <w:szCs w:val="12"/>
                <w:color w:val="auto"/>
              </w:rPr>
            </w:pPr>
          </w:p>
        </w:tc>
        <w:tc>
          <w:tcPr>
            <w:tcW w:w="760" w:type="dxa"/>
            <w:vAlign w:val="bottom"/>
            <w:gridSpan w:val="3"/>
          </w:tcPr>
          <w:p>
            <w:pPr>
              <w:jc w:val="center"/>
              <w:ind w:right="100"/>
              <w:spacing w:after="0" w:line="149" w:lineRule="exact"/>
              <w:rPr>
                <w:sz w:val="20"/>
                <w:szCs w:val="20"/>
                <w:color w:val="auto"/>
              </w:rPr>
            </w:pPr>
            <w:r>
              <w:rPr>
                <w:rFonts w:ascii="Arial" w:cs="Arial" w:eastAsia="Arial" w:hAnsi="Arial"/>
                <w:sz w:val="14"/>
                <w:szCs w:val="14"/>
                <w:b w:val="1"/>
                <w:bCs w:val="1"/>
                <w:color w:val="auto"/>
                <w:w w:val="87"/>
              </w:rPr>
              <w:t>Through</w:t>
            </w:r>
          </w:p>
        </w:tc>
      </w:tr>
      <w:tr>
        <w:trPr>
          <w:trHeight w:val="149"/>
        </w:trPr>
        <w:tc>
          <w:tcPr>
            <w:tcW w:w="7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0" w:type="dxa"/>
            <w:vAlign w:val="bottom"/>
          </w:tcPr>
          <w:p>
            <w:pPr>
              <w:jc w:val="center"/>
              <w:ind w:right="61"/>
              <w:spacing w:after="0" w:line="149" w:lineRule="exact"/>
              <w:rPr>
                <w:sz w:val="20"/>
                <w:szCs w:val="20"/>
                <w:color w:val="auto"/>
              </w:rPr>
            </w:pPr>
            <w:r>
              <w:rPr>
                <w:rFonts w:ascii="Arial" w:cs="Arial" w:eastAsia="Arial" w:hAnsi="Arial"/>
                <w:sz w:val="14"/>
                <w:szCs w:val="14"/>
                <w:b w:val="1"/>
                <w:bCs w:val="1"/>
                <w:color w:val="auto"/>
                <w:w w:val="87"/>
              </w:rPr>
              <w:t>Through</w:t>
            </w:r>
          </w:p>
        </w:tc>
        <w:tc>
          <w:tcPr>
            <w:tcW w:w="720" w:type="dxa"/>
            <w:vAlign w:val="bottom"/>
            <w:tcBorders>
              <w:right w:val="single" w:sz="8" w:color="auto"/>
            </w:tcBorders>
          </w:tcPr>
          <w:p>
            <w:pPr>
              <w:spacing w:after="0"/>
              <w:rPr>
                <w:sz w:val="12"/>
                <w:szCs w:val="12"/>
                <w:color w:val="auto"/>
              </w:rPr>
            </w:pPr>
          </w:p>
        </w:tc>
        <w:tc>
          <w:tcPr>
            <w:tcW w:w="540" w:type="dxa"/>
            <w:vAlign w:val="bottom"/>
          </w:tcPr>
          <w:p>
            <w:pPr>
              <w:spacing w:after="0"/>
              <w:rPr>
                <w:sz w:val="12"/>
                <w:szCs w:val="12"/>
                <w:color w:val="auto"/>
              </w:rPr>
            </w:pPr>
          </w:p>
        </w:tc>
        <w:tc>
          <w:tcPr>
            <w:tcW w:w="52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1"/>
              </w:rPr>
              <w:t>July 9,</w:t>
            </w: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87"/>
              </w:rPr>
              <w:t>July 9,</w:t>
            </w:r>
          </w:p>
        </w:tc>
      </w:tr>
      <w:tr>
        <w:trPr>
          <w:trHeight w:val="161"/>
        </w:trPr>
        <w:tc>
          <w:tcPr>
            <w:tcW w:w="7100" w:type="dxa"/>
            <w:vAlign w:val="bottom"/>
          </w:tcPr>
          <w:p>
            <w:pPr>
              <w:spacing w:after="0"/>
              <w:rPr>
                <w:sz w:val="14"/>
                <w:szCs w:val="14"/>
                <w:color w:val="auto"/>
              </w:rPr>
            </w:pPr>
          </w:p>
        </w:tc>
        <w:tc>
          <w:tcPr>
            <w:tcW w:w="114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85"/>
              </w:rPr>
              <w:t>September 30, 2009</w:t>
            </w:r>
          </w:p>
        </w:tc>
        <w:tc>
          <w:tcPr>
            <w:tcW w:w="720" w:type="dxa"/>
            <w:vAlign w:val="bottom"/>
            <w:tcBorders>
              <w:right w:val="single" w:sz="8" w:color="auto"/>
            </w:tcBorders>
          </w:tcPr>
          <w:p>
            <w:pPr>
              <w:spacing w:after="0"/>
              <w:rPr>
                <w:sz w:val="14"/>
                <w:szCs w:val="14"/>
                <w:color w:val="auto"/>
              </w:rPr>
            </w:pPr>
          </w:p>
        </w:tc>
        <w:tc>
          <w:tcPr>
            <w:tcW w:w="5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jc w:val="center"/>
              <w:ind w:right="19"/>
              <w:spacing w:after="0"/>
              <w:rPr>
                <w:sz w:val="20"/>
                <w:szCs w:val="20"/>
                <w:color w:val="auto"/>
              </w:rPr>
            </w:pPr>
            <w:r>
              <w:rPr>
                <w:rFonts w:ascii="Arial" w:cs="Arial" w:eastAsia="Arial" w:hAnsi="Arial"/>
                <w:sz w:val="14"/>
                <w:szCs w:val="14"/>
                <w:b w:val="1"/>
                <w:bCs w:val="1"/>
                <w:color w:val="auto"/>
                <w:w w:val="89"/>
              </w:rPr>
              <w:t>2009</w:t>
            </w:r>
          </w:p>
        </w:tc>
        <w:tc>
          <w:tcPr>
            <w:tcW w:w="64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center"/>
              <w:ind w:right="41"/>
              <w:spacing w:after="0"/>
              <w:rPr>
                <w:sz w:val="20"/>
                <w:szCs w:val="20"/>
                <w:color w:val="auto"/>
              </w:rPr>
            </w:pPr>
            <w:r>
              <w:rPr>
                <w:rFonts w:ascii="Arial" w:cs="Arial" w:eastAsia="Arial" w:hAnsi="Arial"/>
                <w:sz w:val="14"/>
                <w:szCs w:val="14"/>
                <w:b w:val="1"/>
                <w:bCs w:val="1"/>
                <w:color w:val="auto"/>
                <w:w w:val="83"/>
              </w:rPr>
              <w:t>2009</w:t>
            </w:r>
          </w:p>
        </w:tc>
        <w:tc>
          <w:tcPr>
            <w:tcW w:w="100" w:type="dxa"/>
            <w:vAlign w:val="bottom"/>
          </w:tcPr>
          <w:p>
            <w:pPr>
              <w:spacing w:after="0"/>
              <w:rPr>
                <w:sz w:val="14"/>
                <w:szCs w:val="14"/>
                <w:color w:val="auto"/>
              </w:rPr>
            </w:pPr>
          </w:p>
        </w:tc>
      </w:tr>
      <w:tr>
        <w:trPr>
          <w:trHeight w:val="210"/>
        </w:trPr>
        <w:tc>
          <w:tcPr>
            <w:tcW w:w="7100" w:type="dxa"/>
            <w:vAlign w:val="bottom"/>
            <w:shd w:val="clear" w:color="auto" w:fill="CCEEFF"/>
          </w:tcPr>
          <w:p>
            <w:pPr>
              <w:spacing w:after="0"/>
              <w:rPr>
                <w:sz w:val="20"/>
                <w:szCs w:val="20"/>
                <w:color w:val="auto"/>
              </w:rPr>
            </w:pPr>
            <w:r>
              <w:rPr>
                <w:rFonts w:ascii="Arial" w:cs="Arial" w:eastAsia="Arial" w:hAnsi="Arial"/>
                <w:sz w:val="18"/>
                <w:szCs w:val="18"/>
                <w:color w:val="auto"/>
              </w:rPr>
              <w:t>Other expenses, net</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720" w:type="dxa"/>
            <w:vAlign w:val="bottom"/>
            <w:tcBorders>
              <w:right w:val="single" w:sz="8" w:color="auto"/>
            </w:tcBorders>
            <w:shd w:val="clear" w:color="auto" w:fill="CCEEFF"/>
          </w:tcPr>
          <w:p>
            <w:pPr>
              <w:spacing w:after="0"/>
              <w:rPr>
                <w:sz w:val="18"/>
                <w:szCs w:val="18"/>
                <w:color w:val="auto"/>
              </w:rPr>
            </w:pP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w:t>
            </w: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184</w:t>
            </w:r>
          </w:p>
        </w:tc>
        <w:tc>
          <w:tcPr>
            <w:tcW w:w="100" w:type="dxa"/>
            <w:vAlign w:val="bottom"/>
            <w:shd w:val="clear" w:color="auto" w:fill="CCEEFF"/>
          </w:tcPr>
          <w:p>
            <w:pPr>
              <w:spacing w:after="0"/>
              <w:rPr>
                <w:sz w:val="18"/>
                <w:szCs w:val="18"/>
                <w:color w:val="auto"/>
              </w:rPr>
            </w:pPr>
          </w:p>
        </w:tc>
      </w:tr>
      <w:tr>
        <w:trPr>
          <w:trHeight w:val="216"/>
        </w:trPr>
        <w:tc>
          <w:tcPr>
            <w:tcW w:w="7100" w:type="dxa"/>
            <w:vAlign w:val="bottom"/>
          </w:tcPr>
          <w:p>
            <w:pPr>
              <w:spacing w:after="0"/>
              <w:rPr>
                <w:sz w:val="20"/>
                <w:szCs w:val="20"/>
                <w:color w:val="auto"/>
              </w:rPr>
            </w:pPr>
            <w:r>
              <w:rPr>
                <w:rFonts w:ascii="Arial" w:cs="Arial" w:eastAsia="Arial" w:hAnsi="Arial"/>
                <w:sz w:val="18"/>
                <w:szCs w:val="18"/>
                <w:color w:val="auto"/>
              </w:rPr>
              <w:t>Cost of sales</w:t>
            </w:r>
          </w:p>
        </w:tc>
        <w:tc>
          <w:tcPr>
            <w:tcW w:w="1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88</w:t>
            </w:r>
          </w:p>
        </w:tc>
        <w:tc>
          <w:tcPr>
            <w:tcW w:w="720" w:type="dxa"/>
            <w:vAlign w:val="bottom"/>
            <w:tcBorders>
              <w:right w:val="single" w:sz="8" w:color="auto"/>
            </w:tcBorders>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right"/>
              <w:ind w:right="499"/>
              <w:spacing w:after="0"/>
              <w:rPr>
                <w:sz w:val="20"/>
                <w:szCs w:val="20"/>
                <w:color w:val="auto"/>
              </w:rPr>
            </w:pPr>
            <w:r>
              <w:rPr>
                <w:rFonts w:ascii="Arial" w:cs="Arial" w:eastAsia="Arial" w:hAnsi="Arial"/>
                <w:sz w:val="18"/>
                <w:szCs w:val="18"/>
                <w:color w:val="auto"/>
              </w:rPr>
              <w:t>(18)</w:t>
            </w:r>
          </w:p>
        </w:tc>
        <w:tc>
          <w:tcPr>
            <w:tcW w:w="12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142</w:t>
            </w:r>
          </w:p>
        </w:tc>
        <w:tc>
          <w:tcPr>
            <w:tcW w:w="100" w:type="dxa"/>
            <w:vAlign w:val="bottom"/>
          </w:tcPr>
          <w:p>
            <w:pPr>
              <w:spacing w:after="0"/>
              <w:rPr>
                <w:sz w:val="18"/>
                <w:szCs w:val="18"/>
                <w:color w:val="auto"/>
              </w:rPr>
            </w:pPr>
          </w:p>
        </w:tc>
      </w:tr>
      <w:tr>
        <w:trPr>
          <w:trHeight w:val="216"/>
        </w:trPr>
        <w:tc>
          <w:tcPr>
            <w:tcW w:w="7100" w:type="dxa"/>
            <w:vAlign w:val="bottom"/>
            <w:shd w:val="clear" w:color="auto" w:fill="CCEEFF"/>
          </w:tcPr>
          <w:p>
            <w:pPr>
              <w:spacing w:after="0"/>
              <w:rPr>
                <w:sz w:val="20"/>
                <w:szCs w:val="20"/>
                <w:color w:val="auto"/>
              </w:rPr>
            </w:pPr>
            <w:r>
              <w:rPr>
                <w:rFonts w:ascii="Arial" w:cs="Arial" w:eastAsia="Arial" w:hAnsi="Arial"/>
                <w:sz w:val="18"/>
                <w:szCs w:val="18"/>
                <w:color w:val="auto"/>
              </w:rPr>
              <w:t>Reorganization gains, net</w:t>
            </w:r>
          </w:p>
        </w:tc>
        <w:tc>
          <w:tcPr>
            <w:tcW w:w="14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tcBorders>
              <w:right w:val="single" w:sz="8" w:color="auto"/>
            </w:tcBorders>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662</w:t>
            </w:r>
          </w:p>
        </w:tc>
        <w:tc>
          <w:tcPr>
            <w:tcW w:w="64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662</w:t>
            </w:r>
          </w:p>
        </w:tc>
        <w:tc>
          <w:tcPr>
            <w:tcW w:w="100" w:type="dxa"/>
            <w:vAlign w:val="bottom"/>
            <w:shd w:val="clear" w:color="auto" w:fill="CCEEFF"/>
          </w:tcPr>
          <w:p>
            <w:pPr>
              <w:spacing w:after="0"/>
              <w:rPr>
                <w:sz w:val="18"/>
                <w:szCs w:val="18"/>
                <w:color w:val="auto"/>
              </w:rPr>
            </w:pPr>
          </w:p>
        </w:tc>
      </w:tr>
      <w:tr>
        <w:trPr>
          <w:trHeight w:val="222"/>
        </w:trPr>
        <w:tc>
          <w:tcPr>
            <w:tcW w:w="7100" w:type="dxa"/>
            <w:vAlign w:val="bottom"/>
          </w:tcPr>
          <w:p>
            <w:pPr>
              <w:spacing w:after="0"/>
              <w:rPr>
                <w:sz w:val="20"/>
                <w:szCs w:val="20"/>
                <w:color w:val="auto"/>
              </w:rPr>
            </w:pPr>
            <w:r>
              <w:rPr>
                <w:rFonts w:ascii="Arial" w:cs="Arial" w:eastAsia="Arial" w:hAnsi="Arial"/>
                <w:sz w:val="18"/>
                <w:szCs w:val="18"/>
                <w:color w:val="auto"/>
              </w:rPr>
              <w:t>Total Delphi charges</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96</w:t>
            </w:r>
          </w:p>
        </w:tc>
        <w:tc>
          <w:tcPr>
            <w:tcW w:w="720" w:type="dxa"/>
            <w:vAlign w:val="bottom"/>
            <w:tcBorders>
              <w:right w:val="single" w:sz="8" w:color="auto"/>
            </w:tcBorders>
          </w:tcPr>
          <w:p>
            <w:pPr>
              <w:spacing w:after="0"/>
              <w:rPr>
                <w:sz w:val="19"/>
                <w:szCs w:val="19"/>
                <w:color w:val="auto"/>
              </w:rPr>
            </w:pP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20" w:type="dxa"/>
            <w:vAlign w:val="bottom"/>
          </w:tcPr>
          <w:p>
            <w:pPr>
              <w:jc w:val="right"/>
              <w:spacing w:after="0"/>
              <w:rPr>
                <w:sz w:val="20"/>
                <w:szCs w:val="20"/>
                <w:color w:val="auto"/>
              </w:rPr>
            </w:pPr>
            <w:r>
              <w:rPr>
                <w:rFonts w:ascii="Arial" w:cs="Arial" w:eastAsia="Arial" w:hAnsi="Arial"/>
                <w:sz w:val="18"/>
                <w:szCs w:val="18"/>
                <w:color w:val="auto"/>
              </w:rPr>
              <w:t>704</w:t>
            </w: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988</w:t>
            </w:r>
          </w:p>
        </w:tc>
        <w:tc>
          <w:tcPr>
            <w:tcW w:w="100" w:type="dxa"/>
            <w:vAlign w:val="bottom"/>
          </w:tcPr>
          <w:p>
            <w:pPr>
              <w:spacing w:after="0"/>
              <w:rPr>
                <w:sz w:val="19"/>
                <w:szCs w:val="19"/>
                <w:color w:val="auto"/>
              </w:rPr>
            </w:pPr>
          </w:p>
        </w:tc>
      </w:tr>
      <w:tr>
        <w:trPr>
          <w:trHeight w:val="20"/>
        </w:trPr>
        <w:tc>
          <w:tcPr>
            <w:tcW w:w="7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right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18. Income Taxes</w:t>
      </w:r>
    </w:p>
    <w:p>
      <w:pPr>
        <w:spacing w:after="0" w:line="177" w:lineRule="exact"/>
        <w:rPr>
          <w:sz w:val="20"/>
          <w:szCs w:val="20"/>
          <w:color w:val="auto"/>
        </w:rPr>
      </w:pPr>
    </w:p>
    <w:p>
      <w:pPr>
        <w:ind w:right="100" w:firstLine="228"/>
        <w:spacing w:after="0" w:line="306" w:lineRule="auto"/>
        <w:rPr>
          <w:sz w:val="20"/>
          <w:szCs w:val="20"/>
          <w:color w:val="auto"/>
        </w:rPr>
      </w:pPr>
      <w:r>
        <w:rPr>
          <w:rFonts w:ascii="Arial" w:cs="Arial" w:eastAsia="Arial" w:hAnsi="Arial"/>
          <w:sz w:val="16"/>
          <w:szCs w:val="16"/>
          <w:color w:val="auto"/>
        </w:rPr>
        <w:t>For interim income tax reporting we estimate our annual effective tax rate and apply it to year-to-date ordinary income/loss. Tax jurisdictions with a projected or year-to-date loss for which a tax benefit cannot be realized are excluded. The tax effect of unusual or infrequently occurring items, including changes in judgment about valuation allowances and effects of changes in tax laws or rates, are reported in the interim period in which they occur.</w:t>
      </w:r>
    </w:p>
    <w:p>
      <w:pPr>
        <w:spacing w:after="0" w:line="107" w:lineRule="exact"/>
        <w:rPr>
          <w:sz w:val="20"/>
          <w:szCs w:val="20"/>
          <w:color w:val="auto"/>
        </w:rPr>
      </w:pPr>
    </w:p>
    <w:p>
      <w:pPr>
        <w:ind w:right="160" w:firstLine="228"/>
        <w:spacing w:after="0" w:line="256" w:lineRule="auto"/>
        <w:rPr>
          <w:sz w:val="20"/>
          <w:szCs w:val="20"/>
          <w:color w:val="auto"/>
        </w:rPr>
      </w:pPr>
      <w:r>
        <w:rPr>
          <w:rFonts w:ascii="Arial" w:cs="Arial" w:eastAsia="Arial" w:hAnsi="Arial"/>
          <w:sz w:val="18"/>
          <w:szCs w:val="18"/>
          <w:color w:val="auto"/>
        </w:rPr>
        <w:t>In the nine months ended September 30, 2010 income tax expense of $845 million resulted primarily from tax expense attributable to entities included in our effective tax rate calculation. Aside from a taxable foreign currency gain in Venezuela, unusual or infrequent items did not have a significant effect on tax expense, either individually or in the aggregate. The recorded effective tax rate is substantially below the applicable statutory tax rate, primarily due to income earned in jurisdictions for which a full valuation allowance is recorded.</w:t>
      </w:r>
    </w:p>
    <w:p>
      <w:pPr>
        <w:spacing w:after="0" w:line="143" w:lineRule="exact"/>
        <w:rPr>
          <w:sz w:val="20"/>
          <w:szCs w:val="20"/>
          <w:color w:val="auto"/>
        </w:rPr>
      </w:pPr>
    </w:p>
    <w:p>
      <w:pPr>
        <w:ind w:right="80" w:firstLine="228"/>
        <w:spacing w:after="0" w:line="254" w:lineRule="auto"/>
        <w:rPr>
          <w:sz w:val="20"/>
          <w:szCs w:val="20"/>
          <w:color w:val="auto"/>
        </w:rPr>
      </w:pPr>
      <w:r>
        <w:rPr>
          <w:rFonts w:ascii="Arial" w:cs="Arial" w:eastAsia="Arial" w:hAnsi="Arial"/>
          <w:sz w:val="18"/>
          <w:szCs w:val="18"/>
          <w:color w:val="auto"/>
        </w:rPr>
        <w:t>In interim periods, income tax expense is comprised of two key elements: (1) the amount necessary to appropriately state the year-to-date estimated tax expense of entities included in our effective tax rate calculation, which is calculated as the difference between the amount currently estimated for the year to date period and the amount previously recorded in prior interim periods; and (2) the tax effect of unusual or infrequent items that occur in the period. In the three months ended September 30, 2010 income tax benefit of $25 million resulted from tax expense of $50 million attributable to entities included in our effective tax rate calculation, offset by net tax benefit of $75 million attributable to unusual or infrequent items, none of which had a significant effect on tax expense either individually or in the aggregate.</w:t>
      </w:r>
    </w:p>
    <w:p>
      <w:pPr>
        <w:spacing w:after="0" w:line="144" w:lineRule="exact"/>
        <w:rPr>
          <w:sz w:val="20"/>
          <w:szCs w:val="20"/>
          <w:color w:val="auto"/>
        </w:rPr>
      </w:pPr>
    </w:p>
    <w:p>
      <w:pPr>
        <w:jc w:val="both"/>
        <w:ind w:right="60" w:firstLine="228"/>
        <w:spacing w:after="0" w:line="306" w:lineRule="auto"/>
        <w:rPr>
          <w:sz w:val="20"/>
          <w:szCs w:val="20"/>
          <w:color w:val="auto"/>
        </w:rPr>
      </w:pPr>
      <w:r>
        <w:rPr>
          <w:rFonts w:ascii="Arial" w:cs="Arial" w:eastAsia="Arial" w:hAnsi="Arial"/>
          <w:sz w:val="16"/>
          <w:szCs w:val="16"/>
          <w:color w:val="auto"/>
        </w:rPr>
        <w:t>In the period July 10, 2009 through September 30, 2009 income tax benefit of $139 million resulted primarily from tax benefit attributable to entities included in our effective tax rate calculation, including intra period tax allocation benefit relating to the remeasurement of our U.S. Pension Plans. We recorded income tax expense related to the remeasurement gains in other comprehensive income and allocated income tax benefit to operations.</w:t>
      </w:r>
    </w:p>
    <w:p>
      <w:pPr>
        <w:spacing w:after="0" w:line="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1420"/>
          </w:cols>
          <w:pgMar w:left="240" w:top="459" w:right="239" w:bottom="1440" w:gutter="0" w:footer="0" w:header="0"/>
        </w:sectPr>
      </w:pPr>
    </w:p>
    <w:bookmarkStart w:id="52" w:name="page53"/>
    <w:bookmarkEnd w:id="5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164" w:lineRule="exact"/>
        <w:rPr>
          <w:sz w:val="20"/>
          <w:szCs w:val="20"/>
          <w:color w:val="auto"/>
        </w:rPr>
      </w:pPr>
    </w:p>
    <w:p>
      <w:pPr>
        <w:ind w:firstLine="228"/>
        <w:spacing w:after="0" w:line="268" w:lineRule="auto"/>
        <w:rPr>
          <w:sz w:val="20"/>
          <w:szCs w:val="20"/>
          <w:color w:val="auto"/>
        </w:rPr>
      </w:pPr>
      <w:r>
        <w:rPr>
          <w:rFonts w:ascii="Arial" w:cs="Arial" w:eastAsia="Arial" w:hAnsi="Arial"/>
          <w:sz w:val="18"/>
          <w:szCs w:val="18"/>
          <w:color w:val="auto"/>
        </w:rPr>
        <w:t>In the period July 1, 2009 through July 9, 2009 income tax benefit of $607 million primarily resulted from the reversal of valuation allowances of $710 million related to Reorganization gains, net.</w:t>
      </w:r>
    </w:p>
    <w:p>
      <w:pPr>
        <w:spacing w:after="0" w:line="132" w:lineRule="exact"/>
        <w:rPr>
          <w:sz w:val="20"/>
          <w:szCs w:val="20"/>
          <w:color w:val="auto"/>
        </w:rPr>
      </w:pPr>
    </w:p>
    <w:p>
      <w:pPr>
        <w:ind w:right="140" w:firstLine="228"/>
        <w:spacing w:after="0" w:line="259" w:lineRule="auto"/>
        <w:rPr>
          <w:sz w:val="20"/>
          <w:szCs w:val="20"/>
          <w:color w:val="auto"/>
        </w:rPr>
      </w:pPr>
      <w:r>
        <w:rPr>
          <w:rFonts w:ascii="Arial" w:cs="Arial" w:eastAsia="Arial" w:hAnsi="Arial"/>
          <w:sz w:val="18"/>
          <w:szCs w:val="18"/>
          <w:color w:val="auto"/>
        </w:rPr>
        <w:t>In the period January 1, 2009 through July 9, 2009 income tax benefit of $1.2 billion primarily resulted from the reversal of valuation allowances of $710 million related to Reorganization gains, net and the resolution of a transfer pricing matter of $692 million between the U.S. and Canadian governments, partially offset by income tax attributable to entities included in our effective tax rate calculation.</w:t>
      </w:r>
    </w:p>
    <w:p>
      <w:pPr>
        <w:spacing w:after="0" w:line="140" w:lineRule="exact"/>
        <w:rPr>
          <w:sz w:val="20"/>
          <w:szCs w:val="20"/>
          <w:color w:val="auto"/>
        </w:rPr>
      </w:pPr>
    </w:p>
    <w:p>
      <w:pPr>
        <w:ind w:firstLine="228"/>
        <w:spacing w:after="0" w:line="288" w:lineRule="auto"/>
        <w:rPr>
          <w:sz w:val="20"/>
          <w:szCs w:val="20"/>
          <w:color w:val="auto"/>
        </w:rPr>
      </w:pPr>
      <w:r>
        <w:rPr>
          <w:rFonts w:ascii="Arial" w:cs="Arial" w:eastAsia="Arial" w:hAnsi="Arial"/>
          <w:sz w:val="16"/>
          <w:szCs w:val="16"/>
          <w:color w:val="auto"/>
        </w:rPr>
        <w:t>Most of the tax attributes generated by Old GM and its domestic and foreign subsidiaries (net operating loss carryforwards and various income tax credits) survived the Chapter 11 Proceedings and we expect to use these tax attributes to reduce future tax liabilities. The ability to utilize certain of the U.S. tax attributes in future tax periods could be limited by Section 382(a) of the Internal Revenue Code. In Germany, we have net operating loss carryforwards for corporate income tax and trade tax purposes. We have received a ruling from the German tax authorities confirming the availability of those losses under the prerequisite that the agreements negotiated with the unions as to the protection of employment will be executed as signed. This ruling is further subject to the outcome of infringement proceedings initiated by the European Union with respect to the German law on which the ruling is based. If the European Union proceedings have a positive outcome we will be able to continue to carry over those losses despite the reorganizations that have taken place in Germany in 2008 and 2009. In Australia, we have net operating loss carryforwards which are subject to meeting an annual “Same Business Test” requirement. We will assess our ability to utilize these carryforward losses annually.</w:t>
      </w:r>
    </w:p>
    <w:p>
      <w:pPr>
        <w:spacing w:after="0" w:line="120" w:lineRule="exact"/>
        <w:rPr>
          <w:sz w:val="20"/>
          <w:szCs w:val="20"/>
          <w:color w:val="auto"/>
        </w:rPr>
      </w:pPr>
    </w:p>
    <w:p>
      <w:pPr>
        <w:ind w:right="20" w:firstLine="228"/>
        <w:spacing w:after="0" w:line="294" w:lineRule="auto"/>
        <w:rPr>
          <w:sz w:val="20"/>
          <w:szCs w:val="20"/>
          <w:color w:val="auto"/>
        </w:rPr>
      </w:pPr>
      <w:r>
        <w:rPr>
          <w:rFonts w:ascii="Arial" w:cs="Arial" w:eastAsia="Arial" w:hAnsi="Arial"/>
          <w:sz w:val="16"/>
          <w:szCs w:val="16"/>
          <w:color w:val="auto"/>
        </w:rPr>
        <w:t>We file and Old GM filed income tax returns in multiple jurisdictions, which are subject to examination by taxing authorities throughout the world. We have open tax years from 1999 to 2009 with various significant tax jurisdictions. These open years contain matters that could be subject to differing interpretations of applicable tax laws and regulations as they relate to the amount, timing or inclusion of revenue and expenses or the sustainability of income tax credits for a given audit cycle. Given the global nature of our operations, there is a risk that transfer pricing disputes may arise. We have continuing responsibility for Old GM’s open tax years. We record, and Old GM previously recorded, a tax benefit only for those positions that meet the more likely than not standard.</w:t>
      </w:r>
    </w:p>
    <w:p>
      <w:pPr>
        <w:spacing w:after="0" w:line="116" w:lineRule="exact"/>
        <w:rPr>
          <w:sz w:val="20"/>
          <w:szCs w:val="20"/>
          <w:color w:val="auto"/>
        </w:rPr>
      </w:pPr>
    </w:p>
    <w:p>
      <w:pPr>
        <w:jc w:val="both"/>
        <w:ind w:right="40" w:firstLine="228"/>
        <w:spacing w:after="0" w:line="335" w:lineRule="auto"/>
        <w:rPr>
          <w:sz w:val="20"/>
          <w:szCs w:val="20"/>
          <w:color w:val="auto"/>
        </w:rPr>
      </w:pPr>
      <w:r>
        <w:rPr>
          <w:rFonts w:ascii="Arial" w:cs="Arial" w:eastAsia="Arial" w:hAnsi="Arial"/>
          <w:sz w:val="15"/>
          <w:szCs w:val="15"/>
          <w:color w:val="auto"/>
        </w:rPr>
        <w:t>In June 2010 a Mexican income tax audit covering the 2002 and 2003 years was concluded and an assessment of 2.0 billion pesos (equivalent to $163 million) including tax, interest and penalties was issued. We do not agree with the assessment and intend to appeal. We believe we have adequate reserves established and collection of the assessment will be suspended during the appeal period and any subsequent proceedings through U.S. and Mexican competent authorities.</w:t>
      </w:r>
    </w:p>
    <w:p>
      <w:pPr>
        <w:spacing w:after="0" w:line="88" w:lineRule="exact"/>
        <w:rPr>
          <w:sz w:val="20"/>
          <w:szCs w:val="20"/>
          <w:color w:val="auto"/>
        </w:rPr>
      </w:pPr>
    </w:p>
    <w:p>
      <w:pPr>
        <w:ind w:right="260" w:firstLine="228"/>
        <w:spacing w:after="0" w:line="268" w:lineRule="auto"/>
        <w:rPr>
          <w:sz w:val="20"/>
          <w:szCs w:val="20"/>
          <w:color w:val="auto"/>
        </w:rPr>
      </w:pPr>
      <w:r>
        <w:rPr>
          <w:rFonts w:ascii="Arial" w:cs="Arial" w:eastAsia="Arial" w:hAnsi="Arial"/>
          <w:sz w:val="18"/>
          <w:szCs w:val="18"/>
          <w:color w:val="auto"/>
        </w:rPr>
        <w:t>Based on recent developments in Brazil, it is likely we will settle a contested income tax matter for approximately $225 million in the next 12 months. This amount was fully reserved in a prior period.</w:t>
      </w:r>
    </w:p>
    <w:p>
      <w:pPr>
        <w:spacing w:after="0" w:line="132" w:lineRule="exact"/>
        <w:rPr>
          <w:sz w:val="20"/>
          <w:szCs w:val="20"/>
          <w:color w:val="auto"/>
        </w:rPr>
      </w:pPr>
    </w:p>
    <w:p>
      <w:pPr>
        <w:ind w:right="180" w:firstLine="228"/>
        <w:spacing w:after="0" w:line="268" w:lineRule="auto"/>
        <w:rPr>
          <w:sz w:val="20"/>
          <w:szCs w:val="20"/>
          <w:color w:val="auto"/>
        </w:rPr>
      </w:pPr>
      <w:r>
        <w:rPr>
          <w:rFonts w:ascii="Arial" w:cs="Arial" w:eastAsia="Arial" w:hAnsi="Arial"/>
          <w:sz w:val="18"/>
          <w:szCs w:val="18"/>
          <w:color w:val="auto"/>
        </w:rPr>
        <w:t>At September 30, 2010, aside from the Brazilian matter, it is not possible to reasonably estimate the expected change to the total amount of unrecognized tax benefits over the next 12 months.</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19. Fair Value Measurements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Fair Value Measurements</w:t>
      </w:r>
    </w:p>
    <w:p>
      <w:pPr>
        <w:spacing w:after="0" w:line="177" w:lineRule="exact"/>
        <w:rPr>
          <w:sz w:val="20"/>
          <w:szCs w:val="20"/>
          <w:color w:val="auto"/>
        </w:rPr>
      </w:pPr>
    </w:p>
    <w:p>
      <w:pPr>
        <w:ind w:right="160" w:firstLine="228"/>
        <w:spacing w:after="0" w:line="259" w:lineRule="auto"/>
        <w:rPr>
          <w:sz w:val="20"/>
          <w:szCs w:val="20"/>
          <w:color w:val="auto"/>
        </w:rPr>
      </w:pPr>
      <w:r>
        <w:rPr>
          <w:rFonts w:ascii="Arial" w:cs="Arial" w:eastAsia="Arial" w:hAnsi="Arial"/>
          <w:sz w:val="18"/>
          <w:szCs w:val="18"/>
          <w:color w:val="auto"/>
        </w:rPr>
        <w:t>A three-level valuation hierarchy is used for fair value measurements. The three-level valuation hierarchy is based upon observable and unobservable inputs. Observable inputs reflect market data obtained from independent sources, while unobservable inputs reflect market assumptions based on the best evidence available. These two types of inputs create the following fair value hierarchy:</w:t>
      </w:r>
    </w:p>
    <w:p>
      <w:pPr>
        <w:spacing w:after="0" w:line="181" w:lineRule="exact"/>
        <w:rPr>
          <w:sz w:val="20"/>
          <w:szCs w:val="20"/>
          <w:color w:val="auto"/>
        </w:rPr>
      </w:pPr>
    </w:p>
    <w:p>
      <w:pPr>
        <w:ind w:left="660" w:hanging="436"/>
        <w:spacing w:after="0"/>
        <w:tabs>
          <w:tab w:leader="none" w:pos="6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 xml:space="preserve">Level 1 — Quoted prices for </w:t>
      </w:r>
      <w:r>
        <w:rPr>
          <w:rFonts w:ascii="Arial" w:cs="Arial" w:eastAsia="Arial" w:hAnsi="Arial"/>
          <w:sz w:val="18"/>
          <w:szCs w:val="18"/>
          <w:i w:val="1"/>
          <w:iCs w:val="1"/>
          <w:color w:val="auto"/>
        </w:rPr>
        <w:t>identical</w:t>
      </w:r>
      <w:r>
        <w:rPr>
          <w:rFonts w:ascii="Arial" w:cs="Arial" w:eastAsia="Arial" w:hAnsi="Arial"/>
          <w:sz w:val="18"/>
          <w:szCs w:val="18"/>
          <w:color w:val="auto"/>
        </w:rPr>
        <w:t xml:space="preserve"> instruments in active markets;</w:t>
      </w:r>
    </w:p>
    <w:p>
      <w:pPr>
        <w:spacing w:after="0" w:line="90" w:lineRule="exact"/>
        <w:rPr>
          <w:rFonts w:ascii="Arial" w:cs="Arial" w:eastAsia="Arial" w:hAnsi="Arial"/>
          <w:sz w:val="18"/>
          <w:szCs w:val="18"/>
          <w:color w:val="auto"/>
        </w:rPr>
      </w:pPr>
    </w:p>
    <w:p>
      <w:pPr>
        <w:ind w:left="660" w:right="140" w:hanging="436"/>
        <w:spacing w:after="0" w:line="268" w:lineRule="auto"/>
        <w:tabs>
          <w:tab w:leader="none" w:pos="6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 xml:space="preserve">Level 2 — Quoted prices for </w:t>
      </w:r>
      <w:r>
        <w:rPr>
          <w:rFonts w:ascii="Arial" w:cs="Arial" w:eastAsia="Arial" w:hAnsi="Arial"/>
          <w:sz w:val="18"/>
          <w:szCs w:val="18"/>
          <w:i w:val="1"/>
          <w:iCs w:val="1"/>
          <w:color w:val="auto"/>
        </w:rPr>
        <w:t>similar</w:t>
      </w:r>
      <w:r>
        <w:rPr>
          <w:rFonts w:ascii="Arial" w:cs="Arial" w:eastAsia="Arial" w:hAnsi="Arial"/>
          <w:sz w:val="18"/>
          <w:szCs w:val="18"/>
          <w:color w:val="auto"/>
        </w:rPr>
        <w:t xml:space="preserve"> instruments in active markets; quoted prices for identical or similar instruments in markets that are not active; and model-derived valuations whose significant inputs are observable; and</w:t>
      </w:r>
    </w:p>
    <w:p>
      <w:pPr>
        <w:spacing w:after="0" w:line="50" w:lineRule="exact"/>
        <w:rPr>
          <w:rFonts w:ascii="Arial" w:cs="Arial" w:eastAsia="Arial" w:hAnsi="Arial"/>
          <w:sz w:val="18"/>
          <w:szCs w:val="18"/>
          <w:color w:val="auto"/>
        </w:rPr>
      </w:pPr>
    </w:p>
    <w:p>
      <w:pPr>
        <w:ind w:left="660" w:hanging="436"/>
        <w:spacing w:after="0"/>
        <w:tabs>
          <w:tab w:leader="none" w:pos="6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 xml:space="preserve">Level 3 — Instruments whose significant inputs are </w:t>
      </w:r>
      <w:r>
        <w:rPr>
          <w:rFonts w:ascii="Arial" w:cs="Arial" w:eastAsia="Arial" w:hAnsi="Arial"/>
          <w:sz w:val="18"/>
          <w:szCs w:val="18"/>
          <w:i w:val="1"/>
          <w:iCs w:val="1"/>
          <w:color w:val="auto"/>
        </w:rPr>
        <w:t>unobservable</w:t>
      </w:r>
      <w:r>
        <w:rPr>
          <w:rFonts w:ascii="Arial" w:cs="Arial" w:eastAsia="Arial" w:hAnsi="Arial"/>
          <w:sz w:val="18"/>
          <w:szCs w:val="18"/>
          <w:color w:val="auto"/>
        </w:rPr>
        <w:t>.</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51</w:t>
      </w:r>
    </w:p>
    <w:p>
      <w:pPr>
        <w:sectPr>
          <w:pgSz w:w="11900" w:h="16838" w:orient="portrait"/>
          <w:cols w:equalWidth="0" w:num="1">
            <w:col w:w="11420"/>
          </w:cols>
          <w:pgMar w:left="240" w:top="459" w:right="239" w:bottom="1440" w:gutter="0" w:footer="0" w:header="0"/>
        </w:sectPr>
      </w:pPr>
    </w:p>
    <w:bookmarkStart w:id="53" w:name="page54"/>
    <w:bookmarkEnd w:id="5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171"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339" w:lineRule="exact"/>
        <w:rPr>
          <w:sz w:val="20"/>
          <w:szCs w:val="20"/>
          <w:color w:val="auto"/>
        </w:rPr>
      </w:pPr>
    </w:p>
    <w:p>
      <w:pPr>
        <w:ind w:right="140" w:firstLine="228"/>
        <w:spacing w:after="0" w:line="259" w:lineRule="auto"/>
        <w:rPr>
          <w:sz w:val="20"/>
          <w:szCs w:val="20"/>
          <w:color w:val="auto"/>
        </w:rPr>
      </w:pPr>
      <w:r>
        <w:rPr>
          <w:rFonts w:ascii="Arial" w:cs="Arial" w:eastAsia="Arial" w:hAnsi="Arial"/>
          <w:sz w:val="18"/>
          <w:szCs w:val="18"/>
          <w:color w:val="auto"/>
        </w:rPr>
        <w:t>Financial instruments are transferred in and/or out of Level 3 in the valuation hierarchy based upon the significance of the unobservable inputs to the overall fair value measurement. Level 3 financial instruments typically include, in addition to the unobservable inputs, observable components that are validated to external sources.</w:t>
      </w:r>
    </w:p>
    <w:p>
      <w:pPr>
        <w:spacing w:after="0" w:line="140" w:lineRule="exact"/>
        <w:rPr>
          <w:sz w:val="20"/>
          <w:szCs w:val="20"/>
          <w:color w:val="auto"/>
        </w:rPr>
      </w:pPr>
    </w:p>
    <w:p>
      <w:pPr>
        <w:ind w:firstLine="228"/>
        <w:spacing w:after="0" w:line="254" w:lineRule="auto"/>
        <w:rPr>
          <w:sz w:val="20"/>
          <w:szCs w:val="20"/>
          <w:color w:val="auto"/>
        </w:rPr>
      </w:pPr>
      <w:r>
        <w:rPr>
          <w:rFonts w:ascii="Arial" w:cs="Arial" w:eastAsia="Arial" w:hAnsi="Arial"/>
          <w:sz w:val="18"/>
          <w:szCs w:val="18"/>
          <w:color w:val="auto"/>
        </w:rPr>
        <w:t>Securities are classified in Level 1 of the valuation hierarchy when quoted prices in an active market for identical securities are available. If quoted market prices are not available, fair values of securities are determined using prices from a pricing vendor, pricing models, quoted prices of securities with similar characteristics or discounted cash flow models and are generally classified in Level 2 of the valuation hierarchy. Our pricing vendor utilizes industry-standard pricing models that consider various inputs, including benchmark yields, reported trades, broker/dealer quotes, issuer spreads and benchmark securities as well as other relevant economic measures. Securities are classified in Level 3 of the valuation hierarchy in certain cases where there are unobservable inputs to the valuation in the marketplace.</w:t>
      </w:r>
    </w:p>
    <w:p>
      <w:pPr>
        <w:spacing w:after="0" w:line="144" w:lineRule="exact"/>
        <w:rPr>
          <w:sz w:val="20"/>
          <w:szCs w:val="20"/>
          <w:color w:val="auto"/>
        </w:rPr>
      </w:pPr>
    </w:p>
    <w:p>
      <w:pPr>
        <w:jc w:val="both"/>
        <w:ind w:right="120" w:firstLine="228"/>
        <w:spacing w:after="0" w:line="306" w:lineRule="auto"/>
        <w:rPr>
          <w:sz w:val="20"/>
          <w:szCs w:val="20"/>
          <w:color w:val="auto"/>
        </w:rPr>
      </w:pPr>
      <w:r>
        <w:rPr>
          <w:rFonts w:ascii="Arial" w:cs="Arial" w:eastAsia="Arial" w:hAnsi="Arial"/>
          <w:sz w:val="16"/>
          <w:szCs w:val="16"/>
          <w:color w:val="auto"/>
        </w:rPr>
        <w:t>Annually, we conduct a review of our pricing vendor. This review includes discussion and analysis of the inputs used by the pricing vendor to provide prices for the types of securities we hold. These inputs included interest rate yields, bid/ask quotes, prepayment speeds and prices for comparable securities. Based on our review we believe the prices received from our pricing vendor are a reliable representation of exit prices.</w:t>
      </w:r>
    </w:p>
    <w:p>
      <w:pPr>
        <w:spacing w:after="0" w:line="107" w:lineRule="exact"/>
        <w:rPr>
          <w:sz w:val="20"/>
          <w:szCs w:val="20"/>
          <w:color w:val="auto"/>
        </w:rPr>
      </w:pPr>
    </w:p>
    <w:p>
      <w:pPr>
        <w:ind w:firstLine="228"/>
        <w:spacing w:after="0" w:line="291" w:lineRule="auto"/>
        <w:rPr>
          <w:sz w:val="20"/>
          <w:szCs w:val="20"/>
          <w:color w:val="auto"/>
        </w:rPr>
      </w:pPr>
      <w:r>
        <w:rPr>
          <w:rFonts w:ascii="Arial" w:cs="Arial" w:eastAsia="Arial" w:hAnsi="Arial"/>
          <w:sz w:val="16"/>
          <w:szCs w:val="16"/>
          <w:color w:val="auto"/>
        </w:rPr>
        <w:t>All derivatives are recorded at fair value. Internal models are used to value a majority of derivatives. The models use, as their basis, readily observable market inputs, such as time value, forward interest rates, volatility factors, and current and forward market prices for commodities and foreign currency exchange rates. Level 2 of the valuation hierarchy includes certain foreign currency derivatives, commodity derivatives, certain interest rate swaps, cross currency swaps and warrants. Derivative contracts that are valued based upon models with significant unobservable market inputs, primarily estimated forward and prepayment rates, are classified in Level 3 of the valuation hierarchy. Level 3 of the valuation hierarchy includes warrants issued prior to July 10, 2009 to the UST, certain foreign currency derivatives, certain long-dated commodity derivatives and interest rate swaps with notional amounts that fluctuated over time.</w:t>
      </w:r>
    </w:p>
    <w:p>
      <w:pPr>
        <w:spacing w:after="0" w:line="120" w:lineRule="exact"/>
        <w:rPr>
          <w:sz w:val="20"/>
          <w:szCs w:val="20"/>
          <w:color w:val="auto"/>
        </w:rPr>
      </w:pPr>
    </w:p>
    <w:p>
      <w:pPr>
        <w:ind w:right="20" w:firstLine="228"/>
        <w:spacing w:after="0" w:line="255" w:lineRule="auto"/>
        <w:rPr>
          <w:sz w:val="20"/>
          <w:szCs w:val="20"/>
          <w:color w:val="auto"/>
        </w:rPr>
      </w:pPr>
      <w:r>
        <w:rPr>
          <w:rFonts w:ascii="Arial" w:cs="Arial" w:eastAsia="Arial" w:hAnsi="Arial"/>
          <w:sz w:val="18"/>
          <w:szCs w:val="18"/>
          <w:color w:val="auto"/>
        </w:rPr>
        <w:t>The valuation of derivative liabilities takes into account our and Old GM’s nonperformance risk. For the periods presented after June 1, 2009, our and Old GM’s nonperformance risk was not observable through the credit default swap market as a result of its Chapter 11 Proceedings and the lack of traded instruments for us. As a result, an analysis of comparable industrial companies was used to determine the appropriate credit spread which would be applied to us by market participants. In these periods, all derivatives whose fair values contained a significant credit adjustment based on our nonperformance risk were classified in Level 3 of the valuation hierarchy.</w:t>
      </w:r>
    </w:p>
    <w:p>
      <w:pPr>
        <w:spacing w:after="0" w:line="12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52</w:t>
      </w:r>
    </w:p>
    <w:p>
      <w:pPr>
        <w:sectPr>
          <w:pgSz w:w="11900" w:h="16838" w:orient="portrait"/>
          <w:cols w:equalWidth="0" w:num="1">
            <w:col w:w="11360"/>
          </w:cols>
          <w:pgMar w:left="240" w:top="459" w:right="299" w:bottom="1440" w:gutter="0" w:footer="0" w:header="0"/>
        </w:sectPr>
      </w:pPr>
    </w:p>
    <w:bookmarkStart w:id="54" w:name="page55"/>
    <w:bookmarkEnd w:id="5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Fair Value Measurements on a Recurring Basis</w:t>
      </w:r>
    </w:p>
    <w:p>
      <w:pPr>
        <w:spacing w:after="0" w:line="177" w:lineRule="exact"/>
        <w:rPr>
          <w:sz w:val="20"/>
          <w:szCs w:val="20"/>
          <w:color w:val="auto"/>
        </w:rPr>
      </w:pPr>
    </w:p>
    <w:p>
      <w:pPr>
        <w:ind w:left="240"/>
        <w:spacing w:after="0"/>
        <w:rPr>
          <w:sz w:val="20"/>
          <w:szCs w:val="20"/>
          <w:color w:val="auto"/>
        </w:rPr>
      </w:pPr>
      <w:r>
        <w:rPr>
          <w:rFonts w:ascii="Arial" w:cs="Arial" w:eastAsia="Arial" w:hAnsi="Arial"/>
          <w:sz w:val="18"/>
          <w:szCs w:val="18"/>
          <w:color w:val="auto"/>
        </w:rPr>
        <w:t>The following tables summarize the financial instruments measured at fair value on a recurring basis (dollars in millions):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360" w:type="dxa"/>
            <w:vAlign w:val="bottom"/>
          </w:tcPr>
          <w:p>
            <w:pPr>
              <w:spacing w:after="0"/>
              <w:rPr>
                <w:sz w:val="14"/>
                <w:szCs w:val="14"/>
                <w:color w:val="auto"/>
              </w:rPr>
            </w:pPr>
          </w:p>
        </w:tc>
        <w:tc>
          <w:tcPr>
            <w:tcW w:w="33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gridSpan w:val="4"/>
          </w:tcPr>
          <w:p>
            <w:pPr>
              <w:jc w:val="center"/>
              <w:ind w:left="315"/>
              <w:spacing w:after="0"/>
              <w:rPr>
                <w:sz w:val="20"/>
                <w:szCs w:val="20"/>
                <w:color w:val="auto"/>
              </w:rPr>
            </w:pPr>
            <w:r>
              <w:rPr>
                <w:rFonts w:ascii="Arial" w:cs="Arial" w:eastAsia="Arial" w:hAnsi="Arial"/>
                <w:sz w:val="14"/>
                <w:szCs w:val="14"/>
                <w:b w:val="1"/>
                <w:bCs w:val="1"/>
                <w:color w:val="auto"/>
                <w:w w:val="79"/>
              </w:rPr>
              <w:t>Successor</w:t>
            </w:r>
          </w:p>
        </w:tc>
        <w:tc>
          <w:tcPr>
            <w:tcW w:w="52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4360" w:type="dxa"/>
            <w:vAlign w:val="bottom"/>
          </w:tcPr>
          <w:p>
            <w:pPr>
              <w:spacing w:after="0"/>
              <w:rPr>
                <w:sz w:val="11"/>
                <w:szCs w:val="11"/>
                <w:color w:val="auto"/>
              </w:rPr>
            </w:pPr>
          </w:p>
        </w:tc>
        <w:tc>
          <w:tcPr>
            <w:tcW w:w="33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560" w:type="dxa"/>
            <w:vAlign w:val="bottom"/>
            <w:gridSpan w:val="12"/>
          </w:tcPr>
          <w:p>
            <w:pPr>
              <w:jc w:val="center"/>
              <w:ind w:right="13"/>
              <w:spacing w:after="0" w:line="129" w:lineRule="exact"/>
              <w:rPr>
                <w:sz w:val="20"/>
                <w:szCs w:val="20"/>
                <w:color w:val="auto"/>
              </w:rPr>
            </w:pPr>
            <w:r>
              <w:rPr>
                <w:rFonts w:ascii="Arial" w:cs="Arial" w:eastAsia="Arial" w:hAnsi="Arial"/>
                <w:sz w:val="14"/>
                <w:szCs w:val="14"/>
                <w:b w:val="1"/>
                <w:bCs w:val="1"/>
                <w:color w:val="auto"/>
                <w:w w:val="86"/>
              </w:rPr>
              <w:t>Fair Value Measurements on a Recurring Basis at</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4360" w:type="dxa"/>
            <w:vAlign w:val="bottom"/>
          </w:tcPr>
          <w:p>
            <w:pPr>
              <w:spacing w:after="0"/>
              <w:rPr>
                <w:sz w:val="14"/>
                <w:szCs w:val="14"/>
                <w:color w:val="auto"/>
              </w:rPr>
            </w:pPr>
          </w:p>
        </w:tc>
        <w:tc>
          <w:tcPr>
            <w:tcW w:w="33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760" w:type="dxa"/>
            <w:vAlign w:val="bottom"/>
            <w:tcBorders>
              <w:bottom w:val="single" w:sz="8" w:color="auto"/>
            </w:tcBorders>
            <w:gridSpan w:val="6"/>
          </w:tcPr>
          <w:p>
            <w:pPr>
              <w:jc w:val="center"/>
              <w:ind w:right="320"/>
              <w:spacing w:after="0"/>
              <w:rPr>
                <w:sz w:val="20"/>
                <w:szCs w:val="20"/>
                <w:color w:val="auto"/>
              </w:rPr>
            </w:pPr>
            <w:r>
              <w:rPr>
                <w:rFonts w:ascii="Arial" w:cs="Arial" w:eastAsia="Arial" w:hAnsi="Arial"/>
                <w:sz w:val="14"/>
                <w:szCs w:val="14"/>
                <w:b w:val="1"/>
                <w:bCs w:val="1"/>
                <w:color w:val="auto"/>
                <w:w w:val="85"/>
              </w:rPr>
              <w:t>September 30, 2010</w:t>
            </w:r>
          </w:p>
        </w:tc>
        <w:tc>
          <w:tcPr>
            <w:tcW w:w="2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4360" w:type="dxa"/>
            <w:vAlign w:val="bottom"/>
          </w:tcPr>
          <w:p>
            <w:pPr>
              <w:spacing w:after="0"/>
              <w:rPr>
                <w:sz w:val="12"/>
                <w:szCs w:val="12"/>
                <w:color w:val="auto"/>
              </w:rPr>
            </w:pPr>
          </w:p>
        </w:tc>
        <w:tc>
          <w:tcPr>
            <w:tcW w:w="3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gridSpan w:val="2"/>
          </w:tcPr>
          <w:p>
            <w:pPr>
              <w:jc w:val="right"/>
              <w:ind w:right="520"/>
              <w:spacing w:after="0" w:line="142" w:lineRule="exact"/>
              <w:rPr>
                <w:sz w:val="20"/>
                <w:szCs w:val="20"/>
                <w:color w:val="auto"/>
              </w:rPr>
            </w:pPr>
            <w:r>
              <w:rPr>
                <w:rFonts w:ascii="Arial" w:cs="Arial" w:eastAsia="Arial" w:hAnsi="Arial"/>
                <w:sz w:val="14"/>
                <w:szCs w:val="14"/>
                <w:b w:val="1"/>
                <w:bCs w:val="1"/>
                <w:color w:val="auto"/>
                <w:w w:val="84"/>
              </w:rPr>
              <w:t>Level 1</w:t>
            </w:r>
          </w:p>
        </w:tc>
        <w:tc>
          <w:tcPr>
            <w:tcW w:w="80" w:type="dxa"/>
            <w:vAlign w:val="bottom"/>
          </w:tcPr>
          <w:p>
            <w:pPr>
              <w:spacing w:after="0"/>
              <w:rPr>
                <w:sz w:val="12"/>
                <w:szCs w:val="12"/>
                <w:color w:val="auto"/>
              </w:rPr>
            </w:pPr>
          </w:p>
        </w:tc>
        <w:tc>
          <w:tcPr>
            <w:tcW w:w="740" w:type="dxa"/>
            <w:vAlign w:val="bottom"/>
            <w:gridSpan w:val="2"/>
          </w:tcPr>
          <w:p>
            <w:pPr>
              <w:ind w:left="20"/>
              <w:spacing w:after="0" w:line="142" w:lineRule="exact"/>
              <w:rPr>
                <w:sz w:val="20"/>
                <w:szCs w:val="20"/>
                <w:color w:val="auto"/>
              </w:rPr>
            </w:pPr>
            <w:r>
              <w:rPr>
                <w:rFonts w:ascii="Arial" w:cs="Arial" w:eastAsia="Arial" w:hAnsi="Arial"/>
                <w:sz w:val="14"/>
                <w:szCs w:val="14"/>
                <w:b w:val="1"/>
                <w:bCs w:val="1"/>
                <w:color w:val="auto"/>
              </w:rPr>
              <w:t>Level 2</w:t>
            </w: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gridSpan w:val="2"/>
          </w:tcPr>
          <w:p>
            <w:pPr>
              <w:spacing w:after="0" w:line="142" w:lineRule="exact"/>
              <w:rPr>
                <w:sz w:val="20"/>
                <w:szCs w:val="20"/>
                <w:color w:val="auto"/>
              </w:rPr>
            </w:pPr>
            <w:r>
              <w:rPr>
                <w:rFonts w:ascii="Arial" w:cs="Arial" w:eastAsia="Arial" w:hAnsi="Arial"/>
                <w:sz w:val="14"/>
                <w:szCs w:val="14"/>
                <w:b w:val="1"/>
                <w:bCs w:val="1"/>
                <w:color w:val="auto"/>
              </w:rPr>
              <w:t>Level 3</w:t>
            </w: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jc w:val="right"/>
              <w:ind w:right="53"/>
              <w:spacing w:after="0" w:line="142" w:lineRule="exact"/>
              <w:rPr>
                <w:sz w:val="20"/>
                <w:szCs w:val="20"/>
                <w:color w:val="auto"/>
              </w:rPr>
            </w:pPr>
            <w:r>
              <w:rPr>
                <w:rFonts w:ascii="Arial" w:cs="Arial" w:eastAsia="Arial" w:hAnsi="Arial"/>
                <w:sz w:val="14"/>
                <w:szCs w:val="14"/>
                <w:b w:val="1"/>
                <w:bCs w:val="1"/>
                <w:color w:val="auto"/>
                <w:w w:val="95"/>
              </w:rPr>
              <w:t>Total</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43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330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60" w:type="dxa"/>
            <w:vAlign w:val="bottom"/>
          </w:tcPr>
          <w:p>
            <w:pPr>
              <w:spacing w:after="0"/>
              <w:rPr>
                <w:sz w:val="20"/>
                <w:szCs w:val="20"/>
                <w:color w:val="auto"/>
              </w:rPr>
            </w:pPr>
            <w:r>
              <w:rPr>
                <w:rFonts w:ascii="Arial" w:cs="Arial" w:eastAsia="Arial" w:hAnsi="Arial"/>
                <w:sz w:val="18"/>
                <w:szCs w:val="18"/>
                <w:color w:val="auto"/>
              </w:rPr>
              <w:t>Cash equivalents</w:t>
            </w:r>
          </w:p>
        </w:tc>
        <w:tc>
          <w:tcPr>
            <w:tcW w:w="3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United States government and agency</w:t>
            </w:r>
          </w:p>
        </w:tc>
        <w:tc>
          <w:tcPr>
            <w:tcW w:w="3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1,783</w:t>
            </w:r>
          </w:p>
        </w:tc>
        <w:tc>
          <w:tcPr>
            <w:tcW w:w="3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1,783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60" w:type="dxa"/>
            <w:vAlign w:val="bottom"/>
          </w:tcPr>
          <w:p>
            <w:pPr>
              <w:ind w:left="220"/>
              <w:spacing w:after="0"/>
              <w:rPr>
                <w:sz w:val="20"/>
                <w:szCs w:val="20"/>
                <w:color w:val="auto"/>
              </w:rPr>
            </w:pPr>
            <w:r>
              <w:rPr>
                <w:rFonts w:ascii="Arial" w:cs="Arial" w:eastAsia="Arial" w:hAnsi="Arial"/>
                <w:sz w:val="18"/>
                <w:szCs w:val="18"/>
                <w:color w:val="auto"/>
              </w:rPr>
              <w:t>Certificates of deposit</w:t>
            </w:r>
          </w:p>
        </w:tc>
        <w:tc>
          <w:tcPr>
            <w:tcW w:w="3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740" w:type="dxa"/>
            <w:vAlign w:val="bottom"/>
            <w:gridSpan w:val="2"/>
          </w:tcPr>
          <w:p>
            <w:pPr>
              <w:jc w:val="right"/>
              <w:ind w:right="200"/>
              <w:spacing w:after="0"/>
              <w:rPr>
                <w:sz w:val="20"/>
                <w:szCs w:val="20"/>
                <w:color w:val="auto"/>
              </w:rPr>
            </w:pPr>
            <w:r>
              <w:rPr>
                <w:rFonts w:ascii="Arial" w:cs="Arial" w:eastAsia="Arial" w:hAnsi="Arial"/>
                <w:sz w:val="18"/>
                <w:szCs w:val="18"/>
                <w:color w:val="auto"/>
              </w:rPr>
              <w:t>3,730</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3,730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Money market funds</w:t>
            </w:r>
          </w:p>
        </w:tc>
        <w:tc>
          <w:tcPr>
            <w:tcW w:w="3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5,526</w:t>
            </w:r>
          </w:p>
        </w:tc>
        <w:tc>
          <w:tcPr>
            <w:tcW w:w="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5,526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60" w:type="dxa"/>
            <w:vAlign w:val="bottom"/>
          </w:tcPr>
          <w:p>
            <w:pPr>
              <w:ind w:left="220"/>
              <w:spacing w:after="0"/>
              <w:rPr>
                <w:sz w:val="20"/>
                <w:szCs w:val="20"/>
                <w:color w:val="auto"/>
              </w:rPr>
            </w:pPr>
            <w:r>
              <w:rPr>
                <w:rFonts w:ascii="Arial" w:cs="Arial" w:eastAsia="Arial" w:hAnsi="Arial"/>
                <w:sz w:val="18"/>
                <w:szCs w:val="18"/>
                <w:color w:val="auto"/>
              </w:rPr>
              <w:t>Commercial paper</w:t>
            </w:r>
          </w:p>
        </w:tc>
        <w:tc>
          <w:tcPr>
            <w:tcW w:w="3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740" w:type="dxa"/>
            <w:vAlign w:val="bottom"/>
            <w:gridSpan w:val="2"/>
          </w:tcPr>
          <w:p>
            <w:pPr>
              <w:jc w:val="right"/>
              <w:ind w:right="200"/>
              <w:spacing w:after="0"/>
              <w:rPr>
                <w:sz w:val="20"/>
                <w:szCs w:val="20"/>
                <w:color w:val="auto"/>
              </w:rPr>
            </w:pPr>
            <w:r>
              <w:rPr>
                <w:rFonts w:ascii="Arial" w:cs="Arial" w:eastAsia="Arial" w:hAnsi="Arial"/>
                <w:sz w:val="18"/>
                <w:szCs w:val="18"/>
                <w:color w:val="auto"/>
              </w:rPr>
              <w:t>4,419</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4,419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60" w:type="dxa"/>
            <w:vAlign w:val="bottom"/>
            <w:shd w:val="clear" w:color="auto" w:fill="CCEEFF"/>
          </w:tcPr>
          <w:p>
            <w:pPr>
              <w:spacing w:after="0"/>
              <w:rPr>
                <w:sz w:val="20"/>
                <w:szCs w:val="20"/>
                <w:color w:val="auto"/>
              </w:rPr>
            </w:pPr>
            <w:r>
              <w:rPr>
                <w:rFonts w:ascii="Arial" w:cs="Arial" w:eastAsia="Arial" w:hAnsi="Arial"/>
                <w:sz w:val="18"/>
                <w:szCs w:val="18"/>
                <w:color w:val="auto"/>
              </w:rPr>
              <w:t>Marketable securities</w:t>
            </w:r>
          </w:p>
        </w:tc>
        <w:tc>
          <w:tcPr>
            <w:tcW w:w="3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60" w:type="dxa"/>
            <w:vAlign w:val="bottom"/>
          </w:tcPr>
          <w:p>
            <w:pPr>
              <w:ind w:left="220"/>
              <w:spacing w:after="0"/>
              <w:rPr>
                <w:sz w:val="20"/>
                <w:szCs w:val="20"/>
                <w:color w:val="auto"/>
              </w:rPr>
            </w:pPr>
            <w:r>
              <w:rPr>
                <w:rFonts w:ascii="Arial" w:cs="Arial" w:eastAsia="Arial" w:hAnsi="Arial"/>
                <w:sz w:val="18"/>
                <w:szCs w:val="18"/>
                <w:color w:val="auto"/>
              </w:rPr>
              <w:t>Trading securities</w:t>
            </w:r>
          </w:p>
        </w:tc>
        <w:tc>
          <w:tcPr>
            <w:tcW w:w="3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Equity</w:t>
            </w:r>
          </w:p>
        </w:tc>
        <w:tc>
          <w:tcPr>
            <w:tcW w:w="3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17</w:t>
            </w:r>
          </w:p>
        </w:tc>
        <w:tc>
          <w:tcPr>
            <w:tcW w:w="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18</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60" w:type="dxa"/>
            <w:vAlign w:val="bottom"/>
          </w:tcPr>
          <w:p>
            <w:pPr>
              <w:ind w:left="440"/>
              <w:spacing w:after="0"/>
              <w:rPr>
                <w:sz w:val="20"/>
                <w:szCs w:val="20"/>
                <w:color w:val="auto"/>
              </w:rPr>
            </w:pPr>
            <w:r>
              <w:rPr>
                <w:rFonts w:ascii="Arial" w:cs="Arial" w:eastAsia="Arial" w:hAnsi="Arial"/>
                <w:sz w:val="18"/>
                <w:szCs w:val="18"/>
                <w:color w:val="auto"/>
              </w:rPr>
              <w:t>United States government and agency</w:t>
            </w:r>
          </w:p>
        </w:tc>
        <w:tc>
          <w:tcPr>
            <w:tcW w:w="3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740" w:type="dxa"/>
            <w:vAlign w:val="bottom"/>
            <w:gridSpan w:val="2"/>
          </w:tcPr>
          <w:p>
            <w:pPr>
              <w:jc w:val="right"/>
              <w:ind w:right="200"/>
              <w:spacing w:after="0"/>
              <w:rPr>
                <w:sz w:val="20"/>
                <w:szCs w:val="20"/>
                <w:color w:val="auto"/>
              </w:rPr>
            </w:pPr>
            <w:r>
              <w:rPr>
                <w:rFonts w:ascii="Arial" w:cs="Arial" w:eastAsia="Arial" w:hAnsi="Arial"/>
                <w:sz w:val="18"/>
                <w:szCs w:val="18"/>
                <w:color w:val="auto"/>
              </w:rPr>
              <w:t>6</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Mortgage and asset-backed</w:t>
            </w:r>
          </w:p>
        </w:tc>
        <w:tc>
          <w:tcPr>
            <w:tcW w:w="3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28</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60" w:type="dxa"/>
            <w:vAlign w:val="bottom"/>
          </w:tcPr>
          <w:p>
            <w:pPr>
              <w:ind w:left="440"/>
              <w:spacing w:after="0"/>
              <w:rPr>
                <w:sz w:val="20"/>
                <w:szCs w:val="20"/>
                <w:color w:val="auto"/>
              </w:rPr>
            </w:pPr>
            <w:r>
              <w:rPr>
                <w:rFonts w:ascii="Arial" w:cs="Arial" w:eastAsia="Arial" w:hAnsi="Arial"/>
                <w:sz w:val="18"/>
                <w:szCs w:val="18"/>
                <w:color w:val="auto"/>
              </w:rPr>
              <w:t>Foreign government</w:t>
            </w:r>
          </w:p>
        </w:tc>
        <w:tc>
          <w:tcPr>
            <w:tcW w:w="3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740" w:type="dxa"/>
            <w:vAlign w:val="bottom"/>
            <w:gridSpan w:val="2"/>
          </w:tcPr>
          <w:p>
            <w:pPr>
              <w:jc w:val="right"/>
              <w:ind w:right="200"/>
              <w:spacing w:after="0"/>
              <w:rPr>
                <w:sz w:val="20"/>
                <w:szCs w:val="20"/>
                <w:color w:val="auto"/>
              </w:rPr>
            </w:pPr>
            <w:r>
              <w:rPr>
                <w:rFonts w:ascii="Arial" w:cs="Arial" w:eastAsia="Arial" w:hAnsi="Arial"/>
                <w:sz w:val="18"/>
                <w:szCs w:val="18"/>
                <w:color w:val="auto"/>
              </w:rPr>
              <w:t>36</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36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Corporate debt</w:t>
            </w:r>
          </w:p>
        </w:tc>
        <w:tc>
          <w:tcPr>
            <w:tcW w:w="3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29</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60" w:type="dxa"/>
            <w:vAlign w:val="bottom"/>
          </w:tcPr>
          <w:p>
            <w:pPr>
              <w:ind w:left="220"/>
              <w:spacing w:after="0"/>
              <w:rPr>
                <w:sz w:val="20"/>
                <w:szCs w:val="20"/>
                <w:color w:val="auto"/>
              </w:rPr>
            </w:pPr>
            <w:r>
              <w:rPr>
                <w:rFonts w:ascii="Arial" w:cs="Arial" w:eastAsia="Arial" w:hAnsi="Arial"/>
                <w:sz w:val="18"/>
                <w:szCs w:val="18"/>
                <w:color w:val="auto"/>
              </w:rPr>
              <w:t>Available–for–sale securities</w:t>
            </w:r>
          </w:p>
        </w:tc>
        <w:tc>
          <w:tcPr>
            <w:tcW w:w="3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United States government and agency</w:t>
            </w:r>
          </w:p>
        </w:tc>
        <w:tc>
          <w:tcPr>
            <w:tcW w:w="3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2,254</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2,254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60" w:type="dxa"/>
            <w:vAlign w:val="bottom"/>
          </w:tcPr>
          <w:p>
            <w:pPr>
              <w:ind w:left="440"/>
              <w:spacing w:after="0"/>
              <w:rPr>
                <w:sz w:val="20"/>
                <w:szCs w:val="20"/>
                <w:color w:val="auto"/>
              </w:rPr>
            </w:pPr>
            <w:r>
              <w:rPr>
                <w:rFonts w:ascii="Arial" w:cs="Arial" w:eastAsia="Arial" w:hAnsi="Arial"/>
                <w:sz w:val="18"/>
                <w:szCs w:val="18"/>
                <w:color w:val="auto"/>
              </w:rPr>
              <w:t>Certificates of deposit</w:t>
            </w:r>
          </w:p>
        </w:tc>
        <w:tc>
          <w:tcPr>
            <w:tcW w:w="3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740" w:type="dxa"/>
            <w:vAlign w:val="bottom"/>
            <w:gridSpan w:val="2"/>
          </w:tcPr>
          <w:p>
            <w:pPr>
              <w:jc w:val="right"/>
              <w:ind w:right="200"/>
              <w:spacing w:after="0"/>
              <w:rPr>
                <w:sz w:val="20"/>
                <w:szCs w:val="20"/>
                <w:color w:val="auto"/>
              </w:rPr>
            </w:pPr>
            <w:r>
              <w:rPr>
                <w:rFonts w:ascii="Arial" w:cs="Arial" w:eastAsia="Arial" w:hAnsi="Arial"/>
                <w:sz w:val="18"/>
                <w:szCs w:val="18"/>
                <w:color w:val="auto"/>
              </w:rPr>
              <w:t>1,448</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1,448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Corporate debt</w:t>
            </w:r>
          </w:p>
        </w:tc>
        <w:tc>
          <w:tcPr>
            <w:tcW w:w="3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2,174</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2,174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60" w:type="dxa"/>
            <w:vAlign w:val="bottom"/>
          </w:tcPr>
          <w:p>
            <w:pPr>
              <w:spacing w:after="0"/>
              <w:rPr>
                <w:sz w:val="20"/>
                <w:szCs w:val="20"/>
                <w:color w:val="auto"/>
              </w:rPr>
            </w:pPr>
            <w:r>
              <w:rPr>
                <w:rFonts w:ascii="Arial" w:cs="Arial" w:eastAsia="Arial" w:hAnsi="Arial"/>
                <w:sz w:val="18"/>
                <w:szCs w:val="18"/>
                <w:color w:val="auto"/>
              </w:rPr>
              <w:t>Restricted cash and marketable securities</w:t>
            </w:r>
          </w:p>
        </w:tc>
        <w:tc>
          <w:tcPr>
            <w:tcW w:w="3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United States government and agency</w:t>
            </w:r>
          </w:p>
        </w:tc>
        <w:tc>
          <w:tcPr>
            <w:tcW w:w="3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98</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60" w:type="dxa"/>
            <w:vAlign w:val="bottom"/>
          </w:tcPr>
          <w:p>
            <w:pPr>
              <w:ind w:left="220"/>
              <w:spacing w:after="0"/>
              <w:rPr>
                <w:sz w:val="20"/>
                <w:szCs w:val="20"/>
                <w:color w:val="auto"/>
              </w:rPr>
            </w:pPr>
            <w:r>
              <w:rPr>
                <w:rFonts w:ascii="Arial" w:cs="Arial" w:eastAsia="Arial" w:hAnsi="Arial"/>
                <w:sz w:val="18"/>
                <w:szCs w:val="18"/>
                <w:color w:val="auto"/>
              </w:rPr>
              <w:t>Money market funds</w:t>
            </w:r>
          </w:p>
        </w:tc>
        <w:tc>
          <w:tcPr>
            <w:tcW w:w="3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420"/>
              <w:spacing w:after="0"/>
              <w:rPr>
                <w:sz w:val="20"/>
                <w:szCs w:val="20"/>
                <w:color w:val="auto"/>
              </w:rPr>
            </w:pPr>
            <w:r>
              <w:rPr>
                <w:rFonts w:ascii="Arial" w:cs="Arial" w:eastAsia="Arial" w:hAnsi="Arial"/>
                <w:sz w:val="18"/>
                <w:szCs w:val="18"/>
                <w:color w:val="auto"/>
              </w:rPr>
              <w:t>396</w:t>
            </w:r>
          </w:p>
        </w:tc>
        <w:tc>
          <w:tcPr>
            <w:tcW w:w="80" w:type="dxa"/>
            <w:vAlign w:val="bottom"/>
          </w:tcPr>
          <w:p>
            <w:pPr>
              <w:spacing w:after="0"/>
              <w:rPr>
                <w:sz w:val="18"/>
                <w:szCs w:val="18"/>
                <w:color w:val="auto"/>
              </w:rPr>
            </w:pPr>
          </w:p>
        </w:tc>
        <w:tc>
          <w:tcPr>
            <w:tcW w:w="7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396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Foreign government bonds</w:t>
            </w:r>
          </w:p>
        </w:tc>
        <w:tc>
          <w:tcPr>
            <w:tcW w:w="3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981</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60" w:type="dxa"/>
            <w:vAlign w:val="bottom"/>
          </w:tcPr>
          <w:p>
            <w:pPr>
              <w:spacing w:after="0"/>
              <w:rPr>
                <w:sz w:val="20"/>
                <w:szCs w:val="20"/>
                <w:color w:val="auto"/>
              </w:rPr>
            </w:pPr>
            <w:r>
              <w:rPr>
                <w:rFonts w:ascii="Arial" w:cs="Arial" w:eastAsia="Arial" w:hAnsi="Arial"/>
                <w:sz w:val="18"/>
                <w:szCs w:val="18"/>
                <w:color w:val="auto"/>
              </w:rPr>
              <w:t>Other assets</w:t>
            </w:r>
          </w:p>
        </w:tc>
        <w:tc>
          <w:tcPr>
            <w:tcW w:w="3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Equity</w:t>
            </w:r>
          </w:p>
        </w:tc>
        <w:tc>
          <w:tcPr>
            <w:tcW w:w="3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40</w:t>
            </w:r>
          </w:p>
        </w:tc>
        <w:tc>
          <w:tcPr>
            <w:tcW w:w="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60" w:type="dxa"/>
            <w:vAlign w:val="bottom"/>
          </w:tcPr>
          <w:p>
            <w:pPr>
              <w:spacing w:after="0"/>
              <w:rPr>
                <w:sz w:val="20"/>
                <w:szCs w:val="20"/>
                <w:color w:val="auto"/>
              </w:rPr>
            </w:pPr>
            <w:r>
              <w:rPr>
                <w:rFonts w:ascii="Arial" w:cs="Arial" w:eastAsia="Arial" w:hAnsi="Arial"/>
                <w:sz w:val="18"/>
                <w:szCs w:val="18"/>
                <w:color w:val="auto"/>
              </w:rPr>
              <w:t>Derivatives</w:t>
            </w:r>
          </w:p>
        </w:tc>
        <w:tc>
          <w:tcPr>
            <w:tcW w:w="3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Commodity</w:t>
            </w:r>
          </w:p>
        </w:tc>
        <w:tc>
          <w:tcPr>
            <w:tcW w:w="3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56</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60" w:type="dxa"/>
            <w:vAlign w:val="bottom"/>
          </w:tcPr>
          <w:p>
            <w:pPr>
              <w:ind w:left="220"/>
              <w:spacing w:after="0"/>
              <w:rPr>
                <w:sz w:val="20"/>
                <w:szCs w:val="20"/>
                <w:color w:val="auto"/>
              </w:rPr>
            </w:pPr>
            <w:r>
              <w:rPr>
                <w:rFonts w:ascii="Arial" w:cs="Arial" w:eastAsia="Arial" w:hAnsi="Arial"/>
                <w:sz w:val="18"/>
                <w:szCs w:val="18"/>
                <w:color w:val="auto"/>
              </w:rPr>
              <w:t>Foreign currency</w:t>
            </w:r>
          </w:p>
        </w:tc>
        <w:tc>
          <w:tcPr>
            <w:tcW w:w="3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740" w:type="dxa"/>
            <w:vAlign w:val="bottom"/>
            <w:gridSpan w:val="2"/>
          </w:tcPr>
          <w:p>
            <w:pPr>
              <w:jc w:val="right"/>
              <w:ind w:right="200"/>
              <w:spacing w:after="0"/>
              <w:rPr>
                <w:sz w:val="20"/>
                <w:szCs w:val="20"/>
                <w:color w:val="auto"/>
              </w:rPr>
            </w:pPr>
            <w:r>
              <w:rPr>
                <w:rFonts w:ascii="Arial" w:cs="Arial" w:eastAsia="Arial" w:hAnsi="Arial"/>
                <w:sz w:val="18"/>
                <w:szCs w:val="18"/>
                <w:color w:val="auto"/>
              </w:rPr>
              <w:t>34</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gridSpan w:val="2"/>
          </w:tcPr>
          <w:p>
            <w:pPr>
              <w:jc w:val="right"/>
              <w:ind w:right="200"/>
              <w:spacing w:after="0"/>
              <w:rPr>
                <w:sz w:val="20"/>
                <w:szCs w:val="20"/>
                <w:color w:val="auto"/>
              </w:rPr>
            </w:pPr>
            <w:r>
              <w:rPr>
                <w:rFonts w:ascii="Arial" w:cs="Arial" w:eastAsia="Arial" w:hAnsi="Arial"/>
                <w:sz w:val="18"/>
                <w:szCs w:val="18"/>
                <w:color w:val="auto"/>
              </w:rPr>
              <w:t>31</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65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Other</w:t>
            </w:r>
          </w:p>
        </w:tc>
        <w:tc>
          <w:tcPr>
            <w:tcW w:w="3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29</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360" w:type="dxa"/>
            <w:vAlign w:val="bottom"/>
            <w:vMerge w:val="restart"/>
          </w:tcPr>
          <w:p>
            <w:pPr>
              <w:spacing w:after="0"/>
              <w:rPr>
                <w:sz w:val="20"/>
                <w:szCs w:val="20"/>
                <w:color w:val="auto"/>
              </w:rPr>
            </w:pPr>
            <w:r>
              <w:rPr>
                <w:rFonts w:ascii="Arial" w:cs="Arial" w:eastAsia="Arial" w:hAnsi="Arial"/>
                <w:sz w:val="18"/>
                <w:szCs w:val="18"/>
                <w:color w:val="auto"/>
              </w:rPr>
              <w:t>Total assets</w:t>
            </w:r>
          </w:p>
        </w:tc>
        <w:tc>
          <w:tcPr>
            <w:tcW w:w="33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4360" w:type="dxa"/>
            <w:vAlign w:val="bottom"/>
            <w:vMerge w:val="continue"/>
          </w:tcPr>
          <w:p>
            <w:pPr>
              <w:spacing w:after="0"/>
              <w:rPr>
                <w:sz w:val="19"/>
                <w:szCs w:val="19"/>
                <w:color w:val="auto"/>
              </w:rPr>
            </w:pPr>
          </w:p>
        </w:tc>
        <w:tc>
          <w:tcPr>
            <w:tcW w:w="330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gridSpan w:val="2"/>
          </w:tcPr>
          <w:p>
            <w:pPr>
              <w:jc w:val="right"/>
              <w:ind w:right="420"/>
              <w:spacing w:after="0"/>
              <w:rPr>
                <w:sz w:val="20"/>
                <w:szCs w:val="20"/>
                <w:color w:val="auto"/>
              </w:rPr>
            </w:pPr>
            <w:r>
              <w:rPr>
                <w:rFonts w:ascii="Arial" w:cs="Arial" w:eastAsia="Arial" w:hAnsi="Arial"/>
                <w:sz w:val="18"/>
                <w:szCs w:val="18"/>
                <w:color w:val="auto"/>
              </w:rPr>
              <w:t>5,979</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gridSpan w:val="2"/>
          </w:tcPr>
          <w:p>
            <w:pPr>
              <w:jc w:val="right"/>
              <w:ind w:right="200"/>
              <w:spacing w:after="0"/>
              <w:rPr>
                <w:sz w:val="20"/>
                <w:szCs w:val="20"/>
                <w:color w:val="auto"/>
              </w:rPr>
            </w:pPr>
            <w:r>
              <w:rPr>
                <w:rFonts w:ascii="Arial" w:cs="Arial" w:eastAsia="Arial" w:hAnsi="Arial"/>
                <w:sz w:val="18"/>
                <w:szCs w:val="18"/>
                <w:color w:val="auto"/>
                <w:w w:val="94"/>
              </w:rPr>
              <w:t>17,123</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ind w:right="200"/>
              <w:spacing w:after="0"/>
              <w:rPr>
                <w:sz w:val="20"/>
                <w:szCs w:val="20"/>
                <w:color w:val="auto"/>
              </w:rPr>
            </w:pPr>
            <w:r>
              <w:rPr>
                <w:rFonts w:ascii="Arial" w:cs="Arial" w:eastAsia="Arial" w:hAnsi="Arial"/>
                <w:sz w:val="18"/>
                <w:szCs w:val="18"/>
                <w:color w:val="auto"/>
              </w:rPr>
              <w:t>31</w:t>
            </w:r>
          </w:p>
        </w:tc>
        <w:tc>
          <w:tcPr>
            <w:tcW w:w="30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p>
        </w:tc>
        <w:tc>
          <w:tcPr>
            <w:tcW w:w="480" w:type="dxa"/>
            <w:vAlign w:val="bottom"/>
          </w:tcPr>
          <w:p>
            <w:pPr>
              <w:jc w:val="right"/>
              <w:spacing w:after="0"/>
              <w:rPr>
                <w:sz w:val="20"/>
                <w:szCs w:val="20"/>
                <w:color w:val="auto"/>
              </w:rPr>
            </w:pPr>
            <w:r>
              <w:rPr>
                <w:rFonts w:ascii="Arial" w:cs="Arial" w:eastAsia="Arial" w:hAnsi="Arial"/>
                <w:sz w:val="18"/>
                <w:szCs w:val="18"/>
                <w:color w:val="auto"/>
                <w:w w:val="83"/>
              </w:rPr>
              <w:t>23,133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360" w:type="dxa"/>
            <w:vAlign w:val="bottom"/>
          </w:tcPr>
          <w:p>
            <w:pPr>
              <w:spacing w:after="0" w:line="20" w:lineRule="exact"/>
              <w:rPr>
                <w:sz w:val="1"/>
                <w:szCs w:val="1"/>
                <w:color w:val="auto"/>
              </w:rPr>
            </w:pPr>
          </w:p>
        </w:tc>
        <w:tc>
          <w:tcPr>
            <w:tcW w:w="3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43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Liabilities</w:t>
            </w:r>
          </w:p>
        </w:tc>
        <w:tc>
          <w:tcPr>
            <w:tcW w:w="3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60" w:type="dxa"/>
            <w:vAlign w:val="bottom"/>
          </w:tcPr>
          <w:p>
            <w:pPr>
              <w:spacing w:after="0"/>
              <w:rPr>
                <w:sz w:val="20"/>
                <w:szCs w:val="20"/>
                <w:color w:val="auto"/>
              </w:rPr>
            </w:pPr>
            <w:r>
              <w:rPr>
                <w:rFonts w:ascii="Arial" w:cs="Arial" w:eastAsia="Arial" w:hAnsi="Arial"/>
                <w:sz w:val="18"/>
                <w:szCs w:val="18"/>
                <w:color w:val="auto"/>
              </w:rPr>
              <w:t>Other liabilities</w:t>
            </w:r>
          </w:p>
        </w:tc>
        <w:tc>
          <w:tcPr>
            <w:tcW w:w="3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Options</w:t>
            </w:r>
          </w:p>
        </w:tc>
        <w:tc>
          <w:tcPr>
            <w:tcW w:w="3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24</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60" w:type="dxa"/>
            <w:vAlign w:val="bottom"/>
          </w:tcPr>
          <w:p>
            <w:pPr>
              <w:spacing w:after="0"/>
              <w:rPr>
                <w:sz w:val="20"/>
                <w:szCs w:val="20"/>
                <w:color w:val="auto"/>
              </w:rPr>
            </w:pPr>
            <w:r>
              <w:rPr>
                <w:rFonts w:ascii="Arial" w:cs="Arial" w:eastAsia="Arial" w:hAnsi="Arial"/>
                <w:sz w:val="18"/>
                <w:szCs w:val="18"/>
                <w:color w:val="auto"/>
              </w:rPr>
              <w:t>Derivatives</w:t>
            </w:r>
          </w:p>
        </w:tc>
        <w:tc>
          <w:tcPr>
            <w:tcW w:w="3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Foreign currency</w:t>
            </w:r>
          </w:p>
        </w:tc>
        <w:tc>
          <w:tcPr>
            <w:tcW w:w="3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8</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214</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360" w:type="dxa"/>
            <w:vAlign w:val="bottom"/>
            <w:vMerge w:val="restart"/>
          </w:tcPr>
          <w:p>
            <w:pPr>
              <w:spacing w:after="0"/>
              <w:rPr>
                <w:sz w:val="20"/>
                <w:szCs w:val="20"/>
                <w:color w:val="auto"/>
              </w:rPr>
            </w:pPr>
            <w:r>
              <w:rPr>
                <w:rFonts w:ascii="Arial" w:cs="Arial" w:eastAsia="Arial" w:hAnsi="Arial"/>
                <w:sz w:val="18"/>
                <w:szCs w:val="18"/>
                <w:color w:val="auto"/>
              </w:rPr>
              <w:t>Total liabilities</w:t>
            </w:r>
          </w:p>
        </w:tc>
        <w:tc>
          <w:tcPr>
            <w:tcW w:w="33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4360" w:type="dxa"/>
            <w:vAlign w:val="bottom"/>
            <w:vMerge w:val="continue"/>
          </w:tcPr>
          <w:p>
            <w:pPr>
              <w:spacing w:after="0"/>
              <w:rPr>
                <w:sz w:val="19"/>
                <w:szCs w:val="19"/>
                <w:color w:val="auto"/>
              </w:rPr>
            </w:pPr>
          </w:p>
        </w:tc>
        <w:tc>
          <w:tcPr>
            <w:tcW w:w="330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gridSpan w:val="2"/>
          </w:tcPr>
          <w:p>
            <w:pPr>
              <w:jc w:val="right"/>
              <w:ind w:right="200"/>
              <w:spacing w:after="0"/>
              <w:rPr>
                <w:sz w:val="20"/>
                <w:szCs w:val="20"/>
                <w:color w:val="auto"/>
              </w:rPr>
            </w:pPr>
            <w:r>
              <w:rPr>
                <w:rFonts w:ascii="Arial" w:cs="Arial" w:eastAsia="Arial" w:hAnsi="Arial"/>
                <w:sz w:val="18"/>
                <w:szCs w:val="18"/>
                <w:color w:val="auto"/>
              </w:rPr>
              <w:t>8</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ind w:right="200"/>
              <w:spacing w:after="0"/>
              <w:rPr>
                <w:sz w:val="20"/>
                <w:szCs w:val="20"/>
                <w:color w:val="auto"/>
              </w:rPr>
            </w:pPr>
            <w:r>
              <w:rPr>
                <w:rFonts w:ascii="Arial" w:cs="Arial" w:eastAsia="Arial" w:hAnsi="Arial"/>
                <w:sz w:val="18"/>
                <w:szCs w:val="18"/>
                <w:color w:val="auto"/>
              </w:rPr>
              <w:t>238</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246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360" w:type="dxa"/>
            <w:vAlign w:val="bottom"/>
          </w:tcPr>
          <w:p>
            <w:pPr>
              <w:spacing w:after="0" w:line="20" w:lineRule="exact"/>
              <w:rPr>
                <w:sz w:val="1"/>
                <w:szCs w:val="1"/>
                <w:color w:val="auto"/>
              </w:rPr>
            </w:pPr>
          </w:p>
        </w:tc>
        <w:tc>
          <w:tcPr>
            <w:tcW w:w="3300" w:type="dxa"/>
            <w:vAlign w:val="bottom"/>
            <w:vMerge w:val="restart"/>
          </w:tcPr>
          <w:p>
            <w:pPr>
              <w:jc w:val="right"/>
              <w:ind w:right="1772"/>
              <w:spacing w:after="0"/>
              <w:rPr>
                <w:sz w:val="20"/>
                <w:szCs w:val="20"/>
                <w:color w:val="auto"/>
              </w:rPr>
            </w:pPr>
            <w:r>
              <w:rPr>
                <w:rFonts w:ascii="Arial" w:cs="Arial" w:eastAsia="Arial" w:hAnsi="Arial"/>
                <w:sz w:val="18"/>
                <w:szCs w:val="18"/>
                <w:color w:val="auto"/>
              </w:rPr>
              <w:t>53</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4360" w:type="dxa"/>
            <w:vAlign w:val="bottom"/>
          </w:tcPr>
          <w:p>
            <w:pPr>
              <w:spacing w:after="0"/>
              <w:rPr>
                <w:sz w:val="24"/>
                <w:szCs w:val="24"/>
                <w:color w:val="auto"/>
              </w:rPr>
            </w:pPr>
          </w:p>
        </w:tc>
        <w:tc>
          <w:tcPr>
            <w:tcW w:w="330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55" w:name="page56"/>
    <w:bookmarkEnd w:id="5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33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6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gridSpan w:val="4"/>
          </w:tcPr>
          <w:p>
            <w:pPr>
              <w:jc w:val="center"/>
              <w:ind w:left="315"/>
              <w:spacing w:after="0"/>
              <w:rPr>
                <w:sz w:val="20"/>
                <w:szCs w:val="20"/>
                <w:color w:val="auto"/>
              </w:rPr>
            </w:pPr>
            <w:r>
              <w:rPr>
                <w:rFonts w:ascii="Arial" w:cs="Arial" w:eastAsia="Arial" w:hAnsi="Arial"/>
                <w:sz w:val="14"/>
                <w:szCs w:val="14"/>
                <w:b w:val="1"/>
                <w:bCs w:val="1"/>
                <w:color w:val="auto"/>
                <w:w w:val="79"/>
              </w:rPr>
              <w:t>Successor</w:t>
            </w:r>
          </w:p>
        </w:tc>
        <w:tc>
          <w:tcPr>
            <w:tcW w:w="52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76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560" w:type="dxa"/>
            <w:vAlign w:val="bottom"/>
            <w:gridSpan w:val="12"/>
          </w:tcPr>
          <w:p>
            <w:pPr>
              <w:jc w:val="center"/>
              <w:ind w:right="13"/>
              <w:spacing w:after="0" w:line="129" w:lineRule="exact"/>
              <w:rPr>
                <w:sz w:val="20"/>
                <w:szCs w:val="20"/>
                <w:color w:val="auto"/>
              </w:rPr>
            </w:pPr>
            <w:r>
              <w:rPr>
                <w:rFonts w:ascii="Arial" w:cs="Arial" w:eastAsia="Arial" w:hAnsi="Arial"/>
                <w:sz w:val="14"/>
                <w:szCs w:val="14"/>
                <w:b w:val="1"/>
                <w:bCs w:val="1"/>
                <w:color w:val="auto"/>
                <w:w w:val="86"/>
              </w:rPr>
              <w:t>Fair Value Measurements on a Recurring Basis at</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76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760" w:type="dxa"/>
            <w:vAlign w:val="bottom"/>
            <w:tcBorders>
              <w:bottom w:val="single" w:sz="8" w:color="auto"/>
            </w:tcBorders>
            <w:gridSpan w:val="6"/>
          </w:tcPr>
          <w:p>
            <w:pPr>
              <w:jc w:val="center"/>
              <w:ind w:right="320"/>
              <w:spacing w:after="0"/>
              <w:rPr>
                <w:sz w:val="20"/>
                <w:szCs w:val="20"/>
                <w:color w:val="auto"/>
              </w:rPr>
            </w:pPr>
            <w:r>
              <w:rPr>
                <w:rFonts w:ascii="Arial" w:cs="Arial" w:eastAsia="Arial" w:hAnsi="Arial"/>
                <w:sz w:val="14"/>
                <w:szCs w:val="14"/>
                <w:b w:val="1"/>
                <w:bCs w:val="1"/>
                <w:color w:val="auto"/>
                <w:w w:val="85"/>
              </w:rPr>
              <w:t>December 31, 2009</w:t>
            </w:r>
          </w:p>
        </w:tc>
        <w:tc>
          <w:tcPr>
            <w:tcW w:w="2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7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gridSpan w:val="2"/>
          </w:tcPr>
          <w:p>
            <w:pPr>
              <w:jc w:val="right"/>
              <w:ind w:right="520"/>
              <w:spacing w:after="0" w:line="142" w:lineRule="exact"/>
              <w:rPr>
                <w:sz w:val="20"/>
                <w:szCs w:val="20"/>
                <w:color w:val="auto"/>
              </w:rPr>
            </w:pPr>
            <w:r>
              <w:rPr>
                <w:rFonts w:ascii="Arial" w:cs="Arial" w:eastAsia="Arial" w:hAnsi="Arial"/>
                <w:sz w:val="14"/>
                <w:szCs w:val="14"/>
                <w:b w:val="1"/>
                <w:bCs w:val="1"/>
                <w:color w:val="auto"/>
                <w:w w:val="84"/>
              </w:rPr>
              <w:t>Level 1</w:t>
            </w:r>
          </w:p>
        </w:tc>
        <w:tc>
          <w:tcPr>
            <w:tcW w:w="80" w:type="dxa"/>
            <w:vAlign w:val="bottom"/>
          </w:tcPr>
          <w:p>
            <w:pPr>
              <w:spacing w:after="0"/>
              <w:rPr>
                <w:sz w:val="12"/>
                <w:szCs w:val="12"/>
                <w:color w:val="auto"/>
              </w:rPr>
            </w:pPr>
          </w:p>
        </w:tc>
        <w:tc>
          <w:tcPr>
            <w:tcW w:w="740" w:type="dxa"/>
            <w:vAlign w:val="bottom"/>
            <w:gridSpan w:val="2"/>
          </w:tcPr>
          <w:p>
            <w:pPr>
              <w:ind w:left="20"/>
              <w:spacing w:after="0" w:line="142" w:lineRule="exact"/>
              <w:rPr>
                <w:sz w:val="20"/>
                <w:szCs w:val="20"/>
                <w:color w:val="auto"/>
              </w:rPr>
            </w:pPr>
            <w:r>
              <w:rPr>
                <w:rFonts w:ascii="Arial" w:cs="Arial" w:eastAsia="Arial" w:hAnsi="Arial"/>
                <w:sz w:val="14"/>
                <w:szCs w:val="14"/>
                <w:b w:val="1"/>
                <w:bCs w:val="1"/>
                <w:color w:val="auto"/>
              </w:rPr>
              <w:t>Level 2</w:t>
            </w: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gridSpan w:val="2"/>
          </w:tcPr>
          <w:p>
            <w:pPr>
              <w:spacing w:after="0" w:line="142" w:lineRule="exact"/>
              <w:rPr>
                <w:sz w:val="20"/>
                <w:szCs w:val="20"/>
                <w:color w:val="auto"/>
              </w:rPr>
            </w:pPr>
            <w:r>
              <w:rPr>
                <w:rFonts w:ascii="Arial" w:cs="Arial" w:eastAsia="Arial" w:hAnsi="Arial"/>
                <w:sz w:val="14"/>
                <w:szCs w:val="14"/>
                <w:b w:val="1"/>
                <w:bCs w:val="1"/>
                <w:color w:val="auto"/>
              </w:rPr>
              <w:t>Level 3</w:t>
            </w: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jc w:val="right"/>
              <w:ind w:right="53"/>
              <w:spacing w:after="0" w:line="142" w:lineRule="exact"/>
              <w:rPr>
                <w:sz w:val="20"/>
                <w:szCs w:val="20"/>
                <w:color w:val="auto"/>
              </w:rPr>
            </w:pPr>
            <w:r>
              <w:rPr>
                <w:rFonts w:ascii="Arial" w:cs="Arial" w:eastAsia="Arial" w:hAnsi="Arial"/>
                <w:sz w:val="14"/>
                <w:szCs w:val="14"/>
                <w:b w:val="1"/>
                <w:bCs w:val="1"/>
                <w:color w:val="auto"/>
                <w:w w:val="95"/>
              </w:rPr>
              <w:t>Total</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6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100" w:type="dxa"/>
            <w:vAlign w:val="bottom"/>
            <w:tcBorders>
              <w:top w:val="single" w:sz="8" w:color="auto"/>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40" w:type="dxa"/>
            <w:vAlign w:val="bottom"/>
          </w:tcPr>
          <w:p>
            <w:pPr>
              <w:spacing w:after="0"/>
              <w:rPr>
                <w:sz w:val="20"/>
                <w:szCs w:val="20"/>
                <w:color w:val="auto"/>
              </w:rPr>
            </w:pPr>
            <w:r>
              <w:rPr>
                <w:rFonts w:ascii="Arial" w:cs="Arial" w:eastAsia="Arial" w:hAnsi="Arial"/>
                <w:sz w:val="18"/>
                <w:szCs w:val="18"/>
                <w:color w:val="auto"/>
              </w:rPr>
              <w:t>Cash equivalents</w:t>
            </w: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United States government and agency</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580</w:t>
            </w:r>
          </w:p>
        </w:tc>
        <w:tc>
          <w:tcPr>
            <w:tcW w:w="3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40" w:type="dxa"/>
            <w:vAlign w:val="bottom"/>
          </w:tcPr>
          <w:p>
            <w:pPr>
              <w:ind w:left="200"/>
              <w:spacing w:after="0"/>
              <w:rPr>
                <w:sz w:val="20"/>
                <w:szCs w:val="20"/>
                <w:color w:val="auto"/>
              </w:rPr>
            </w:pPr>
            <w:r>
              <w:rPr>
                <w:rFonts w:ascii="Arial" w:cs="Arial" w:eastAsia="Arial" w:hAnsi="Arial"/>
                <w:sz w:val="18"/>
                <w:szCs w:val="18"/>
                <w:color w:val="auto"/>
              </w:rPr>
              <w:t>Certificates of deposit</w:t>
            </w:r>
          </w:p>
        </w:tc>
        <w:tc>
          <w:tcPr>
            <w:tcW w:w="100" w:type="dxa"/>
            <w:vAlign w:val="bottom"/>
          </w:tcPr>
          <w:p>
            <w:pPr>
              <w:spacing w:after="0"/>
              <w:rPr>
                <w:sz w:val="18"/>
                <w:szCs w:val="18"/>
                <w:color w:val="auto"/>
              </w:rPr>
            </w:pPr>
          </w:p>
        </w:tc>
        <w:tc>
          <w:tcPr>
            <w:tcW w:w="94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740" w:type="dxa"/>
            <w:vAlign w:val="bottom"/>
            <w:gridSpan w:val="2"/>
          </w:tcPr>
          <w:p>
            <w:pPr>
              <w:jc w:val="right"/>
              <w:ind w:right="200"/>
              <w:spacing w:after="0"/>
              <w:rPr>
                <w:sz w:val="20"/>
                <w:szCs w:val="20"/>
                <w:color w:val="auto"/>
              </w:rPr>
            </w:pPr>
            <w:r>
              <w:rPr>
                <w:rFonts w:ascii="Arial" w:cs="Arial" w:eastAsia="Arial" w:hAnsi="Arial"/>
                <w:sz w:val="18"/>
                <w:szCs w:val="18"/>
                <w:color w:val="auto"/>
              </w:rPr>
              <w:t>2,140</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2,140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Money market funds</w:t>
            </w: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7,487</w:t>
            </w:r>
          </w:p>
        </w:tc>
        <w:tc>
          <w:tcPr>
            <w:tcW w:w="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7,487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40" w:type="dxa"/>
            <w:vAlign w:val="bottom"/>
          </w:tcPr>
          <w:p>
            <w:pPr>
              <w:ind w:left="200"/>
              <w:spacing w:after="0"/>
              <w:rPr>
                <w:sz w:val="20"/>
                <w:szCs w:val="20"/>
                <w:color w:val="auto"/>
              </w:rPr>
            </w:pPr>
            <w:r>
              <w:rPr>
                <w:rFonts w:ascii="Arial" w:cs="Arial" w:eastAsia="Arial" w:hAnsi="Arial"/>
                <w:sz w:val="18"/>
                <w:szCs w:val="18"/>
                <w:color w:val="auto"/>
              </w:rPr>
              <w:t>Commercial paper</w:t>
            </w:r>
          </w:p>
        </w:tc>
        <w:tc>
          <w:tcPr>
            <w:tcW w:w="100" w:type="dxa"/>
            <w:vAlign w:val="bottom"/>
          </w:tcPr>
          <w:p>
            <w:pPr>
              <w:spacing w:after="0"/>
              <w:rPr>
                <w:sz w:val="18"/>
                <w:szCs w:val="18"/>
                <w:color w:val="auto"/>
              </w:rPr>
            </w:pPr>
          </w:p>
        </w:tc>
        <w:tc>
          <w:tcPr>
            <w:tcW w:w="94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740" w:type="dxa"/>
            <w:vAlign w:val="bottom"/>
            <w:gridSpan w:val="2"/>
          </w:tcPr>
          <w:p>
            <w:pPr>
              <w:jc w:val="right"/>
              <w:ind w:right="200"/>
              <w:spacing w:after="0"/>
              <w:rPr>
                <w:sz w:val="20"/>
                <w:szCs w:val="20"/>
                <w:color w:val="auto"/>
              </w:rPr>
            </w:pPr>
            <w:r>
              <w:rPr>
                <w:rFonts w:ascii="Arial" w:cs="Arial" w:eastAsia="Arial" w:hAnsi="Arial"/>
                <w:sz w:val="18"/>
                <w:szCs w:val="18"/>
                <w:color w:val="auto"/>
              </w:rPr>
              <w:t>969</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969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40" w:type="dxa"/>
            <w:vAlign w:val="bottom"/>
            <w:shd w:val="clear" w:color="auto" w:fill="CCEEFF"/>
          </w:tcPr>
          <w:p>
            <w:pPr>
              <w:spacing w:after="0"/>
              <w:rPr>
                <w:sz w:val="20"/>
                <w:szCs w:val="20"/>
                <w:color w:val="auto"/>
              </w:rPr>
            </w:pPr>
            <w:r>
              <w:rPr>
                <w:rFonts w:ascii="Arial" w:cs="Arial" w:eastAsia="Arial" w:hAnsi="Arial"/>
                <w:sz w:val="18"/>
                <w:szCs w:val="18"/>
                <w:color w:val="auto"/>
              </w:rPr>
              <w:t>Marketable securities</w:t>
            </w: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40" w:type="dxa"/>
            <w:vAlign w:val="bottom"/>
          </w:tcPr>
          <w:p>
            <w:pPr>
              <w:ind w:left="200"/>
              <w:spacing w:after="0"/>
              <w:rPr>
                <w:sz w:val="20"/>
                <w:szCs w:val="20"/>
                <w:color w:val="auto"/>
              </w:rPr>
            </w:pPr>
            <w:r>
              <w:rPr>
                <w:rFonts w:ascii="Arial" w:cs="Arial" w:eastAsia="Arial" w:hAnsi="Arial"/>
                <w:sz w:val="18"/>
                <w:szCs w:val="18"/>
                <w:color w:val="auto"/>
              </w:rPr>
              <w:t>Trading securities</w:t>
            </w: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Equity</w:t>
            </w: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15</w:t>
            </w:r>
          </w:p>
        </w:tc>
        <w:tc>
          <w:tcPr>
            <w:tcW w:w="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17</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40" w:type="dxa"/>
            <w:vAlign w:val="bottom"/>
          </w:tcPr>
          <w:p>
            <w:pPr>
              <w:ind w:left="420"/>
              <w:spacing w:after="0"/>
              <w:rPr>
                <w:sz w:val="20"/>
                <w:szCs w:val="20"/>
                <w:color w:val="auto"/>
              </w:rPr>
            </w:pPr>
            <w:r>
              <w:rPr>
                <w:rFonts w:ascii="Arial" w:cs="Arial" w:eastAsia="Arial" w:hAnsi="Arial"/>
                <w:sz w:val="18"/>
                <w:szCs w:val="18"/>
                <w:color w:val="auto"/>
              </w:rPr>
              <w:t>United States government and agency</w:t>
            </w:r>
          </w:p>
        </w:tc>
        <w:tc>
          <w:tcPr>
            <w:tcW w:w="100" w:type="dxa"/>
            <w:vAlign w:val="bottom"/>
          </w:tcPr>
          <w:p>
            <w:pPr>
              <w:spacing w:after="0"/>
              <w:rPr>
                <w:sz w:val="18"/>
                <w:szCs w:val="18"/>
                <w:color w:val="auto"/>
              </w:rPr>
            </w:pPr>
          </w:p>
        </w:tc>
        <w:tc>
          <w:tcPr>
            <w:tcW w:w="94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740" w:type="dxa"/>
            <w:vAlign w:val="bottom"/>
            <w:gridSpan w:val="2"/>
          </w:tcPr>
          <w:p>
            <w:pPr>
              <w:jc w:val="right"/>
              <w:ind w:right="200"/>
              <w:spacing w:after="0"/>
              <w:rPr>
                <w:sz w:val="20"/>
                <w:szCs w:val="20"/>
                <w:color w:val="auto"/>
              </w:rPr>
            </w:pPr>
            <w:r>
              <w:rPr>
                <w:rFonts w:ascii="Arial" w:cs="Arial" w:eastAsia="Arial" w:hAnsi="Arial"/>
                <w:sz w:val="18"/>
                <w:szCs w:val="18"/>
                <w:color w:val="auto"/>
              </w:rPr>
              <w:t>17</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17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Mortgage and asset-backed</w:t>
            </w: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22</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40" w:type="dxa"/>
            <w:vAlign w:val="bottom"/>
          </w:tcPr>
          <w:p>
            <w:pPr>
              <w:ind w:left="420"/>
              <w:spacing w:after="0"/>
              <w:rPr>
                <w:sz w:val="20"/>
                <w:szCs w:val="20"/>
                <w:color w:val="auto"/>
              </w:rPr>
            </w:pPr>
            <w:r>
              <w:rPr>
                <w:rFonts w:ascii="Arial" w:cs="Arial" w:eastAsia="Arial" w:hAnsi="Arial"/>
                <w:sz w:val="18"/>
                <w:szCs w:val="18"/>
                <w:color w:val="auto"/>
              </w:rPr>
              <w:t>Foreign government</w:t>
            </w:r>
          </w:p>
        </w:tc>
        <w:tc>
          <w:tcPr>
            <w:tcW w:w="100" w:type="dxa"/>
            <w:vAlign w:val="bottom"/>
          </w:tcPr>
          <w:p>
            <w:pPr>
              <w:spacing w:after="0"/>
              <w:rPr>
                <w:sz w:val="18"/>
                <w:szCs w:val="18"/>
                <w:color w:val="auto"/>
              </w:rPr>
            </w:pPr>
          </w:p>
        </w:tc>
        <w:tc>
          <w:tcPr>
            <w:tcW w:w="94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740" w:type="dxa"/>
            <w:vAlign w:val="bottom"/>
            <w:gridSpan w:val="2"/>
          </w:tcPr>
          <w:p>
            <w:pPr>
              <w:jc w:val="right"/>
              <w:ind w:right="200"/>
              <w:spacing w:after="0"/>
              <w:rPr>
                <w:sz w:val="20"/>
                <w:szCs w:val="20"/>
                <w:color w:val="auto"/>
              </w:rPr>
            </w:pPr>
            <w:r>
              <w:rPr>
                <w:rFonts w:ascii="Arial" w:cs="Arial" w:eastAsia="Arial" w:hAnsi="Arial"/>
                <w:sz w:val="18"/>
                <w:szCs w:val="18"/>
                <w:color w:val="auto"/>
              </w:rPr>
              <w:t>24</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24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Corporate debt</w:t>
            </w: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29</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40" w:type="dxa"/>
            <w:vAlign w:val="bottom"/>
          </w:tcPr>
          <w:p>
            <w:pPr>
              <w:ind w:left="200"/>
              <w:spacing w:after="0"/>
              <w:rPr>
                <w:sz w:val="20"/>
                <w:szCs w:val="20"/>
                <w:color w:val="auto"/>
              </w:rPr>
            </w:pPr>
            <w:r>
              <w:rPr>
                <w:rFonts w:ascii="Arial" w:cs="Arial" w:eastAsia="Arial" w:hAnsi="Arial"/>
                <w:sz w:val="18"/>
                <w:szCs w:val="18"/>
                <w:color w:val="auto"/>
              </w:rPr>
              <w:t>Available–for–sale securities</w:t>
            </w: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United States government and agency</w:t>
            </w: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40" w:type="dxa"/>
            <w:vAlign w:val="bottom"/>
          </w:tcPr>
          <w:p>
            <w:pPr>
              <w:ind w:left="420"/>
              <w:spacing w:after="0"/>
              <w:rPr>
                <w:sz w:val="20"/>
                <w:szCs w:val="20"/>
                <w:color w:val="auto"/>
              </w:rPr>
            </w:pPr>
            <w:r>
              <w:rPr>
                <w:rFonts w:ascii="Arial" w:cs="Arial" w:eastAsia="Arial" w:hAnsi="Arial"/>
                <w:sz w:val="18"/>
                <w:szCs w:val="18"/>
                <w:color w:val="auto"/>
              </w:rPr>
              <w:t>Certificates of deposit</w:t>
            </w:r>
          </w:p>
        </w:tc>
        <w:tc>
          <w:tcPr>
            <w:tcW w:w="100" w:type="dxa"/>
            <w:vAlign w:val="bottom"/>
          </w:tcPr>
          <w:p>
            <w:pPr>
              <w:spacing w:after="0"/>
              <w:rPr>
                <w:sz w:val="18"/>
                <w:szCs w:val="18"/>
                <w:color w:val="auto"/>
              </w:rPr>
            </w:pPr>
          </w:p>
        </w:tc>
        <w:tc>
          <w:tcPr>
            <w:tcW w:w="94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740" w:type="dxa"/>
            <w:vAlign w:val="bottom"/>
            <w:gridSpan w:val="2"/>
          </w:tcPr>
          <w:p>
            <w:pPr>
              <w:jc w:val="right"/>
              <w:ind w:right="200"/>
              <w:spacing w:after="0"/>
              <w:rPr>
                <w:sz w:val="20"/>
                <w:szCs w:val="20"/>
                <w:color w:val="auto"/>
              </w:rPr>
            </w:pPr>
            <w:r>
              <w:rPr>
                <w:rFonts w:ascii="Arial" w:cs="Arial" w:eastAsia="Arial" w:hAnsi="Arial"/>
                <w:sz w:val="18"/>
                <w:szCs w:val="18"/>
                <w:color w:val="auto"/>
              </w:rPr>
              <w:t>8</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40" w:type="dxa"/>
            <w:vAlign w:val="bottom"/>
            <w:shd w:val="clear" w:color="auto" w:fill="CCEEFF"/>
          </w:tcPr>
          <w:p>
            <w:pPr>
              <w:spacing w:after="0"/>
              <w:rPr>
                <w:sz w:val="20"/>
                <w:szCs w:val="20"/>
                <w:color w:val="auto"/>
              </w:rPr>
            </w:pPr>
            <w:r>
              <w:rPr>
                <w:rFonts w:ascii="Arial" w:cs="Arial" w:eastAsia="Arial" w:hAnsi="Arial"/>
                <w:sz w:val="18"/>
                <w:szCs w:val="18"/>
                <w:color w:val="auto"/>
              </w:rPr>
              <w:t>Restricted cash and marketable securities</w:t>
            </w: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40" w:type="dxa"/>
            <w:vAlign w:val="bottom"/>
          </w:tcPr>
          <w:p>
            <w:pPr>
              <w:ind w:left="200"/>
              <w:spacing w:after="0"/>
              <w:rPr>
                <w:sz w:val="20"/>
                <w:szCs w:val="20"/>
                <w:color w:val="auto"/>
              </w:rPr>
            </w:pPr>
            <w:r>
              <w:rPr>
                <w:rFonts w:ascii="Arial" w:cs="Arial" w:eastAsia="Arial" w:hAnsi="Arial"/>
                <w:sz w:val="18"/>
                <w:szCs w:val="18"/>
                <w:color w:val="auto"/>
              </w:rPr>
              <w:t>United States government and agency</w:t>
            </w:r>
          </w:p>
        </w:tc>
        <w:tc>
          <w:tcPr>
            <w:tcW w:w="100" w:type="dxa"/>
            <w:vAlign w:val="bottom"/>
          </w:tcPr>
          <w:p>
            <w:pPr>
              <w:spacing w:after="0"/>
              <w:rPr>
                <w:sz w:val="18"/>
                <w:szCs w:val="18"/>
                <w:color w:val="auto"/>
              </w:rPr>
            </w:pPr>
          </w:p>
        </w:tc>
        <w:tc>
          <w:tcPr>
            <w:tcW w:w="94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740" w:type="dxa"/>
            <w:vAlign w:val="bottom"/>
            <w:gridSpan w:val="2"/>
          </w:tcPr>
          <w:p>
            <w:pPr>
              <w:jc w:val="right"/>
              <w:ind w:right="200"/>
              <w:spacing w:after="0"/>
              <w:rPr>
                <w:sz w:val="20"/>
                <w:szCs w:val="20"/>
                <w:color w:val="auto"/>
              </w:rPr>
            </w:pPr>
            <w:r>
              <w:rPr>
                <w:rFonts w:ascii="Arial" w:cs="Arial" w:eastAsia="Arial" w:hAnsi="Arial"/>
                <w:sz w:val="18"/>
                <w:szCs w:val="18"/>
                <w:color w:val="auto"/>
              </w:rPr>
              <w:t>140</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140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Money market funds</w:t>
            </w: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w w:val="90"/>
              </w:rPr>
              <w:t>13,083</w:t>
            </w:r>
          </w:p>
        </w:tc>
        <w:tc>
          <w:tcPr>
            <w:tcW w:w="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13,083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40" w:type="dxa"/>
            <w:vAlign w:val="bottom"/>
          </w:tcPr>
          <w:p>
            <w:pPr>
              <w:ind w:left="200"/>
              <w:spacing w:after="0"/>
              <w:rPr>
                <w:sz w:val="20"/>
                <w:szCs w:val="20"/>
                <w:color w:val="auto"/>
              </w:rPr>
            </w:pPr>
            <w:r>
              <w:rPr>
                <w:rFonts w:ascii="Arial" w:cs="Arial" w:eastAsia="Arial" w:hAnsi="Arial"/>
                <w:sz w:val="18"/>
                <w:szCs w:val="18"/>
                <w:color w:val="auto"/>
              </w:rPr>
              <w:t>Government of Canada bonds</w:t>
            </w:r>
          </w:p>
        </w:tc>
        <w:tc>
          <w:tcPr>
            <w:tcW w:w="100" w:type="dxa"/>
            <w:vAlign w:val="bottom"/>
          </w:tcPr>
          <w:p>
            <w:pPr>
              <w:spacing w:after="0"/>
              <w:rPr>
                <w:sz w:val="18"/>
                <w:szCs w:val="18"/>
                <w:color w:val="auto"/>
              </w:rPr>
            </w:pPr>
          </w:p>
        </w:tc>
        <w:tc>
          <w:tcPr>
            <w:tcW w:w="94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740" w:type="dxa"/>
            <w:vAlign w:val="bottom"/>
            <w:gridSpan w:val="2"/>
          </w:tcPr>
          <w:p>
            <w:pPr>
              <w:jc w:val="right"/>
              <w:ind w:right="200"/>
              <w:spacing w:after="0"/>
              <w:rPr>
                <w:sz w:val="20"/>
                <w:szCs w:val="20"/>
                <w:color w:val="auto"/>
              </w:rPr>
            </w:pPr>
            <w:r>
              <w:rPr>
                <w:rFonts w:ascii="Arial" w:cs="Arial" w:eastAsia="Arial" w:hAnsi="Arial"/>
                <w:sz w:val="18"/>
                <w:szCs w:val="18"/>
                <w:color w:val="auto"/>
              </w:rPr>
              <w:t>955</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955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40" w:type="dxa"/>
            <w:vAlign w:val="bottom"/>
            <w:shd w:val="clear" w:color="auto" w:fill="CCEEFF"/>
          </w:tcPr>
          <w:p>
            <w:pPr>
              <w:spacing w:after="0"/>
              <w:rPr>
                <w:sz w:val="20"/>
                <w:szCs w:val="20"/>
                <w:color w:val="auto"/>
              </w:rPr>
            </w:pPr>
            <w:r>
              <w:rPr>
                <w:rFonts w:ascii="Arial" w:cs="Arial" w:eastAsia="Arial" w:hAnsi="Arial"/>
                <w:sz w:val="18"/>
                <w:szCs w:val="18"/>
                <w:color w:val="auto"/>
              </w:rPr>
              <w:t>Other assets</w:t>
            </w: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40" w:type="dxa"/>
            <w:vAlign w:val="bottom"/>
          </w:tcPr>
          <w:p>
            <w:pPr>
              <w:ind w:left="200"/>
              <w:spacing w:after="0"/>
              <w:rPr>
                <w:sz w:val="20"/>
                <w:szCs w:val="20"/>
                <w:color w:val="auto"/>
              </w:rPr>
            </w:pPr>
            <w:r>
              <w:rPr>
                <w:rFonts w:ascii="Arial" w:cs="Arial" w:eastAsia="Arial" w:hAnsi="Arial"/>
                <w:sz w:val="18"/>
                <w:szCs w:val="18"/>
                <w:color w:val="auto"/>
              </w:rPr>
              <w:t>Equity</w:t>
            </w:r>
          </w:p>
        </w:tc>
        <w:tc>
          <w:tcPr>
            <w:tcW w:w="100" w:type="dxa"/>
            <w:vAlign w:val="bottom"/>
          </w:tcPr>
          <w:p>
            <w:pPr>
              <w:spacing w:after="0"/>
              <w:rPr>
                <w:sz w:val="18"/>
                <w:szCs w:val="18"/>
                <w:color w:val="auto"/>
              </w:rPr>
            </w:pPr>
          </w:p>
        </w:tc>
        <w:tc>
          <w:tcPr>
            <w:tcW w:w="940" w:type="dxa"/>
            <w:vAlign w:val="bottom"/>
            <w:gridSpan w:val="2"/>
          </w:tcPr>
          <w:p>
            <w:pPr>
              <w:jc w:val="right"/>
              <w:ind w:right="420"/>
              <w:spacing w:after="0"/>
              <w:rPr>
                <w:sz w:val="20"/>
                <w:szCs w:val="20"/>
                <w:color w:val="auto"/>
              </w:rPr>
            </w:pPr>
            <w:r>
              <w:rPr>
                <w:rFonts w:ascii="Arial" w:cs="Arial" w:eastAsia="Arial" w:hAnsi="Arial"/>
                <w:sz w:val="18"/>
                <w:szCs w:val="18"/>
                <w:color w:val="auto"/>
              </w:rPr>
              <w:t>13</w:t>
            </w:r>
          </w:p>
        </w:tc>
        <w:tc>
          <w:tcPr>
            <w:tcW w:w="80" w:type="dxa"/>
            <w:vAlign w:val="bottom"/>
          </w:tcPr>
          <w:p>
            <w:pPr>
              <w:spacing w:after="0"/>
              <w:rPr>
                <w:sz w:val="18"/>
                <w:szCs w:val="18"/>
                <w:color w:val="auto"/>
              </w:rPr>
            </w:pPr>
          </w:p>
        </w:tc>
        <w:tc>
          <w:tcPr>
            <w:tcW w:w="7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13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40" w:type="dxa"/>
            <w:vAlign w:val="bottom"/>
            <w:shd w:val="clear" w:color="auto" w:fill="CCEEFF"/>
          </w:tcPr>
          <w:p>
            <w:pPr>
              <w:spacing w:after="0"/>
              <w:rPr>
                <w:sz w:val="20"/>
                <w:szCs w:val="20"/>
                <w:color w:val="auto"/>
              </w:rPr>
            </w:pPr>
            <w:r>
              <w:rPr>
                <w:rFonts w:ascii="Arial" w:cs="Arial" w:eastAsia="Arial" w:hAnsi="Arial"/>
                <w:sz w:val="18"/>
                <w:szCs w:val="18"/>
                <w:color w:val="auto"/>
              </w:rPr>
              <w:t>Derivatives</w:t>
            </w: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40" w:type="dxa"/>
            <w:vAlign w:val="bottom"/>
          </w:tcPr>
          <w:p>
            <w:pPr>
              <w:ind w:left="200"/>
              <w:spacing w:after="0"/>
              <w:rPr>
                <w:sz w:val="20"/>
                <w:szCs w:val="20"/>
                <w:color w:val="auto"/>
              </w:rPr>
            </w:pPr>
            <w:r>
              <w:rPr>
                <w:rFonts w:ascii="Arial" w:cs="Arial" w:eastAsia="Arial" w:hAnsi="Arial"/>
                <w:sz w:val="18"/>
                <w:szCs w:val="18"/>
                <w:color w:val="auto"/>
              </w:rPr>
              <w:t>Commodity</w:t>
            </w:r>
          </w:p>
        </w:tc>
        <w:tc>
          <w:tcPr>
            <w:tcW w:w="100" w:type="dxa"/>
            <w:vAlign w:val="bottom"/>
          </w:tcPr>
          <w:p>
            <w:pPr>
              <w:spacing w:after="0"/>
              <w:rPr>
                <w:sz w:val="18"/>
                <w:szCs w:val="18"/>
                <w:color w:val="auto"/>
              </w:rPr>
            </w:pPr>
          </w:p>
        </w:tc>
        <w:tc>
          <w:tcPr>
            <w:tcW w:w="94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740" w:type="dxa"/>
            <w:vAlign w:val="bottom"/>
            <w:gridSpan w:val="2"/>
          </w:tcPr>
          <w:p>
            <w:pPr>
              <w:jc w:val="right"/>
              <w:ind w:right="200"/>
              <w:spacing w:after="0"/>
              <w:rPr>
                <w:sz w:val="20"/>
                <w:szCs w:val="20"/>
                <w:color w:val="auto"/>
              </w:rPr>
            </w:pPr>
            <w:r>
              <w:rPr>
                <w:rFonts w:ascii="Arial" w:cs="Arial" w:eastAsia="Arial" w:hAnsi="Arial"/>
                <w:sz w:val="18"/>
                <w:szCs w:val="18"/>
                <w:color w:val="auto"/>
              </w:rPr>
              <w:t>11</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11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Foreign currency</w:t>
            </w: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90</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33</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40" w:type="dxa"/>
            <w:vAlign w:val="bottom"/>
          </w:tcPr>
          <w:p>
            <w:pPr>
              <w:ind w:left="200"/>
              <w:spacing w:after="0"/>
              <w:rPr>
                <w:sz w:val="20"/>
                <w:szCs w:val="20"/>
                <w:color w:val="auto"/>
              </w:rPr>
            </w:pPr>
            <w:r>
              <w:rPr>
                <w:rFonts w:ascii="Arial" w:cs="Arial" w:eastAsia="Arial" w:hAnsi="Arial"/>
                <w:sz w:val="18"/>
                <w:szCs w:val="18"/>
                <w:color w:val="auto"/>
              </w:rPr>
              <w:t>Other</w:t>
            </w:r>
          </w:p>
        </w:tc>
        <w:tc>
          <w:tcPr>
            <w:tcW w:w="100" w:type="dxa"/>
            <w:vAlign w:val="bottom"/>
          </w:tcPr>
          <w:p>
            <w:pPr>
              <w:spacing w:after="0"/>
              <w:rPr>
                <w:sz w:val="18"/>
                <w:szCs w:val="18"/>
                <w:color w:val="auto"/>
              </w:rPr>
            </w:pPr>
          </w:p>
        </w:tc>
        <w:tc>
          <w:tcPr>
            <w:tcW w:w="94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740" w:type="dxa"/>
            <w:vAlign w:val="bottom"/>
            <w:gridSpan w:val="2"/>
          </w:tcPr>
          <w:p>
            <w:pPr>
              <w:jc w:val="right"/>
              <w:ind w:right="200"/>
              <w:spacing w:after="0"/>
              <w:rPr>
                <w:sz w:val="20"/>
                <w:szCs w:val="20"/>
                <w:color w:val="auto"/>
              </w:rPr>
            </w:pPr>
            <w:r>
              <w:rPr>
                <w:rFonts w:ascii="Arial" w:cs="Arial" w:eastAsia="Arial" w:hAnsi="Arial"/>
                <w:sz w:val="18"/>
                <w:szCs w:val="18"/>
                <w:color w:val="auto"/>
              </w:rPr>
              <w:t>25</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25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6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640" w:type="dxa"/>
            <w:vAlign w:val="bottom"/>
            <w:shd w:val="clear" w:color="auto" w:fill="CCEEFF"/>
          </w:tcPr>
          <w:p>
            <w:pPr>
              <w:spacing w:after="0"/>
              <w:rPr>
                <w:sz w:val="20"/>
                <w:szCs w:val="20"/>
                <w:color w:val="auto"/>
              </w:rPr>
            </w:pPr>
            <w:r>
              <w:rPr>
                <w:rFonts w:ascii="Arial" w:cs="Arial" w:eastAsia="Arial" w:hAnsi="Arial"/>
                <w:sz w:val="18"/>
                <w:szCs w:val="18"/>
                <w:color w:val="auto"/>
              </w:rPr>
              <w:t>Total assets</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w w:val="90"/>
              </w:rPr>
              <w:t>20,598</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5,029</w:t>
            </w:r>
          </w:p>
        </w:tc>
        <w:tc>
          <w:tcPr>
            <w:tcW w:w="3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33</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25,660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66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Liabilities</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7660" w:type="dxa"/>
            <w:vAlign w:val="bottom"/>
            <w:gridSpan w:val="2"/>
            <w:vMerge w:val="continue"/>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7640" w:type="dxa"/>
            <w:vAlign w:val="bottom"/>
            <w:shd w:val="clear" w:color="auto" w:fill="CCEEFF"/>
          </w:tcPr>
          <w:p>
            <w:pPr>
              <w:spacing w:after="0"/>
              <w:rPr>
                <w:sz w:val="20"/>
                <w:szCs w:val="20"/>
                <w:color w:val="auto"/>
              </w:rPr>
            </w:pPr>
            <w:r>
              <w:rPr>
                <w:rFonts w:ascii="Arial" w:cs="Arial" w:eastAsia="Arial" w:hAnsi="Arial"/>
                <w:sz w:val="18"/>
                <w:szCs w:val="18"/>
                <w:color w:val="auto"/>
              </w:rPr>
              <w:t>Derivatives</w:t>
            </w: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40" w:type="dxa"/>
            <w:vAlign w:val="bottom"/>
          </w:tcPr>
          <w:p>
            <w:pPr>
              <w:ind w:left="200"/>
              <w:spacing w:after="0"/>
              <w:rPr>
                <w:sz w:val="20"/>
                <w:szCs w:val="20"/>
                <w:color w:val="auto"/>
              </w:rPr>
            </w:pPr>
            <w:r>
              <w:rPr>
                <w:rFonts w:ascii="Arial" w:cs="Arial" w:eastAsia="Arial" w:hAnsi="Arial"/>
                <w:sz w:val="18"/>
                <w:szCs w:val="18"/>
                <w:color w:val="auto"/>
              </w:rPr>
              <w:t>Foreign currency</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gridSpan w:val="2"/>
          </w:tcPr>
          <w:p>
            <w:pPr>
              <w:jc w:val="right"/>
              <w:ind w:right="200"/>
              <w:spacing w:after="0"/>
              <w:rPr>
                <w:sz w:val="20"/>
                <w:szCs w:val="20"/>
                <w:color w:val="auto"/>
              </w:rPr>
            </w:pPr>
            <w:r>
              <w:rPr>
                <w:rFonts w:ascii="Arial" w:cs="Arial" w:eastAsia="Arial" w:hAnsi="Arial"/>
                <w:sz w:val="18"/>
                <w:szCs w:val="18"/>
                <w:color w:val="auto"/>
              </w:rPr>
              <w:t>9</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ind w:right="200"/>
              <w:spacing w:after="0"/>
              <w:rPr>
                <w:sz w:val="20"/>
                <w:szCs w:val="20"/>
                <w:color w:val="auto"/>
              </w:rPr>
            </w:pPr>
            <w:r>
              <w:rPr>
                <w:rFonts w:ascii="Arial" w:cs="Arial" w:eastAsia="Arial" w:hAnsi="Arial"/>
                <w:sz w:val="18"/>
                <w:szCs w:val="18"/>
                <w:color w:val="auto"/>
              </w:rPr>
              <w:t>705</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714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6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640" w:type="dxa"/>
            <w:vAlign w:val="bottom"/>
            <w:shd w:val="clear" w:color="auto" w:fill="CCEEFF"/>
          </w:tcPr>
          <w:p>
            <w:pPr>
              <w:spacing w:after="0"/>
              <w:rPr>
                <w:sz w:val="20"/>
                <w:szCs w:val="20"/>
                <w:color w:val="auto"/>
              </w:rPr>
            </w:pPr>
            <w:r>
              <w:rPr>
                <w:rFonts w:ascii="Arial" w:cs="Arial" w:eastAsia="Arial" w:hAnsi="Arial"/>
                <w:sz w:val="18"/>
                <w:szCs w:val="18"/>
                <w:color w:val="auto"/>
              </w:rPr>
              <w:t>Total liabilities</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9</w:t>
            </w:r>
          </w:p>
        </w:tc>
        <w:tc>
          <w:tcPr>
            <w:tcW w:w="3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705</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6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Fair Value Measurements on a Recurring Basis using Level 3 Inputs</w:t>
      </w:r>
    </w:p>
    <w:p>
      <w:pPr>
        <w:spacing w:after="0" w:line="171" w:lineRule="exact"/>
        <w:rPr>
          <w:sz w:val="20"/>
          <w:szCs w:val="20"/>
          <w:color w:val="auto"/>
        </w:rPr>
      </w:pPr>
    </w:p>
    <w:p>
      <w:pPr>
        <w:jc w:val="both"/>
        <w:ind w:right="20" w:firstLine="228"/>
        <w:spacing w:after="0" w:line="332" w:lineRule="auto"/>
        <w:rPr>
          <w:sz w:val="20"/>
          <w:szCs w:val="20"/>
          <w:color w:val="auto"/>
        </w:rPr>
      </w:pPr>
      <w:r>
        <w:rPr>
          <w:rFonts w:ascii="Arial" w:cs="Arial" w:eastAsia="Arial" w:hAnsi="Arial"/>
          <w:sz w:val="16"/>
          <w:szCs w:val="16"/>
          <w:color w:val="auto"/>
        </w:rPr>
        <w:t>In the period January 1, 2009 through July 9, 2009 Old GM’s mortgage- and asset-backed securities were transferred from Level 3 to Level 2 as the significant inputs used to measure fair value and quoted prices for similar instruments were determined to be observable in an active market.</w:t>
      </w:r>
    </w:p>
    <w:p>
      <w:pPr>
        <w:spacing w:after="0" w:line="85" w:lineRule="exact"/>
        <w:rPr>
          <w:sz w:val="20"/>
          <w:szCs w:val="20"/>
          <w:color w:val="auto"/>
        </w:rPr>
      </w:pPr>
    </w:p>
    <w:p>
      <w:pPr>
        <w:ind w:firstLine="228"/>
        <w:spacing w:after="0" w:line="259" w:lineRule="auto"/>
        <w:rPr>
          <w:sz w:val="20"/>
          <w:szCs w:val="20"/>
          <w:color w:val="auto"/>
        </w:rPr>
      </w:pPr>
      <w:r>
        <w:rPr>
          <w:rFonts w:ascii="Arial" w:cs="Arial" w:eastAsia="Arial" w:hAnsi="Arial"/>
          <w:sz w:val="18"/>
          <w:szCs w:val="18"/>
          <w:color w:val="auto"/>
        </w:rPr>
        <w:t>For periods presented after June 1, 2009 Old GM’s nonperformance risk was not observable through the credit default swap market as a result of its Chapter 11 Proceedings. As a result, foreign currency derivatives with a fair market value of $1.6 billion were transferred from Level 2 to Level 3 in the period January 1, 2009 through July 9, 2009.</w:t>
      </w:r>
    </w:p>
    <w:p>
      <w:pPr>
        <w:spacing w:after="0" w:line="140" w:lineRule="exact"/>
        <w:rPr>
          <w:sz w:val="20"/>
          <w:szCs w:val="20"/>
          <w:color w:val="auto"/>
        </w:rPr>
      </w:pPr>
    </w:p>
    <w:p>
      <w:pPr>
        <w:ind w:right="520" w:firstLine="228"/>
        <w:spacing w:after="0" w:line="259" w:lineRule="auto"/>
        <w:rPr>
          <w:sz w:val="20"/>
          <w:szCs w:val="20"/>
          <w:color w:val="auto"/>
        </w:rPr>
      </w:pPr>
      <w:r>
        <w:rPr>
          <w:rFonts w:ascii="Arial" w:cs="Arial" w:eastAsia="Arial" w:hAnsi="Arial"/>
          <w:sz w:val="18"/>
          <w:szCs w:val="18"/>
          <w:color w:val="auto"/>
        </w:rPr>
        <w:t>In the period January 1, 2009 through July 9, 2009 Old GM determined the credit profile of certain foreign subsidiaries was equivalent to Old GM’s nonperformance risk which was observable through the credit default swap market and bond market based on prices for recent trades. Accordingly, foreign currency derivatives with a fair value of $2.1 billion were transferred from Level 3 into Level 2.</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54</w:t>
      </w:r>
    </w:p>
    <w:p>
      <w:pPr>
        <w:sectPr>
          <w:pgSz w:w="11900" w:h="16838" w:orient="portrait"/>
          <w:cols w:equalWidth="0" w:num="1">
            <w:col w:w="11420"/>
          </w:cols>
          <w:pgMar w:left="240" w:top="459" w:right="239" w:bottom="1440" w:gutter="0" w:footer="0" w:header="0"/>
        </w:sectPr>
      </w:pPr>
    </w:p>
    <w:bookmarkStart w:id="56" w:name="page57"/>
    <w:bookmarkEnd w:id="5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33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6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gridSpan w:val="4"/>
          </w:tcPr>
          <w:p>
            <w:pPr>
              <w:jc w:val="center"/>
              <w:ind w:right="312"/>
              <w:spacing w:after="0"/>
              <w:rPr>
                <w:sz w:val="20"/>
                <w:szCs w:val="20"/>
                <w:color w:val="auto"/>
              </w:rPr>
            </w:pPr>
            <w:r>
              <w:rPr>
                <w:rFonts w:ascii="Arial" w:cs="Arial" w:eastAsia="Arial" w:hAnsi="Arial"/>
                <w:sz w:val="14"/>
                <w:szCs w:val="14"/>
                <w:b w:val="1"/>
                <w:bCs w:val="1"/>
                <w:color w:val="auto"/>
                <w:w w:val="81"/>
              </w:rPr>
              <w:t>Successor</w:t>
            </w:r>
          </w:p>
        </w:tc>
        <w:tc>
          <w:tcPr>
            <w:tcW w:w="22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6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2520" w:type="dxa"/>
            <w:vAlign w:val="bottom"/>
            <w:tcBorders>
              <w:bottom w:val="single" w:sz="8" w:color="auto"/>
            </w:tcBorders>
            <w:gridSpan w:val="10"/>
          </w:tcPr>
          <w:p>
            <w:pPr>
              <w:jc w:val="center"/>
              <w:ind w:right="60"/>
              <w:spacing w:after="0" w:line="142" w:lineRule="exact"/>
              <w:rPr>
                <w:sz w:val="20"/>
                <w:szCs w:val="20"/>
                <w:color w:val="auto"/>
              </w:rPr>
            </w:pPr>
            <w:r>
              <w:rPr>
                <w:rFonts w:ascii="Arial" w:cs="Arial" w:eastAsia="Arial" w:hAnsi="Arial"/>
                <w:sz w:val="14"/>
                <w:szCs w:val="14"/>
                <w:b w:val="1"/>
                <w:bCs w:val="1"/>
                <w:color w:val="auto"/>
                <w:w w:val="87"/>
              </w:rPr>
              <w:t>Level 3 Financial Assets and Liabilities</w:t>
            </w:r>
          </w:p>
        </w:tc>
        <w:tc>
          <w:tcPr>
            <w:tcW w:w="18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42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40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48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46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20" w:type="dxa"/>
            <w:vAlign w:val="bottom"/>
            <w:gridSpan w:val="3"/>
          </w:tcPr>
          <w:p>
            <w:pPr>
              <w:ind w:left="20"/>
              <w:spacing w:after="0" w:line="129" w:lineRule="exact"/>
              <w:rPr>
                <w:sz w:val="20"/>
                <w:szCs w:val="20"/>
                <w:color w:val="auto"/>
              </w:rPr>
            </w:pPr>
            <w:r>
              <w:rPr>
                <w:rFonts w:ascii="Arial" w:cs="Arial" w:eastAsia="Arial" w:hAnsi="Arial"/>
                <w:sz w:val="14"/>
                <w:szCs w:val="14"/>
                <w:b w:val="1"/>
                <w:bCs w:val="1"/>
                <w:color w:val="auto"/>
                <w:w w:val="85"/>
              </w:rPr>
              <w:t>Mortgage-</w:t>
            </w:r>
          </w:p>
        </w:tc>
        <w:tc>
          <w:tcPr>
            <w:tcW w:w="2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6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gridSpan w:val="2"/>
          </w:tcPr>
          <w:p>
            <w:pPr>
              <w:jc w:val="center"/>
              <w:ind w:right="12"/>
              <w:spacing w:after="0" w:line="149" w:lineRule="exact"/>
              <w:rPr>
                <w:sz w:val="20"/>
                <w:szCs w:val="20"/>
                <w:color w:val="auto"/>
              </w:rPr>
            </w:pPr>
            <w:r>
              <w:rPr>
                <w:rFonts w:ascii="Arial" w:cs="Arial" w:eastAsia="Arial" w:hAnsi="Arial"/>
                <w:sz w:val="14"/>
                <w:szCs w:val="14"/>
                <w:b w:val="1"/>
                <w:bCs w:val="1"/>
                <w:color w:val="auto"/>
                <w:w w:val="86"/>
              </w:rPr>
              <w:t>backed</w:t>
            </w:r>
          </w:p>
        </w:tc>
        <w:tc>
          <w:tcPr>
            <w:tcW w:w="2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0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w w:val="88"/>
              </w:rPr>
              <w:t>Commodity</w:t>
            </w:r>
          </w:p>
        </w:tc>
        <w:tc>
          <w:tcPr>
            <w:tcW w:w="2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gridSpan w:val="3"/>
          </w:tcPr>
          <w:p>
            <w:pPr>
              <w:jc w:val="center"/>
              <w:ind w:right="300"/>
              <w:spacing w:after="0" w:line="149" w:lineRule="exact"/>
              <w:rPr>
                <w:sz w:val="20"/>
                <w:szCs w:val="20"/>
                <w:color w:val="auto"/>
              </w:rPr>
            </w:pPr>
            <w:r>
              <w:rPr>
                <w:rFonts w:ascii="Arial" w:cs="Arial" w:eastAsia="Arial" w:hAnsi="Arial"/>
                <w:sz w:val="14"/>
                <w:szCs w:val="14"/>
                <w:b w:val="1"/>
                <w:bCs w:val="1"/>
                <w:color w:val="auto"/>
                <w:w w:val="85"/>
              </w:rPr>
              <w:t>Foreign</w:t>
            </w:r>
          </w:p>
        </w:tc>
        <w:tc>
          <w:tcPr>
            <w:tcW w:w="3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6"/>
              </w:rPr>
              <w:t>Other</w:t>
            </w:r>
          </w:p>
        </w:tc>
        <w:tc>
          <w:tcPr>
            <w:tcW w:w="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6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20" w:type="dxa"/>
            <w:vAlign w:val="bottom"/>
            <w:gridSpan w:val="3"/>
          </w:tcPr>
          <w:p>
            <w:pPr>
              <w:ind w:left="20"/>
              <w:spacing w:after="0" w:line="149" w:lineRule="exact"/>
              <w:rPr>
                <w:sz w:val="20"/>
                <w:szCs w:val="20"/>
                <w:color w:val="auto"/>
              </w:rPr>
            </w:pPr>
            <w:r>
              <w:rPr>
                <w:rFonts w:ascii="Arial" w:cs="Arial" w:eastAsia="Arial" w:hAnsi="Arial"/>
                <w:sz w:val="14"/>
                <w:szCs w:val="14"/>
                <w:b w:val="1"/>
                <w:bCs w:val="1"/>
                <w:color w:val="auto"/>
                <w:w w:val="86"/>
              </w:rPr>
              <w:t>Securities</w:t>
            </w:r>
          </w:p>
        </w:tc>
        <w:tc>
          <w:tcPr>
            <w:tcW w:w="2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0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w w:val="86"/>
              </w:rPr>
              <w:t>Derivatives,</w:t>
            </w:r>
          </w:p>
        </w:tc>
        <w:tc>
          <w:tcPr>
            <w:tcW w:w="2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gridSpan w:val="3"/>
          </w:tcPr>
          <w:p>
            <w:pPr>
              <w:jc w:val="center"/>
              <w:ind w:right="300"/>
              <w:spacing w:after="0" w:line="149" w:lineRule="exact"/>
              <w:rPr>
                <w:sz w:val="20"/>
                <w:szCs w:val="20"/>
                <w:color w:val="auto"/>
              </w:rPr>
            </w:pPr>
            <w:r>
              <w:rPr>
                <w:rFonts w:ascii="Arial" w:cs="Arial" w:eastAsia="Arial" w:hAnsi="Arial"/>
                <w:sz w:val="14"/>
                <w:szCs w:val="14"/>
                <w:b w:val="1"/>
                <w:bCs w:val="1"/>
                <w:color w:val="auto"/>
                <w:w w:val="91"/>
              </w:rPr>
              <w:t>Currency</w:t>
            </w:r>
          </w:p>
        </w:tc>
        <w:tc>
          <w:tcPr>
            <w:tcW w:w="3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w w:val="86"/>
              </w:rPr>
              <w:t>Securities</w:t>
            </w:r>
          </w:p>
        </w:tc>
        <w:tc>
          <w:tcPr>
            <w:tcW w:w="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gridSpan w:val="3"/>
          </w:tcPr>
          <w:p>
            <w:pPr>
              <w:jc w:val="right"/>
              <w:ind w:right="140"/>
              <w:spacing w:after="0" w:line="149" w:lineRule="exact"/>
              <w:rPr>
                <w:sz w:val="20"/>
                <w:szCs w:val="20"/>
                <w:color w:val="auto"/>
              </w:rPr>
            </w:pPr>
            <w:r>
              <w:rPr>
                <w:rFonts w:ascii="Arial" w:cs="Arial" w:eastAsia="Arial" w:hAnsi="Arial"/>
                <w:sz w:val="14"/>
                <w:szCs w:val="14"/>
                <w:b w:val="1"/>
                <w:bCs w:val="1"/>
                <w:color w:val="auto"/>
                <w:w w:val="86"/>
              </w:rPr>
              <w:t>Total Net</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46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93"/>
              </w:rPr>
              <w:t>(a)</w:t>
            </w:r>
          </w:p>
        </w:tc>
        <w:tc>
          <w:tcPr>
            <w:tcW w:w="2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gridSpan w:val="2"/>
          </w:tcPr>
          <w:p>
            <w:pPr>
              <w:jc w:val="center"/>
              <w:ind w:right="52"/>
              <w:spacing w:after="0"/>
              <w:rPr>
                <w:sz w:val="20"/>
                <w:szCs w:val="20"/>
                <w:color w:val="auto"/>
              </w:rPr>
            </w:pPr>
            <w:r>
              <w:rPr>
                <w:rFonts w:ascii="Arial" w:cs="Arial" w:eastAsia="Arial" w:hAnsi="Arial"/>
                <w:sz w:val="14"/>
                <w:szCs w:val="14"/>
                <w:b w:val="1"/>
                <w:bCs w:val="1"/>
                <w:color w:val="auto"/>
                <w:w w:val="90"/>
              </w:rPr>
              <w:t>Net (b)</w:t>
            </w:r>
          </w:p>
        </w:tc>
        <w:tc>
          <w:tcPr>
            <w:tcW w:w="2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40" w:type="dxa"/>
            <w:vAlign w:val="bottom"/>
            <w:tcBorders>
              <w:bottom w:val="single" w:sz="8" w:color="auto"/>
            </w:tcBorders>
            <w:gridSpan w:val="3"/>
          </w:tcPr>
          <w:p>
            <w:pPr>
              <w:spacing w:after="0"/>
              <w:rPr>
                <w:sz w:val="20"/>
                <w:szCs w:val="20"/>
                <w:color w:val="auto"/>
              </w:rPr>
            </w:pPr>
            <w:r>
              <w:rPr>
                <w:rFonts w:ascii="Arial" w:cs="Arial" w:eastAsia="Arial" w:hAnsi="Arial"/>
                <w:sz w:val="14"/>
                <w:szCs w:val="14"/>
                <w:b w:val="1"/>
                <w:bCs w:val="1"/>
                <w:color w:val="auto"/>
                <w:w w:val="85"/>
              </w:rPr>
              <w:t>Derivatives (c)</w:t>
            </w:r>
          </w:p>
        </w:tc>
        <w:tc>
          <w:tcPr>
            <w:tcW w:w="2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60" w:type="dxa"/>
            <w:vAlign w:val="bottom"/>
            <w:tcBorders>
              <w:bottom w:val="single" w:sz="8" w:color="auto"/>
            </w:tcBorders>
            <w:gridSpan w:val="3"/>
          </w:tcPr>
          <w:p>
            <w:pPr>
              <w:spacing w:after="0"/>
              <w:rPr>
                <w:sz w:val="20"/>
                <w:szCs w:val="20"/>
                <w:color w:val="auto"/>
              </w:rPr>
            </w:pPr>
            <w:r>
              <w:rPr>
                <w:rFonts w:ascii="Arial" w:cs="Arial" w:eastAsia="Arial" w:hAnsi="Arial"/>
                <w:sz w:val="14"/>
                <w:szCs w:val="14"/>
                <w:b w:val="1"/>
                <w:bCs w:val="1"/>
                <w:color w:val="auto"/>
                <w:w w:val="85"/>
              </w:rPr>
              <w:t>Options (d)</w:t>
            </w:r>
          </w:p>
        </w:tc>
        <w:tc>
          <w:tcPr>
            <w:tcW w:w="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gridSpan w:val="2"/>
          </w:tcPr>
          <w:p>
            <w:pPr>
              <w:jc w:val="center"/>
              <w:ind w:right="100"/>
              <w:spacing w:after="0"/>
              <w:rPr>
                <w:sz w:val="20"/>
                <w:szCs w:val="20"/>
                <w:color w:val="auto"/>
              </w:rPr>
            </w:pPr>
            <w:r>
              <w:rPr>
                <w:rFonts w:ascii="Arial" w:cs="Arial" w:eastAsia="Arial" w:hAnsi="Arial"/>
                <w:sz w:val="14"/>
                <w:szCs w:val="14"/>
                <w:b w:val="1"/>
                <w:bCs w:val="1"/>
                <w:color w:val="auto"/>
                <w:w w:val="93"/>
              </w:rPr>
              <w:t>(a)</w:t>
            </w:r>
          </w:p>
        </w:tc>
        <w:tc>
          <w:tcPr>
            <w:tcW w:w="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Borders>
              <w:bottom w:val="single" w:sz="8" w:color="auto"/>
            </w:tcBorders>
            <w:gridSpan w:val="2"/>
          </w:tcPr>
          <w:p>
            <w:pPr>
              <w:spacing w:after="0"/>
              <w:rPr>
                <w:sz w:val="20"/>
                <w:szCs w:val="20"/>
                <w:color w:val="auto"/>
              </w:rPr>
            </w:pPr>
            <w:r>
              <w:rPr>
                <w:rFonts w:ascii="Arial" w:cs="Arial" w:eastAsia="Arial" w:hAnsi="Arial"/>
                <w:sz w:val="14"/>
                <w:szCs w:val="14"/>
                <w:b w:val="1"/>
                <w:bCs w:val="1"/>
                <w:color w:val="auto"/>
                <w:w w:val="86"/>
              </w:rPr>
              <w:t>Liabilities</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600" w:type="dxa"/>
            <w:vAlign w:val="bottom"/>
            <w:shd w:val="clear" w:color="auto" w:fill="CCEEFF"/>
          </w:tcPr>
          <w:p>
            <w:pPr>
              <w:spacing w:after="0"/>
              <w:rPr>
                <w:sz w:val="20"/>
                <w:szCs w:val="20"/>
                <w:color w:val="auto"/>
              </w:rPr>
            </w:pPr>
            <w:r>
              <w:rPr>
                <w:rFonts w:ascii="Arial" w:cs="Arial" w:eastAsia="Arial" w:hAnsi="Arial"/>
                <w:sz w:val="18"/>
                <w:szCs w:val="18"/>
                <w:color w:val="auto"/>
              </w:rPr>
              <w:t>Balance at July 1, 2010</w:t>
            </w:r>
          </w:p>
        </w:tc>
        <w:tc>
          <w:tcPr>
            <w:tcW w:w="340" w:type="dxa"/>
            <w:vAlign w:val="bottom"/>
            <w:gridSpan w:val="2"/>
            <w:shd w:val="clear" w:color="auto" w:fill="CCEEFF"/>
          </w:tcPr>
          <w:p>
            <w:pPr>
              <w:ind w:left="260"/>
              <w:spacing w:after="0"/>
              <w:rPr>
                <w:sz w:val="20"/>
                <w:szCs w:val="20"/>
                <w:color w:val="auto"/>
              </w:rPr>
            </w:pPr>
            <w:r>
              <w:rPr>
                <w:rFonts w:ascii="Arial" w:cs="Arial" w:eastAsia="Arial" w:hAnsi="Arial"/>
                <w:sz w:val="15"/>
                <w:szCs w:val="15"/>
                <w:color w:val="auto"/>
                <w:w w:val="71"/>
              </w:rPr>
              <w:t>$</w:t>
            </w:r>
          </w:p>
        </w:tc>
        <w:tc>
          <w:tcPr>
            <w:tcW w:w="260" w:type="dxa"/>
            <w:vAlign w:val="bottom"/>
            <w:shd w:val="clear" w:color="auto" w:fill="CCEEFF"/>
          </w:tcPr>
          <w:p>
            <w:pPr>
              <w:spacing w:after="0"/>
              <w:rPr>
                <w:sz w:val="18"/>
                <w:szCs w:val="18"/>
                <w:color w:val="auto"/>
              </w:rPr>
            </w:pPr>
          </w:p>
        </w:tc>
        <w:tc>
          <w:tcPr>
            <w:tcW w:w="260" w:type="dxa"/>
            <w:vAlign w:val="bottom"/>
            <w:shd w:val="clear" w:color="auto" w:fill="CCEEFF"/>
          </w:tcPr>
          <w:p>
            <w:pPr>
              <w:ind w:left="80"/>
              <w:spacing w:after="0"/>
              <w:rPr>
                <w:sz w:val="20"/>
                <w:szCs w:val="20"/>
                <w:color w:val="auto"/>
              </w:rPr>
            </w:pPr>
            <w:r>
              <w:rPr>
                <w:rFonts w:ascii="Arial" w:cs="Arial" w:eastAsia="Arial" w:hAnsi="Arial"/>
                <w:sz w:val="18"/>
                <w:szCs w:val="18"/>
                <w:color w:val="auto"/>
                <w:w w:val="88"/>
              </w:rPr>
              <w:t>—</w:t>
            </w:r>
          </w:p>
        </w:tc>
        <w:tc>
          <w:tcPr>
            <w:tcW w:w="600" w:type="dxa"/>
            <w:vAlign w:val="bottom"/>
            <w:gridSpan w:val="3"/>
            <w:shd w:val="clear" w:color="auto" w:fill="CCEEFF"/>
          </w:tcPr>
          <w:p>
            <w:pPr>
              <w:ind w:left="480"/>
              <w:spacing w:after="0"/>
              <w:rPr>
                <w:sz w:val="20"/>
                <w:szCs w:val="20"/>
                <w:color w:val="auto"/>
              </w:rPr>
            </w:pPr>
            <w:r>
              <w:rPr>
                <w:rFonts w:ascii="Arial" w:cs="Arial" w:eastAsia="Arial" w:hAnsi="Arial"/>
                <w:sz w:val="18"/>
                <w:szCs w:val="18"/>
                <w:color w:val="auto"/>
                <w:w w:val="99"/>
              </w:rPr>
              <w:t>$</w:t>
            </w:r>
          </w:p>
        </w:tc>
        <w:tc>
          <w:tcPr>
            <w:tcW w:w="300" w:type="dxa"/>
            <w:vAlign w:val="bottom"/>
            <w:shd w:val="clear" w:color="auto" w:fill="CCEEFF"/>
          </w:tcPr>
          <w:p>
            <w:pPr>
              <w:spacing w:after="0"/>
              <w:rPr>
                <w:sz w:val="18"/>
                <w:szCs w:val="18"/>
                <w:color w:val="auto"/>
              </w:rPr>
            </w:pPr>
          </w:p>
        </w:tc>
        <w:tc>
          <w:tcPr>
            <w:tcW w:w="280" w:type="dxa"/>
            <w:vAlign w:val="bottom"/>
            <w:shd w:val="clear" w:color="auto" w:fill="CCEEFF"/>
          </w:tcPr>
          <w:p>
            <w:pPr>
              <w:ind w:left="100"/>
              <w:spacing w:after="0"/>
              <w:rPr>
                <w:sz w:val="20"/>
                <w:szCs w:val="20"/>
                <w:color w:val="auto"/>
              </w:rPr>
            </w:pPr>
            <w:r>
              <w:rPr>
                <w:rFonts w:ascii="Arial" w:cs="Arial" w:eastAsia="Arial" w:hAnsi="Arial"/>
                <w:sz w:val="18"/>
                <w:szCs w:val="18"/>
                <w:color w:val="auto"/>
                <w:w w:val="88"/>
              </w:rPr>
              <w:t>—</w:t>
            </w:r>
          </w:p>
        </w:tc>
        <w:tc>
          <w:tcPr>
            <w:tcW w:w="580" w:type="dxa"/>
            <w:vAlign w:val="bottom"/>
            <w:gridSpan w:val="3"/>
            <w:shd w:val="clear" w:color="auto" w:fill="CCEEFF"/>
          </w:tcPr>
          <w:p>
            <w:pPr>
              <w:ind w:left="480"/>
              <w:spacing w:after="0"/>
              <w:rPr>
                <w:sz w:val="20"/>
                <w:szCs w:val="20"/>
                <w:color w:val="auto"/>
              </w:rPr>
            </w:pPr>
            <w:r>
              <w:rPr>
                <w:rFonts w:ascii="Arial" w:cs="Arial" w:eastAsia="Arial" w:hAnsi="Arial"/>
                <w:sz w:val="18"/>
                <w:szCs w:val="18"/>
                <w:color w:val="auto"/>
                <w:w w:val="79"/>
              </w:rPr>
              <w:t>$</w:t>
            </w:r>
          </w:p>
        </w:tc>
        <w:tc>
          <w:tcPr>
            <w:tcW w:w="94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(338)</w:t>
            </w:r>
          </w:p>
        </w:tc>
        <w:tc>
          <w:tcPr>
            <w:tcW w:w="68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52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w w:val="99"/>
              </w:rPr>
              <w:t>(24)</w:t>
            </w:r>
          </w:p>
        </w:tc>
        <w:tc>
          <w:tcPr>
            <w:tcW w:w="360" w:type="dxa"/>
            <w:vAlign w:val="bottom"/>
            <w:gridSpan w:val="3"/>
            <w:shd w:val="clear" w:color="auto" w:fill="CCEEFF"/>
          </w:tcPr>
          <w:p>
            <w:pPr>
              <w:ind w:left="260"/>
              <w:spacing w:after="0"/>
              <w:rPr>
                <w:sz w:val="20"/>
                <w:szCs w:val="20"/>
                <w:color w:val="auto"/>
              </w:rPr>
            </w:pPr>
            <w:r>
              <w:rPr>
                <w:rFonts w:ascii="Arial" w:cs="Arial" w:eastAsia="Arial" w:hAnsi="Arial"/>
                <w:sz w:val="18"/>
                <w:szCs w:val="18"/>
                <w:color w:val="auto"/>
                <w:w w:val="79"/>
              </w:rPr>
              <w:t>$</w:t>
            </w:r>
          </w:p>
        </w:tc>
        <w:tc>
          <w:tcPr>
            <w:tcW w:w="50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w w:val="88"/>
              </w:rPr>
              <w:t>—</w:t>
            </w:r>
          </w:p>
        </w:tc>
        <w:tc>
          <w:tcPr>
            <w:tcW w:w="600" w:type="dxa"/>
            <w:vAlign w:val="bottom"/>
            <w:gridSpan w:val="3"/>
            <w:shd w:val="clear" w:color="auto" w:fill="CCEEFF"/>
          </w:tcPr>
          <w:p>
            <w:pPr>
              <w:ind w:left="500"/>
              <w:spacing w:after="0"/>
              <w:rPr>
                <w:sz w:val="20"/>
                <w:szCs w:val="20"/>
                <w:color w:val="auto"/>
              </w:rPr>
            </w:pPr>
            <w:r>
              <w:rPr>
                <w:rFonts w:ascii="Arial" w:cs="Arial" w:eastAsia="Arial" w:hAnsi="Arial"/>
                <w:sz w:val="18"/>
                <w:szCs w:val="18"/>
                <w:color w:val="auto"/>
                <w:w w:val="79"/>
              </w:rPr>
              <w:t>$</w:t>
            </w:r>
          </w:p>
        </w:tc>
        <w:tc>
          <w:tcPr>
            <w:tcW w:w="5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(362)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tcPr>
          <w:p>
            <w:pPr>
              <w:spacing w:after="0"/>
              <w:rPr>
                <w:sz w:val="20"/>
                <w:szCs w:val="20"/>
                <w:color w:val="auto"/>
              </w:rPr>
            </w:pPr>
            <w:r>
              <w:rPr>
                <w:rFonts w:ascii="Arial" w:cs="Arial" w:eastAsia="Arial" w:hAnsi="Arial"/>
                <w:sz w:val="18"/>
                <w:szCs w:val="18"/>
                <w:color w:val="auto"/>
              </w:rPr>
              <w:t>Total realized/unrealized gains (losses)</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Included in earnings</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60" w:type="dxa"/>
            <w:vAlign w:val="bottom"/>
            <w:shd w:val="clear" w:color="auto" w:fill="CCEEFF"/>
          </w:tcPr>
          <w:p>
            <w:pPr>
              <w:ind w:left="80"/>
              <w:spacing w:after="0"/>
              <w:rPr>
                <w:sz w:val="20"/>
                <w:szCs w:val="20"/>
                <w:color w:val="auto"/>
              </w:rPr>
            </w:pPr>
            <w:r>
              <w:rPr>
                <w:rFonts w:ascii="Arial" w:cs="Arial" w:eastAsia="Arial" w:hAnsi="Arial"/>
                <w:sz w:val="18"/>
                <w:szCs w:val="18"/>
                <w:color w:val="auto"/>
                <w:w w:val="88"/>
              </w:rPr>
              <w:t>—</w:t>
            </w: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80" w:type="dxa"/>
            <w:vAlign w:val="bottom"/>
            <w:shd w:val="clear" w:color="auto" w:fill="CCEEFF"/>
          </w:tcPr>
          <w:p>
            <w:pPr>
              <w:ind w:left="100"/>
              <w:spacing w:after="0"/>
              <w:rPr>
                <w:sz w:val="20"/>
                <w:szCs w:val="20"/>
                <w:color w:val="auto"/>
              </w:rPr>
            </w:pPr>
            <w:r>
              <w:rPr>
                <w:rFonts w:ascii="Arial" w:cs="Arial" w:eastAsia="Arial" w:hAnsi="Arial"/>
                <w:sz w:val="18"/>
                <w:szCs w:val="18"/>
                <w:color w:val="auto"/>
                <w:w w:val="88"/>
              </w:rPr>
              <w:t>—</w:t>
            </w:r>
          </w:p>
        </w:tc>
        <w:tc>
          <w:tcPr>
            <w:tcW w:w="2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30</w:t>
            </w:r>
          </w:p>
        </w:tc>
        <w:tc>
          <w:tcPr>
            <w:tcW w:w="3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52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w w:val="88"/>
              </w:rPr>
              <w:t>—</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4600" w:type="dxa"/>
            <w:vAlign w:val="bottom"/>
          </w:tcPr>
          <w:p>
            <w:pPr>
              <w:ind w:left="200"/>
              <w:spacing w:after="0"/>
              <w:rPr>
                <w:sz w:val="20"/>
                <w:szCs w:val="20"/>
                <w:color w:val="auto"/>
              </w:rPr>
            </w:pPr>
            <w:r>
              <w:rPr>
                <w:rFonts w:ascii="Arial" w:cs="Arial" w:eastAsia="Arial" w:hAnsi="Arial"/>
                <w:sz w:val="18"/>
                <w:szCs w:val="18"/>
                <w:color w:val="auto"/>
              </w:rPr>
              <w:t>Included in Accumulated other comprehensive income</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600" w:type="dxa"/>
            <w:vAlign w:val="bottom"/>
          </w:tcPr>
          <w:p>
            <w:pPr>
              <w:ind w:left="420"/>
              <w:spacing w:after="0"/>
              <w:rPr>
                <w:sz w:val="20"/>
                <w:szCs w:val="20"/>
                <w:color w:val="auto"/>
              </w:rPr>
            </w:pPr>
            <w:r>
              <w:rPr>
                <w:rFonts w:ascii="Arial" w:cs="Arial" w:eastAsia="Arial" w:hAnsi="Arial"/>
                <w:sz w:val="18"/>
                <w:szCs w:val="18"/>
                <w:color w:val="auto"/>
              </w:rPr>
              <w:t>(loss)</w:t>
            </w: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60" w:type="dxa"/>
            <w:vAlign w:val="bottom"/>
          </w:tcPr>
          <w:p>
            <w:pPr>
              <w:ind w:left="80"/>
              <w:spacing w:after="0"/>
              <w:rPr>
                <w:sz w:val="20"/>
                <w:szCs w:val="20"/>
                <w:color w:val="auto"/>
              </w:rPr>
            </w:pPr>
            <w:r>
              <w:rPr>
                <w:rFonts w:ascii="Arial" w:cs="Arial" w:eastAsia="Arial" w:hAnsi="Arial"/>
                <w:sz w:val="18"/>
                <w:szCs w:val="18"/>
                <w:color w:val="auto"/>
                <w:w w:val="88"/>
              </w:rPr>
              <w:t>—</w:t>
            </w:r>
          </w:p>
        </w:tc>
        <w:tc>
          <w:tcPr>
            <w:tcW w:w="2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80" w:type="dxa"/>
            <w:vAlign w:val="bottom"/>
          </w:tcPr>
          <w:p>
            <w:pPr>
              <w:ind w:left="100"/>
              <w:spacing w:after="0"/>
              <w:rPr>
                <w:sz w:val="20"/>
                <w:szCs w:val="20"/>
                <w:color w:val="auto"/>
              </w:rPr>
            </w:pPr>
            <w:r>
              <w:rPr>
                <w:rFonts w:ascii="Arial" w:cs="Arial" w:eastAsia="Arial" w:hAnsi="Arial"/>
                <w:sz w:val="18"/>
                <w:szCs w:val="18"/>
                <w:color w:val="auto"/>
                <w:w w:val="88"/>
              </w:rPr>
              <w:t>—</w:t>
            </w:r>
          </w:p>
        </w:tc>
        <w:tc>
          <w:tcPr>
            <w:tcW w:w="2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gridSpan w:val="3"/>
          </w:tcPr>
          <w:p>
            <w:pPr>
              <w:jc w:val="right"/>
              <w:ind w:right="140"/>
              <w:spacing w:after="0"/>
              <w:rPr>
                <w:sz w:val="20"/>
                <w:szCs w:val="20"/>
                <w:color w:val="auto"/>
              </w:rPr>
            </w:pPr>
            <w:r>
              <w:rPr>
                <w:rFonts w:ascii="Arial" w:cs="Arial" w:eastAsia="Arial" w:hAnsi="Arial"/>
                <w:sz w:val="18"/>
                <w:szCs w:val="18"/>
                <w:color w:val="auto"/>
              </w:rPr>
              <w:t>(13)</w:t>
            </w:r>
          </w:p>
        </w:tc>
        <w:tc>
          <w:tcPr>
            <w:tcW w:w="3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520" w:type="dxa"/>
            <w:vAlign w:val="bottom"/>
            <w:gridSpan w:val="3"/>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00" w:type="dxa"/>
            <w:vAlign w:val="bottom"/>
            <w:gridSpan w:val="2"/>
          </w:tcPr>
          <w:p>
            <w:pPr>
              <w:ind w:left="320"/>
              <w:spacing w:after="0"/>
              <w:rPr>
                <w:sz w:val="20"/>
                <w:szCs w:val="20"/>
                <w:color w:val="auto"/>
              </w:rPr>
            </w:pPr>
            <w:r>
              <w:rPr>
                <w:rFonts w:ascii="Arial" w:cs="Arial" w:eastAsia="Arial" w:hAnsi="Arial"/>
                <w:sz w:val="18"/>
                <w:szCs w:val="18"/>
                <w:color w:val="auto"/>
                <w:w w:val="88"/>
              </w:rPr>
              <w:t>—</w:t>
            </w:r>
          </w:p>
        </w:tc>
        <w:tc>
          <w:tcPr>
            <w:tcW w:w="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gridSpan w:val="2"/>
          </w:tcPr>
          <w:p>
            <w:pPr>
              <w:jc w:val="right"/>
              <w:ind w:right="40"/>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4600" w:type="dxa"/>
            <w:vAlign w:val="bottom"/>
            <w:shd w:val="clear" w:color="auto" w:fill="CCEEFF"/>
          </w:tcPr>
          <w:p>
            <w:pPr>
              <w:spacing w:after="0"/>
              <w:rPr>
                <w:sz w:val="20"/>
                <w:szCs w:val="20"/>
                <w:color w:val="auto"/>
              </w:rPr>
            </w:pPr>
            <w:r>
              <w:rPr>
                <w:rFonts w:ascii="Arial" w:cs="Arial" w:eastAsia="Arial" w:hAnsi="Arial"/>
                <w:sz w:val="18"/>
                <w:szCs w:val="18"/>
                <w:color w:val="auto"/>
              </w:rPr>
              <w:t>Purchases, issuances, and settlements</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60" w:type="dxa"/>
            <w:vAlign w:val="bottom"/>
            <w:shd w:val="clear" w:color="auto" w:fill="CCEEFF"/>
          </w:tcPr>
          <w:p>
            <w:pPr>
              <w:ind w:left="80"/>
              <w:spacing w:after="0"/>
              <w:rPr>
                <w:sz w:val="20"/>
                <w:szCs w:val="20"/>
                <w:color w:val="auto"/>
              </w:rPr>
            </w:pPr>
            <w:r>
              <w:rPr>
                <w:rFonts w:ascii="Arial" w:cs="Arial" w:eastAsia="Arial" w:hAnsi="Arial"/>
                <w:sz w:val="18"/>
                <w:szCs w:val="18"/>
                <w:color w:val="auto"/>
                <w:w w:val="88"/>
              </w:rPr>
              <w:t>—</w:t>
            </w: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80" w:type="dxa"/>
            <w:vAlign w:val="bottom"/>
            <w:shd w:val="clear" w:color="auto" w:fill="CCEEFF"/>
          </w:tcPr>
          <w:p>
            <w:pPr>
              <w:ind w:left="100"/>
              <w:spacing w:after="0"/>
              <w:rPr>
                <w:sz w:val="20"/>
                <w:szCs w:val="20"/>
                <w:color w:val="auto"/>
              </w:rPr>
            </w:pPr>
            <w:r>
              <w:rPr>
                <w:rFonts w:ascii="Arial" w:cs="Arial" w:eastAsia="Arial" w:hAnsi="Arial"/>
                <w:sz w:val="18"/>
                <w:szCs w:val="18"/>
                <w:color w:val="auto"/>
                <w:w w:val="88"/>
              </w:rPr>
              <w:t>—</w:t>
            </w:r>
          </w:p>
        </w:tc>
        <w:tc>
          <w:tcPr>
            <w:tcW w:w="2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136</w:t>
            </w:r>
          </w:p>
        </w:tc>
        <w:tc>
          <w:tcPr>
            <w:tcW w:w="3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52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w w:val="88"/>
              </w:rPr>
              <w:t>—</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136</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600" w:type="dxa"/>
            <w:vAlign w:val="bottom"/>
          </w:tcPr>
          <w:p>
            <w:pPr>
              <w:spacing w:after="0"/>
              <w:rPr>
                <w:sz w:val="20"/>
                <w:szCs w:val="20"/>
                <w:color w:val="auto"/>
              </w:rPr>
            </w:pPr>
            <w:r>
              <w:rPr>
                <w:rFonts w:ascii="Arial" w:cs="Arial" w:eastAsia="Arial" w:hAnsi="Arial"/>
                <w:sz w:val="18"/>
                <w:szCs w:val="18"/>
                <w:color w:val="auto"/>
              </w:rPr>
              <w:t>Transfer in and/or out of Level 3</w:t>
            </w:r>
          </w:p>
        </w:tc>
        <w:tc>
          <w:tcPr>
            <w:tcW w:w="2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ind w:left="80"/>
              <w:spacing w:after="0"/>
              <w:rPr>
                <w:sz w:val="20"/>
                <w:szCs w:val="20"/>
                <w:color w:val="auto"/>
              </w:rPr>
            </w:pPr>
            <w:r>
              <w:rPr>
                <w:rFonts w:ascii="Arial" w:cs="Arial" w:eastAsia="Arial" w:hAnsi="Arial"/>
                <w:sz w:val="18"/>
                <w:szCs w:val="18"/>
                <w:color w:val="auto"/>
                <w:w w:val="88"/>
              </w:rPr>
              <w:t>—</w:t>
            </w:r>
          </w:p>
        </w:tc>
        <w:tc>
          <w:tcPr>
            <w:tcW w:w="2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w w:val="88"/>
              </w:rPr>
              <w:t>—</w:t>
            </w:r>
          </w:p>
        </w:tc>
        <w:tc>
          <w:tcPr>
            <w:tcW w:w="2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2</w:t>
            </w:r>
          </w:p>
        </w:tc>
        <w:tc>
          <w:tcPr>
            <w:tcW w:w="2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gridSpan w:val="2"/>
          </w:tcPr>
          <w:p>
            <w:pPr>
              <w:ind w:left="320"/>
              <w:spacing w:after="0"/>
              <w:rPr>
                <w:sz w:val="20"/>
                <w:szCs w:val="20"/>
                <w:color w:val="auto"/>
              </w:rPr>
            </w:pPr>
            <w:r>
              <w:rPr>
                <w:rFonts w:ascii="Arial" w:cs="Arial" w:eastAsia="Arial" w:hAnsi="Arial"/>
                <w:sz w:val="18"/>
                <w:szCs w:val="18"/>
                <w:color w:val="auto"/>
                <w:w w:val="88"/>
              </w:rPr>
              <w:t>—</w:t>
            </w:r>
          </w:p>
        </w:tc>
        <w:tc>
          <w:tcPr>
            <w:tcW w:w="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shd w:val="clear" w:color="auto" w:fill="CCEEFF"/>
          </w:tcPr>
          <w:p>
            <w:pPr>
              <w:spacing w:after="0"/>
              <w:rPr>
                <w:sz w:val="20"/>
                <w:szCs w:val="20"/>
                <w:color w:val="auto"/>
              </w:rPr>
            </w:pPr>
            <w:r>
              <w:rPr>
                <w:rFonts w:ascii="Arial" w:cs="Arial" w:eastAsia="Arial" w:hAnsi="Arial"/>
                <w:sz w:val="18"/>
                <w:szCs w:val="18"/>
                <w:color w:val="auto"/>
              </w:rPr>
              <w:t>Balance at September 30, 2010</w:t>
            </w:r>
          </w:p>
        </w:tc>
        <w:tc>
          <w:tcPr>
            <w:tcW w:w="340" w:type="dxa"/>
            <w:vAlign w:val="bottom"/>
            <w:gridSpan w:val="2"/>
            <w:shd w:val="clear" w:color="auto" w:fill="CCEEFF"/>
          </w:tcPr>
          <w:p>
            <w:pPr>
              <w:ind w:left="260"/>
              <w:spacing w:after="0"/>
              <w:rPr>
                <w:sz w:val="20"/>
                <w:szCs w:val="20"/>
                <w:color w:val="auto"/>
              </w:rPr>
            </w:pPr>
            <w:r>
              <w:rPr>
                <w:rFonts w:ascii="Arial" w:cs="Arial" w:eastAsia="Arial" w:hAnsi="Arial"/>
                <w:sz w:val="15"/>
                <w:szCs w:val="15"/>
                <w:color w:val="auto"/>
                <w:w w:val="71"/>
              </w:rPr>
              <w:t>$</w:t>
            </w:r>
          </w:p>
        </w:tc>
        <w:tc>
          <w:tcPr>
            <w:tcW w:w="260" w:type="dxa"/>
            <w:vAlign w:val="bottom"/>
            <w:shd w:val="clear" w:color="auto" w:fill="CCEEFF"/>
          </w:tcPr>
          <w:p>
            <w:pPr>
              <w:spacing w:after="0"/>
              <w:rPr>
                <w:sz w:val="18"/>
                <w:szCs w:val="18"/>
                <w:color w:val="auto"/>
              </w:rPr>
            </w:pPr>
          </w:p>
        </w:tc>
        <w:tc>
          <w:tcPr>
            <w:tcW w:w="260" w:type="dxa"/>
            <w:vAlign w:val="bottom"/>
            <w:shd w:val="clear" w:color="auto" w:fill="CCEEFF"/>
          </w:tcPr>
          <w:p>
            <w:pPr>
              <w:ind w:left="80"/>
              <w:spacing w:after="0"/>
              <w:rPr>
                <w:sz w:val="20"/>
                <w:szCs w:val="20"/>
                <w:color w:val="auto"/>
              </w:rPr>
            </w:pPr>
            <w:r>
              <w:rPr>
                <w:rFonts w:ascii="Arial" w:cs="Arial" w:eastAsia="Arial" w:hAnsi="Arial"/>
                <w:sz w:val="18"/>
                <w:szCs w:val="18"/>
                <w:color w:val="auto"/>
                <w:w w:val="88"/>
              </w:rPr>
              <w:t>—</w:t>
            </w:r>
          </w:p>
        </w:tc>
        <w:tc>
          <w:tcPr>
            <w:tcW w:w="600" w:type="dxa"/>
            <w:vAlign w:val="bottom"/>
            <w:gridSpan w:val="3"/>
            <w:shd w:val="clear" w:color="auto" w:fill="CCEEFF"/>
          </w:tcPr>
          <w:p>
            <w:pPr>
              <w:ind w:left="480"/>
              <w:spacing w:after="0"/>
              <w:rPr>
                <w:sz w:val="20"/>
                <w:szCs w:val="20"/>
                <w:color w:val="auto"/>
              </w:rPr>
            </w:pPr>
            <w:r>
              <w:rPr>
                <w:rFonts w:ascii="Arial" w:cs="Arial" w:eastAsia="Arial" w:hAnsi="Arial"/>
                <w:sz w:val="18"/>
                <w:szCs w:val="18"/>
                <w:color w:val="auto"/>
                <w:w w:val="99"/>
              </w:rPr>
              <w:t>$</w:t>
            </w:r>
          </w:p>
        </w:tc>
        <w:tc>
          <w:tcPr>
            <w:tcW w:w="300" w:type="dxa"/>
            <w:vAlign w:val="bottom"/>
            <w:shd w:val="clear" w:color="auto" w:fill="CCEEFF"/>
          </w:tcPr>
          <w:p>
            <w:pPr>
              <w:spacing w:after="0"/>
              <w:rPr>
                <w:sz w:val="18"/>
                <w:szCs w:val="18"/>
                <w:color w:val="auto"/>
              </w:rPr>
            </w:pPr>
          </w:p>
        </w:tc>
        <w:tc>
          <w:tcPr>
            <w:tcW w:w="280" w:type="dxa"/>
            <w:vAlign w:val="bottom"/>
            <w:shd w:val="clear" w:color="auto" w:fill="CCEEFF"/>
          </w:tcPr>
          <w:p>
            <w:pPr>
              <w:ind w:left="100"/>
              <w:spacing w:after="0"/>
              <w:rPr>
                <w:sz w:val="20"/>
                <w:szCs w:val="20"/>
                <w:color w:val="auto"/>
              </w:rPr>
            </w:pPr>
            <w:r>
              <w:rPr>
                <w:rFonts w:ascii="Arial" w:cs="Arial" w:eastAsia="Arial" w:hAnsi="Arial"/>
                <w:sz w:val="18"/>
                <w:szCs w:val="18"/>
                <w:color w:val="auto"/>
                <w:w w:val="88"/>
              </w:rPr>
              <w:t>—</w:t>
            </w:r>
          </w:p>
        </w:tc>
        <w:tc>
          <w:tcPr>
            <w:tcW w:w="580" w:type="dxa"/>
            <w:vAlign w:val="bottom"/>
            <w:gridSpan w:val="3"/>
            <w:shd w:val="clear" w:color="auto" w:fill="CCEEFF"/>
          </w:tcPr>
          <w:p>
            <w:pPr>
              <w:ind w:left="480"/>
              <w:spacing w:after="0"/>
              <w:rPr>
                <w:sz w:val="20"/>
                <w:szCs w:val="20"/>
                <w:color w:val="auto"/>
              </w:rPr>
            </w:pPr>
            <w:r>
              <w:rPr>
                <w:rFonts w:ascii="Arial" w:cs="Arial" w:eastAsia="Arial" w:hAnsi="Arial"/>
                <w:sz w:val="18"/>
                <w:szCs w:val="18"/>
                <w:color w:val="auto"/>
                <w:w w:val="79"/>
              </w:rPr>
              <w:t>$</w:t>
            </w:r>
          </w:p>
        </w:tc>
        <w:tc>
          <w:tcPr>
            <w:tcW w:w="94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(183)</w:t>
            </w:r>
          </w:p>
        </w:tc>
        <w:tc>
          <w:tcPr>
            <w:tcW w:w="68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52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w w:val="99"/>
              </w:rPr>
              <w:t>(24)</w:t>
            </w:r>
          </w:p>
        </w:tc>
        <w:tc>
          <w:tcPr>
            <w:tcW w:w="360" w:type="dxa"/>
            <w:vAlign w:val="bottom"/>
            <w:gridSpan w:val="3"/>
            <w:shd w:val="clear" w:color="auto" w:fill="CCEEFF"/>
          </w:tcPr>
          <w:p>
            <w:pPr>
              <w:ind w:left="260"/>
              <w:spacing w:after="0"/>
              <w:rPr>
                <w:sz w:val="20"/>
                <w:szCs w:val="20"/>
                <w:color w:val="auto"/>
              </w:rPr>
            </w:pPr>
            <w:r>
              <w:rPr>
                <w:rFonts w:ascii="Arial" w:cs="Arial" w:eastAsia="Arial" w:hAnsi="Arial"/>
                <w:sz w:val="18"/>
                <w:szCs w:val="18"/>
                <w:color w:val="auto"/>
                <w:w w:val="79"/>
              </w:rPr>
              <w:t>$</w:t>
            </w:r>
          </w:p>
        </w:tc>
        <w:tc>
          <w:tcPr>
            <w:tcW w:w="50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w w:val="88"/>
              </w:rPr>
              <w:t>—</w:t>
            </w:r>
          </w:p>
        </w:tc>
        <w:tc>
          <w:tcPr>
            <w:tcW w:w="600" w:type="dxa"/>
            <w:vAlign w:val="bottom"/>
            <w:gridSpan w:val="3"/>
            <w:shd w:val="clear" w:color="auto" w:fill="CCEEFF"/>
          </w:tcPr>
          <w:p>
            <w:pPr>
              <w:ind w:left="500"/>
              <w:spacing w:after="0"/>
              <w:rPr>
                <w:sz w:val="20"/>
                <w:szCs w:val="20"/>
                <w:color w:val="auto"/>
              </w:rPr>
            </w:pPr>
            <w:r>
              <w:rPr>
                <w:rFonts w:ascii="Arial" w:cs="Arial" w:eastAsia="Arial" w:hAnsi="Arial"/>
                <w:sz w:val="18"/>
                <w:szCs w:val="18"/>
                <w:color w:val="auto"/>
                <w:w w:val="79"/>
              </w:rPr>
              <w:t>$</w:t>
            </w:r>
          </w:p>
        </w:tc>
        <w:tc>
          <w:tcPr>
            <w:tcW w:w="5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(207)</w:t>
            </w:r>
          </w:p>
        </w:tc>
        <w:tc>
          <w:tcPr>
            <w:tcW w:w="0" w:type="dxa"/>
            <w:vAlign w:val="bottom"/>
          </w:tcPr>
          <w:p>
            <w:pPr>
              <w:spacing w:after="0"/>
              <w:rPr>
                <w:sz w:val="1"/>
                <w:szCs w:val="1"/>
                <w:color w:val="auto"/>
              </w:rPr>
            </w:pPr>
          </w:p>
        </w:tc>
      </w:tr>
      <w:tr>
        <w:trPr>
          <w:trHeight w:val="20"/>
        </w:trPr>
        <w:tc>
          <w:tcPr>
            <w:tcW w:w="4620" w:type="dxa"/>
            <w:vAlign w:val="bottom"/>
            <w:gridSpan w:val="2"/>
            <w:vMerge w:val="restart"/>
          </w:tcPr>
          <w:p>
            <w:pPr>
              <w:spacing w:after="0"/>
              <w:rPr>
                <w:sz w:val="20"/>
                <w:szCs w:val="20"/>
                <w:color w:val="auto"/>
              </w:rPr>
            </w:pPr>
            <w:r>
              <w:rPr>
                <w:rFonts w:ascii="Arial" w:cs="Arial" w:eastAsia="Arial" w:hAnsi="Arial"/>
                <w:sz w:val="18"/>
                <w:szCs w:val="18"/>
                <w:color w:val="auto"/>
                <w:w w:val="98"/>
              </w:rPr>
              <w:t>Amount of total gains and (losses) in the period included in</w:t>
            </w: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2"/>
        </w:trPr>
        <w:tc>
          <w:tcPr>
            <w:tcW w:w="4620" w:type="dxa"/>
            <w:vAlign w:val="bottom"/>
            <w:gridSpan w:val="2"/>
            <w:vMerge w:val="continue"/>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tcPr>
          <w:p>
            <w:pPr>
              <w:ind w:left="200"/>
              <w:spacing w:after="0"/>
              <w:rPr>
                <w:sz w:val="20"/>
                <w:szCs w:val="20"/>
                <w:color w:val="auto"/>
              </w:rPr>
            </w:pPr>
            <w:r>
              <w:rPr>
                <w:rFonts w:ascii="Arial" w:cs="Arial" w:eastAsia="Arial" w:hAnsi="Arial"/>
                <w:sz w:val="18"/>
                <w:szCs w:val="18"/>
                <w:color w:val="auto"/>
                <w:w w:val="96"/>
              </w:rPr>
              <w:t>earnings attributable to the change in unrealized gains or</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600" w:type="dxa"/>
            <w:vAlign w:val="bottom"/>
          </w:tcPr>
          <w:p>
            <w:pPr>
              <w:ind w:left="200"/>
              <w:spacing w:after="0"/>
              <w:rPr>
                <w:sz w:val="20"/>
                <w:szCs w:val="20"/>
                <w:color w:val="auto"/>
              </w:rPr>
            </w:pPr>
            <w:r>
              <w:rPr>
                <w:rFonts w:ascii="Arial" w:cs="Arial" w:eastAsia="Arial" w:hAnsi="Arial"/>
                <w:sz w:val="18"/>
                <w:szCs w:val="18"/>
                <w:color w:val="auto"/>
                <w:w w:val="99"/>
              </w:rPr>
              <w:t>(losses) relating to assets still held at the reporting date</w:t>
            </w:r>
          </w:p>
        </w:tc>
        <w:tc>
          <w:tcPr>
            <w:tcW w:w="240" w:type="dxa"/>
            <w:vAlign w:val="bottom"/>
          </w:tcPr>
          <w:p>
            <w:pPr>
              <w:spacing w:after="0"/>
              <w:rPr>
                <w:sz w:val="19"/>
                <w:szCs w:val="19"/>
                <w:color w:val="auto"/>
              </w:rPr>
            </w:pPr>
          </w:p>
        </w:tc>
        <w:tc>
          <w:tcPr>
            <w:tcW w:w="100" w:type="dxa"/>
            <w:vAlign w:val="bottom"/>
          </w:tcPr>
          <w:p>
            <w:pPr>
              <w:ind w:left="20"/>
              <w:spacing w:after="0"/>
              <w:rPr>
                <w:sz w:val="20"/>
                <w:szCs w:val="20"/>
                <w:color w:val="auto"/>
              </w:rPr>
            </w:pPr>
            <w:r>
              <w:rPr>
                <w:rFonts w:ascii="Arial" w:cs="Arial" w:eastAsia="Arial" w:hAnsi="Arial"/>
                <w:sz w:val="15"/>
                <w:szCs w:val="15"/>
                <w:color w:val="auto"/>
                <w:w w:val="71"/>
              </w:rPr>
              <w:t>$</w:t>
            </w:r>
          </w:p>
        </w:tc>
        <w:tc>
          <w:tcPr>
            <w:tcW w:w="260" w:type="dxa"/>
            <w:vAlign w:val="bottom"/>
          </w:tcPr>
          <w:p>
            <w:pPr>
              <w:spacing w:after="0"/>
              <w:rPr>
                <w:sz w:val="19"/>
                <w:szCs w:val="19"/>
                <w:color w:val="auto"/>
              </w:rPr>
            </w:pPr>
          </w:p>
        </w:tc>
        <w:tc>
          <w:tcPr>
            <w:tcW w:w="260" w:type="dxa"/>
            <w:vAlign w:val="bottom"/>
          </w:tcPr>
          <w:p>
            <w:pPr>
              <w:ind w:left="80"/>
              <w:spacing w:after="0"/>
              <w:rPr>
                <w:sz w:val="20"/>
                <w:szCs w:val="20"/>
                <w:color w:val="auto"/>
              </w:rPr>
            </w:pPr>
            <w:r>
              <w:rPr>
                <w:rFonts w:ascii="Arial" w:cs="Arial" w:eastAsia="Arial" w:hAnsi="Arial"/>
                <w:sz w:val="18"/>
                <w:szCs w:val="18"/>
                <w:color w:val="auto"/>
                <w:w w:val="88"/>
              </w:rPr>
              <w:t>—</w:t>
            </w:r>
          </w:p>
        </w:tc>
        <w:tc>
          <w:tcPr>
            <w:tcW w:w="480" w:type="dxa"/>
            <w:vAlign w:val="bottom"/>
            <w:gridSpan w:val="2"/>
          </w:tcPr>
          <w:p>
            <w:pPr>
              <w:spacing w:after="0"/>
              <w:rPr>
                <w:sz w:val="19"/>
                <w:szCs w:val="19"/>
                <w:color w:val="auto"/>
              </w:rPr>
            </w:pP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300" w:type="dxa"/>
            <w:vAlign w:val="bottom"/>
          </w:tcPr>
          <w:p>
            <w:pPr>
              <w:spacing w:after="0"/>
              <w:rPr>
                <w:sz w:val="19"/>
                <w:szCs w:val="19"/>
                <w:color w:val="auto"/>
              </w:rPr>
            </w:pPr>
          </w:p>
        </w:tc>
        <w:tc>
          <w:tcPr>
            <w:tcW w:w="280" w:type="dxa"/>
            <w:vAlign w:val="bottom"/>
          </w:tcPr>
          <w:p>
            <w:pPr>
              <w:ind w:left="100"/>
              <w:spacing w:after="0"/>
              <w:rPr>
                <w:sz w:val="20"/>
                <w:szCs w:val="20"/>
                <w:color w:val="auto"/>
              </w:rPr>
            </w:pPr>
            <w:r>
              <w:rPr>
                <w:rFonts w:ascii="Arial" w:cs="Arial" w:eastAsia="Arial" w:hAnsi="Arial"/>
                <w:sz w:val="18"/>
                <w:szCs w:val="18"/>
                <w:color w:val="auto"/>
                <w:w w:val="88"/>
              </w:rPr>
              <w:t>—</w:t>
            </w:r>
          </w:p>
        </w:tc>
        <w:tc>
          <w:tcPr>
            <w:tcW w:w="580" w:type="dxa"/>
            <w:vAlign w:val="bottom"/>
            <w:gridSpan w:val="3"/>
          </w:tcPr>
          <w:p>
            <w:pPr>
              <w:ind w:left="480"/>
              <w:spacing w:after="0"/>
              <w:rPr>
                <w:sz w:val="20"/>
                <w:szCs w:val="20"/>
                <w:color w:val="auto"/>
              </w:rPr>
            </w:pPr>
            <w:r>
              <w:rPr>
                <w:rFonts w:ascii="Arial" w:cs="Arial" w:eastAsia="Arial" w:hAnsi="Arial"/>
                <w:sz w:val="18"/>
                <w:szCs w:val="18"/>
                <w:color w:val="auto"/>
                <w:w w:val="79"/>
              </w:rPr>
              <w:t>$</w:t>
            </w:r>
          </w:p>
        </w:tc>
        <w:tc>
          <w:tcPr>
            <w:tcW w:w="940" w:type="dxa"/>
            <w:vAlign w:val="bottom"/>
            <w:gridSpan w:val="3"/>
          </w:tcPr>
          <w:p>
            <w:pPr>
              <w:jc w:val="right"/>
              <w:ind w:right="200"/>
              <w:spacing w:after="0"/>
              <w:rPr>
                <w:sz w:val="20"/>
                <w:szCs w:val="20"/>
                <w:color w:val="auto"/>
              </w:rPr>
            </w:pPr>
            <w:r>
              <w:rPr>
                <w:rFonts w:ascii="Arial" w:cs="Arial" w:eastAsia="Arial" w:hAnsi="Arial"/>
                <w:sz w:val="18"/>
                <w:szCs w:val="18"/>
                <w:color w:val="auto"/>
              </w:rPr>
              <w:t>34</w:t>
            </w:r>
          </w:p>
        </w:tc>
        <w:tc>
          <w:tcPr>
            <w:tcW w:w="68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520" w:type="dxa"/>
            <w:vAlign w:val="bottom"/>
            <w:gridSpan w:val="3"/>
          </w:tcPr>
          <w:p>
            <w:pPr>
              <w:jc w:val="right"/>
              <w:ind w:right="240"/>
              <w:spacing w:after="0"/>
              <w:rPr>
                <w:sz w:val="20"/>
                <w:szCs w:val="20"/>
                <w:color w:val="auto"/>
              </w:rPr>
            </w:pPr>
            <w:r>
              <w:rPr>
                <w:rFonts w:ascii="Arial" w:cs="Arial" w:eastAsia="Arial" w:hAnsi="Arial"/>
                <w:sz w:val="18"/>
                <w:szCs w:val="18"/>
                <w:color w:val="auto"/>
              </w:rPr>
              <w:t>—</w:t>
            </w:r>
          </w:p>
        </w:tc>
        <w:tc>
          <w:tcPr>
            <w:tcW w:w="360" w:type="dxa"/>
            <w:vAlign w:val="bottom"/>
            <w:gridSpan w:val="3"/>
          </w:tcPr>
          <w:p>
            <w:pPr>
              <w:ind w:left="260"/>
              <w:spacing w:after="0"/>
              <w:rPr>
                <w:sz w:val="20"/>
                <w:szCs w:val="20"/>
                <w:color w:val="auto"/>
              </w:rPr>
            </w:pPr>
            <w:r>
              <w:rPr>
                <w:rFonts w:ascii="Arial" w:cs="Arial" w:eastAsia="Arial" w:hAnsi="Arial"/>
                <w:sz w:val="18"/>
                <w:szCs w:val="18"/>
                <w:color w:val="auto"/>
                <w:w w:val="79"/>
              </w:rPr>
              <w:t>$</w:t>
            </w:r>
          </w:p>
        </w:tc>
        <w:tc>
          <w:tcPr>
            <w:tcW w:w="500" w:type="dxa"/>
            <w:vAlign w:val="bottom"/>
            <w:gridSpan w:val="2"/>
          </w:tcPr>
          <w:p>
            <w:pPr>
              <w:ind w:left="320"/>
              <w:spacing w:after="0"/>
              <w:rPr>
                <w:sz w:val="20"/>
                <w:szCs w:val="20"/>
                <w:color w:val="auto"/>
              </w:rPr>
            </w:pPr>
            <w:r>
              <w:rPr>
                <w:rFonts w:ascii="Arial" w:cs="Arial" w:eastAsia="Arial" w:hAnsi="Arial"/>
                <w:sz w:val="18"/>
                <w:szCs w:val="18"/>
                <w:color w:val="auto"/>
                <w:w w:val="88"/>
              </w:rPr>
              <w:t>—</w:t>
            </w:r>
          </w:p>
        </w:tc>
        <w:tc>
          <w:tcPr>
            <w:tcW w:w="600" w:type="dxa"/>
            <w:vAlign w:val="bottom"/>
            <w:gridSpan w:val="3"/>
          </w:tcPr>
          <w:p>
            <w:pPr>
              <w:ind w:left="500"/>
              <w:spacing w:after="0"/>
              <w:rPr>
                <w:sz w:val="20"/>
                <w:szCs w:val="20"/>
                <w:color w:val="auto"/>
              </w:rPr>
            </w:pPr>
            <w:r>
              <w:rPr>
                <w:rFonts w:ascii="Arial" w:cs="Arial" w:eastAsia="Arial" w:hAnsi="Arial"/>
                <w:sz w:val="18"/>
                <w:szCs w:val="18"/>
                <w:color w:val="auto"/>
                <w:w w:val="79"/>
              </w:rPr>
              <w:t>$</w:t>
            </w:r>
          </w:p>
        </w:tc>
        <w:tc>
          <w:tcPr>
            <w:tcW w:w="580" w:type="dxa"/>
            <w:vAlign w:val="bottom"/>
            <w:gridSpan w:val="2"/>
          </w:tcPr>
          <w:p>
            <w:pPr>
              <w:jc w:val="right"/>
              <w:ind w:right="100"/>
              <w:spacing w:after="0"/>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6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6"/>
        </w:trPr>
        <w:tc>
          <w:tcPr>
            <w:tcW w:w="20" w:type="dxa"/>
            <w:vAlign w:val="bottom"/>
          </w:tcPr>
          <w:p>
            <w:pPr>
              <w:spacing w:after="0"/>
              <w:rPr>
                <w:sz w:val="24"/>
                <w:szCs w:val="24"/>
                <w:color w:val="auto"/>
              </w:rPr>
            </w:pPr>
          </w:p>
        </w:tc>
        <w:tc>
          <w:tcPr>
            <w:tcW w:w="46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gridSpan w:val="4"/>
          </w:tcPr>
          <w:p>
            <w:pPr>
              <w:jc w:val="center"/>
              <w:ind w:right="312"/>
              <w:spacing w:after="0"/>
              <w:rPr>
                <w:sz w:val="20"/>
                <w:szCs w:val="20"/>
                <w:color w:val="auto"/>
              </w:rPr>
            </w:pPr>
            <w:r>
              <w:rPr>
                <w:rFonts w:ascii="Arial" w:cs="Arial" w:eastAsia="Arial" w:hAnsi="Arial"/>
                <w:sz w:val="14"/>
                <w:szCs w:val="14"/>
                <w:b w:val="1"/>
                <w:bCs w:val="1"/>
                <w:color w:val="auto"/>
                <w:w w:val="81"/>
              </w:rPr>
              <w:t>Successor</w:t>
            </w:r>
          </w:p>
        </w:tc>
        <w:tc>
          <w:tcPr>
            <w:tcW w:w="2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6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2520" w:type="dxa"/>
            <w:vAlign w:val="bottom"/>
            <w:tcBorders>
              <w:bottom w:val="single" w:sz="8" w:color="auto"/>
            </w:tcBorders>
            <w:gridSpan w:val="10"/>
          </w:tcPr>
          <w:p>
            <w:pPr>
              <w:jc w:val="center"/>
              <w:ind w:right="60"/>
              <w:spacing w:after="0" w:line="142" w:lineRule="exact"/>
              <w:rPr>
                <w:sz w:val="20"/>
                <w:szCs w:val="20"/>
                <w:color w:val="auto"/>
              </w:rPr>
            </w:pPr>
            <w:r>
              <w:rPr>
                <w:rFonts w:ascii="Arial" w:cs="Arial" w:eastAsia="Arial" w:hAnsi="Arial"/>
                <w:sz w:val="14"/>
                <w:szCs w:val="14"/>
                <w:b w:val="1"/>
                <w:bCs w:val="1"/>
                <w:color w:val="auto"/>
                <w:w w:val="87"/>
              </w:rPr>
              <w:t>Level 3 Financial Assets and Liabilities</w:t>
            </w:r>
          </w:p>
        </w:tc>
        <w:tc>
          <w:tcPr>
            <w:tcW w:w="18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42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40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48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46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20" w:type="dxa"/>
            <w:vAlign w:val="bottom"/>
            <w:gridSpan w:val="3"/>
          </w:tcPr>
          <w:p>
            <w:pPr>
              <w:ind w:left="20"/>
              <w:spacing w:after="0" w:line="129" w:lineRule="exact"/>
              <w:rPr>
                <w:sz w:val="20"/>
                <w:szCs w:val="20"/>
                <w:color w:val="auto"/>
              </w:rPr>
            </w:pPr>
            <w:r>
              <w:rPr>
                <w:rFonts w:ascii="Arial" w:cs="Arial" w:eastAsia="Arial" w:hAnsi="Arial"/>
                <w:sz w:val="14"/>
                <w:szCs w:val="14"/>
                <w:b w:val="1"/>
                <w:bCs w:val="1"/>
                <w:color w:val="auto"/>
                <w:w w:val="85"/>
              </w:rPr>
              <w:t>Mortgage-</w:t>
            </w:r>
          </w:p>
        </w:tc>
        <w:tc>
          <w:tcPr>
            <w:tcW w:w="2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6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gridSpan w:val="2"/>
          </w:tcPr>
          <w:p>
            <w:pPr>
              <w:jc w:val="center"/>
              <w:ind w:right="12"/>
              <w:spacing w:after="0" w:line="149" w:lineRule="exact"/>
              <w:rPr>
                <w:sz w:val="20"/>
                <w:szCs w:val="20"/>
                <w:color w:val="auto"/>
              </w:rPr>
            </w:pPr>
            <w:r>
              <w:rPr>
                <w:rFonts w:ascii="Arial" w:cs="Arial" w:eastAsia="Arial" w:hAnsi="Arial"/>
                <w:sz w:val="14"/>
                <w:szCs w:val="14"/>
                <w:b w:val="1"/>
                <w:bCs w:val="1"/>
                <w:color w:val="auto"/>
                <w:w w:val="86"/>
              </w:rPr>
              <w:t>backed</w:t>
            </w:r>
          </w:p>
        </w:tc>
        <w:tc>
          <w:tcPr>
            <w:tcW w:w="2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0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w w:val="88"/>
              </w:rPr>
              <w:t>Commodity</w:t>
            </w:r>
          </w:p>
        </w:tc>
        <w:tc>
          <w:tcPr>
            <w:tcW w:w="2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gridSpan w:val="3"/>
          </w:tcPr>
          <w:p>
            <w:pPr>
              <w:jc w:val="center"/>
              <w:ind w:right="300"/>
              <w:spacing w:after="0" w:line="149" w:lineRule="exact"/>
              <w:rPr>
                <w:sz w:val="20"/>
                <w:szCs w:val="20"/>
                <w:color w:val="auto"/>
              </w:rPr>
            </w:pPr>
            <w:r>
              <w:rPr>
                <w:rFonts w:ascii="Arial" w:cs="Arial" w:eastAsia="Arial" w:hAnsi="Arial"/>
                <w:sz w:val="14"/>
                <w:szCs w:val="14"/>
                <w:b w:val="1"/>
                <w:bCs w:val="1"/>
                <w:color w:val="auto"/>
                <w:w w:val="85"/>
              </w:rPr>
              <w:t>Foreign</w:t>
            </w:r>
          </w:p>
        </w:tc>
        <w:tc>
          <w:tcPr>
            <w:tcW w:w="3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6"/>
              </w:rPr>
              <w:t>Other</w:t>
            </w:r>
          </w:p>
        </w:tc>
        <w:tc>
          <w:tcPr>
            <w:tcW w:w="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6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20" w:type="dxa"/>
            <w:vAlign w:val="bottom"/>
            <w:gridSpan w:val="3"/>
          </w:tcPr>
          <w:p>
            <w:pPr>
              <w:ind w:left="20"/>
              <w:spacing w:after="0" w:line="149" w:lineRule="exact"/>
              <w:rPr>
                <w:sz w:val="20"/>
                <w:szCs w:val="20"/>
                <w:color w:val="auto"/>
              </w:rPr>
            </w:pPr>
            <w:r>
              <w:rPr>
                <w:rFonts w:ascii="Arial" w:cs="Arial" w:eastAsia="Arial" w:hAnsi="Arial"/>
                <w:sz w:val="14"/>
                <w:szCs w:val="14"/>
                <w:b w:val="1"/>
                <w:bCs w:val="1"/>
                <w:color w:val="auto"/>
                <w:w w:val="86"/>
              </w:rPr>
              <w:t>Securities</w:t>
            </w:r>
          </w:p>
        </w:tc>
        <w:tc>
          <w:tcPr>
            <w:tcW w:w="2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0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w w:val="86"/>
              </w:rPr>
              <w:t>Derivatives,</w:t>
            </w:r>
          </w:p>
        </w:tc>
        <w:tc>
          <w:tcPr>
            <w:tcW w:w="2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gridSpan w:val="3"/>
          </w:tcPr>
          <w:p>
            <w:pPr>
              <w:jc w:val="center"/>
              <w:ind w:right="300"/>
              <w:spacing w:after="0" w:line="149" w:lineRule="exact"/>
              <w:rPr>
                <w:sz w:val="20"/>
                <w:szCs w:val="20"/>
                <w:color w:val="auto"/>
              </w:rPr>
            </w:pPr>
            <w:r>
              <w:rPr>
                <w:rFonts w:ascii="Arial" w:cs="Arial" w:eastAsia="Arial" w:hAnsi="Arial"/>
                <w:sz w:val="14"/>
                <w:szCs w:val="14"/>
                <w:b w:val="1"/>
                <w:bCs w:val="1"/>
                <w:color w:val="auto"/>
                <w:w w:val="91"/>
              </w:rPr>
              <w:t>Currency</w:t>
            </w:r>
          </w:p>
        </w:tc>
        <w:tc>
          <w:tcPr>
            <w:tcW w:w="3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w w:val="86"/>
              </w:rPr>
              <w:t>Securities</w:t>
            </w:r>
          </w:p>
        </w:tc>
        <w:tc>
          <w:tcPr>
            <w:tcW w:w="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gridSpan w:val="3"/>
          </w:tcPr>
          <w:p>
            <w:pPr>
              <w:ind w:left="20"/>
              <w:spacing w:after="0" w:line="149" w:lineRule="exact"/>
              <w:rPr>
                <w:sz w:val="20"/>
                <w:szCs w:val="20"/>
                <w:color w:val="auto"/>
              </w:rPr>
            </w:pPr>
            <w:r>
              <w:rPr>
                <w:rFonts w:ascii="Arial" w:cs="Arial" w:eastAsia="Arial" w:hAnsi="Arial"/>
                <w:sz w:val="14"/>
                <w:szCs w:val="14"/>
                <w:b w:val="1"/>
                <w:bCs w:val="1"/>
                <w:color w:val="auto"/>
              </w:rPr>
              <w:t>Total Net</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46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93"/>
              </w:rPr>
              <w:t>(a)</w:t>
            </w:r>
          </w:p>
        </w:tc>
        <w:tc>
          <w:tcPr>
            <w:tcW w:w="2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gridSpan w:val="2"/>
          </w:tcPr>
          <w:p>
            <w:pPr>
              <w:jc w:val="center"/>
              <w:ind w:right="52"/>
              <w:spacing w:after="0"/>
              <w:rPr>
                <w:sz w:val="20"/>
                <w:szCs w:val="20"/>
                <w:color w:val="auto"/>
              </w:rPr>
            </w:pPr>
            <w:r>
              <w:rPr>
                <w:rFonts w:ascii="Arial" w:cs="Arial" w:eastAsia="Arial" w:hAnsi="Arial"/>
                <w:sz w:val="14"/>
                <w:szCs w:val="14"/>
                <w:b w:val="1"/>
                <w:bCs w:val="1"/>
                <w:color w:val="auto"/>
                <w:w w:val="90"/>
              </w:rPr>
              <w:t>Net (b)</w:t>
            </w:r>
          </w:p>
        </w:tc>
        <w:tc>
          <w:tcPr>
            <w:tcW w:w="2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40" w:type="dxa"/>
            <w:vAlign w:val="bottom"/>
            <w:tcBorders>
              <w:bottom w:val="single" w:sz="8" w:color="auto"/>
            </w:tcBorders>
            <w:gridSpan w:val="3"/>
          </w:tcPr>
          <w:p>
            <w:pPr>
              <w:spacing w:after="0"/>
              <w:rPr>
                <w:sz w:val="20"/>
                <w:szCs w:val="20"/>
                <w:color w:val="auto"/>
              </w:rPr>
            </w:pPr>
            <w:r>
              <w:rPr>
                <w:rFonts w:ascii="Arial" w:cs="Arial" w:eastAsia="Arial" w:hAnsi="Arial"/>
                <w:sz w:val="14"/>
                <w:szCs w:val="14"/>
                <w:b w:val="1"/>
                <w:bCs w:val="1"/>
                <w:color w:val="auto"/>
                <w:w w:val="85"/>
              </w:rPr>
              <w:t>Derivatives (c)</w:t>
            </w:r>
          </w:p>
        </w:tc>
        <w:tc>
          <w:tcPr>
            <w:tcW w:w="2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60" w:type="dxa"/>
            <w:vAlign w:val="bottom"/>
            <w:tcBorders>
              <w:bottom w:val="single" w:sz="8" w:color="auto"/>
            </w:tcBorders>
            <w:gridSpan w:val="3"/>
          </w:tcPr>
          <w:p>
            <w:pPr>
              <w:spacing w:after="0"/>
              <w:rPr>
                <w:sz w:val="20"/>
                <w:szCs w:val="20"/>
                <w:color w:val="auto"/>
              </w:rPr>
            </w:pPr>
            <w:r>
              <w:rPr>
                <w:rFonts w:ascii="Arial" w:cs="Arial" w:eastAsia="Arial" w:hAnsi="Arial"/>
                <w:sz w:val="14"/>
                <w:szCs w:val="14"/>
                <w:b w:val="1"/>
                <w:bCs w:val="1"/>
                <w:color w:val="auto"/>
                <w:w w:val="85"/>
              </w:rPr>
              <w:t>Options (d)</w:t>
            </w:r>
          </w:p>
        </w:tc>
        <w:tc>
          <w:tcPr>
            <w:tcW w:w="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gridSpan w:val="2"/>
          </w:tcPr>
          <w:p>
            <w:pPr>
              <w:jc w:val="center"/>
              <w:ind w:right="100"/>
              <w:spacing w:after="0"/>
              <w:rPr>
                <w:sz w:val="20"/>
                <w:szCs w:val="20"/>
                <w:color w:val="auto"/>
              </w:rPr>
            </w:pPr>
            <w:r>
              <w:rPr>
                <w:rFonts w:ascii="Arial" w:cs="Arial" w:eastAsia="Arial" w:hAnsi="Arial"/>
                <w:sz w:val="14"/>
                <w:szCs w:val="14"/>
                <w:b w:val="1"/>
                <w:bCs w:val="1"/>
                <w:color w:val="auto"/>
                <w:w w:val="93"/>
              </w:rPr>
              <w:t>(a)</w:t>
            </w:r>
          </w:p>
        </w:tc>
        <w:tc>
          <w:tcPr>
            <w:tcW w:w="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Borders>
              <w:bottom w:val="single" w:sz="8" w:color="auto"/>
            </w:tcBorders>
            <w:gridSpan w:val="2"/>
          </w:tcPr>
          <w:p>
            <w:pPr>
              <w:spacing w:after="0"/>
              <w:rPr>
                <w:sz w:val="20"/>
                <w:szCs w:val="20"/>
                <w:color w:val="auto"/>
              </w:rPr>
            </w:pPr>
            <w:r>
              <w:rPr>
                <w:rFonts w:ascii="Arial" w:cs="Arial" w:eastAsia="Arial" w:hAnsi="Arial"/>
                <w:sz w:val="14"/>
                <w:szCs w:val="14"/>
                <w:b w:val="1"/>
                <w:bCs w:val="1"/>
                <w:color w:val="auto"/>
                <w:w w:val="86"/>
              </w:rPr>
              <w:t>Liabilities</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600" w:type="dxa"/>
            <w:vAlign w:val="bottom"/>
            <w:shd w:val="clear" w:color="auto" w:fill="CCEEFF"/>
          </w:tcPr>
          <w:p>
            <w:pPr>
              <w:spacing w:after="0"/>
              <w:rPr>
                <w:sz w:val="20"/>
                <w:szCs w:val="20"/>
                <w:color w:val="auto"/>
              </w:rPr>
            </w:pPr>
            <w:r>
              <w:rPr>
                <w:rFonts w:ascii="Arial" w:cs="Arial" w:eastAsia="Arial" w:hAnsi="Arial"/>
                <w:sz w:val="18"/>
                <w:szCs w:val="18"/>
                <w:color w:val="auto"/>
              </w:rPr>
              <w:t>Balance at January 1, 2010</w:t>
            </w:r>
          </w:p>
        </w:tc>
        <w:tc>
          <w:tcPr>
            <w:tcW w:w="340" w:type="dxa"/>
            <w:vAlign w:val="bottom"/>
            <w:gridSpan w:val="2"/>
            <w:shd w:val="clear" w:color="auto" w:fill="CCEEFF"/>
          </w:tcPr>
          <w:p>
            <w:pPr>
              <w:ind w:left="260"/>
              <w:spacing w:after="0"/>
              <w:rPr>
                <w:sz w:val="20"/>
                <w:szCs w:val="20"/>
                <w:color w:val="auto"/>
              </w:rPr>
            </w:pPr>
            <w:r>
              <w:rPr>
                <w:rFonts w:ascii="Arial" w:cs="Arial" w:eastAsia="Arial" w:hAnsi="Arial"/>
                <w:sz w:val="15"/>
                <w:szCs w:val="15"/>
                <w:color w:val="auto"/>
                <w:w w:val="71"/>
              </w:rPr>
              <w:t>$</w:t>
            </w:r>
          </w:p>
        </w:tc>
        <w:tc>
          <w:tcPr>
            <w:tcW w:w="260" w:type="dxa"/>
            <w:vAlign w:val="bottom"/>
            <w:shd w:val="clear" w:color="auto" w:fill="CCEEFF"/>
          </w:tcPr>
          <w:p>
            <w:pPr>
              <w:spacing w:after="0"/>
              <w:rPr>
                <w:sz w:val="18"/>
                <w:szCs w:val="18"/>
                <w:color w:val="auto"/>
              </w:rPr>
            </w:pPr>
          </w:p>
        </w:tc>
        <w:tc>
          <w:tcPr>
            <w:tcW w:w="260" w:type="dxa"/>
            <w:vAlign w:val="bottom"/>
            <w:shd w:val="clear" w:color="auto" w:fill="CCEEFF"/>
          </w:tcPr>
          <w:p>
            <w:pPr>
              <w:ind w:left="80"/>
              <w:spacing w:after="0"/>
              <w:rPr>
                <w:sz w:val="20"/>
                <w:szCs w:val="20"/>
                <w:color w:val="auto"/>
              </w:rPr>
            </w:pPr>
            <w:r>
              <w:rPr>
                <w:rFonts w:ascii="Arial" w:cs="Arial" w:eastAsia="Arial" w:hAnsi="Arial"/>
                <w:sz w:val="18"/>
                <w:szCs w:val="18"/>
                <w:color w:val="auto"/>
                <w:w w:val="88"/>
              </w:rPr>
              <w:t>—</w:t>
            </w:r>
          </w:p>
        </w:tc>
        <w:tc>
          <w:tcPr>
            <w:tcW w:w="600" w:type="dxa"/>
            <w:vAlign w:val="bottom"/>
            <w:gridSpan w:val="3"/>
            <w:shd w:val="clear" w:color="auto" w:fill="CCEEFF"/>
          </w:tcPr>
          <w:p>
            <w:pPr>
              <w:ind w:left="480"/>
              <w:spacing w:after="0"/>
              <w:rPr>
                <w:sz w:val="20"/>
                <w:szCs w:val="20"/>
                <w:color w:val="auto"/>
              </w:rPr>
            </w:pPr>
            <w:r>
              <w:rPr>
                <w:rFonts w:ascii="Arial" w:cs="Arial" w:eastAsia="Arial" w:hAnsi="Arial"/>
                <w:sz w:val="18"/>
                <w:szCs w:val="18"/>
                <w:color w:val="auto"/>
                <w:w w:val="99"/>
              </w:rPr>
              <w:t>$</w:t>
            </w:r>
          </w:p>
        </w:tc>
        <w:tc>
          <w:tcPr>
            <w:tcW w:w="300" w:type="dxa"/>
            <w:vAlign w:val="bottom"/>
            <w:shd w:val="clear" w:color="auto" w:fill="CCEEFF"/>
          </w:tcPr>
          <w:p>
            <w:pPr>
              <w:spacing w:after="0"/>
              <w:rPr>
                <w:sz w:val="18"/>
                <w:szCs w:val="18"/>
                <w:color w:val="auto"/>
              </w:rPr>
            </w:pPr>
          </w:p>
        </w:tc>
        <w:tc>
          <w:tcPr>
            <w:tcW w:w="280" w:type="dxa"/>
            <w:vAlign w:val="bottom"/>
            <w:shd w:val="clear" w:color="auto" w:fill="CCEEFF"/>
          </w:tcPr>
          <w:p>
            <w:pPr>
              <w:ind w:left="100"/>
              <w:spacing w:after="0"/>
              <w:rPr>
                <w:sz w:val="20"/>
                <w:szCs w:val="20"/>
                <w:color w:val="auto"/>
              </w:rPr>
            </w:pPr>
            <w:r>
              <w:rPr>
                <w:rFonts w:ascii="Arial" w:cs="Arial" w:eastAsia="Arial" w:hAnsi="Arial"/>
                <w:sz w:val="18"/>
                <w:szCs w:val="18"/>
                <w:color w:val="auto"/>
                <w:w w:val="88"/>
              </w:rPr>
              <w:t>—</w:t>
            </w:r>
          </w:p>
        </w:tc>
        <w:tc>
          <w:tcPr>
            <w:tcW w:w="580" w:type="dxa"/>
            <w:vAlign w:val="bottom"/>
            <w:gridSpan w:val="3"/>
            <w:shd w:val="clear" w:color="auto" w:fill="CCEEFF"/>
          </w:tcPr>
          <w:p>
            <w:pPr>
              <w:ind w:left="480"/>
              <w:spacing w:after="0"/>
              <w:rPr>
                <w:sz w:val="20"/>
                <w:szCs w:val="20"/>
                <w:color w:val="auto"/>
              </w:rPr>
            </w:pPr>
            <w:r>
              <w:rPr>
                <w:rFonts w:ascii="Arial" w:cs="Arial" w:eastAsia="Arial" w:hAnsi="Arial"/>
                <w:sz w:val="18"/>
                <w:szCs w:val="18"/>
                <w:color w:val="auto"/>
                <w:w w:val="79"/>
              </w:rPr>
              <w:t>$</w:t>
            </w:r>
          </w:p>
        </w:tc>
        <w:tc>
          <w:tcPr>
            <w:tcW w:w="94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(672)</w:t>
            </w:r>
          </w:p>
        </w:tc>
        <w:tc>
          <w:tcPr>
            <w:tcW w:w="68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52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360" w:type="dxa"/>
            <w:vAlign w:val="bottom"/>
            <w:gridSpan w:val="3"/>
            <w:shd w:val="clear" w:color="auto" w:fill="CCEEFF"/>
          </w:tcPr>
          <w:p>
            <w:pPr>
              <w:ind w:left="260"/>
              <w:spacing w:after="0"/>
              <w:rPr>
                <w:sz w:val="20"/>
                <w:szCs w:val="20"/>
                <w:color w:val="auto"/>
              </w:rPr>
            </w:pPr>
            <w:r>
              <w:rPr>
                <w:rFonts w:ascii="Arial" w:cs="Arial" w:eastAsia="Arial" w:hAnsi="Arial"/>
                <w:sz w:val="18"/>
                <w:szCs w:val="18"/>
                <w:color w:val="auto"/>
                <w:w w:val="79"/>
              </w:rPr>
              <w:t>$</w:t>
            </w:r>
          </w:p>
        </w:tc>
        <w:tc>
          <w:tcPr>
            <w:tcW w:w="50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w w:val="88"/>
              </w:rPr>
              <w:t>—</w:t>
            </w:r>
          </w:p>
        </w:tc>
        <w:tc>
          <w:tcPr>
            <w:tcW w:w="600" w:type="dxa"/>
            <w:vAlign w:val="bottom"/>
            <w:gridSpan w:val="3"/>
            <w:shd w:val="clear" w:color="auto" w:fill="CCEEFF"/>
          </w:tcPr>
          <w:p>
            <w:pPr>
              <w:ind w:left="500"/>
              <w:spacing w:after="0"/>
              <w:rPr>
                <w:sz w:val="20"/>
                <w:szCs w:val="20"/>
                <w:color w:val="auto"/>
              </w:rPr>
            </w:pPr>
            <w:r>
              <w:rPr>
                <w:rFonts w:ascii="Arial" w:cs="Arial" w:eastAsia="Arial" w:hAnsi="Arial"/>
                <w:sz w:val="18"/>
                <w:szCs w:val="18"/>
                <w:color w:val="auto"/>
                <w:w w:val="79"/>
              </w:rPr>
              <w:t>$</w:t>
            </w:r>
          </w:p>
        </w:tc>
        <w:tc>
          <w:tcPr>
            <w:tcW w:w="5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(672)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tcPr>
          <w:p>
            <w:pPr>
              <w:spacing w:after="0"/>
              <w:rPr>
                <w:sz w:val="20"/>
                <w:szCs w:val="20"/>
                <w:color w:val="auto"/>
              </w:rPr>
            </w:pPr>
            <w:r>
              <w:rPr>
                <w:rFonts w:ascii="Arial" w:cs="Arial" w:eastAsia="Arial" w:hAnsi="Arial"/>
                <w:sz w:val="18"/>
                <w:szCs w:val="18"/>
                <w:color w:val="auto"/>
              </w:rPr>
              <w:t>Total realized/unrealized gains (losses)</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Included in earnings</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60" w:type="dxa"/>
            <w:vAlign w:val="bottom"/>
            <w:shd w:val="clear" w:color="auto" w:fill="CCEEFF"/>
          </w:tcPr>
          <w:p>
            <w:pPr>
              <w:ind w:left="80"/>
              <w:spacing w:after="0"/>
              <w:rPr>
                <w:sz w:val="20"/>
                <w:szCs w:val="20"/>
                <w:color w:val="auto"/>
              </w:rPr>
            </w:pPr>
            <w:r>
              <w:rPr>
                <w:rFonts w:ascii="Arial" w:cs="Arial" w:eastAsia="Arial" w:hAnsi="Arial"/>
                <w:sz w:val="18"/>
                <w:szCs w:val="18"/>
                <w:color w:val="auto"/>
                <w:w w:val="88"/>
              </w:rPr>
              <w:t>—</w:t>
            </w: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80" w:type="dxa"/>
            <w:vAlign w:val="bottom"/>
            <w:shd w:val="clear" w:color="auto" w:fill="CCEEFF"/>
          </w:tcPr>
          <w:p>
            <w:pPr>
              <w:ind w:left="100"/>
              <w:spacing w:after="0"/>
              <w:rPr>
                <w:sz w:val="20"/>
                <w:szCs w:val="20"/>
                <w:color w:val="auto"/>
              </w:rPr>
            </w:pPr>
            <w:r>
              <w:rPr>
                <w:rFonts w:ascii="Arial" w:cs="Arial" w:eastAsia="Arial" w:hAnsi="Arial"/>
                <w:sz w:val="18"/>
                <w:szCs w:val="18"/>
                <w:color w:val="auto"/>
                <w:w w:val="88"/>
              </w:rPr>
              <w:t>—</w:t>
            </w:r>
          </w:p>
        </w:tc>
        <w:tc>
          <w:tcPr>
            <w:tcW w:w="2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103</w:t>
            </w:r>
          </w:p>
        </w:tc>
        <w:tc>
          <w:tcPr>
            <w:tcW w:w="3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52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(3)</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w w:val="88"/>
              </w:rPr>
              <w:t>—</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4600" w:type="dxa"/>
            <w:vAlign w:val="bottom"/>
          </w:tcPr>
          <w:p>
            <w:pPr>
              <w:ind w:left="200"/>
              <w:spacing w:after="0"/>
              <w:rPr>
                <w:sz w:val="20"/>
                <w:szCs w:val="20"/>
                <w:color w:val="auto"/>
              </w:rPr>
            </w:pPr>
            <w:r>
              <w:rPr>
                <w:rFonts w:ascii="Arial" w:cs="Arial" w:eastAsia="Arial" w:hAnsi="Arial"/>
                <w:sz w:val="18"/>
                <w:szCs w:val="18"/>
                <w:color w:val="auto"/>
              </w:rPr>
              <w:t>Included in Accumulated other comprehensive income</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600" w:type="dxa"/>
            <w:vAlign w:val="bottom"/>
          </w:tcPr>
          <w:p>
            <w:pPr>
              <w:ind w:left="420"/>
              <w:spacing w:after="0"/>
              <w:rPr>
                <w:sz w:val="20"/>
                <w:szCs w:val="20"/>
                <w:color w:val="auto"/>
              </w:rPr>
            </w:pPr>
            <w:r>
              <w:rPr>
                <w:rFonts w:ascii="Arial" w:cs="Arial" w:eastAsia="Arial" w:hAnsi="Arial"/>
                <w:sz w:val="18"/>
                <w:szCs w:val="18"/>
                <w:color w:val="auto"/>
              </w:rPr>
              <w:t>(loss)</w:t>
            </w: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60" w:type="dxa"/>
            <w:vAlign w:val="bottom"/>
          </w:tcPr>
          <w:p>
            <w:pPr>
              <w:ind w:left="80"/>
              <w:spacing w:after="0"/>
              <w:rPr>
                <w:sz w:val="20"/>
                <w:szCs w:val="20"/>
                <w:color w:val="auto"/>
              </w:rPr>
            </w:pPr>
            <w:r>
              <w:rPr>
                <w:rFonts w:ascii="Arial" w:cs="Arial" w:eastAsia="Arial" w:hAnsi="Arial"/>
                <w:sz w:val="18"/>
                <w:szCs w:val="18"/>
                <w:color w:val="auto"/>
                <w:w w:val="88"/>
              </w:rPr>
              <w:t>—</w:t>
            </w:r>
          </w:p>
        </w:tc>
        <w:tc>
          <w:tcPr>
            <w:tcW w:w="2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80" w:type="dxa"/>
            <w:vAlign w:val="bottom"/>
          </w:tcPr>
          <w:p>
            <w:pPr>
              <w:ind w:left="100"/>
              <w:spacing w:after="0"/>
              <w:rPr>
                <w:sz w:val="20"/>
                <w:szCs w:val="20"/>
                <w:color w:val="auto"/>
              </w:rPr>
            </w:pPr>
            <w:r>
              <w:rPr>
                <w:rFonts w:ascii="Arial" w:cs="Arial" w:eastAsia="Arial" w:hAnsi="Arial"/>
                <w:sz w:val="18"/>
                <w:szCs w:val="18"/>
                <w:color w:val="auto"/>
                <w:w w:val="88"/>
              </w:rPr>
              <w:t>—</w:t>
            </w:r>
          </w:p>
        </w:tc>
        <w:tc>
          <w:tcPr>
            <w:tcW w:w="2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gridSpan w:val="3"/>
          </w:tcPr>
          <w:p>
            <w:pPr>
              <w:jc w:val="right"/>
              <w:ind w:right="140"/>
              <w:spacing w:after="0"/>
              <w:rPr>
                <w:sz w:val="20"/>
                <w:szCs w:val="20"/>
                <w:color w:val="auto"/>
              </w:rPr>
            </w:pPr>
            <w:r>
              <w:rPr>
                <w:rFonts w:ascii="Arial" w:cs="Arial" w:eastAsia="Arial" w:hAnsi="Arial"/>
                <w:sz w:val="18"/>
                <w:szCs w:val="18"/>
                <w:color w:val="auto"/>
              </w:rPr>
              <w:t>(10)</w:t>
            </w:r>
          </w:p>
        </w:tc>
        <w:tc>
          <w:tcPr>
            <w:tcW w:w="3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520" w:type="dxa"/>
            <w:vAlign w:val="bottom"/>
            <w:gridSpan w:val="3"/>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00" w:type="dxa"/>
            <w:vAlign w:val="bottom"/>
            <w:gridSpan w:val="2"/>
          </w:tcPr>
          <w:p>
            <w:pPr>
              <w:ind w:left="320"/>
              <w:spacing w:after="0"/>
              <w:rPr>
                <w:sz w:val="20"/>
                <w:szCs w:val="20"/>
                <w:color w:val="auto"/>
              </w:rPr>
            </w:pPr>
            <w:r>
              <w:rPr>
                <w:rFonts w:ascii="Arial" w:cs="Arial" w:eastAsia="Arial" w:hAnsi="Arial"/>
                <w:sz w:val="18"/>
                <w:szCs w:val="18"/>
                <w:color w:val="auto"/>
                <w:w w:val="88"/>
              </w:rPr>
              <w:t>—</w:t>
            </w:r>
          </w:p>
        </w:tc>
        <w:tc>
          <w:tcPr>
            <w:tcW w:w="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gridSpan w:val="2"/>
          </w:tcPr>
          <w:p>
            <w:pPr>
              <w:jc w:val="right"/>
              <w:ind w:right="40"/>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4600" w:type="dxa"/>
            <w:vAlign w:val="bottom"/>
            <w:shd w:val="clear" w:color="auto" w:fill="CCEEFF"/>
          </w:tcPr>
          <w:p>
            <w:pPr>
              <w:spacing w:after="0"/>
              <w:rPr>
                <w:sz w:val="20"/>
                <w:szCs w:val="20"/>
                <w:color w:val="auto"/>
              </w:rPr>
            </w:pPr>
            <w:r>
              <w:rPr>
                <w:rFonts w:ascii="Arial" w:cs="Arial" w:eastAsia="Arial" w:hAnsi="Arial"/>
                <w:sz w:val="18"/>
                <w:szCs w:val="18"/>
                <w:color w:val="auto"/>
              </w:rPr>
              <w:t>Purchases, issuances, and settlements</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60" w:type="dxa"/>
            <w:vAlign w:val="bottom"/>
            <w:shd w:val="clear" w:color="auto" w:fill="CCEEFF"/>
          </w:tcPr>
          <w:p>
            <w:pPr>
              <w:ind w:left="80"/>
              <w:spacing w:after="0"/>
              <w:rPr>
                <w:sz w:val="20"/>
                <w:szCs w:val="20"/>
                <w:color w:val="auto"/>
              </w:rPr>
            </w:pPr>
            <w:r>
              <w:rPr>
                <w:rFonts w:ascii="Arial" w:cs="Arial" w:eastAsia="Arial" w:hAnsi="Arial"/>
                <w:sz w:val="18"/>
                <w:szCs w:val="18"/>
                <w:color w:val="auto"/>
                <w:w w:val="88"/>
              </w:rPr>
              <w:t>—</w:t>
            </w: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80" w:type="dxa"/>
            <w:vAlign w:val="bottom"/>
            <w:shd w:val="clear" w:color="auto" w:fill="CCEEFF"/>
          </w:tcPr>
          <w:p>
            <w:pPr>
              <w:ind w:left="100"/>
              <w:spacing w:after="0"/>
              <w:rPr>
                <w:sz w:val="20"/>
                <w:szCs w:val="20"/>
                <w:color w:val="auto"/>
              </w:rPr>
            </w:pPr>
            <w:r>
              <w:rPr>
                <w:rFonts w:ascii="Arial" w:cs="Arial" w:eastAsia="Arial" w:hAnsi="Arial"/>
                <w:sz w:val="18"/>
                <w:szCs w:val="18"/>
                <w:color w:val="auto"/>
                <w:w w:val="88"/>
              </w:rPr>
              <w:t>—</w:t>
            </w:r>
          </w:p>
        </w:tc>
        <w:tc>
          <w:tcPr>
            <w:tcW w:w="2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394</w:t>
            </w:r>
          </w:p>
        </w:tc>
        <w:tc>
          <w:tcPr>
            <w:tcW w:w="3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52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w w:val="99"/>
              </w:rPr>
              <w:t>(21)</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w w:val="88"/>
              </w:rPr>
              <w:t>—</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373</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600" w:type="dxa"/>
            <w:vAlign w:val="bottom"/>
          </w:tcPr>
          <w:p>
            <w:pPr>
              <w:spacing w:after="0"/>
              <w:rPr>
                <w:sz w:val="20"/>
                <w:szCs w:val="20"/>
                <w:color w:val="auto"/>
              </w:rPr>
            </w:pPr>
            <w:r>
              <w:rPr>
                <w:rFonts w:ascii="Arial" w:cs="Arial" w:eastAsia="Arial" w:hAnsi="Arial"/>
                <w:sz w:val="18"/>
                <w:szCs w:val="18"/>
                <w:color w:val="auto"/>
              </w:rPr>
              <w:t>Transfer in and/or out of Level 3</w:t>
            </w:r>
          </w:p>
        </w:tc>
        <w:tc>
          <w:tcPr>
            <w:tcW w:w="2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ind w:left="80"/>
              <w:spacing w:after="0"/>
              <w:rPr>
                <w:sz w:val="20"/>
                <w:szCs w:val="20"/>
                <w:color w:val="auto"/>
              </w:rPr>
            </w:pPr>
            <w:r>
              <w:rPr>
                <w:rFonts w:ascii="Arial" w:cs="Arial" w:eastAsia="Arial" w:hAnsi="Arial"/>
                <w:sz w:val="18"/>
                <w:szCs w:val="18"/>
                <w:color w:val="auto"/>
                <w:w w:val="88"/>
              </w:rPr>
              <w:t>—</w:t>
            </w:r>
          </w:p>
        </w:tc>
        <w:tc>
          <w:tcPr>
            <w:tcW w:w="2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w w:val="88"/>
              </w:rPr>
              <w:t>—</w:t>
            </w:r>
          </w:p>
        </w:tc>
        <w:tc>
          <w:tcPr>
            <w:tcW w:w="2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2</w:t>
            </w:r>
          </w:p>
        </w:tc>
        <w:tc>
          <w:tcPr>
            <w:tcW w:w="2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gridSpan w:val="2"/>
          </w:tcPr>
          <w:p>
            <w:pPr>
              <w:ind w:left="320"/>
              <w:spacing w:after="0"/>
              <w:rPr>
                <w:sz w:val="20"/>
                <w:szCs w:val="20"/>
                <w:color w:val="auto"/>
              </w:rPr>
            </w:pPr>
            <w:r>
              <w:rPr>
                <w:rFonts w:ascii="Arial" w:cs="Arial" w:eastAsia="Arial" w:hAnsi="Arial"/>
                <w:sz w:val="18"/>
                <w:szCs w:val="18"/>
                <w:color w:val="auto"/>
                <w:w w:val="88"/>
              </w:rPr>
              <w:t>—</w:t>
            </w:r>
          </w:p>
        </w:tc>
        <w:tc>
          <w:tcPr>
            <w:tcW w:w="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shd w:val="clear" w:color="auto" w:fill="CCEEFF"/>
          </w:tcPr>
          <w:p>
            <w:pPr>
              <w:spacing w:after="0"/>
              <w:rPr>
                <w:sz w:val="20"/>
                <w:szCs w:val="20"/>
                <w:color w:val="auto"/>
              </w:rPr>
            </w:pPr>
            <w:r>
              <w:rPr>
                <w:rFonts w:ascii="Arial" w:cs="Arial" w:eastAsia="Arial" w:hAnsi="Arial"/>
                <w:sz w:val="18"/>
                <w:szCs w:val="18"/>
                <w:color w:val="auto"/>
              </w:rPr>
              <w:t>Balance at September 30, 2010</w:t>
            </w:r>
          </w:p>
        </w:tc>
        <w:tc>
          <w:tcPr>
            <w:tcW w:w="340" w:type="dxa"/>
            <w:vAlign w:val="bottom"/>
            <w:gridSpan w:val="2"/>
            <w:shd w:val="clear" w:color="auto" w:fill="CCEEFF"/>
          </w:tcPr>
          <w:p>
            <w:pPr>
              <w:ind w:left="260"/>
              <w:spacing w:after="0"/>
              <w:rPr>
                <w:sz w:val="20"/>
                <w:szCs w:val="20"/>
                <w:color w:val="auto"/>
              </w:rPr>
            </w:pPr>
            <w:r>
              <w:rPr>
                <w:rFonts w:ascii="Arial" w:cs="Arial" w:eastAsia="Arial" w:hAnsi="Arial"/>
                <w:sz w:val="15"/>
                <w:szCs w:val="15"/>
                <w:color w:val="auto"/>
                <w:w w:val="71"/>
              </w:rPr>
              <w:t>$</w:t>
            </w:r>
          </w:p>
        </w:tc>
        <w:tc>
          <w:tcPr>
            <w:tcW w:w="260" w:type="dxa"/>
            <w:vAlign w:val="bottom"/>
            <w:shd w:val="clear" w:color="auto" w:fill="CCEEFF"/>
          </w:tcPr>
          <w:p>
            <w:pPr>
              <w:spacing w:after="0"/>
              <w:rPr>
                <w:sz w:val="18"/>
                <w:szCs w:val="18"/>
                <w:color w:val="auto"/>
              </w:rPr>
            </w:pPr>
          </w:p>
        </w:tc>
        <w:tc>
          <w:tcPr>
            <w:tcW w:w="260" w:type="dxa"/>
            <w:vAlign w:val="bottom"/>
            <w:shd w:val="clear" w:color="auto" w:fill="CCEEFF"/>
          </w:tcPr>
          <w:p>
            <w:pPr>
              <w:ind w:left="80"/>
              <w:spacing w:after="0"/>
              <w:rPr>
                <w:sz w:val="20"/>
                <w:szCs w:val="20"/>
                <w:color w:val="auto"/>
              </w:rPr>
            </w:pPr>
            <w:r>
              <w:rPr>
                <w:rFonts w:ascii="Arial" w:cs="Arial" w:eastAsia="Arial" w:hAnsi="Arial"/>
                <w:sz w:val="18"/>
                <w:szCs w:val="18"/>
                <w:color w:val="auto"/>
                <w:w w:val="88"/>
              </w:rPr>
              <w:t>—</w:t>
            </w:r>
          </w:p>
        </w:tc>
        <w:tc>
          <w:tcPr>
            <w:tcW w:w="600" w:type="dxa"/>
            <w:vAlign w:val="bottom"/>
            <w:gridSpan w:val="3"/>
            <w:shd w:val="clear" w:color="auto" w:fill="CCEEFF"/>
          </w:tcPr>
          <w:p>
            <w:pPr>
              <w:ind w:left="480"/>
              <w:spacing w:after="0"/>
              <w:rPr>
                <w:sz w:val="20"/>
                <w:szCs w:val="20"/>
                <w:color w:val="auto"/>
              </w:rPr>
            </w:pPr>
            <w:r>
              <w:rPr>
                <w:rFonts w:ascii="Arial" w:cs="Arial" w:eastAsia="Arial" w:hAnsi="Arial"/>
                <w:sz w:val="18"/>
                <w:szCs w:val="18"/>
                <w:color w:val="auto"/>
                <w:w w:val="99"/>
              </w:rPr>
              <w:t>$</w:t>
            </w:r>
          </w:p>
        </w:tc>
        <w:tc>
          <w:tcPr>
            <w:tcW w:w="300" w:type="dxa"/>
            <w:vAlign w:val="bottom"/>
            <w:shd w:val="clear" w:color="auto" w:fill="CCEEFF"/>
          </w:tcPr>
          <w:p>
            <w:pPr>
              <w:spacing w:after="0"/>
              <w:rPr>
                <w:sz w:val="18"/>
                <w:szCs w:val="18"/>
                <w:color w:val="auto"/>
              </w:rPr>
            </w:pPr>
          </w:p>
        </w:tc>
        <w:tc>
          <w:tcPr>
            <w:tcW w:w="280" w:type="dxa"/>
            <w:vAlign w:val="bottom"/>
            <w:shd w:val="clear" w:color="auto" w:fill="CCEEFF"/>
          </w:tcPr>
          <w:p>
            <w:pPr>
              <w:ind w:left="100"/>
              <w:spacing w:after="0"/>
              <w:rPr>
                <w:sz w:val="20"/>
                <w:szCs w:val="20"/>
                <w:color w:val="auto"/>
              </w:rPr>
            </w:pPr>
            <w:r>
              <w:rPr>
                <w:rFonts w:ascii="Arial" w:cs="Arial" w:eastAsia="Arial" w:hAnsi="Arial"/>
                <w:sz w:val="18"/>
                <w:szCs w:val="18"/>
                <w:color w:val="auto"/>
                <w:w w:val="88"/>
              </w:rPr>
              <w:t>—</w:t>
            </w:r>
          </w:p>
        </w:tc>
        <w:tc>
          <w:tcPr>
            <w:tcW w:w="580" w:type="dxa"/>
            <w:vAlign w:val="bottom"/>
            <w:gridSpan w:val="3"/>
            <w:shd w:val="clear" w:color="auto" w:fill="CCEEFF"/>
          </w:tcPr>
          <w:p>
            <w:pPr>
              <w:ind w:left="480"/>
              <w:spacing w:after="0"/>
              <w:rPr>
                <w:sz w:val="20"/>
                <w:szCs w:val="20"/>
                <w:color w:val="auto"/>
              </w:rPr>
            </w:pPr>
            <w:r>
              <w:rPr>
                <w:rFonts w:ascii="Arial" w:cs="Arial" w:eastAsia="Arial" w:hAnsi="Arial"/>
                <w:sz w:val="18"/>
                <w:szCs w:val="18"/>
                <w:color w:val="auto"/>
                <w:w w:val="79"/>
              </w:rPr>
              <w:t>$</w:t>
            </w:r>
          </w:p>
        </w:tc>
        <w:tc>
          <w:tcPr>
            <w:tcW w:w="94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(183)</w:t>
            </w:r>
          </w:p>
        </w:tc>
        <w:tc>
          <w:tcPr>
            <w:tcW w:w="68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52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w w:val="99"/>
              </w:rPr>
              <w:t>(24)</w:t>
            </w:r>
          </w:p>
        </w:tc>
        <w:tc>
          <w:tcPr>
            <w:tcW w:w="360" w:type="dxa"/>
            <w:vAlign w:val="bottom"/>
            <w:gridSpan w:val="3"/>
            <w:shd w:val="clear" w:color="auto" w:fill="CCEEFF"/>
          </w:tcPr>
          <w:p>
            <w:pPr>
              <w:ind w:left="260"/>
              <w:spacing w:after="0"/>
              <w:rPr>
                <w:sz w:val="20"/>
                <w:szCs w:val="20"/>
                <w:color w:val="auto"/>
              </w:rPr>
            </w:pPr>
            <w:r>
              <w:rPr>
                <w:rFonts w:ascii="Arial" w:cs="Arial" w:eastAsia="Arial" w:hAnsi="Arial"/>
                <w:sz w:val="18"/>
                <w:szCs w:val="18"/>
                <w:color w:val="auto"/>
                <w:w w:val="79"/>
              </w:rPr>
              <w:t>$</w:t>
            </w:r>
          </w:p>
        </w:tc>
        <w:tc>
          <w:tcPr>
            <w:tcW w:w="50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w w:val="88"/>
              </w:rPr>
              <w:t>—</w:t>
            </w:r>
          </w:p>
        </w:tc>
        <w:tc>
          <w:tcPr>
            <w:tcW w:w="600" w:type="dxa"/>
            <w:vAlign w:val="bottom"/>
            <w:gridSpan w:val="3"/>
            <w:shd w:val="clear" w:color="auto" w:fill="CCEEFF"/>
          </w:tcPr>
          <w:p>
            <w:pPr>
              <w:ind w:left="500"/>
              <w:spacing w:after="0"/>
              <w:rPr>
                <w:sz w:val="20"/>
                <w:szCs w:val="20"/>
                <w:color w:val="auto"/>
              </w:rPr>
            </w:pPr>
            <w:r>
              <w:rPr>
                <w:rFonts w:ascii="Arial" w:cs="Arial" w:eastAsia="Arial" w:hAnsi="Arial"/>
                <w:sz w:val="18"/>
                <w:szCs w:val="18"/>
                <w:color w:val="auto"/>
                <w:w w:val="79"/>
              </w:rPr>
              <w:t>$</w:t>
            </w:r>
          </w:p>
        </w:tc>
        <w:tc>
          <w:tcPr>
            <w:tcW w:w="5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(207)</w:t>
            </w:r>
          </w:p>
        </w:tc>
        <w:tc>
          <w:tcPr>
            <w:tcW w:w="0" w:type="dxa"/>
            <w:vAlign w:val="bottom"/>
          </w:tcPr>
          <w:p>
            <w:pPr>
              <w:spacing w:after="0"/>
              <w:rPr>
                <w:sz w:val="1"/>
                <w:szCs w:val="1"/>
                <w:color w:val="auto"/>
              </w:rPr>
            </w:pPr>
          </w:p>
        </w:tc>
      </w:tr>
      <w:tr>
        <w:trPr>
          <w:trHeight w:val="20"/>
        </w:trPr>
        <w:tc>
          <w:tcPr>
            <w:tcW w:w="4620" w:type="dxa"/>
            <w:vAlign w:val="bottom"/>
            <w:gridSpan w:val="2"/>
            <w:vMerge w:val="restart"/>
          </w:tcPr>
          <w:p>
            <w:pPr>
              <w:spacing w:after="0"/>
              <w:rPr>
                <w:sz w:val="20"/>
                <w:szCs w:val="20"/>
                <w:color w:val="auto"/>
              </w:rPr>
            </w:pPr>
            <w:r>
              <w:rPr>
                <w:rFonts w:ascii="Arial" w:cs="Arial" w:eastAsia="Arial" w:hAnsi="Arial"/>
                <w:sz w:val="18"/>
                <w:szCs w:val="18"/>
                <w:color w:val="auto"/>
                <w:w w:val="98"/>
              </w:rPr>
              <w:t>Amount of total gains and (losses) in the period included in</w:t>
            </w: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2"/>
        </w:trPr>
        <w:tc>
          <w:tcPr>
            <w:tcW w:w="4620" w:type="dxa"/>
            <w:vAlign w:val="bottom"/>
            <w:gridSpan w:val="2"/>
            <w:vMerge w:val="continue"/>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tcPr>
          <w:p>
            <w:pPr>
              <w:ind w:left="200"/>
              <w:spacing w:after="0"/>
              <w:rPr>
                <w:sz w:val="20"/>
                <w:szCs w:val="20"/>
                <w:color w:val="auto"/>
              </w:rPr>
            </w:pPr>
            <w:r>
              <w:rPr>
                <w:rFonts w:ascii="Arial" w:cs="Arial" w:eastAsia="Arial" w:hAnsi="Arial"/>
                <w:sz w:val="18"/>
                <w:szCs w:val="18"/>
                <w:color w:val="auto"/>
                <w:w w:val="96"/>
              </w:rPr>
              <w:t>earnings attributable to the change in unrealized gains or</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600" w:type="dxa"/>
            <w:vAlign w:val="bottom"/>
          </w:tcPr>
          <w:p>
            <w:pPr>
              <w:ind w:left="200"/>
              <w:spacing w:after="0"/>
              <w:rPr>
                <w:sz w:val="20"/>
                <w:szCs w:val="20"/>
                <w:color w:val="auto"/>
              </w:rPr>
            </w:pPr>
            <w:r>
              <w:rPr>
                <w:rFonts w:ascii="Arial" w:cs="Arial" w:eastAsia="Arial" w:hAnsi="Arial"/>
                <w:sz w:val="18"/>
                <w:szCs w:val="18"/>
                <w:color w:val="auto"/>
                <w:w w:val="99"/>
              </w:rPr>
              <w:t>(losses) relating to assets still held at the reporting date</w:t>
            </w:r>
          </w:p>
        </w:tc>
        <w:tc>
          <w:tcPr>
            <w:tcW w:w="240" w:type="dxa"/>
            <w:vAlign w:val="bottom"/>
          </w:tcPr>
          <w:p>
            <w:pPr>
              <w:spacing w:after="0"/>
              <w:rPr>
                <w:sz w:val="19"/>
                <w:szCs w:val="19"/>
                <w:color w:val="auto"/>
              </w:rPr>
            </w:pPr>
          </w:p>
        </w:tc>
        <w:tc>
          <w:tcPr>
            <w:tcW w:w="100" w:type="dxa"/>
            <w:vAlign w:val="bottom"/>
          </w:tcPr>
          <w:p>
            <w:pPr>
              <w:ind w:left="20"/>
              <w:spacing w:after="0"/>
              <w:rPr>
                <w:sz w:val="20"/>
                <w:szCs w:val="20"/>
                <w:color w:val="auto"/>
              </w:rPr>
            </w:pPr>
            <w:r>
              <w:rPr>
                <w:rFonts w:ascii="Arial" w:cs="Arial" w:eastAsia="Arial" w:hAnsi="Arial"/>
                <w:sz w:val="15"/>
                <w:szCs w:val="15"/>
                <w:color w:val="auto"/>
                <w:w w:val="71"/>
              </w:rPr>
              <w:t>$</w:t>
            </w:r>
          </w:p>
        </w:tc>
        <w:tc>
          <w:tcPr>
            <w:tcW w:w="260" w:type="dxa"/>
            <w:vAlign w:val="bottom"/>
          </w:tcPr>
          <w:p>
            <w:pPr>
              <w:spacing w:after="0"/>
              <w:rPr>
                <w:sz w:val="19"/>
                <w:szCs w:val="19"/>
                <w:color w:val="auto"/>
              </w:rPr>
            </w:pPr>
          </w:p>
        </w:tc>
        <w:tc>
          <w:tcPr>
            <w:tcW w:w="260" w:type="dxa"/>
            <w:vAlign w:val="bottom"/>
          </w:tcPr>
          <w:p>
            <w:pPr>
              <w:ind w:left="80"/>
              <w:spacing w:after="0"/>
              <w:rPr>
                <w:sz w:val="20"/>
                <w:szCs w:val="20"/>
                <w:color w:val="auto"/>
              </w:rPr>
            </w:pPr>
            <w:r>
              <w:rPr>
                <w:rFonts w:ascii="Arial" w:cs="Arial" w:eastAsia="Arial" w:hAnsi="Arial"/>
                <w:sz w:val="18"/>
                <w:szCs w:val="18"/>
                <w:color w:val="auto"/>
                <w:w w:val="88"/>
              </w:rPr>
              <w:t>—</w:t>
            </w:r>
          </w:p>
        </w:tc>
        <w:tc>
          <w:tcPr>
            <w:tcW w:w="480" w:type="dxa"/>
            <w:vAlign w:val="bottom"/>
            <w:gridSpan w:val="2"/>
          </w:tcPr>
          <w:p>
            <w:pPr>
              <w:spacing w:after="0"/>
              <w:rPr>
                <w:sz w:val="19"/>
                <w:szCs w:val="19"/>
                <w:color w:val="auto"/>
              </w:rPr>
            </w:pP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300" w:type="dxa"/>
            <w:vAlign w:val="bottom"/>
          </w:tcPr>
          <w:p>
            <w:pPr>
              <w:spacing w:after="0"/>
              <w:rPr>
                <w:sz w:val="19"/>
                <w:szCs w:val="19"/>
                <w:color w:val="auto"/>
              </w:rPr>
            </w:pPr>
          </w:p>
        </w:tc>
        <w:tc>
          <w:tcPr>
            <w:tcW w:w="280" w:type="dxa"/>
            <w:vAlign w:val="bottom"/>
          </w:tcPr>
          <w:p>
            <w:pPr>
              <w:ind w:left="100"/>
              <w:spacing w:after="0"/>
              <w:rPr>
                <w:sz w:val="20"/>
                <w:szCs w:val="20"/>
                <w:color w:val="auto"/>
              </w:rPr>
            </w:pPr>
            <w:r>
              <w:rPr>
                <w:rFonts w:ascii="Arial" w:cs="Arial" w:eastAsia="Arial" w:hAnsi="Arial"/>
                <w:sz w:val="18"/>
                <w:szCs w:val="18"/>
                <w:color w:val="auto"/>
                <w:w w:val="88"/>
              </w:rPr>
              <w:t>—</w:t>
            </w:r>
          </w:p>
        </w:tc>
        <w:tc>
          <w:tcPr>
            <w:tcW w:w="580" w:type="dxa"/>
            <w:vAlign w:val="bottom"/>
            <w:gridSpan w:val="3"/>
          </w:tcPr>
          <w:p>
            <w:pPr>
              <w:ind w:left="480"/>
              <w:spacing w:after="0"/>
              <w:rPr>
                <w:sz w:val="20"/>
                <w:szCs w:val="20"/>
                <w:color w:val="auto"/>
              </w:rPr>
            </w:pPr>
            <w:r>
              <w:rPr>
                <w:rFonts w:ascii="Arial" w:cs="Arial" w:eastAsia="Arial" w:hAnsi="Arial"/>
                <w:sz w:val="18"/>
                <w:szCs w:val="18"/>
                <w:color w:val="auto"/>
                <w:w w:val="79"/>
              </w:rPr>
              <w:t>$</w:t>
            </w:r>
          </w:p>
        </w:tc>
        <w:tc>
          <w:tcPr>
            <w:tcW w:w="940" w:type="dxa"/>
            <w:vAlign w:val="bottom"/>
            <w:gridSpan w:val="3"/>
          </w:tcPr>
          <w:p>
            <w:pPr>
              <w:jc w:val="right"/>
              <w:ind w:right="200"/>
              <w:spacing w:after="0"/>
              <w:rPr>
                <w:sz w:val="20"/>
                <w:szCs w:val="20"/>
                <w:color w:val="auto"/>
              </w:rPr>
            </w:pPr>
            <w:r>
              <w:rPr>
                <w:rFonts w:ascii="Arial" w:cs="Arial" w:eastAsia="Arial" w:hAnsi="Arial"/>
                <w:sz w:val="18"/>
                <w:szCs w:val="18"/>
                <w:color w:val="auto"/>
              </w:rPr>
              <w:t>40</w:t>
            </w:r>
          </w:p>
        </w:tc>
        <w:tc>
          <w:tcPr>
            <w:tcW w:w="68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520" w:type="dxa"/>
            <w:vAlign w:val="bottom"/>
            <w:gridSpan w:val="3"/>
          </w:tcPr>
          <w:p>
            <w:pPr>
              <w:jc w:val="right"/>
              <w:ind w:right="180"/>
              <w:spacing w:after="0"/>
              <w:rPr>
                <w:sz w:val="20"/>
                <w:szCs w:val="20"/>
                <w:color w:val="auto"/>
              </w:rPr>
            </w:pPr>
            <w:r>
              <w:rPr>
                <w:rFonts w:ascii="Arial" w:cs="Arial" w:eastAsia="Arial" w:hAnsi="Arial"/>
                <w:sz w:val="18"/>
                <w:szCs w:val="18"/>
                <w:color w:val="auto"/>
              </w:rPr>
              <w:t>(3)</w:t>
            </w:r>
          </w:p>
        </w:tc>
        <w:tc>
          <w:tcPr>
            <w:tcW w:w="360" w:type="dxa"/>
            <w:vAlign w:val="bottom"/>
            <w:gridSpan w:val="3"/>
          </w:tcPr>
          <w:p>
            <w:pPr>
              <w:ind w:left="260"/>
              <w:spacing w:after="0"/>
              <w:rPr>
                <w:sz w:val="20"/>
                <w:szCs w:val="20"/>
                <w:color w:val="auto"/>
              </w:rPr>
            </w:pPr>
            <w:r>
              <w:rPr>
                <w:rFonts w:ascii="Arial" w:cs="Arial" w:eastAsia="Arial" w:hAnsi="Arial"/>
                <w:sz w:val="18"/>
                <w:szCs w:val="18"/>
                <w:color w:val="auto"/>
                <w:w w:val="79"/>
              </w:rPr>
              <w:t>$</w:t>
            </w:r>
          </w:p>
        </w:tc>
        <w:tc>
          <w:tcPr>
            <w:tcW w:w="500" w:type="dxa"/>
            <w:vAlign w:val="bottom"/>
            <w:gridSpan w:val="2"/>
          </w:tcPr>
          <w:p>
            <w:pPr>
              <w:ind w:left="320"/>
              <w:spacing w:after="0"/>
              <w:rPr>
                <w:sz w:val="20"/>
                <w:szCs w:val="20"/>
                <w:color w:val="auto"/>
              </w:rPr>
            </w:pPr>
            <w:r>
              <w:rPr>
                <w:rFonts w:ascii="Arial" w:cs="Arial" w:eastAsia="Arial" w:hAnsi="Arial"/>
                <w:sz w:val="18"/>
                <w:szCs w:val="18"/>
                <w:color w:val="auto"/>
                <w:w w:val="88"/>
              </w:rPr>
              <w:t>—</w:t>
            </w:r>
          </w:p>
        </w:tc>
        <w:tc>
          <w:tcPr>
            <w:tcW w:w="600" w:type="dxa"/>
            <w:vAlign w:val="bottom"/>
            <w:gridSpan w:val="3"/>
          </w:tcPr>
          <w:p>
            <w:pPr>
              <w:ind w:left="500"/>
              <w:spacing w:after="0"/>
              <w:rPr>
                <w:sz w:val="20"/>
                <w:szCs w:val="20"/>
                <w:color w:val="auto"/>
              </w:rPr>
            </w:pPr>
            <w:r>
              <w:rPr>
                <w:rFonts w:ascii="Arial" w:cs="Arial" w:eastAsia="Arial" w:hAnsi="Arial"/>
                <w:sz w:val="18"/>
                <w:szCs w:val="18"/>
                <w:color w:val="auto"/>
                <w:w w:val="79"/>
              </w:rPr>
              <w:t>$</w:t>
            </w:r>
          </w:p>
        </w:tc>
        <w:tc>
          <w:tcPr>
            <w:tcW w:w="580" w:type="dxa"/>
            <w:vAlign w:val="bottom"/>
            <w:gridSpan w:val="2"/>
          </w:tcPr>
          <w:p>
            <w:pPr>
              <w:jc w:val="right"/>
              <w:ind w:right="100"/>
              <w:spacing w:after="0"/>
              <w:rPr>
                <w:sz w:val="20"/>
                <w:szCs w:val="20"/>
                <w:color w:val="auto"/>
              </w:rPr>
            </w:pPr>
            <w:r>
              <w:rPr>
                <w:rFonts w:ascii="Arial" w:cs="Arial" w:eastAsia="Arial" w:hAnsi="Arial"/>
                <w:sz w:val="18"/>
                <w:szCs w:val="18"/>
                <w:color w:val="auto"/>
              </w:rPr>
              <w:t>37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6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6"/>
        </w:trPr>
        <w:tc>
          <w:tcPr>
            <w:tcW w:w="20" w:type="dxa"/>
            <w:vAlign w:val="bottom"/>
          </w:tcPr>
          <w:p>
            <w:pPr>
              <w:spacing w:after="0"/>
              <w:rPr>
                <w:sz w:val="24"/>
                <w:szCs w:val="24"/>
                <w:color w:val="auto"/>
              </w:rPr>
            </w:pPr>
          </w:p>
        </w:tc>
        <w:tc>
          <w:tcPr>
            <w:tcW w:w="460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620" w:type="dxa"/>
            <w:vAlign w:val="bottom"/>
            <w:tcBorders>
              <w:bottom w:val="single" w:sz="8" w:color="auto"/>
            </w:tcBorders>
            <w:gridSpan w:val="5"/>
          </w:tcPr>
          <w:p>
            <w:pPr>
              <w:jc w:val="center"/>
              <w:ind w:right="112"/>
              <w:spacing w:after="0"/>
              <w:rPr>
                <w:sz w:val="20"/>
                <w:szCs w:val="20"/>
                <w:color w:val="auto"/>
              </w:rPr>
            </w:pPr>
            <w:r>
              <w:rPr>
                <w:rFonts w:ascii="Arial" w:cs="Arial" w:eastAsia="Arial" w:hAnsi="Arial"/>
                <w:sz w:val="14"/>
                <w:szCs w:val="14"/>
                <w:b w:val="1"/>
                <w:bCs w:val="1"/>
                <w:color w:val="auto"/>
                <w:w w:val="79"/>
              </w:rPr>
              <w:t>Successor</w:t>
            </w:r>
          </w:p>
        </w:tc>
        <w:tc>
          <w:tcPr>
            <w:tcW w:w="2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600" w:type="dxa"/>
            <w:vAlign w:val="bottom"/>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2720" w:type="dxa"/>
            <w:vAlign w:val="bottom"/>
            <w:tcBorders>
              <w:bottom w:val="single" w:sz="8" w:color="auto"/>
            </w:tcBorders>
            <w:gridSpan w:val="11"/>
          </w:tcPr>
          <w:p>
            <w:pPr>
              <w:jc w:val="center"/>
              <w:ind w:right="100"/>
              <w:spacing w:after="0" w:line="142" w:lineRule="exact"/>
              <w:rPr>
                <w:sz w:val="20"/>
                <w:szCs w:val="20"/>
                <w:color w:val="auto"/>
              </w:rPr>
            </w:pPr>
            <w:r>
              <w:rPr>
                <w:rFonts w:ascii="Arial" w:cs="Arial" w:eastAsia="Arial" w:hAnsi="Arial"/>
                <w:sz w:val="14"/>
                <w:szCs w:val="14"/>
                <w:b w:val="1"/>
                <w:bCs w:val="1"/>
                <w:color w:val="auto"/>
                <w:w w:val="87"/>
              </w:rPr>
              <w:t>Level 3 Financial Assets and (Liabilities)</w:t>
            </w:r>
          </w:p>
        </w:tc>
        <w:tc>
          <w:tcPr>
            <w:tcW w:w="18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42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40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48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4600" w:type="dxa"/>
            <w:vAlign w:val="bottom"/>
          </w:tcPr>
          <w:p>
            <w:pPr>
              <w:spacing w:after="0"/>
              <w:rPr>
                <w:sz w:val="11"/>
                <w:szCs w:val="11"/>
                <w:color w:val="auto"/>
              </w:rPr>
            </w:pPr>
          </w:p>
        </w:tc>
        <w:tc>
          <w:tcPr>
            <w:tcW w:w="860" w:type="dxa"/>
            <w:vAlign w:val="bottom"/>
            <w:gridSpan w:val="4"/>
          </w:tcPr>
          <w:p>
            <w:pPr>
              <w:spacing w:after="0" w:line="129" w:lineRule="exact"/>
              <w:rPr>
                <w:sz w:val="20"/>
                <w:szCs w:val="20"/>
                <w:color w:val="auto"/>
              </w:rPr>
            </w:pPr>
            <w:r>
              <w:rPr>
                <w:rFonts w:ascii="Arial" w:cs="Arial" w:eastAsia="Arial" w:hAnsi="Arial"/>
                <w:sz w:val="14"/>
                <w:szCs w:val="14"/>
                <w:b w:val="1"/>
                <w:bCs w:val="1"/>
                <w:color w:val="auto"/>
              </w:rPr>
              <w:t>Mortgage-</w:t>
            </w:r>
          </w:p>
        </w:tc>
        <w:tc>
          <w:tcPr>
            <w:tcW w:w="2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600" w:type="dxa"/>
            <w:vAlign w:val="bottom"/>
          </w:tcPr>
          <w:p>
            <w:pPr>
              <w:spacing w:after="0"/>
              <w:rPr>
                <w:sz w:val="12"/>
                <w:szCs w:val="12"/>
                <w:color w:val="auto"/>
              </w:rPr>
            </w:pPr>
          </w:p>
        </w:tc>
        <w:tc>
          <w:tcPr>
            <w:tcW w:w="860" w:type="dxa"/>
            <w:vAlign w:val="bottom"/>
            <w:gridSpan w:val="4"/>
          </w:tcPr>
          <w:p>
            <w:pPr>
              <w:ind w:left="100"/>
              <w:spacing w:after="0" w:line="149" w:lineRule="exact"/>
              <w:rPr>
                <w:sz w:val="20"/>
                <w:szCs w:val="20"/>
                <w:color w:val="auto"/>
              </w:rPr>
            </w:pPr>
            <w:r>
              <w:rPr>
                <w:rFonts w:ascii="Arial" w:cs="Arial" w:eastAsia="Arial" w:hAnsi="Arial"/>
                <w:sz w:val="14"/>
                <w:szCs w:val="14"/>
                <w:b w:val="1"/>
                <w:bCs w:val="1"/>
                <w:color w:val="auto"/>
              </w:rPr>
              <w:t>backed</w:t>
            </w:r>
          </w:p>
        </w:tc>
        <w:tc>
          <w:tcPr>
            <w:tcW w:w="220" w:type="dxa"/>
            <w:vAlign w:val="bottom"/>
          </w:tcPr>
          <w:p>
            <w:pPr>
              <w:spacing w:after="0"/>
              <w:rPr>
                <w:sz w:val="12"/>
                <w:szCs w:val="12"/>
                <w:color w:val="auto"/>
              </w:rPr>
            </w:pPr>
          </w:p>
        </w:tc>
        <w:tc>
          <w:tcPr>
            <w:tcW w:w="960" w:type="dxa"/>
            <w:vAlign w:val="bottom"/>
            <w:gridSpan w:val="4"/>
          </w:tcPr>
          <w:p>
            <w:pPr>
              <w:spacing w:after="0" w:line="149" w:lineRule="exact"/>
              <w:rPr>
                <w:sz w:val="20"/>
                <w:szCs w:val="20"/>
                <w:color w:val="auto"/>
              </w:rPr>
            </w:pPr>
            <w:r>
              <w:rPr>
                <w:rFonts w:ascii="Arial" w:cs="Arial" w:eastAsia="Arial" w:hAnsi="Arial"/>
                <w:sz w:val="14"/>
                <w:szCs w:val="14"/>
                <w:b w:val="1"/>
                <w:bCs w:val="1"/>
                <w:color w:val="auto"/>
              </w:rPr>
              <w:t>Commodity</w:t>
            </w:r>
          </w:p>
        </w:tc>
        <w:tc>
          <w:tcPr>
            <w:tcW w:w="200" w:type="dxa"/>
            <w:vAlign w:val="bottom"/>
          </w:tcPr>
          <w:p>
            <w:pPr>
              <w:spacing w:after="0"/>
              <w:rPr>
                <w:sz w:val="12"/>
                <w:szCs w:val="12"/>
                <w:color w:val="auto"/>
              </w:rPr>
            </w:pPr>
          </w:p>
        </w:tc>
        <w:tc>
          <w:tcPr>
            <w:tcW w:w="1320" w:type="dxa"/>
            <w:vAlign w:val="bottom"/>
            <w:gridSpan w:val="5"/>
          </w:tcPr>
          <w:p>
            <w:pPr>
              <w:jc w:val="right"/>
              <w:ind w:right="680"/>
              <w:spacing w:after="0" w:line="149" w:lineRule="exact"/>
              <w:rPr>
                <w:sz w:val="20"/>
                <w:szCs w:val="20"/>
                <w:color w:val="auto"/>
              </w:rPr>
            </w:pPr>
            <w:r>
              <w:rPr>
                <w:rFonts w:ascii="Arial" w:cs="Arial" w:eastAsia="Arial" w:hAnsi="Arial"/>
                <w:sz w:val="14"/>
                <w:szCs w:val="14"/>
                <w:b w:val="1"/>
                <w:bCs w:val="1"/>
                <w:color w:val="auto"/>
              </w:rPr>
              <w:t>Foreign</w:t>
            </w:r>
          </w:p>
        </w:tc>
        <w:tc>
          <w:tcPr>
            <w:tcW w:w="680" w:type="dxa"/>
            <w:vAlign w:val="bottom"/>
            <w:gridSpan w:val="2"/>
          </w:tcPr>
          <w:p>
            <w:pPr>
              <w:ind w:left="280"/>
              <w:spacing w:after="0" w:line="149" w:lineRule="exact"/>
              <w:rPr>
                <w:sz w:val="20"/>
                <w:szCs w:val="20"/>
                <w:color w:val="auto"/>
              </w:rPr>
            </w:pPr>
            <w:r>
              <w:rPr>
                <w:rFonts w:ascii="Arial" w:cs="Arial" w:eastAsia="Arial" w:hAnsi="Arial"/>
                <w:sz w:val="14"/>
                <w:szCs w:val="14"/>
                <w:b w:val="1"/>
                <w:bCs w:val="1"/>
                <w:color w:val="auto"/>
              </w:rPr>
              <w:t>Other</w:t>
            </w:r>
          </w:p>
        </w:tc>
        <w:tc>
          <w:tcPr>
            <w:tcW w:w="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gridSpan w:val="3"/>
          </w:tcPr>
          <w:p>
            <w:pPr>
              <w:ind w:left="40"/>
              <w:spacing w:after="0" w:line="149" w:lineRule="exact"/>
              <w:rPr>
                <w:sz w:val="20"/>
                <w:szCs w:val="20"/>
                <w:color w:val="auto"/>
              </w:rPr>
            </w:pPr>
            <w:r>
              <w:rPr>
                <w:rFonts w:ascii="Arial" w:cs="Arial" w:eastAsia="Arial" w:hAnsi="Arial"/>
                <w:sz w:val="14"/>
                <w:szCs w:val="14"/>
                <w:b w:val="1"/>
                <w:bCs w:val="1"/>
                <w:color w:val="auto"/>
              </w:rPr>
              <w:t>Other</w:t>
            </w:r>
          </w:p>
        </w:tc>
        <w:tc>
          <w:tcPr>
            <w:tcW w:w="400" w:type="dxa"/>
            <w:vAlign w:val="bottom"/>
          </w:tcPr>
          <w:p>
            <w:pPr>
              <w:spacing w:after="0"/>
              <w:rPr>
                <w:sz w:val="12"/>
                <w:szCs w:val="12"/>
                <w:color w:val="auto"/>
              </w:rPr>
            </w:pPr>
          </w:p>
        </w:tc>
        <w:tc>
          <w:tcPr>
            <w:tcW w:w="780" w:type="dxa"/>
            <w:vAlign w:val="bottom"/>
            <w:gridSpan w:val="4"/>
          </w:tcPr>
          <w:p>
            <w:pPr>
              <w:jc w:val="right"/>
              <w:ind w:right="180"/>
              <w:spacing w:after="0" w:line="149" w:lineRule="exact"/>
              <w:rPr>
                <w:sz w:val="20"/>
                <w:szCs w:val="20"/>
                <w:color w:val="auto"/>
              </w:rPr>
            </w:pPr>
            <w:r>
              <w:rPr>
                <w:rFonts w:ascii="Arial" w:cs="Arial" w:eastAsia="Arial" w:hAnsi="Arial"/>
                <w:sz w:val="14"/>
                <w:szCs w:val="14"/>
                <w:b w:val="1"/>
                <w:bCs w:val="1"/>
                <w:color w:val="auto"/>
                <w:w w:val="96"/>
              </w:rPr>
              <w:t>Total Net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600" w:type="dxa"/>
            <w:vAlign w:val="bottom"/>
          </w:tcPr>
          <w:p>
            <w:pPr>
              <w:spacing w:after="0"/>
              <w:rPr>
                <w:sz w:val="12"/>
                <w:szCs w:val="12"/>
                <w:color w:val="auto"/>
              </w:rPr>
            </w:pPr>
          </w:p>
        </w:tc>
        <w:tc>
          <w:tcPr>
            <w:tcW w:w="860" w:type="dxa"/>
            <w:vAlign w:val="bottom"/>
            <w:gridSpan w:val="4"/>
          </w:tcPr>
          <w:p>
            <w:pPr>
              <w:spacing w:after="0" w:line="149" w:lineRule="exact"/>
              <w:rPr>
                <w:sz w:val="20"/>
                <w:szCs w:val="20"/>
                <w:color w:val="auto"/>
              </w:rPr>
            </w:pPr>
            <w:r>
              <w:rPr>
                <w:rFonts w:ascii="Arial" w:cs="Arial" w:eastAsia="Arial" w:hAnsi="Arial"/>
                <w:sz w:val="14"/>
                <w:szCs w:val="14"/>
                <w:b w:val="1"/>
                <w:bCs w:val="1"/>
                <w:color w:val="auto"/>
              </w:rPr>
              <w:t>Securities</w:t>
            </w:r>
          </w:p>
        </w:tc>
        <w:tc>
          <w:tcPr>
            <w:tcW w:w="220" w:type="dxa"/>
            <w:vAlign w:val="bottom"/>
          </w:tcPr>
          <w:p>
            <w:pPr>
              <w:spacing w:after="0"/>
              <w:rPr>
                <w:sz w:val="12"/>
                <w:szCs w:val="12"/>
                <w:color w:val="auto"/>
              </w:rPr>
            </w:pPr>
          </w:p>
        </w:tc>
        <w:tc>
          <w:tcPr>
            <w:tcW w:w="960" w:type="dxa"/>
            <w:vAlign w:val="bottom"/>
            <w:gridSpan w:val="4"/>
          </w:tcPr>
          <w:p>
            <w:pPr>
              <w:spacing w:after="0" w:line="149" w:lineRule="exact"/>
              <w:rPr>
                <w:sz w:val="20"/>
                <w:szCs w:val="20"/>
                <w:color w:val="auto"/>
              </w:rPr>
            </w:pPr>
            <w:r>
              <w:rPr>
                <w:rFonts w:ascii="Arial" w:cs="Arial" w:eastAsia="Arial" w:hAnsi="Arial"/>
                <w:sz w:val="14"/>
                <w:szCs w:val="14"/>
                <w:b w:val="1"/>
                <w:bCs w:val="1"/>
                <w:color w:val="auto"/>
              </w:rPr>
              <w:t>Derivatives,</w:t>
            </w:r>
          </w:p>
        </w:tc>
        <w:tc>
          <w:tcPr>
            <w:tcW w:w="200" w:type="dxa"/>
            <w:vAlign w:val="bottom"/>
          </w:tcPr>
          <w:p>
            <w:pPr>
              <w:spacing w:after="0"/>
              <w:rPr>
                <w:sz w:val="12"/>
                <w:szCs w:val="12"/>
                <w:color w:val="auto"/>
              </w:rPr>
            </w:pPr>
          </w:p>
        </w:tc>
        <w:tc>
          <w:tcPr>
            <w:tcW w:w="1320" w:type="dxa"/>
            <w:vAlign w:val="bottom"/>
            <w:gridSpan w:val="5"/>
          </w:tcPr>
          <w:p>
            <w:pPr>
              <w:jc w:val="right"/>
              <w:ind w:right="620"/>
              <w:spacing w:after="0" w:line="149" w:lineRule="exact"/>
              <w:rPr>
                <w:sz w:val="20"/>
                <w:szCs w:val="20"/>
                <w:color w:val="auto"/>
              </w:rPr>
            </w:pPr>
            <w:r>
              <w:rPr>
                <w:rFonts w:ascii="Arial" w:cs="Arial" w:eastAsia="Arial" w:hAnsi="Arial"/>
                <w:sz w:val="14"/>
                <w:szCs w:val="14"/>
                <w:b w:val="1"/>
                <w:bCs w:val="1"/>
                <w:color w:val="auto"/>
              </w:rPr>
              <w:t>Currency</w:t>
            </w:r>
          </w:p>
        </w:tc>
        <w:tc>
          <w:tcPr>
            <w:tcW w:w="1200" w:type="dxa"/>
            <w:vAlign w:val="bottom"/>
            <w:gridSpan w:val="5"/>
          </w:tcPr>
          <w:p>
            <w:pPr>
              <w:ind w:left="160"/>
              <w:spacing w:after="0" w:line="149" w:lineRule="exact"/>
              <w:rPr>
                <w:sz w:val="20"/>
                <w:szCs w:val="20"/>
                <w:color w:val="auto"/>
              </w:rPr>
            </w:pPr>
            <w:r>
              <w:rPr>
                <w:rFonts w:ascii="Arial" w:cs="Arial" w:eastAsia="Arial" w:hAnsi="Arial"/>
                <w:sz w:val="14"/>
                <w:szCs w:val="14"/>
                <w:b w:val="1"/>
                <w:bCs w:val="1"/>
                <w:color w:val="auto"/>
              </w:rPr>
              <w:t>Derivative</w:t>
            </w:r>
          </w:p>
        </w:tc>
        <w:tc>
          <w:tcPr>
            <w:tcW w:w="180" w:type="dxa"/>
            <w:vAlign w:val="bottom"/>
          </w:tcPr>
          <w:p>
            <w:pPr>
              <w:spacing w:after="0"/>
              <w:rPr>
                <w:sz w:val="12"/>
                <w:szCs w:val="12"/>
                <w:color w:val="auto"/>
              </w:rPr>
            </w:pPr>
          </w:p>
        </w:tc>
        <w:tc>
          <w:tcPr>
            <w:tcW w:w="680" w:type="dxa"/>
            <w:vAlign w:val="bottom"/>
            <w:gridSpan w:val="4"/>
          </w:tcPr>
          <w:p>
            <w:pPr>
              <w:spacing w:after="0" w:line="149" w:lineRule="exact"/>
              <w:rPr>
                <w:sz w:val="20"/>
                <w:szCs w:val="20"/>
                <w:color w:val="auto"/>
              </w:rPr>
            </w:pPr>
            <w:r>
              <w:rPr>
                <w:rFonts w:ascii="Arial" w:cs="Arial" w:eastAsia="Arial" w:hAnsi="Arial"/>
                <w:sz w:val="14"/>
                <w:szCs w:val="14"/>
                <w:b w:val="1"/>
                <w:bCs w:val="1"/>
                <w:color w:val="auto"/>
                <w:w w:val="98"/>
              </w:rPr>
              <w:t>Securities</w:t>
            </w:r>
          </w:p>
        </w:tc>
        <w:tc>
          <w:tcPr>
            <w:tcW w:w="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gridSpan w:val="3"/>
          </w:tcPr>
          <w:p>
            <w:pPr>
              <w:jc w:val="right"/>
              <w:ind w:right="260"/>
              <w:spacing w:after="0" w:line="149" w:lineRule="exact"/>
              <w:rPr>
                <w:sz w:val="20"/>
                <w:szCs w:val="20"/>
                <w:color w:val="auto"/>
              </w:rPr>
            </w:pPr>
            <w:r>
              <w:rPr>
                <w:rFonts w:ascii="Arial" w:cs="Arial" w:eastAsia="Arial" w:hAnsi="Arial"/>
                <w:sz w:val="14"/>
                <w:szCs w:val="14"/>
                <w:b w:val="1"/>
                <w:bCs w:val="1"/>
                <w:color w:val="auto"/>
                <w:w w:val="87"/>
              </w:rPr>
              <w:t>Assets</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4600" w:type="dxa"/>
            <w:vAlign w:val="bottom"/>
          </w:tcPr>
          <w:p>
            <w:pPr>
              <w:spacing w:after="0"/>
              <w:rPr>
                <w:sz w:val="14"/>
                <w:szCs w:val="14"/>
                <w:color w:val="auto"/>
              </w:rPr>
            </w:pPr>
          </w:p>
        </w:tc>
        <w:tc>
          <w:tcPr>
            <w:tcW w:w="600" w:type="dxa"/>
            <w:vAlign w:val="bottom"/>
            <w:tcBorders>
              <w:bottom w:val="single" w:sz="8" w:color="auto"/>
            </w:tcBorders>
            <w:gridSpan w:val="3"/>
          </w:tcPr>
          <w:p>
            <w:pPr>
              <w:ind w:left="220"/>
              <w:spacing w:after="0"/>
              <w:rPr>
                <w:sz w:val="20"/>
                <w:szCs w:val="20"/>
                <w:color w:val="auto"/>
              </w:rPr>
            </w:pPr>
            <w:r>
              <w:rPr>
                <w:rFonts w:ascii="Arial" w:cs="Arial" w:eastAsia="Arial" w:hAnsi="Arial"/>
                <w:sz w:val="14"/>
                <w:szCs w:val="14"/>
                <w:b w:val="1"/>
                <w:bCs w:val="1"/>
                <w:color w:val="auto"/>
              </w:rPr>
              <w:t>(a)</w:t>
            </w:r>
          </w:p>
        </w:tc>
        <w:tc>
          <w:tcPr>
            <w:tcW w:w="2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80" w:type="dxa"/>
            <w:vAlign w:val="bottom"/>
            <w:tcBorders>
              <w:bottom w:val="single" w:sz="8" w:color="auto"/>
            </w:tcBorders>
            <w:gridSpan w:val="3"/>
          </w:tcPr>
          <w:p>
            <w:pPr>
              <w:ind w:left="140"/>
              <w:spacing w:after="0"/>
              <w:rPr>
                <w:sz w:val="20"/>
                <w:szCs w:val="20"/>
                <w:color w:val="auto"/>
              </w:rPr>
            </w:pPr>
            <w:r>
              <w:rPr>
                <w:rFonts w:ascii="Arial" w:cs="Arial" w:eastAsia="Arial" w:hAnsi="Arial"/>
                <w:sz w:val="14"/>
                <w:szCs w:val="14"/>
                <w:b w:val="1"/>
                <w:bCs w:val="1"/>
                <w:color w:val="auto"/>
              </w:rPr>
              <w:t>net (b)</w:t>
            </w:r>
          </w:p>
        </w:tc>
        <w:tc>
          <w:tcPr>
            <w:tcW w:w="2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40" w:type="dxa"/>
            <w:vAlign w:val="bottom"/>
            <w:tcBorders>
              <w:bottom w:val="single" w:sz="8" w:color="auto"/>
            </w:tcBorders>
            <w:gridSpan w:val="3"/>
          </w:tcPr>
          <w:p>
            <w:pPr>
              <w:spacing w:after="0"/>
              <w:rPr>
                <w:sz w:val="20"/>
                <w:szCs w:val="20"/>
                <w:color w:val="auto"/>
              </w:rPr>
            </w:pPr>
            <w:r>
              <w:rPr>
                <w:rFonts w:ascii="Arial" w:cs="Arial" w:eastAsia="Arial" w:hAnsi="Arial"/>
                <w:sz w:val="14"/>
                <w:szCs w:val="14"/>
                <w:b w:val="1"/>
                <w:bCs w:val="1"/>
                <w:color w:val="auto"/>
                <w:w w:val="85"/>
              </w:rPr>
              <w:t>Derivatives (c)</w:t>
            </w:r>
          </w:p>
        </w:tc>
        <w:tc>
          <w:tcPr>
            <w:tcW w:w="480" w:type="dxa"/>
            <w:vAlign w:val="bottom"/>
            <w:gridSpan w:val="2"/>
          </w:tcPr>
          <w:p>
            <w:pPr>
              <w:spacing w:after="0"/>
              <w:rPr>
                <w:sz w:val="14"/>
                <w:szCs w:val="14"/>
                <w:color w:val="auto"/>
              </w:rPr>
            </w:pPr>
          </w:p>
        </w:tc>
        <w:tc>
          <w:tcPr>
            <w:tcW w:w="900" w:type="dxa"/>
            <w:vAlign w:val="bottom"/>
            <w:tcBorders>
              <w:bottom w:val="single" w:sz="8" w:color="auto"/>
            </w:tcBorders>
            <w:gridSpan w:val="3"/>
          </w:tcPr>
          <w:p>
            <w:pPr>
              <w:spacing w:after="0"/>
              <w:rPr>
                <w:sz w:val="20"/>
                <w:szCs w:val="20"/>
                <w:color w:val="auto"/>
              </w:rPr>
            </w:pPr>
            <w:r>
              <w:rPr>
                <w:rFonts w:ascii="Arial" w:cs="Arial" w:eastAsia="Arial" w:hAnsi="Arial"/>
                <w:sz w:val="14"/>
                <w:szCs w:val="14"/>
                <w:b w:val="1"/>
                <w:bCs w:val="1"/>
                <w:color w:val="auto"/>
                <w:w w:val="86"/>
              </w:rPr>
              <w:t>Instruments (a)</w:t>
            </w:r>
          </w:p>
        </w:tc>
        <w:tc>
          <w:tcPr>
            <w:tcW w:w="300" w:type="dxa"/>
            <w:vAlign w:val="bottom"/>
            <w:gridSpan w:val="2"/>
          </w:tcPr>
          <w:p>
            <w:pPr>
              <w:spacing w:after="0"/>
              <w:rPr>
                <w:sz w:val="14"/>
                <w:szCs w:val="14"/>
                <w:color w:val="auto"/>
              </w:rPr>
            </w:pPr>
          </w:p>
        </w:tc>
        <w:tc>
          <w:tcPr>
            <w:tcW w:w="18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(a)</w:t>
            </w:r>
          </w:p>
        </w:tc>
        <w:tc>
          <w:tcPr>
            <w:tcW w:w="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680" w:type="dxa"/>
            <w:vAlign w:val="bottom"/>
            <w:tcBorders>
              <w:bottom w:val="single" w:sz="8" w:color="auto"/>
            </w:tcBorders>
            <w:gridSpan w:val="3"/>
          </w:tcPr>
          <w:p>
            <w:pPr>
              <w:spacing w:after="0"/>
              <w:rPr>
                <w:sz w:val="20"/>
                <w:szCs w:val="20"/>
                <w:color w:val="auto"/>
              </w:rPr>
            </w:pPr>
            <w:r>
              <w:rPr>
                <w:rFonts w:ascii="Arial" w:cs="Arial" w:eastAsia="Arial" w:hAnsi="Arial"/>
                <w:sz w:val="14"/>
                <w:szCs w:val="14"/>
                <w:b w:val="1"/>
                <w:bCs w:val="1"/>
                <w:color w:val="auto"/>
                <w:w w:val="89"/>
              </w:rPr>
              <w:t>(Liabilities)</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600" w:type="dxa"/>
            <w:vAlign w:val="bottom"/>
            <w:shd w:val="clear" w:color="auto" w:fill="CCEEFF"/>
          </w:tcPr>
          <w:p>
            <w:pPr>
              <w:spacing w:after="0"/>
              <w:rPr>
                <w:sz w:val="20"/>
                <w:szCs w:val="20"/>
                <w:color w:val="auto"/>
              </w:rPr>
            </w:pPr>
            <w:r>
              <w:rPr>
                <w:rFonts w:ascii="Arial" w:cs="Arial" w:eastAsia="Arial" w:hAnsi="Arial"/>
                <w:sz w:val="18"/>
                <w:szCs w:val="18"/>
                <w:color w:val="auto"/>
              </w:rPr>
              <w:t>Balance at July 10, 2009</w:t>
            </w:r>
          </w:p>
        </w:tc>
        <w:tc>
          <w:tcPr>
            <w:tcW w:w="2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52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w:t>
            </w:r>
          </w:p>
        </w:tc>
        <w:tc>
          <w:tcPr>
            <w:tcW w:w="48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center"/>
              <w:ind w:right="72"/>
              <w:spacing w:after="0"/>
              <w:rPr>
                <w:sz w:val="20"/>
                <w:szCs w:val="20"/>
                <w:color w:val="auto"/>
              </w:rPr>
            </w:pPr>
            <w:r>
              <w:rPr>
                <w:rFonts w:ascii="Arial" w:cs="Arial" w:eastAsia="Arial" w:hAnsi="Arial"/>
                <w:sz w:val="18"/>
                <w:szCs w:val="18"/>
                <w:color w:val="auto"/>
                <w:w w:val="99"/>
              </w:rPr>
              <w:t>—</w:t>
            </w:r>
          </w:p>
        </w:tc>
        <w:tc>
          <w:tcPr>
            <w:tcW w:w="48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52"/>
              <w:spacing w:after="0"/>
              <w:rPr>
                <w:sz w:val="20"/>
                <w:szCs w:val="20"/>
                <w:color w:val="auto"/>
              </w:rPr>
            </w:pPr>
            <w:r>
              <w:rPr>
                <w:rFonts w:ascii="Arial" w:cs="Arial" w:eastAsia="Arial" w:hAnsi="Arial"/>
                <w:sz w:val="18"/>
                <w:szCs w:val="18"/>
                <w:color w:val="auto"/>
                <w:w w:val="87"/>
              </w:rPr>
              <w:t>(1,430)</w:t>
            </w:r>
          </w:p>
        </w:tc>
        <w:tc>
          <w:tcPr>
            <w:tcW w:w="2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spacing w:after="0"/>
              <w:rPr>
                <w:sz w:val="18"/>
                <w:szCs w:val="18"/>
                <w:color w:val="auto"/>
              </w:rPr>
            </w:pPr>
          </w:p>
        </w:tc>
        <w:tc>
          <w:tcPr>
            <w:tcW w:w="52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360" w:type="dxa"/>
            <w:vAlign w:val="bottom"/>
            <w:gridSpan w:val="3"/>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50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50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w w:val="79"/>
              </w:rPr>
              <w:t>$</w:t>
            </w: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1"/>
              </w:rPr>
              <w:t>(1,430)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tcPr>
          <w:p>
            <w:pPr>
              <w:spacing w:after="0"/>
              <w:rPr>
                <w:sz w:val="20"/>
                <w:szCs w:val="20"/>
                <w:color w:val="auto"/>
              </w:rPr>
            </w:pPr>
            <w:r>
              <w:rPr>
                <w:rFonts w:ascii="Arial" w:cs="Arial" w:eastAsia="Arial" w:hAnsi="Arial"/>
                <w:sz w:val="18"/>
                <w:szCs w:val="18"/>
                <w:color w:val="auto"/>
              </w:rPr>
              <w:t>Total realized/unrealized gains (losses)</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Included in earnings</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center"/>
              <w:ind w:right="72"/>
              <w:spacing w:after="0"/>
              <w:rPr>
                <w:sz w:val="20"/>
                <w:szCs w:val="20"/>
                <w:color w:val="auto"/>
              </w:rPr>
            </w:pPr>
            <w:r>
              <w:rPr>
                <w:rFonts w:ascii="Arial" w:cs="Arial" w:eastAsia="Arial" w:hAnsi="Arial"/>
                <w:sz w:val="18"/>
                <w:szCs w:val="18"/>
                <w:color w:val="auto"/>
                <w:w w:val="99"/>
              </w:rPr>
              <w:t>—</w:t>
            </w:r>
          </w:p>
        </w:tc>
        <w:tc>
          <w:tcPr>
            <w:tcW w:w="2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12"/>
              <w:spacing w:after="0"/>
              <w:rPr>
                <w:sz w:val="20"/>
                <w:szCs w:val="20"/>
                <w:color w:val="auto"/>
              </w:rPr>
            </w:pPr>
            <w:r>
              <w:rPr>
                <w:rFonts w:ascii="Arial" w:cs="Arial" w:eastAsia="Arial" w:hAnsi="Arial"/>
                <w:sz w:val="18"/>
                <w:szCs w:val="18"/>
                <w:color w:val="auto"/>
              </w:rPr>
              <w:t>177</w:t>
            </w:r>
          </w:p>
        </w:tc>
        <w:tc>
          <w:tcPr>
            <w:tcW w:w="2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52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177</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4600" w:type="dxa"/>
            <w:vAlign w:val="bottom"/>
          </w:tcPr>
          <w:p>
            <w:pPr>
              <w:ind w:left="200"/>
              <w:spacing w:after="0"/>
              <w:rPr>
                <w:sz w:val="20"/>
                <w:szCs w:val="20"/>
                <w:color w:val="auto"/>
              </w:rPr>
            </w:pPr>
            <w:r>
              <w:rPr>
                <w:rFonts w:ascii="Arial" w:cs="Arial" w:eastAsia="Arial" w:hAnsi="Arial"/>
                <w:sz w:val="18"/>
                <w:szCs w:val="18"/>
                <w:color w:val="auto"/>
              </w:rPr>
              <w:t>Included in Accumulated other comprehensive income</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600" w:type="dxa"/>
            <w:vAlign w:val="bottom"/>
          </w:tcPr>
          <w:p>
            <w:pPr>
              <w:ind w:left="420"/>
              <w:spacing w:after="0"/>
              <w:rPr>
                <w:sz w:val="20"/>
                <w:szCs w:val="20"/>
                <w:color w:val="auto"/>
              </w:rPr>
            </w:pPr>
            <w:r>
              <w:rPr>
                <w:rFonts w:ascii="Arial" w:cs="Arial" w:eastAsia="Arial" w:hAnsi="Arial"/>
                <w:sz w:val="18"/>
                <w:szCs w:val="18"/>
                <w:color w:val="auto"/>
              </w:rPr>
              <w:t>(loss)</w:t>
            </w: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20" w:type="dxa"/>
            <w:vAlign w:val="bottom"/>
            <w:gridSpan w:val="2"/>
          </w:tcPr>
          <w:p>
            <w:pPr>
              <w:ind w:left="8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80" w:type="dxa"/>
            <w:vAlign w:val="bottom"/>
            <w:gridSpan w:val="2"/>
          </w:tcPr>
          <w:p>
            <w:pPr>
              <w:jc w:val="center"/>
              <w:ind w:right="72"/>
              <w:spacing w:after="0"/>
              <w:rPr>
                <w:sz w:val="20"/>
                <w:szCs w:val="20"/>
                <w:color w:val="auto"/>
              </w:rPr>
            </w:pPr>
            <w:r>
              <w:rPr>
                <w:rFonts w:ascii="Arial" w:cs="Arial" w:eastAsia="Arial" w:hAnsi="Arial"/>
                <w:sz w:val="18"/>
                <w:szCs w:val="18"/>
                <w:color w:val="auto"/>
                <w:w w:val="99"/>
              </w:rPr>
              <w:t>—</w:t>
            </w:r>
          </w:p>
        </w:tc>
        <w:tc>
          <w:tcPr>
            <w:tcW w:w="2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gridSpan w:val="2"/>
          </w:tcPr>
          <w:p>
            <w:pPr>
              <w:jc w:val="right"/>
              <w:ind w:right="152"/>
              <w:spacing w:after="0"/>
              <w:rPr>
                <w:sz w:val="20"/>
                <w:szCs w:val="20"/>
                <w:color w:val="auto"/>
              </w:rPr>
            </w:pPr>
            <w:r>
              <w:rPr>
                <w:rFonts w:ascii="Arial" w:cs="Arial" w:eastAsia="Arial" w:hAnsi="Arial"/>
                <w:sz w:val="18"/>
                <w:szCs w:val="18"/>
                <w:color w:val="auto"/>
              </w:rPr>
              <w:t>(86)</w:t>
            </w:r>
          </w:p>
        </w:tc>
        <w:tc>
          <w:tcPr>
            <w:tcW w:w="2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520" w:type="dxa"/>
            <w:vAlign w:val="bottom"/>
            <w:gridSpan w:val="3"/>
          </w:tcPr>
          <w:p>
            <w:pPr>
              <w:jc w:val="right"/>
              <w:ind w:right="3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00" w:type="dxa"/>
            <w:vAlign w:val="bottom"/>
            <w:gridSpan w:val="2"/>
          </w:tcPr>
          <w:p>
            <w:pPr>
              <w:ind w:left="24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gridSpan w:val="2"/>
          </w:tcPr>
          <w:p>
            <w:pPr>
              <w:jc w:val="right"/>
              <w:ind w:right="40"/>
              <w:spacing w:after="0"/>
              <w:rPr>
                <w:sz w:val="20"/>
                <w:szCs w:val="20"/>
                <w:color w:val="auto"/>
              </w:rPr>
            </w:pPr>
            <w:r>
              <w:rPr>
                <w:rFonts w:ascii="Arial" w:cs="Arial" w:eastAsia="Arial" w:hAnsi="Arial"/>
                <w:sz w:val="18"/>
                <w:szCs w:val="18"/>
                <w:color w:val="auto"/>
              </w:rPr>
              <w:t>(86)</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4600" w:type="dxa"/>
            <w:vAlign w:val="bottom"/>
            <w:shd w:val="clear" w:color="auto" w:fill="CCEEFF"/>
          </w:tcPr>
          <w:p>
            <w:pPr>
              <w:spacing w:after="0"/>
              <w:rPr>
                <w:sz w:val="20"/>
                <w:szCs w:val="20"/>
                <w:color w:val="auto"/>
              </w:rPr>
            </w:pPr>
            <w:r>
              <w:rPr>
                <w:rFonts w:ascii="Arial" w:cs="Arial" w:eastAsia="Arial" w:hAnsi="Arial"/>
                <w:sz w:val="18"/>
                <w:szCs w:val="18"/>
                <w:color w:val="auto"/>
              </w:rPr>
              <w:t>Purchases, issuances and settlements</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center"/>
              <w:ind w:right="72"/>
              <w:spacing w:after="0"/>
              <w:rPr>
                <w:sz w:val="20"/>
                <w:szCs w:val="20"/>
                <w:color w:val="auto"/>
              </w:rPr>
            </w:pPr>
            <w:r>
              <w:rPr>
                <w:rFonts w:ascii="Arial" w:cs="Arial" w:eastAsia="Arial" w:hAnsi="Arial"/>
                <w:sz w:val="18"/>
                <w:szCs w:val="18"/>
                <w:color w:val="auto"/>
                <w:w w:val="99"/>
              </w:rPr>
              <w:t>—</w:t>
            </w:r>
          </w:p>
        </w:tc>
        <w:tc>
          <w:tcPr>
            <w:tcW w:w="2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12"/>
              <w:spacing w:after="0"/>
              <w:rPr>
                <w:sz w:val="20"/>
                <w:szCs w:val="20"/>
                <w:color w:val="auto"/>
              </w:rPr>
            </w:pPr>
            <w:r>
              <w:rPr>
                <w:rFonts w:ascii="Arial" w:cs="Arial" w:eastAsia="Arial" w:hAnsi="Arial"/>
                <w:sz w:val="18"/>
                <w:szCs w:val="18"/>
                <w:color w:val="auto"/>
              </w:rPr>
              <w:t>362</w:t>
            </w:r>
          </w:p>
        </w:tc>
        <w:tc>
          <w:tcPr>
            <w:tcW w:w="2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52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362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tcPr>
          <w:p>
            <w:pPr>
              <w:spacing w:after="0"/>
              <w:rPr>
                <w:sz w:val="20"/>
                <w:szCs w:val="20"/>
                <w:color w:val="auto"/>
              </w:rPr>
            </w:pPr>
            <w:r>
              <w:rPr>
                <w:rFonts w:ascii="Arial" w:cs="Arial" w:eastAsia="Arial" w:hAnsi="Arial"/>
                <w:sz w:val="18"/>
                <w:szCs w:val="18"/>
                <w:color w:val="auto"/>
              </w:rPr>
              <w:t>Transfer in and/or out of Level 3</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gridSpan w:val="2"/>
          </w:tcPr>
          <w:p>
            <w:pPr>
              <w:ind w:left="8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gridSpan w:val="2"/>
          </w:tcPr>
          <w:p>
            <w:pPr>
              <w:jc w:val="center"/>
              <w:ind w:right="72"/>
              <w:spacing w:after="0"/>
              <w:rPr>
                <w:sz w:val="20"/>
                <w:szCs w:val="20"/>
                <w:color w:val="auto"/>
              </w:rPr>
            </w:pPr>
            <w:r>
              <w:rPr>
                <w:rFonts w:ascii="Arial" w:cs="Arial" w:eastAsia="Arial" w:hAnsi="Arial"/>
                <w:sz w:val="18"/>
                <w:szCs w:val="18"/>
                <w:color w:val="auto"/>
                <w:w w:val="99"/>
              </w:rPr>
              <w:t>—</w:t>
            </w: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3"/>
          </w:tcPr>
          <w:p>
            <w:pPr>
              <w:jc w:val="right"/>
              <w:ind w:right="48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520" w:type="dxa"/>
            <w:vAlign w:val="bottom"/>
            <w:gridSpan w:val="3"/>
          </w:tcPr>
          <w:p>
            <w:pPr>
              <w:jc w:val="right"/>
              <w:ind w:right="3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gridSpan w:val="2"/>
          </w:tcPr>
          <w:p>
            <w:pPr>
              <w:ind w:left="24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60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2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00" w:type="dxa"/>
            <w:vAlign w:val="bottom"/>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00" w:type="dxa"/>
            <w:vAlign w:val="bottom"/>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600" w:type="dxa"/>
            <w:vAlign w:val="bottom"/>
            <w:shd w:val="clear" w:color="auto" w:fill="CCEEFF"/>
          </w:tcPr>
          <w:p>
            <w:pPr>
              <w:spacing w:after="0"/>
              <w:rPr>
                <w:sz w:val="20"/>
                <w:szCs w:val="20"/>
                <w:color w:val="auto"/>
              </w:rPr>
            </w:pPr>
            <w:r>
              <w:rPr>
                <w:rFonts w:ascii="Arial" w:cs="Arial" w:eastAsia="Arial" w:hAnsi="Arial"/>
                <w:sz w:val="18"/>
                <w:szCs w:val="18"/>
                <w:color w:val="auto"/>
              </w:rPr>
              <w:t>Balance at September 30, 2009</w:t>
            </w:r>
          </w:p>
        </w:tc>
        <w:tc>
          <w:tcPr>
            <w:tcW w:w="2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52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w:t>
            </w:r>
          </w:p>
        </w:tc>
        <w:tc>
          <w:tcPr>
            <w:tcW w:w="48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center"/>
              <w:ind w:right="72"/>
              <w:spacing w:after="0"/>
              <w:rPr>
                <w:sz w:val="20"/>
                <w:szCs w:val="20"/>
                <w:color w:val="auto"/>
              </w:rPr>
            </w:pPr>
            <w:r>
              <w:rPr>
                <w:rFonts w:ascii="Arial" w:cs="Arial" w:eastAsia="Arial" w:hAnsi="Arial"/>
                <w:sz w:val="18"/>
                <w:szCs w:val="18"/>
                <w:color w:val="auto"/>
                <w:w w:val="99"/>
              </w:rPr>
              <w:t>—</w:t>
            </w:r>
          </w:p>
        </w:tc>
        <w:tc>
          <w:tcPr>
            <w:tcW w:w="48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52"/>
              <w:spacing w:after="0"/>
              <w:rPr>
                <w:sz w:val="20"/>
                <w:szCs w:val="20"/>
                <w:color w:val="auto"/>
              </w:rPr>
            </w:pPr>
            <w:r>
              <w:rPr>
                <w:rFonts w:ascii="Arial" w:cs="Arial" w:eastAsia="Arial" w:hAnsi="Arial"/>
                <w:sz w:val="18"/>
                <w:szCs w:val="18"/>
                <w:color w:val="auto"/>
              </w:rPr>
              <w:t>(977)</w:t>
            </w:r>
          </w:p>
        </w:tc>
        <w:tc>
          <w:tcPr>
            <w:tcW w:w="2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spacing w:after="0"/>
              <w:rPr>
                <w:sz w:val="18"/>
                <w:szCs w:val="18"/>
                <w:color w:val="auto"/>
              </w:rPr>
            </w:pPr>
          </w:p>
        </w:tc>
        <w:tc>
          <w:tcPr>
            <w:tcW w:w="52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360" w:type="dxa"/>
            <w:vAlign w:val="bottom"/>
            <w:gridSpan w:val="3"/>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50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50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w w:val="79"/>
              </w:rPr>
              <w:t>$</w:t>
            </w: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(977)</w:t>
            </w:r>
          </w:p>
        </w:tc>
        <w:tc>
          <w:tcPr>
            <w:tcW w:w="0" w:type="dxa"/>
            <w:vAlign w:val="bottom"/>
          </w:tcPr>
          <w:p>
            <w:pPr>
              <w:spacing w:after="0"/>
              <w:rPr>
                <w:sz w:val="1"/>
                <w:szCs w:val="1"/>
                <w:color w:val="auto"/>
              </w:rPr>
            </w:pPr>
          </w:p>
        </w:tc>
      </w:tr>
      <w:tr>
        <w:trPr>
          <w:trHeight w:val="20"/>
        </w:trPr>
        <w:tc>
          <w:tcPr>
            <w:tcW w:w="4620" w:type="dxa"/>
            <w:vAlign w:val="bottom"/>
            <w:gridSpan w:val="2"/>
            <w:vMerge w:val="restart"/>
          </w:tcPr>
          <w:p>
            <w:pPr>
              <w:spacing w:after="0"/>
              <w:rPr>
                <w:sz w:val="20"/>
                <w:szCs w:val="20"/>
                <w:color w:val="auto"/>
              </w:rPr>
            </w:pPr>
            <w:r>
              <w:rPr>
                <w:rFonts w:ascii="Arial" w:cs="Arial" w:eastAsia="Arial" w:hAnsi="Arial"/>
                <w:sz w:val="18"/>
                <w:szCs w:val="18"/>
                <w:color w:val="auto"/>
                <w:w w:val="98"/>
              </w:rPr>
              <w:t>Amount of total gains and (losses) in the period included in</w:t>
            </w: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2"/>
        </w:trPr>
        <w:tc>
          <w:tcPr>
            <w:tcW w:w="4620" w:type="dxa"/>
            <w:vAlign w:val="bottom"/>
            <w:gridSpan w:val="2"/>
            <w:vMerge w:val="continue"/>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tcPr>
          <w:p>
            <w:pPr>
              <w:ind w:left="200"/>
              <w:spacing w:after="0"/>
              <w:rPr>
                <w:sz w:val="20"/>
                <w:szCs w:val="20"/>
                <w:color w:val="auto"/>
              </w:rPr>
            </w:pPr>
            <w:r>
              <w:rPr>
                <w:rFonts w:ascii="Arial" w:cs="Arial" w:eastAsia="Arial" w:hAnsi="Arial"/>
                <w:sz w:val="18"/>
                <w:szCs w:val="18"/>
                <w:color w:val="auto"/>
                <w:w w:val="96"/>
              </w:rPr>
              <w:t>earnings attributable to the change in unrealized gains or</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600" w:type="dxa"/>
            <w:vAlign w:val="bottom"/>
          </w:tcPr>
          <w:p>
            <w:pPr>
              <w:ind w:left="200"/>
              <w:spacing w:after="0"/>
              <w:rPr>
                <w:sz w:val="20"/>
                <w:szCs w:val="20"/>
                <w:color w:val="auto"/>
              </w:rPr>
            </w:pPr>
            <w:r>
              <w:rPr>
                <w:rFonts w:ascii="Arial" w:cs="Arial" w:eastAsia="Arial" w:hAnsi="Arial"/>
                <w:sz w:val="18"/>
                <w:szCs w:val="18"/>
                <w:color w:val="auto"/>
                <w:w w:val="99"/>
              </w:rPr>
              <w:t>(losses) relating to assets still held at the reporting date</w:t>
            </w:r>
          </w:p>
        </w:tc>
        <w:tc>
          <w:tcPr>
            <w:tcW w:w="240" w:type="dxa"/>
            <w:vAlign w:val="bottom"/>
          </w:tcPr>
          <w:p>
            <w:pPr>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520" w:type="dxa"/>
            <w:vAlign w:val="bottom"/>
            <w:gridSpan w:val="2"/>
          </w:tcPr>
          <w:p>
            <w:pPr>
              <w:ind w:left="80"/>
              <w:spacing w:after="0"/>
              <w:rPr>
                <w:sz w:val="20"/>
                <w:szCs w:val="20"/>
                <w:color w:val="auto"/>
              </w:rPr>
            </w:pPr>
            <w:r>
              <w:rPr>
                <w:rFonts w:ascii="Arial" w:cs="Arial" w:eastAsia="Arial" w:hAnsi="Arial"/>
                <w:sz w:val="18"/>
                <w:szCs w:val="18"/>
                <w:color w:val="auto"/>
              </w:rPr>
              <w:t>—</w:t>
            </w:r>
          </w:p>
        </w:tc>
        <w:tc>
          <w:tcPr>
            <w:tcW w:w="48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580" w:type="dxa"/>
            <w:vAlign w:val="bottom"/>
            <w:gridSpan w:val="2"/>
          </w:tcPr>
          <w:p>
            <w:pPr>
              <w:jc w:val="center"/>
              <w:ind w:right="72"/>
              <w:spacing w:after="0"/>
              <w:rPr>
                <w:sz w:val="20"/>
                <w:szCs w:val="20"/>
                <w:color w:val="auto"/>
              </w:rPr>
            </w:pPr>
            <w:r>
              <w:rPr>
                <w:rFonts w:ascii="Arial" w:cs="Arial" w:eastAsia="Arial" w:hAnsi="Arial"/>
                <w:sz w:val="18"/>
                <w:szCs w:val="18"/>
                <w:color w:val="auto"/>
                <w:w w:val="99"/>
              </w:rPr>
              <w:t>—</w:t>
            </w:r>
          </w:p>
        </w:tc>
        <w:tc>
          <w:tcPr>
            <w:tcW w:w="480" w:type="dxa"/>
            <w:vAlign w:val="bottom"/>
            <w:gridSpan w:val="2"/>
          </w:tcPr>
          <w:p>
            <w:pPr>
              <w:ind w:left="2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740" w:type="dxa"/>
            <w:vAlign w:val="bottom"/>
            <w:gridSpan w:val="2"/>
          </w:tcPr>
          <w:p>
            <w:pPr>
              <w:jc w:val="right"/>
              <w:ind w:right="212"/>
              <w:spacing w:after="0"/>
              <w:rPr>
                <w:sz w:val="20"/>
                <w:szCs w:val="20"/>
                <w:color w:val="auto"/>
              </w:rPr>
            </w:pPr>
            <w:r>
              <w:rPr>
                <w:rFonts w:ascii="Arial" w:cs="Arial" w:eastAsia="Arial" w:hAnsi="Arial"/>
                <w:sz w:val="18"/>
                <w:szCs w:val="18"/>
                <w:color w:val="auto"/>
              </w:rPr>
              <w:t>163</w:t>
            </w:r>
          </w:p>
        </w:tc>
        <w:tc>
          <w:tcPr>
            <w:tcW w:w="200" w:type="dxa"/>
            <w:vAlign w:val="bottom"/>
          </w:tcPr>
          <w:p>
            <w:pPr>
              <w:spacing w:after="0"/>
              <w:rPr>
                <w:sz w:val="19"/>
                <w:szCs w:val="19"/>
                <w:color w:val="auto"/>
              </w:rPr>
            </w:pPr>
          </w:p>
        </w:tc>
        <w:tc>
          <w:tcPr>
            <w:tcW w:w="300" w:type="dxa"/>
            <w:vAlign w:val="bottom"/>
          </w:tcPr>
          <w:p>
            <w:pPr>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9"/>
                <w:szCs w:val="19"/>
                <w:color w:val="auto"/>
              </w:rPr>
            </w:pPr>
          </w:p>
        </w:tc>
        <w:tc>
          <w:tcPr>
            <w:tcW w:w="520" w:type="dxa"/>
            <w:vAlign w:val="bottom"/>
            <w:gridSpan w:val="3"/>
          </w:tcPr>
          <w:p>
            <w:pPr>
              <w:jc w:val="right"/>
              <w:ind w:right="300"/>
              <w:spacing w:after="0"/>
              <w:rPr>
                <w:sz w:val="20"/>
                <w:szCs w:val="20"/>
                <w:color w:val="auto"/>
              </w:rPr>
            </w:pPr>
            <w:r>
              <w:rPr>
                <w:rFonts w:ascii="Arial" w:cs="Arial" w:eastAsia="Arial" w:hAnsi="Arial"/>
                <w:sz w:val="18"/>
                <w:szCs w:val="18"/>
                <w:color w:val="auto"/>
              </w:rPr>
              <w:t>—</w:t>
            </w:r>
          </w:p>
        </w:tc>
        <w:tc>
          <w:tcPr>
            <w:tcW w:w="360" w:type="dxa"/>
            <w:vAlign w:val="bottom"/>
            <w:gridSpan w:val="3"/>
          </w:tcPr>
          <w:p>
            <w:pPr>
              <w:ind w:left="180"/>
              <w:spacing w:after="0"/>
              <w:rPr>
                <w:sz w:val="20"/>
                <w:szCs w:val="20"/>
                <w:color w:val="auto"/>
              </w:rPr>
            </w:pPr>
            <w:r>
              <w:rPr>
                <w:rFonts w:ascii="Arial" w:cs="Arial" w:eastAsia="Arial" w:hAnsi="Arial"/>
                <w:sz w:val="18"/>
                <w:szCs w:val="18"/>
                <w:color w:val="auto"/>
              </w:rPr>
              <w:t>$</w:t>
            </w:r>
          </w:p>
        </w:tc>
        <w:tc>
          <w:tcPr>
            <w:tcW w:w="500" w:type="dxa"/>
            <w:vAlign w:val="bottom"/>
            <w:gridSpan w:val="2"/>
          </w:tcPr>
          <w:p>
            <w:pPr>
              <w:ind w:left="240"/>
              <w:spacing w:after="0"/>
              <w:rPr>
                <w:sz w:val="20"/>
                <w:szCs w:val="20"/>
                <w:color w:val="auto"/>
              </w:rPr>
            </w:pPr>
            <w:r>
              <w:rPr>
                <w:rFonts w:ascii="Arial" w:cs="Arial" w:eastAsia="Arial" w:hAnsi="Arial"/>
                <w:sz w:val="18"/>
                <w:szCs w:val="18"/>
                <w:color w:val="auto"/>
              </w:rPr>
              <w:t>—</w:t>
            </w:r>
          </w:p>
        </w:tc>
        <w:tc>
          <w:tcPr>
            <w:tcW w:w="500" w:type="dxa"/>
            <w:vAlign w:val="bottom"/>
            <w:gridSpan w:val="2"/>
          </w:tcPr>
          <w:p>
            <w:pPr>
              <w:ind w:left="400"/>
              <w:spacing w:after="0"/>
              <w:rPr>
                <w:sz w:val="20"/>
                <w:szCs w:val="20"/>
                <w:color w:val="auto"/>
              </w:rPr>
            </w:pPr>
            <w:r>
              <w:rPr>
                <w:rFonts w:ascii="Arial" w:cs="Arial" w:eastAsia="Arial" w:hAnsi="Arial"/>
                <w:sz w:val="18"/>
                <w:szCs w:val="18"/>
                <w:color w:val="auto"/>
                <w:w w:val="79"/>
              </w:rPr>
              <w:t>$</w:t>
            </w:r>
          </w:p>
        </w:tc>
        <w:tc>
          <w:tcPr>
            <w:tcW w:w="100" w:type="dxa"/>
            <w:vAlign w:val="bottom"/>
          </w:tcPr>
          <w:p>
            <w:pPr>
              <w:spacing w:after="0"/>
              <w:rPr>
                <w:sz w:val="19"/>
                <w:szCs w:val="19"/>
                <w:color w:val="auto"/>
              </w:rPr>
            </w:pPr>
          </w:p>
        </w:tc>
        <w:tc>
          <w:tcPr>
            <w:tcW w:w="580" w:type="dxa"/>
            <w:vAlign w:val="bottom"/>
            <w:gridSpan w:val="2"/>
          </w:tcPr>
          <w:p>
            <w:pPr>
              <w:jc w:val="right"/>
              <w:ind w:right="100"/>
              <w:spacing w:after="0"/>
              <w:rPr>
                <w:sz w:val="20"/>
                <w:szCs w:val="20"/>
                <w:color w:val="auto"/>
              </w:rPr>
            </w:pPr>
            <w:r>
              <w:rPr>
                <w:rFonts w:ascii="Arial" w:cs="Arial" w:eastAsia="Arial" w:hAnsi="Arial"/>
                <w:sz w:val="18"/>
                <w:szCs w:val="18"/>
                <w:color w:val="auto"/>
              </w:rPr>
              <w:t>163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6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20" w:type="dxa"/>
            <w:vAlign w:val="bottom"/>
          </w:tcPr>
          <w:p>
            <w:pPr>
              <w:spacing w:after="0"/>
              <w:rPr>
                <w:sz w:val="24"/>
                <w:szCs w:val="24"/>
                <w:color w:val="auto"/>
              </w:rPr>
            </w:pPr>
          </w:p>
        </w:tc>
        <w:tc>
          <w:tcPr>
            <w:tcW w:w="46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80" w:type="dxa"/>
            <w:vAlign w:val="bottom"/>
            <w:gridSpan w:val="2"/>
          </w:tcPr>
          <w:p>
            <w:pPr>
              <w:jc w:val="right"/>
              <w:ind w:right="92"/>
              <w:spacing w:after="0"/>
              <w:rPr>
                <w:sz w:val="20"/>
                <w:szCs w:val="20"/>
                <w:color w:val="auto"/>
              </w:rPr>
            </w:pPr>
            <w:r>
              <w:rPr>
                <w:rFonts w:ascii="Arial" w:cs="Arial" w:eastAsia="Arial" w:hAnsi="Arial"/>
                <w:sz w:val="18"/>
                <w:szCs w:val="18"/>
                <w:color w:val="auto"/>
              </w:rPr>
              <w:t>55</w:t>
            </w: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57" w:name="page58"/>
    <w:bookmarkEnd w:id="5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33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3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380" w:type="dxa"/>
            <w:vAlign w:val="bottom"/>
            <w:tcBorders>
              <w:bottom w:val="single" w:sz="8" w:color="auto"/>
            </w:tcBorders>
            <w:gridSpan w:val="7"/>
          </w:tcPr>
          <w:p>
            <w:pPr>
              <w:jc w:val="right"/>
              <w:ind w:right="1040"/>
              <w:spacing w:after="0"/>
              <w:rPr>
                <w:sz w:val="20"/>
                <w:szCs w:val="20"/>
                <w:color w:val="auto"/>
              </w:rPr>
            </w:pPr>
            <w:r>
              <w:rPr>
                <w:rFonts w:ascii="Arial" w:cs="Arial" w:eastAsia="Arial" w:hAnsi="Arial"/>
                <w:sz w:val="14"/>
                <w:szCs w:val="14"/>
                <w:b w:val="1"/>
                <w:bCs w:val="1"/>
                <w:color w:val="auto"/>
              </w:rPr>
              <w:t>Predecessor</w:t>
            </w:r>
          </w:p>
        </w:tc>
        <w:tc>
          <w:tcPr>
            <w:tcW w:w="2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3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40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38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46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2560" w:type="dxa"/>
            <w:vAlign w:val="bottom"/>
            <w:tcBorders>
              <w:bottom w:val="single" w:sz="8" w:color="auto"/>
            </w:tcBorders>
            <w:gridSpan w:val="9"/>
          </w:tcPr>
          <w:p>
            <w:pPr>
              <w:ind w:left="20"/>
              <w:spacing w:after="0" w:line="142" w:lineRule="exact"/>
              <w:rPr>
                <w:sz w:val="20"/>
                <w:szCs w:val="20"/>
                <w:color w:val="auto"/>
              </w:rPr>
            </w:pPr>
            <w:r>
              <w:rPr>
                <w:rFonts w:ascii="Arial" w:cs="Arial" w:eastAsia="Arial" w:hAnsi="Arial"/>
                <w:sz w:val="14"/>
                <w:szCs w:val="14"/>
                <w:b w:val="1"/>
                <w:bCs w:val="1"/>
                <w:color w:val="auto"/>
                <w:w w:val="93"/>
              </w:rPr>
              <w:t>Level 3 Financial Assets and (Liabilities)</w:t>
            </w:r>
          </w:p>
        </w:tc>
        <w:tc>
          <w:tcPr>
            <w:tcW w:w="22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480" w:type="dxa"/>
            <w:vAlign w:val="bottom"/>
            <w:tcBorders>
              <w:bottom w:val="single" w:sz="8" w:color="auto"/>
            </w:tcBorders>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3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gridSpan w:val="3"/>
          </w:tcPr>
          <w:p>
            <w:pPr>
              <w:spacing w:after="0" w:line="129" w:lineRule="exact"/>
              <w:rPr>
                <w:sz w:val="20"/>
                <w:szCs w:val="20"/>
                <w:color w:val="auto"/>
              </w:rPr>
            </w:pPr>
            <w:r>
              <w:rPr>
                <w:rFonts w:ascii="Arial" w:cs="Arial" w:eastAsia="Arial" w:hAnsi="Arial"/>
                <w:sz w:val="14"/>
                <w:szCs w:val="14"/>
                <w:b w:val="1"/>
                <w:bCs w:val="1"/>
                <w:color w:val="auto"/>
                <w:w w:val="85"/>
              </w:rPr>
              <w:t>Mortgage-</w:t>
            </w:r>
          </w:p>
        </w:tc>
        <w:tc>
          <w:tcPr>
            <w:tcW w:w="3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3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gridSpan w:val="2"/>
          </w:tcPr>
          <w:p>
            <w:pPr>
              <w:ind w:left="20"/>
              <w:spacing w:after="0" w:line="149" w:lineRule="exact"/>
              <w:rPr>
                <w:sz w:val="20"/>
                <w:szCs w:val="20"/>
                <w:color w:val="auto"/>
              </w:rPr>
            </w:pPr>
            <w:r>
              <w:rPr>
                <w:rFonts w:ascii="Arial" w:cs="Arial" w:eastAsia="Arial" w:hAnsi="Arial"/>
                <w:sz w:val="14"/>
                <w:szCs w:val="14"/>
                <w:b w:val="1"/>
                <w:bCs w:val="1"/>
                <w:color w:val="auto"/>
                <w:w w:val="99"/>
              </w:rPr>
              <w:t>backed</w:t>
            </w:r>
          </w:p>
        </w:tc>
        <w:tc>
          <w:tcPr>
            <w:tcW w:w="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gridSpan w:val="4"/>
          </w:tcPr>
          <w:p>
            <w:pPr>
              <w:spacing w:after="0" w:line="149" w:lineRule="exact"/>
              <w:rPr>
                <w:sz w:val="20"/>
                <w:szCs w:val="20"/>
                <w:color w:val="auto"/>
              </w:rPr>
            </w:pPr>
            <w:r>
              <w:rPr>
                <w:rFonts w:ascii="Arial" w:cs="Arial" w:eastAsia="Arial" w:hAnsi="Arial"/>
                <w:sz w:val="14"/>
                <w:szCs w:val="14"/>
                <w:b w:val="1"/>
                <w:bCs w:val="1"/>
                <w:color w:val="auto"/>
              </w:rPr>
              <w:t>Commodity</w:t>
            </w: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gridSpan w:val="3"/>
          </w:tcPr>
          <w:p>
            <w:pPr>
              <w:jc w:val="right"/>
              <w:ind w:right="440"/>
              <w:spacing w:after="0" w:line="149" w:lineRule="exact"/>
              <w:rPr>
                <w:sz w:val="20"/>
                <w:szCs w:val="20"/>
                <w:color w:val="auto"/>
              </w:rPr>
            </w:pPr>
            <w:r>
              <w:rPr>
                <w:rFonts w:ascii="Arial" w:cs="Arial" w:eastAsia="Arial" w:hAnsi="Arial"/>
                <w:sz w:val="14"/>
                <w:szCs w:val="14"/>
                <w:b w:val="1"/>
                <w:bCs w:val="1"/>
                <w:color w:val="auto"/>
              </w:rPr>
              <w:t>Foreign</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60" w:type="dxa"/>
            <w:vAlign w:val="bottom"/>
            <w:gridSpan w:val="2"/>
          </w:tcPr>
          <w:p>
            <w:pPr>
              <w:jc w:val="right"/>
              <w:ind w:right="540"/>
              <w:spacing w:after="0" w:line="149" w:lineRule="exact"/>
              <w:rPr>
                <w:sz w:val="20"/>
                <w:szCs w:val="20"/>
                <w:color w:val="auto"/>
              </w:rPr>
            </w:pPr>
            <w:r>
              <w:rPr>
                <w:rFonts w:ascii="Arial" w:cs="Arial" w:eastAsia="Arial" w:hAnsi="Arial"/>
                <w:sz w:val="14"/>
                <w:szCs w:val="14"/>
                <w:b w:val="1"/>
                <w:bCs w:val="1"/>
                <w:color w:val="auto"/>
              </w:rPr>
              <w:t>Other</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96"/>
              </w:rPr>
              <w:t>Other</w:t>
            </w:r>
          </w:p>
        </w:tc>
        <w:tc>
          <w:tcPr>
            <w:tcW w:w="220" w:type="dxa"/>
            <w:vAlign w:val="bottom"/>
          </w:tcPr>
          <w:p>
            <w:pPr>
              <w:spacing w:after="0"/>
              <w:rPr>
                <w:sz w:val="12"/>
                <w:szCs w:val="12"/>
                <w:color w:val="auto"/>
              </w:rPr>
            </w:pPr>
          </w:p>
        </w:tc>
        <w:tc>
          <w:tcPr>
            <w:tcW w:w="780" w:type="dxa"/>
            <w:vAlign w:val="bottom"/>
            <w:gridSpan w:val="3"/>
          </w:tcPr>
          <w:p>
            <w:pPr>
              <w:jc w:val="center"/>
              <w:ind w:right="120"/>
              <w:spacing w:after="0" w:line="149" w:lineRule="exact"/>
              <w:rPr>
                <w:sz w:val="20"/>
                <w:szCs w:val="20"/>
                <w:color w:val="auto"/>
              </w:rPr>
            </w:pPr>
            <w:r>
              <w:rPr>
                <w:rFonts w:ascii="Arial" w:cs="Arial" w:eastAsia="Arial" w:hAnsi="Arial"/>
                <w:sz w:val="14"/>
                <w:szCs w:val="14"/>
                <w:b w:val="1"/>
                <w:bCs w:val="1"/>
                <w:color w:val="auto"/>
                <w:w w:val="90"/>
              </w:rPr>
              <w:t>Total Net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3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w w:val="86"/>
              </w:rPr>
              <w:t>Securities</w:t>
            </w:r>
          </w:p>
        </w:tc>
        <w:tc>
          <w:tcPr>
            <w:tcW w:w="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gridSpan w:val="4"/>
          </w:tcPr>
          <w:p>
            <w:pPr>
              <w:spacing w:after="0" w:line="149" w:lineRule="exact"/>
              <w:rPr>
                <w:sz w:val="20"/>
                <w:szCs w:val="20"/>
                <w:color w:val="auto"/>
              </w:rPr>
            </w:pPr>
            <w:r>
              <w:rPr>
                <w:rFonts w:ascii="Arial" w:cs="Arial" w:eastAsia="Arial" w:hAnsi="Arial"/>
                <w:sz w:val="14"/>
                <w:szCs w:val="14"/>
                <w:b w:val="1"/>
                <w:bCs w:val="1"/>
                <w:color w:val="auto"/>
              </w:rPr>
              <w:t>Derivatives,</w:t>
            </w: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gridSpan w:val="3"/>
          </w:tcPr>
          <w:p>
            <w:pPr>
              <w:jc w:val="right"/>
              <w:ind w:right="380"/>
              <w:spacing w:after="0" w:line="149" w:lineRule="exact"/>
              <w:rPr>
                <w:sz w:val="20"/>
                <w:szCs w:val="20"/>
                <w:color w:val="auto"/>
              </w:rPr>
            </w:pPr>
            <w:r>
              <w:rPr>
                <w:rFonts w:ascii="Arial" w:cs="Arial" w:eastAsia="Arial" w:hAnsi="Arial"/>
                <w:sz w:val="14"/>
                <w:szCs w:val="14"/>
                <w:b w:val="1"/>
                <w:bCs w:val="1"/>
                <w:color w:val="auto"/>
                <w:w w:val="94"/>
              </w:rPr>
              <w:t>Currency</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60" w:type="dxa"/>
            <w:vAlign w:val="bottom"/>
            <w:gridSpan w:val="2"/>
          </w:tcPr>
          <w:p>
            <w:pPr>
              <w:jc w:val="right"/>
              <w:ind w:right="400"/>
              <w:spacing w:after="0" w:line="149" w:lineRule="exact"/>
              <w:rPr>
                <w:sz w:val="20"/>
                <w:szCs w:val="20"/>
                <w:color w:val="auto"/>
              </w:rPr>
            </w:pPr>
            <w:r>
              <w:rPr>
                <w:rFonts w:ascii="Arial" w:cs="Arial" w:eastAsia="Arial" w:hAnsi="Arial"/>
                <w:sz w:val="14"/>
                <w:szCs w:val="14"/>
                <w:b w:val="1"/>
                <w:bCs w:val="1"/>
                <w:color w:val="auto"/>
                <w:w w:val="95"/>
              </w:rPr>
              <w:t>Derivative</w:t>
            </w:r>
          </w:p>
        </w:tc>
        <w:tc>
          <w:tcPr>
            <w:tcW w:w="220" w:type="dxa"/>
            <w:vAlign w:val="bottom"/>
          </w:tcPr>
          <w:p>
            <w:pPr>
              <w:spacing w:after="0"/>
              <w:rPr>
                <w:sz w:val="12"/>
                <w:szCs w:val="12"/>
                <w:color w:val="auto"/>
              </w:rPr>
            </w:pPr>
          </w:p>
        </w:tc>
        <w:tc>
          <w:tcPr>
            <w:tcW w:w="860" w:type="dxa"/>
            <w:vAlign w:val="bottom"/>
            <w:gridSpan w:val="3"/>
          </w:tcPr>
          <w:p>
            <w:pPr>
              <w:jc w:val="center"/>
              <w:ind w:right="300"/>
              <w:spacing w:after="0" w:line="149" w:lineRule="exact"/>
              <w:rPr>
                <w:sz w:val="20"/>
                <w:szCs w:val="20"/>
                <w:color w:val="auto"/>
              </w:rPr>
            </w:pPr>
            <w:r>
              <w:rPr>
                <w:rFonts w:ascii="Arial" w:cs="Arial" w:eastAsia="Arial" w:hAnsi="Arial"/>
                <w:sz w:val="14"/>
                <w:szCs w:val="14"/>
                <w:b w:val="1"/>
                <w:bCs w:val="1"/>
                <w:color w:val="auto"/>
                <w:w w:val="83"/>
              </w:rPr>
              <w:t>Securities</w:t>
            </w: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78"/>
              </w:rPr>
              <w:t>Assets</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3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gridSpan w:val="2"/>
          </w:tcPr>
          <w:p>
            <w:pPr>
              <w:jc w:val="right"/>
              <w:ind w:right="220"/>
              <w:spacing w:after="0"/>
              <w:rPr>
                <w:sz w:val="20"/>
                <w:szCs w:val="20"/>
                <w:color w:val="auto"/>
              </w:rPr>
            </w:pPr>
            <w:r>
              <w:rPr>
                <w:rFonts w:ascii="Arial" w:cs="Arial" w:eastAsia="Arial" w:hAnsi="Arial"/>
                <w:sz w:val="14"/>
                <w:szCs w:val="14"/>
                <w:b w:val="1"/>
                <w:bCs w:val="1"/>
                <w:color w:val="auto"/>
              </w:rPr>
              <w:t>(a)</w:t>
            </w:r>
          </w:p>
        </w:tc>
        <w:tc>
          <w:tcPr>
            <w:tcW w:w="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b w:val="1"/>
                <w:bCs w:val="1"/>
                <w:color w:val="auto"/>
              </w:rPr>
              <w:t>net (b)</w:t>
            </w:r>
          </w:p>
        </w:tc>
        <w:tc>
          <w:tcPr>
            <w:tcW w:w="1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40" w:type="dxa"/>
            <w:vAlign w:val="bottom"/>
            <w:tcBorders>
              <w:bottom w:val="single" w:sz="8" w:color="auto"/>
            </w:tcBorders>
            <w:gridSpan w:val="3"/>
          </w:tcPr>
          <w:p>
            <w:pPr>
              <w:spacing w:after="0"/>
              <w:rPr>
                <w:sz w:val="20"/>
                <w:szCs w:val="20"/>
                <w:color w:val="auto"/>
              </w:rPr>
            </w:pPr>
            <w:r>
              <w:rPr>
                <w:rFonts w:ascii="Arial" w:cs="Arial" w:eastAsia="Arial" w:hAnsi="Arial"/>
                <w:sz w:val="14"/>
                <w:szCs w:val="14"/>
                <w:b w:val="1"/>
                <w:bCs w:val="1"/>
                <w:color w:val="auto"/>
                <w:w w:val="85"/>
              </w:rPr>
              <w:t>Derivatives (c)</w:t>
            </w:r>
          </w:p>
        </w:tc>
        <w:tc>
          <w:tcPr>
            <w:tcW w:w="2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40" w:type="dxa"/>
            <w:vAlign w:val="bottom"/>
            <w:tcBorders>
              <w:bottom w:val="single" w:sz="8" w:color="auto"/>
            </w:tcBorders>
            <w:gridSpan w:val="2"/>
          </w:tcPr>
          <w:p>
            <w:pPr>
              <w:spacing w:after="0"/>
              <w:rPr>
                <w:sz w:val="20"/>
                <w:szCs w:val="20"/>
                <w:color w:val="auto"/>
              </w:rPr>
            </w:pPr>
            <w:r>
              <w:rPr>
                <w:rFonts w:ascii="Arial" w:cs="Arial" w:eastAsia="Arial" w:hAnsi="Arial"/>
                <w:sz w:val="14"/>
                <w:szCs w:val="14"/>
                <w:b w:val="1"/>
                <w:bCs w:val="1"/>
                <w:color w:val="auto"/>
                <w:w w:val="79"/>
              </w:rPr>
              <w:t>Instruments (a)</w:t>
            </w:r>
          </w:p>
        </w:tc>
        <w:tc>
          <w:tcPr>
            <w:tcW w:w="3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(a)</w:t>
            </w:r>
          </w:p>
        </w:tc>
        <w:tc>
          <w:tcPr>
            <w:tcW w:w="2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80" w:type="dxa"/>
            <w:vAlign w:val="bottom"/>
            <w:tcBorders>
              <w:bottom w:val="single" w:sz="8" w:color="auto"/>
            </w:tcBorders>
            <w:gridSpan w:val="2"/>
          </w:tcPr>
          <w:p>
            <w:pPr>
              <w:spacing w:after="0"/>
              <w:rPr>
                <w:sz w:val="20"/>
                <w:szCs w:val="20"/>
                <w:color w:val="auto"/>
              </w:rPr>
            </w:pPr>
            <w:r>
              <w:rPr>
                <w:rFonts w:ascii="Arial" w:cs="Arial" w:eastAsia="Arial" w:hAnsi="Arial"/>
                <w:sz w:val="14"/>
                <w:szCs w:val="14"/>
                <w:b w:val="1"/>
                <w:bCs w:val="1"/>
                <w:color w:val="auto"/>
                <w:w w:val="89"/>
              </w:rPr>
              <w:t>(Liabilities)</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4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Balance at July 1, 2009</w:t>
            </w:r>
          </w:p>
        </w:tc>
        <w:tc>
          <w:tcPr>
            <w:tcW w:w="200" w:type="dxa"/>
            <w:vAlign w:val="bottom"/>
            <w:gridSpan w:val="2"/>
            <w:shd w:val="clear" w:color="auto" w:fill="CCEEFF"/>
          </w:tcPr>
          <w:p>
            <w:pPr>
              <w:ind w:left="120"/>
              <w:spacing w:after="0"/>
              <w:rPr>
                <w:sz w:val="20"/>
                <w:szCs w:val="20"/>
                <w:color w:val="auto"/>
              </w:rPr>
            </w:pPr>
            <w:r>
              <w:rPr>
                <w:rFonts w:ascii="Arial" w:cs="Arial" w:eastAsia="Arial" w:hAnsi="Arial"/>
                <w:sz w:val="15"/>
                <w:szCs w:val="15"/>
                <w:color w:val="auto"/>
                <w:w w:val="71"/>
              </w:rPr>
              <w:t>$</w:t>
            </w: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gridSpan w:val="3"/>
            <w:shd w:val="clear" w:color="auto" w:fill="CCEEFF"/>
          </w:tcPr>
          <w:p>
            <w:pPr>
              <w:ind w:left="480"/>
              <w:spacing w:after="0"/>
              <w:rPr>
                <w:sz w:val="20"/>
                <w:szCs w:val="20"/>
                <w:color w:val="auto"/>
              </w:rPr>
            </w:pPr>
            <w:r>
              <w:rPr>
                <w:rFonts w:ascii="Arial" w:cs="Arial" w:eastAsia="Arial" w:hAnsi="Arial"/>
                <w:sz w:val="18"/>
                <w:szCs w:val="18"/>
                <w:color w:val="auto"/>
                <w:w w:val="99"/>
              </w:rPr>
              <w:t>$</w:t>
            </w:r>
          </w:p>
        </w:tc>
        <w:tc>
          <w:tcPr>
            <w:tcW w:w="740" w:type="dxa"/>
            <w:vAlign w:val="bottom"/>
            <w:gridSpan w:val="3"/>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400" w:type="dxa"/>
            <w:vAlign w:val="bottom"/>
            <w:gridSpan w:val="3"/>
            <w:shd w:val="clear" w:color="auto" w:fill="CCEEFF"/>
          </w:tcPr>
          <w:p>
            <w:pPr>
              <w:ind w:left="300"/>
              <w:spacing w:after="0"/>
              <w:rPr>
                <w:sz w:val="20"/>
                <w:szCs w:val="20"/>
                <w:color w:val="auto"/>
              </w:rPr>
            </w:pPr>
            <w:r>
              <w:rPr>
                <w:rFonts w:ascii="Arial" w:cs="Arial" w:eastAsia="Arial" w:hAnsi="Arial"/>
                <w:sz w:val="18"/>
                <w:szCs w:val="18"/>
                <w:color w:val="auto"/>
                <w:w w:val="79"/>
              </w:rPr>
              <w:t>$</w:t>
            </w:r>
          </w:p>
        </w:tc>
        <w:tc>
          <w:tcPr>
            <w:tcW w:w="98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(1,559)</w:t>
            </w:r>
          </w:p>
        </w:tc>
        <w:tc>
          <w:tcPr>
            <w:tcW w:w="34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w w:val="79"/>
              </w:rPr>
              <w:t>$</w:t>
            </w:r>
          </w:p>
        </w:tc>
        <w:tc>
          <w:tcPr>
            <w:tcW w:w="10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32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w w:val="79"/>
              </w:rPr>
              <w:t>$</w:t>
            </w:r>
          </w:p>
        </w:tc>
        <w:tc>
          <w:tcPr>
            <w:tcW w:w="76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34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w w:val="99"/>
              </w:rPr>
              <w:t>$</w:t>
            </w: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(1,559)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80" w:type="dxa"/>
            <w:vAlign w:val="bottom"/>
            <w:gridSpan w:val="2"/>
          </w:tcPr>
          <w:p>
            <w:pPr>
              <w:spacing w:after="0"/>
              <w:rPr>
                <w:sz w:val="20"/>
                <w:szCs w:val="20"/>
                <w:color w:val="auto"/>
              </w:rPr>
            </w:pPr>
            <w:r>
              <w:rPr>
                <w:rFonts w:ascii="Arial" w:cs="Arial" w:eastAsia="Arial" w:hAnsi="Arial"/>
                <w:sz w:val="18"/>
                <w:szCs w:val="18"/>
                <w:color w:val="auto"/>
              </w:rPr>
              <w:t>Total realized/unrealized gains (losses)</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8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Included in earnings</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gridSpan w:val="3"/>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26</w:t>
            </w:r>
          </w:p>
        </w:tc>
        <w:tc>
          <w:tcPr>
            <w:tcW w:w="24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22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4480" w:type="dxa"/>
            <w:vAlign w:val="bottom"/>
            <w:gridSpan w:val="2"/>
          </w:tcPr>
          <w:p>
            <w:pPr>
              <w:ind w:left="200"/>
              <w:spacing w:after="0"/>
              <w:rPr>
                <w:sz w:val="20"/>
                <w:szCs w:val="20"/>
                <w:color w:val="auto"/>
              </w:rPr>
            </w:pPr>
            <w:r>
              <w:rPr>
                <w:rFonts w:ascii="Arial" w:cs="Arial" w:eastAsia="Arial" w:hAnsi="Arial"/>
                <w:sz w:val="18"/>
                <w:szCs w:val="18"/>
                <w:color w:val="auto"/>
                <w:w w:val="98"/>
              </w:rPr>
              <w:t>Included in Accumulated other comprehensive income</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480" w:type="dxa"/>
            <w:vAlign w:val="bottom"/>
            <w:gridSpan w:val="2"/>
          </w:tcPr>
          <w:p>
            <w:pPr>
              <w:ind w:left="420"/>
              <w:spacing w:after="0"/>
              <w:rPr>
                <w:sz w:val="20"/>
                <w:szCs w:val="20"/>
                <w:color w:val="auto"/>
              </w:rPr>
            </w:pPr>
            <w:r>
              <w:rPr>
                <w:rFonts w:ascii="Arial" w:cs="Arial" w:eastAsia="Arial" w:hAnsi="Arial"/>
                <w:sz w:val="18"/>
                <w:szCs w:val="18"/>
                <w:color w:val="auto"/>
              </w:rPr>
              <w:t>(loss)</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40" w:type="dxa"/>
            <w:vAlign w:val="bottom"/>
            <w:gridSpan w:val="3"/>
          </w:tcPr>
          <w:p>
            <w:pPr>
              <w:ind w:left="38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80" w:type="dxa"/>
            <w:vAlign w:val="bottom"/>
            <w:gridSpan w:val="3"/>
          </w:tcPr>
          <w:p>
            <w:pPr>
              <w:jc w:val="right"/>
              <w:ind w:right="180"/>
              <w:spacing w:after="0"/>
              <w:rPr>
                <w:sz w:val="20"/>
                <w:szCs w:val="20"/>
                <w:color w:val="auto"/>
              </w:rPr>
            </w:pPr>
            <w:r>
              <w:rPr>
                <w:rFonts w:ascii="Arial" w:cs="Arial" w:eastAsia="Arial" w:hAnsi="Arial"/>
                <w:sz w:val="18"/>
                <w:szCs w:val="18"/>
                <w:color w:val="auto"/>
              </w:rPr>
              <w:t>(2)</w:t>
            </w: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6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6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60" w:type="dxa"/>
            <w:vAlign w:val="bottom"/>
            <w:gridSpan w:val="2"/>
          </w:tcPr>
          <w:p>
            <w:pPr>
              <w:jc w:val="right"/>
              <w:ind w:right="4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44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Purchases, issuances and settlements</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gridSpan w:val="3"/>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105</w:t>
            </w:r>
          </w:p>
        </w:tc>
        <w:tc>
          <w:tcPr>
            <w:tcW w:w="24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22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80" w:type="dxa"/>
            <w:vAlign w:val="bottom"/>
            <w:gridSpan w:val="2"/>
          </w:tcPr>
          <w:p>
            <w:pPr>
              <w:spacing w:after="0"/>
              <w:rPr>
                <w:sz w:val="20"/>
                <w:szCs w:val="20"/>
                <w:color w:val="auto"/>
              </w:rPr>
            </w:pPr>
            <w:r>
              <w:rPr>
                <w:rFonts w:ascii="Arial" w:cs="Arial" w:eastAsia="Arial" w:hAnsi="Arial"/>
                <w:sz w:val="18"/>
                <w:szCs w:val="18"/>
                <w:color w:val="auto"/>
              </w:rPr>
              <w:t>Transfer in and/or out of Level 3</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gridSpan w:val="3"/>
          </w:tcPr>
          <w:p>
            <w:pPr>
              <w:ind w:left="38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3"/>
          </w:tcPr>
          <w:p>
            <w:pPr>
              <w:jc w:val="right"/>
              <w:ind w:right="24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1140" w:type="dxa"/>
            <w:vAlign w:val="bottom"/>
          </w:tcPr>
          <w:p>
            <w:pPr>
              <w:spacing w:after="0"/>
              <w:rPr>
                <w:sz w:val="2"/>
                <w:szCs w:val="2"/>
                <w:color w:val="auto"/>
              </w:rPr>
            </w:pPr>
          </w:p>
        </w:tc>
        <w:tc>
          <w:tcPr>
            <w:tcW w:w="3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320" w:type="dxa"/>
            <w:vAlign w:val="bottom"/>
            <w:tcBorders>
              <w:left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280" w:type="dxa"/>
            <w:vAlign w:val="bottom"/>
            <w:tcBorders>
              <w:left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4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Balance at July 9, 2009</w:t>
            </w:r>
          </w:p>
        </w:tc>
        <w:tc>
          <w:tcPr>
            <w:tcW w:w="200" w:type="dxa"/>
            <w:vAlign w:val="bottom"/>
            <w:gridSpan w:val="2"/>
            <w:shd w:val="clear" w:color="auto" w:fill="CCEEFF"/>
          </w:tcPr>
          <w:p>
            <w:pPr>
              <w:ind w:left="120"/>
              <w:spacing w:after="0"/>
              <w:rPr>
                <w:sz w:val="20"/>
                <w:szCs w:val="20"/>
                <w:color w:val="auto"/>
              </w:rPr>
            </w:pPr>
            <w:r>
              <w:rPr>
                <w:rFonts w:ascii="Arial" w:cs="Arial" w:eastAsia="Arial" w:hAnsi="Arial"/>
                <w:sz w:val="15"/>
                <w:szCs w:val="15"/>
                <w:color w:val="auto"/>
                <w:w w:val="71"/>
              </w:rPr>
              <w:t>$</w:t>
            </w: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gridSpan w:val="3"/>
            <w:shd w:val="clear" w:color="auto" w:fill="CCEEFF"/>
          </w:tcPr>
          <w:p>
            <w:pPr>
              <w:ind w:left="480"/>
              <w:spacing w:after="0"/>
              <w:rPr>
                <w:sz w:val="20"/>
                <w:szCs w:val="20"/>
                <w:color w:val="auto"/>
              </w:rPr>
            </w:pPr>
            <w:r>
              <w:rPr>
                <w:rFonts w:ascii="Arial" w:cs="Arial" w:eastAsia="Arial" w:hAnsi="Arial"/>
                <w:sz w:val="18"/>
                <w:szCs w:val="18"/>
                <w:color w:val="auto"/>
                <w:w w:val="99"/>
              </w:rPr>
              <w:t>$</w:t>
            </w:r>
          </w:p>
        </w:tc>
        <w:tc>
          <w:tcPr>
            <w:tcW w:w="740" w:type="dxa"/>
            <w:vAlign w:val="bottom"/>
            <w:gridSpan w:val="3"/>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400" w:type="dxa"/>
            <w:vAlign w:val="bottom"/>
            <w:gridSpan w:val="3"/>
            <w:shd w:val="clear" w:color="auto" w:fill="CCEEFF"/>
          </w:tcPr>
          <w:p>
            <w:pPr>
              <w:ind w:left="300"/>
              <w:spacing w:after="0"/>
              <w:rPr>
                <w:sz w:val="20"/>
                <w:szCs w:val="20"/>
                <w:color w:val="auto"/>
              </w:rPr>
            </w:pPr>
            <w:r>
              <w:rPr>
                <w:rFonts w:ascii="Arial" w:cs="Arial" w:eastAsia="Arial" w:hAnsi="Arial"/>
                <w:sz w:val="18"/>
                <w:szCs w:val="18"/>
                <w:color w:val="auto"/>
                <w:w w:val="79"/>
              </w:rPr>
              <w:t>$</w:t>
            </w:r>
          </w:p>
        </w:tc>
        <w:tc>
          <w:tcPr>
            <w:tcW w:w="98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(1,430)</w:t>
            </w:r>
          </w:p>
        </w:tc>
        <w:tc>
          <w:tcPr>
            <w:tcW w:w="34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w w:val="79"/>
              </w:rPr>
              <w:t>$</w:t>
            </w:r>
          </w:p>
        </w:tc>
        <w:tc>
          <w:tcPr>
            <w:tcW w:w="10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32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w w:val="79"/>
              </w:rPr>
              <w:t>$</w:t>
            </w:r>
          </w:p>
        </w:tc>
        <w:tc>
          <w:tcPr>
            <w:tcW w:w="76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34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w w:val="99"/>
              </w:rPr>
              <w:t>$</w:t>
            </w: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(1,430)</w:t>
            </w:r>
          </w:p>
        </w:tc>
        <w:tc>
          <w:tcPr>
            <w:tcW w:w="0" w:type="dxa"/>
            <w:vAlign w:val="bottom"/>
          </w:tcPr>
          <w:p>
            <w:pPr>
              <w:spacing w:after="0"/>
              <w:rPr>
                <w:sz w:val="1"/>
                <w:szCs w:val="1"/>
                <w:color w:val="auto"/>
              </w:rPr>
            </w:pPr>
          </w:p>
        </w:tc>
      </w:tr>
      <w:tr>
        <w:trPr>
          <w:trHeight w:val="20"/>
        </w:trPr>
        <w:tc>
          <w:tcPr>
            <w:tcW w:w="4500" w:type="dxa"/>
            <w:vAlign w:val="bottom"/>
            <w:gridSpan w:val="3"/>
            <w:vMerge w:val="restart"/>
          </w:tcPr>
          <w:p>
            <w:pPr>
              <w:spacing w:after="0"/>
              <w:rPr>
                <w:sz w:val="20"/>
                <w:szCs w:val="20"/>
                <w:color w:val="auto"/>
              </w:rPr>
            </w:pPr>
            <w:r>
              <w:rPr>
                <w:rFonts w:ascii="Arial" w:cs="Arial" w:eastAsia="Arial" w:hAnsi="Arial"/>
                <w:sz w:val="18"/>
                <w:szCs w:val="18"/>
                <w:color w:val="auto"/>
                <w:w w:val="95"/>
              </w:rPr>
              <w:t>Amount of total gains and (losses) in the period included in</w:t>
            </w:r>
          </w:p>
        </w:tc>
        <w:tc>
          <w:tcPr>
            <w:tcW w:w="1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2"/>
        </w:trPr>
        <w:tc>
          <w:tcPr>
            <w:tcW w:w="4500" w:type="dxa"/>
            <w:vAlign w:val="bottom"/>
            <w:gridSpan w:val="3"/>
            <w:vMerge w:val="continue"/>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80" w:type="dxa"/>
            <w:vAlign w:val="bottom"/>
            <w:gridSpan w:val="2"/>
          </w:tcPr>
          <w:p>
            <w:pPr>
              <w:ind w:left="200"/>
              <w:spacing w:after="0"/>
              <w:rPr>
                <w:sz w:val="20"/>
                <w:szCs w:val="20"/>
                <w:color w:val="auto"/>
              </w:rPr>
            </w:pPr>
            <w:r>
              <w:rPr>
                <w:rFonts w:ascii="Arial" w:cs="Arial" w:eastAsia="Arial" w:hAnsi="Arial"/>
                <w:sz w:val="18"/>
                <w:szCs w:val="18"/>
                <w:color w:val="auto"/>
                <w:w w:val="93"/>
              </w:rPr>
              <w:t>earnings attributable to the change in unrealized gains or</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480" w:type="dxa"/>
            <w:vAlign w:val="bottom"/>
            <w:gridSpan w:val="2"/>
          </w:tcPr>
          <w:p>
            <w:pPr>
              <w:ind w:left="200"/>
              <w:spacing w:after="0"/>
              <w:rPr>
                <w:sz w:val="20"/>
                <w:szCs w:val="20"/>
                <w:color w:val="auto"/>
              </w:rPr>
            </w:pPr>
            <w:r>
              <w:rPr>
                <w:rFonts w:ascii="Arial" w:cs="Arial" w:eastAsia="Arial" w:hAnsi="Arial"/>
                <w:sz w:val="18"/>
                <w:szCs w:val="18"/>
                <w:color w:val="auto"/>
                <w:w w:val="96"/>
              </w:rPr>
              <w:t>(losses) relating to assets still held at the reporting date</w:t>
            </w:r>
          </w:p>
        </w:tc>
        <w:tc>
          <w:tcPr>
            <w:tcW w:w="200" w:type="dxa"/>
            <w:vAlign w:val="bottom"/>
            <w:gridSpan w:val="2"/>
          </w:tcPr>
          <w:p>
            <w:pPr>
              <w:ind w:left="120"/>
              <w:spacing w:after="0"/>
              <w:rPr>
                <w:sz w:val="20"/>
                <w:szCs w:val="20"/>
                <w:color w:val="auto"/>
              </w:rPr>
            </w:pPr>
            <w:r>
              <w:rPr>
                <w:rFonts w:ascii="Arial" w:cs="Arial" w:eastAsia="Arial" w:hAnsi="Arial"/>
                <w:sz w:val="15"/>
                <w:szCs w:val="15"/>
                <w:color w:val="auto"/>
                <w:w w:val="71"/>
              </w:rPr>
              <w:t>$</w:t>
            </w:r>
          </w:p>
        </w:tc>
        <w:tc>
          <w:tcPr>
            <w:tcW w:w="5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00" w:type="dxa"/>
            <w:vAlign w:val="bottom"/>
            <w:gridSpan w:val="3"/>
          </w:tcPr>
          <w:p>
            <w:pPr>
              <w:ind w:left="480"/>
              <w:spacing w:after="0"/>
              <w:rPr>
                <w:sz w:val="20"/>
                <w:szCs w:val="20"/>
                <w:color w:val="auto"/>
              </w:rPr>
            </w:pPr>
            <w:r>
              <w:rPr>
                <w:rFonts w:ascii="Arial" w:cs="Arial" w:eastAsia="Arial" w:hAnsi="Arial"/>
                <w:sz w:val="18"/>
                <w:szCs w:val="18"/>
                <w:color w:val="auto"/>
                <w:w w:val="99"/>
              </w:rPr>
              <w:t>$</w:t>
            </w:r>
          </w:p>
        </w:tc>
        <w:tc>
          <w:tcPr>
            <w:tcW w:w="740" w:type="dxa"/>
            <w:vAlign w:val="bottom"/>
            <w:gridSpan w:val="3"/>
          </w:tcPr>
          <w:p>
            <w:pPr>
              <w:ind w:left="380"/>
              <w:spacing w:after="0"/>
              <w:rPr>
                <w:sz w:val="20"/>
                <w:szCs w:val="20"/>
                <w:color w:val="auto"/>
              </w:rPr>
            </w:pPr>
            <w:r>
              <w:rPr>
                <w:rFonts w:ascii="Arial" w:cs="Arial" w:eastAsia="Arial" w:hAnsi="Arial"/>
                <w:sz w:val="18"/>
                <w:szCs w:val="18"/>
                <w:color w:val="auto"/>
              </w:rPr>
              <w:t>—</w:t>
            </w:r>
          </w:p>
        </w:tc>
        <w:tc>
          <w:tcPr>
            <w:tcW w:w="400" w:type="dxa"/>
            <w:vAlign w:val="bottom"/>
            <w:gridSpan w:val="3"/>
          </w:tcPr>
          <w:p>
            <w:pPr>
              <w:ind w:left="300"/>
              <w:spacing w:after="0"/>
              <w:rPr>
                <w:sz w:val="20"/>
                <w:szCs w:val="20"/>
                <w:color w:val="auto"/>
              </w:rPr>
            </w:pPr>
            <w:r>
              <w:rPr>
                <w:rFonts w:ascii="Arial" w:cs="Arial" w:eastAsia="Arial" w:hAnsi="Arial"/>
                <w:sz w:val="18"/>
                <w:szCs w:val="18"/>
                <w:color w:val="auto"/>
                <w:w w:val="79"/>
              </w:rPr>
              <w:t>$</w:t>
            </w:r>
          </w:p>
        </w:tc>
        <w:tc>
          <w:tcPr>
            <w:tcW w:w="980" w:type="dxa"/>
            <w:vAlign w:val="bottom"/>
            <w:gridSpan w:val="3"/>
          </w:tcPr>
          <w:p>
            <w:pPr>
              <w:jc w:val="right"/>
              <w:ind w:right="240"/>
              <w:spacing w:after="0"/>
              <w:rPr>
                <w:sz w:val="20"/>
                <w:szCs w:val="20"/>
                <w:color w:val="auto"/>
              </w:rPr>
            </w:pPr>
            <w:r>
              <w:rPr>
                <w:rFonts w:ascii="Arial" w:cs="Arial" w:eastAsia="Arial" w:hAnsi="Arial"/>
                <w:sz w:val="18"/>
                <w:szCs w:val="18"/>
                <w:color w:val="auto"/>
              </w:rPr>
              <w:t>28</w:t>
            </w:r>
          </w:p>
        </w:tc>
        <w:tc>
          <w:tcPr>
            <w:tcW w:w="340" w:type="dxa"/>
            <w:vAlign w:val="bottom"/>
            <w:gridSpan w:val="2"/>
          </w:tcPr>
          <w:p>
            <w:pPr>
              <w:ind w:left="240"/>
              <w:spacing w:after="0"/>
              <w:rPr>
                <w:sz w:val="20"/>
                <w:szCs w:val="20"/>
                <w:color w:val="auto"/>
              </w:rPr>
            </w:pPr>
            <w:r>
              <w:rPr>
                <w:rFonts w:ascii="Arial" w:cs="Arial" w:eastAsia="Arial" w:hAnsi="Arial"/>
                <w:sz w:val="18"/>
                <w:szCs w:val="18"/>
                <w:color w:val="auto"/>
                <w:w w:val="79"/>
              </w:rPr>
              <w:t>$</w:t>
            </w:r>
          </w:p>
        </w:tc>
        <w:tc>
          <w:tcPr>
            <w:tcW w:w="106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320" w:type="dxa"/>
            <w:vAlign w:val="bottom"/>
            <w:gridSpan w:val="2"/>
          </w:tcPr>
          <w:p>
            <w:pPr>
              <w:ind w:left="220"/>
              <w:spacing w:after="0"/>
              <w:rPr>
                <w:sz w:val="20"/>
                <w:szCs w:val="20"/>
                <w:color w:val="auto"/>
              </w:rPr>
            </w:pPr>
            <w:r>
              <w:rPr>
                <w:rFonts w:ascii="Arial" w:cs="Arial" w:eastAsia="Arial" w:hAnsi="Arial"/>
                <w:sz w:val="18"/>
                <w:szCs w:val="18"/>
                <w:color w:val="auto"/>
                <w:w w:val="79"/>
              </w:rPr>
              <w:t>$</w:t>
            </w:r>
          </w:p>
        </w:tc>
        <w:tc>
          <w:tcPr>
            <w:tcW w:w="76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340" w:type="dxa"/>
            <w:vAlign w:val="bottom"/>
            <w:gridSpan w:val="2"/>
          </w:tcPr>
          <w:p>
            <w:pPr>
              <w:ind w:left="220"/>
              <w:spacing w:after="0"/>
              <w:rPr>
                <w:sz w:val="20"/>
                <w:szCs w:val="20"/>
                <w:color w:val="auto"/>
              </w:rPr>
            </w:pPr>
            <w:r>
              <w:rPr>
                <w:rFonts w:ascii="Arial" w:cs="Arial" w:eastAsia="Arial" w:hAnsi="Arial"/>
                <w:sz w:val="18"/>
                <w:szCs w:val="18"/>
                <w:color w:val="auto"/>
                <w:w w:val="99"/>
              </w:rPr>
              <w:t>$</w:t>
            </w: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3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6"/>
        </w:trPr>
        <w:tc>
          <w:tcPr>
            <w:tcW w:w="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334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320" w:type="dxa"/>
            <w:vAlign w:val="bottom"/>
            <w:tcBorders>
              <w:bottom w:val="single" w:sz="8" w:color="auto"/>
            </w:tcBorders>
            <w:gridSpan w:val="5"/>
          </w:tcPr>
          <w:p>
            <w:pPr>
              <w:jc w:val="center"/>
              <w:ind w:left="478"/>
              <w:spacing w:after="0"/>
              <w:rPr>
                <w:sz w:val="20"/>
                <w:szCs w:val="20"/>
                <w:color w:val="auto"/>
              </w:rPr>
            </w:pPr>
            <w:r>
              <w:rPr>
                <w:rFonts w:ascii="Arial" w:cs="Arial" w:eastAsia="Arial" w:hAnsi="Arial"/>
                <w:sz w:val="14"/>
                <w:szCs w:val="14"/>
                <w:b w:val="1"/>
                <w:bCs w:val="1"/>
                <w:color w:val="auto"/>
                <w:w w:val="80"/>
              </w:rPr>
              <w:t>Predecessor</w:t>
            </w:r>
          </w:p>
        </w:tc>
        <w:tc>
          <w:tcPr>
            <w:tcW w:w="74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334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40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38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46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2780" w:type="dxa"/>
            <w:vAlign w:val="bottom"/>
            <w:tcBorders>
              <w:bottom w:val="single" w:sz="8" w:color="auto"/>
            </w:tcBorders>
            <w:gridSpan w:val="10"/>
          </w:tcPr>
          <w:p>
            <w:pPr>
              <w:jc w:val="center"/>
              <w:ind w:right="80"/>
              <w:spacing w:after="0" w:line="142" w:lineRule="exact"/>
              <w:rPr>
                <w:sz w:val="20"/>
                <w:szCs w:val="20"/>
                <w:color w:val="auto"/>
              </w:rPr>
            </w:pPr>
            <w:r>
              <w:rPr>
                <w:rFonts w:ascii="Arial" w:cs="Arial" w:eastAsia="Arial" w:hAnsi="Arial"/>
                <w:sz w:val="14"/>
                <w:szCs w:val="14"/>
                <w:b w:val="1"/>
                <w:bCs w:val="1"/>
                <w:color w:val="auto"/>
                <w:w w:val="87"/>
              </w:rPr>
              <w:t>Level 3 Financial Assets and (Liabilities)</w:t>
            </w:r>
          </w:p>
        </w:tc>
        <w:tc>
          <w:tcPr>
            <w:tcW w:w="22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480" w:type="dxa"/>
            <w:vAlign w:val="bottom"/>
            <w:tcBorders>
              <w:bottom w:val="single" w:sz="8" w:color="auto"/>
            </w:tcBorders>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3340" w:type="dxa"/>
            <w:vAlign w:val="bottom"/>
          </w:tcPr>
          <w:p>
            <w:pPr>
              <w:spacing w:after="0"/>
              <w:rPr>
                <w:sz w:val="11"/>
                <w:szCs w:val="11"/>
                <w:color w:val="auto"/>
              </w:rPr>
            </w:pPr>
          </w:p>
        </w:tc>
        <w:tc>
          <w:tcPr>
            <w:tcW w:w="720" w:type="dxa"/>
            <w:vAlign w:val="bottom"/>
            <w:gridSpan w:val="4"/>
          </w:tcPr>
          <w:p>
            <w:pPr>
              <w:spacing w:after="0" w:line="129" w:lineRule="exact"/>
              <w:rPr>
                <w:sz w:val="20"/>
                <w:szCs w:val="20"/>
                <w:color w:val="auto"/>
              </w:rPr>
            </w:pPr>
            <w:r>
              <w:rPr>
                <w:rFonts w:ascii="Arial" w:cs="Arial" w:eastAsia="Arial" w:hAnsi="Arial"/>
                <w:sz w:val="14"/>
                <w:szCs w:val="14"/>
                <w:b w:val="1"/>
                <w:bCs w:val="1"/>
                <w:color w:val="auto"/>
              </w:rPr>
              <w:t>Mortgage-</w:t>
            </w:r>
          </w:p>
        </w:tc>
        <w:tc>
          <w:tcPr>
            <w:tcW w:w="3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3340" w:type="dxa"/>
            <w:vAlign w:val="bottom"/>
          </w:tcPr>
          <w:p>
            <w:pPr>
              <w:spacing w:after="0"/>
              <w:rPr>
                <w:sz w:val="12"/>
                <w:szCs w:val="12"/>
                <w:color w:val="auto"/>
              </w:rPr>
            </w:pPr>
          </w:p>
        </w:tc>
        <w:tc>
          <w:tcPr>
            <w:tcW w:w="720" w:type="dxa"/>
            <w:vAlign w:val="bottom"/>
            <w:gridSpan w:val="4"/>
          </w:tcPr>
          <w:p>
            <w:pPr>
              <w:jc w:val="right"/>
              <w:ind w:right="220"/>
              <w:spacing w:after="0" w:line="149" w:lineRule="exact"/>
              <w:rPr>
                <w:sz w:val="20"/>
                <w:szCs w:val="20"/>
                <w:color w:val="auto"/>
              </w:rPr>
            </w:pPr>
            <w:r>
              <w:rPr>
                <w:rFonts w:ascii="Arial" w:cs="Arial" w:eastAsia="Arial" w:hAnsi="Arial"/>
                <w:sz w:val="14"/>
                <w:szCs w:val="14"/>
                <w:b w:val="1"/>
                <w:bCs w:val="1"/>
                <w:color w:val="auto"/>
                <w:w w:val="99"/>
              </w:rPr>
              <w:t>backed</w:t>
            </w:r>
          </w:p>
        </w:tc>
        <w:tc>
          <w:tcPr>
            <w:tcW w:w="380" w:type="dxa"/>
            <w:vAlign w:val="bottom"/>
          </w:tcPr>
          <w:p>
            <w:pPr>
              <w:spacing w:after="0"/>
              <w:rPr>
                <w:sz w:val="12"/>
                <w:szCs w:val="12"/>
                <w:color w:val="auto"/>
              </w:rPr>
            </w:pPr>
          </w:p>
        </w:tc>
        <w:tc>
          <w:tcPr>
            <w:tcW w:w="960" w:type="dxa"/>
            <w:vAlign w:val="bottom"/>
            <w:gridSpan w:val="5"/>
          </w:tcPr>
          <w:p>
            <w:pPr>
              <w:spacing w:after="0" w:line="149" w:lineRule="exact"/>
              <w:rPr>
                <w:sz w:val="20"/>
                <w:szCs w:val="20"/>
                <w:color w:val="auto"/>
              </w:rPr>
            </w:pPr>
            <w:r>
              <w:rPr>
                <w:rFonts w:ascii="Arial" w:cs="Arial" w:eastAsia="Arial" w:hAnsi="Arial"/>
                <w:sz w:val="14"/>
                <w:szCs w:val="14"/>
                <w:b w:val="1"/>
                <w:bCs w:val="1"/>
                <w:color w:val="auto"/>
              </w:rPr>
              <w:t>Commodity</w:t>
            </w: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gridSpan w:val="3"/>
          </w:tcPr>
          <w:p>
            <w:pPr>
              <w:jc w:val="right"/>
              <w:ind w:right="500"/>
              <w:spacing w:after="0" w:line="149" w:lineRule="exact"/>
              <w:rPr>
                <w:sz w:val="20"/>
                <w:szCs w:val="20"/>
                <w:color w:val="auto"/>
              </w:rPr>
            </w:pPr>
            <w:r>
              <w:rPr>
                <w:rFonts w:ascii="Arial" w:cs="Arial" w:eastAsia="Arial" w:hAnsi="Arial"/>
                <w:sz w:val="14"/>
                <w:szCs w:val="14"/>
                <w:b w:val="1"/>
                <w:bCs w:val="1"/>
                <w:color w:val="auto"/>
                <w:w w:val="89"/>
              </w:rPr>
              <w:t>Foreign</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60" w:type="dxa"/>
            <w:vAlign w:val="bottom"/>
            <w:gridSpan w:val="2"/>
          </w:tcPr>
          <w:p>
            <w:pPr>
              <w:jc w:val="right"/>
              <w:ind w:right="600"/>
              <w:spacing w:after="0" w:line="149" w:lineRule="exact"/>
              <w:rPr>
                <w:sz w:val="20"/>
                <w:szCs w:val="20"/>
                <w:color w:val="auto"/>
              </w:rPr>
            </w:pPr>
            <w:r>
              <w:rPr>
                <w:rFonts w:ascii="Arial" w:cs="Arial" w:eastAsia="Arial" w:hAnsi="Arial"/>
                <w:sz w:val="14"/>
                <w:szCs w:val="14"/>
                <w:b w:val="1"/>
                <w:bCs w:val="1"/>
                <w:color w:val="auto"/>
              </w:rPr>
              <w:t>Other</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gridSpan w:val="2"/>
          </w:tcPr>
          <w:p>
            <w:pPr>
              <w:jc w:val="center"/>
              <w:ind w:right="420"/>
              <w:spacing w:after="0" w:line="149" w:lineRule="exact"/>
              <w:rPr>
                <w:sz w:val="20"/>
                <w:szCs w:val="20"/>
                <w:color w:val="auto"/>
              </w:rPr>
            </w:pPr>
            <w:r>
              <w:rPr>
                <w:rFonts w:ascii="Arial" w:cs="Arial" w:eastAsia="Arial" w:hAnsi="Arial"/>
                <w:sz w:val="14"/>
                <w:szCs w:val="14"/>
                <w:b w:val="1"/>
                <w:bCs w:val="1"/>
                <w:color w:val="auto"/>
                <w:w w:val="90"/>
              </w:rPr>
              <w:t>Other</w:t>
            </w:r>
          </w:p>
        </w:tc>
        <w:tc>
          <w:tcPr>
            <w:tcW w:w="220" w:type="dxa"/>
            <w:vAlign w:val="bottom"/>
          </w:tcPr>
          <w:p>
            <w:pPr>
              <w:spacing w:after="0"/>
              <w:rPr>
                <w:sz w:val="12"/>
                <w:szCs w:val="12"/>
                <w:color w:val="auto"/>
              </w:rPr>
            </w:pPr>
          </w:p>
        </w:tc>
        <w:tc>
          <w:tcPr>
            <w:tcW w:w="780" w:type="dxa"/>
            <w:vAlign w:val="bottom"/>
            <w:gridSpan w:val="3"/>
          </w:tcPr>
          <w:p>
            <w:pPr>
              <w:jc w:val="center"/>
              <w:ind w:right="120"/>
              <w:spacing w:after="0" w:line="149" w:lineRule="exact"/>
              <w:rPr>
                <w:sz w:val="20"/>
                <w:szCs w:val="20"/>
                <w:color w:val="auto"/>
              </w:rPr>
            </w:pPr>
            <w:r>
              <w:rPr>
                <w:rFonts w:ascii="Arial" w:cs="Arial" w:eastAsia="Arial" w:hAnsi="Arial"/>
                <w:sz w:val="14"/>
                <w:szCs w:val="14"/>
                <w:b w:val="1"/>
                <w:bCs w:val="1"/>
                <w:color w:val="auto"/>
                <w:w w:val="90"/>
              </w:rPr>
              <w:t>Total Net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3340" w:type="dxa"/>
            <w:vAlign w:val="bottom"/>
          </w:tcPr>
          <w:p>
            <w:pPr>
              <w:spacing w:after="0"/>
              <w:rPr>
                <w:sz w:val="12"/>
                <w:szCs w:val="12"/>
                <w:color w:val="auto"/>
              </w:rPr>
            </w:pPr>
          </w:p>
        </w:tc>
        <w:tc>
          <w:tcPr>
            <w:tcW w:w="720" w:type="dxa"/>
            <w:vAlign w:val="bottom"/>
            <w:gridSpan w:val="4"/>
          </w:tcPr>
          <w:p>
            <w:pPr>
              <w:spacing w:after="0" w:line="149" w:lineRule="exact"/>
              <w:rPr>
                <w:sz w:val="20"/>
                <w:szCs w:val="20"/>
                <w:color w:val="auto"/>
              </w:rPr>
            </w:pPr>
            <w:r>
              <w:rPr>
                <w:rFonts w:ascii="Arial" w:cs="Arial" w:eastAsia="Arial" w:hAnsi="Arial"/>
                <w:sz w:val="14"/>
                <w:szCs w:val="14"/>
                <w:b w:val="1"/>
                <w:bCs w:val="1"/>
                <w:color w:val="auto"/>
              </w:rPr>
              <w:t>Securities</w:t>
            </w:r>
          </w:p>
        </w:tc>
        <w:tc>
          <w:tcPr>
            <w:tcW w:w="380" w:type="dxa"/>
            <w:vAlign w:val="bottom"/>
          </w:tcPr>
          <w:p>
            <w:pPr>
              <w:spacing w:after="0"/>
              <w:rPr>
                <w:sz w:val="12"/>
                <w:szCs w:val="12"/>
                <w:color w:val="auto"/>
              </w:rPr>
            </w:pPr>
          </w:p>
        </w:tc>
        <w:tc>
          <w:tcPr>
            <w:tcW w:w="960" w:type="dxa"/>
            <w:vAlign w:val="bottom"/>
            <w:gridSpan w:val="5"/>
          </w:tcPr>
          <w:p>
            <w:pPr>
              <w:spacing w:after="0" w:line="149" w:lineRule="exact"/>
              <w:rPr>
                <w:sz w:val="20"/>
                <w:szCs w:val="20"/>
                <w:color w:val="auto"/>
              </w:rPr>
            </w:pPr>
            <w:r>
              <w:rPr>
                <w:rFonts w:ascii="Arial" w:cs="Arial" w:eastAsia="Arial" w:hAnsi="Arial"/>
                <w:sz w:val="14"/>
                <w:szCs w:val="14"/>
                <w:b w:val="1"/>
                <w:bCs w:val="1"/>
                <w:color w:val="auto"/>
              </w:rPr>
              <w:t>Derivatives,</w:t>
            </w: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80" w:type="dxa"/>
            <w:vAlign w:val="bottom"/>
            <w:gridSpan w:val="4"/>
          </w:tcPr>
          <w:p>
            <w:pPr>
              <w:jc w:val="right"/>
              <w:ind w:right="460"/>
              <w:spacing w:after="0" w:line="149" w:lineRule="exact"/>
              <w:rPr>
                <w:sz w:val="20"/>
                <w:szCs w:val="20"/>
                <w:color w:val="auto"/>
              </w:rPr>
            </w:pPr>
            <w:r>
              <w:rPr>
                <w:rFonts w:ascii="Arial" w:cs="Arial" w:eastAsia="Arial" w:hAnsi="Arial"/>
                <w:sz w:val="14"/>
                <w:szCs w:val="14"/>
                <w:b w:val="1"/>
                <w:bCs w:val="1"/>
                <w:color w:val="auto"/>
                <w:w w:val="97"/>
              </w:rPr>
              <w:t>Currency</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60" w:type="dxa"/>
            <w:vAlign w:val="bottom"/>
            <w:gridSpan w:val="2"/>
          </w:tcPr>
          <w:p>
            <w:pPr>
              <w:jc w:val="right"/>
              <w:ind w:right="460"/>
              <w:spacing w:after="0" w:line="149" w:lineRule="exact"/>
              <w:rPr>
                <w:sz w:val="20"/>
                <w:szCs w:val="20"/>
                <w:color w:val="auto"/>
              </w:rPr>
            </w:pPr>
            <w:r>
              <w:rPr>
                <w:rFonts w:ascii="Arial" w:cs="Arial" w:eastAsia="Arial" w:hAnsi="Arial"/>
                <w:sz w:val="14"/>
                <w:szCs w:val="14"/>
                <w:b w:val="1"/>
                <w:bCs w:val="1"/>
                <w:color w:val="auto"/>
                <w:w w:val="86"/>
              </w:rPr>
              <w:t>Derivative</w:t>
            </w:r>
          </w:p>
        </w:tc>
        <w:tc>
          <w:tcPr>
            <w:tcW w:w="220" w:type="dxa"/>
            <w:vAlign w:val="bottom"/>
          </w:tcPr>
          <w:p>
            <w:pPr>
              <w:spacing w:after="0"/>
              <w:rPr>
                <w:sz w:val="12"/>
                <w:szCs w:val="12"/>
                <w:color w:val="auto"/>
              </w:rPr>
            </w:pPr>
          </w:p>
        </w:tc>
        <w:tc>
          <w:tcPr>
            <w:tcW w:w="86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Securities</w:t>
            </w: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78"/>
              </w:rPr>
              <w:t>Assets</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3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0" w:type="dxa"/>
            <w:vAlign w:val="bottom"/>
          </w:tcPr>
          <w:p>
            <w:pPr>
              <w:ind w:left="20"/>
              <w:spacing w:after="0"/>
              <w:rPr>
                <w:sz w:val="20"/>
                <w:szCs w:val="20"/>
                <w:color w:val="auto"/>
              </w:rPr>
            </w:pPr>
            <w:r>
              <w:rPr>
                <w:rFonts w:ascii="Arial" w:cs="Arial" w:eastAsia="Arial" w:hAnsi="Arial"/>
                <w:sz w:val="14"/>
                <w:szCs w:val="14"/>
                <w:b w:val="1"/>
                <w:bCs w:val="1"/>
                <w:color w:val="auto"/>
              </w:rPr>
              <w:t>(a)</w:t>
            </w:r>
          </w:p>
        </w:tc>
        <w:tc>
          <w:tcPr>
            <w:tcW w:w="1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gridSpan w:val="2"/>
          </w:tcPr>
          <w:p>
            <w:pPr>
              <w:ind w:left="60"/>
              <w:spacing w:after="0"/>
              <w:rPr>
                <w:sz w:val="20"/>
                <w:szCs w:val="20"/>
                <w:color w:val="auto"/>
              </w:rPr>
            </w:pPr>
            <w:r>
              <w:rPr>
                <w:rFonts w:ascii="Arial" w:cs="Arial" w:eastAsia="Arial" w:hAnsi="Arial"/>
                <w:sz w:val="14"/>
                <w:szCs w:val="14"/>
                <w:b w:val="1"/>
                <w:bCs w:val="1"/>
                <w:color w:val="auto"/>
              </w:rPr>
              <w:t>net (b)</w:t>
            </w:r>
          </w:p>
        </w:tc>
        <w:tc>
          <w:tcPr>
            <w:tcW w:w="280" w:type="dxa"/>
            <w:vAlign w:val="bottom"/>
            <w:gridSpan w:val="2"/>
          </w:tcPr>
          <w:p>
            <w:pPr>
              <w:spacing w:after="0"/>
              <w:rPr>
                <w:sz w:val="14"/>
                <w:szCs w:val="14"/>
                <w:color w:val="auto"/>
              </w:rPr>
            </w:pPr>
          </w:p>
        </w:tc>
        <w:tc>
          <w:tcPr>
            <w:tcW w:w="220" w:type="dxa"/>
            <w:vAlign w:val="bottom"/>
          </w:tcPr>
          <w:p>
            <w:pPr>
              <w:spacing w:after="0"/>
              <w:rPr>
                <w:sz w:val="14"/>
                <w:szCs w:val="14"/>
                <w:color w:val="auto"/>
              </w:rPr>
            </w:pPr>
          </w:p>
        </w:tc>
        <w:tc>
          <w:tcPr>
            <w:tcW w:w="1160" w:type="dxa"/>
            <w:vAlign w:val="bottom"/>
            <w:gridSpan w:val="5"/>
          </w:tcPr>
          <w:p>
            <w:pPr>
              <w:spacing w:after="0"/>
              <w:rPr>
                <w:sz w:val="20"/>
                <w:szCs w:val="20"/>
                <w:color w:val="auto"/>
              </w:rPr>
            </w:pPr>
            <w:r>
              <w:rPr>
                <w:rFonts w:ascii="Arial" w:cs="Arial" w:eastAsia="Arial" w:hAnsi="Arial"/>
                <w:sz w:val="14"/>
                <w:szCs w:val="14"/>
                <w:b w:val="1"/>
                <w:bCs w:val="1"/>
                <w:color w:val="auto"/>
              </w:rPr>
              <w:t>Derivatives (c)</w:t>
            </w:r>
          </w:p>
        </w:tc>
        <w:tc>
          <w:tcPr>
            <w:tcW w:w="240" w:type="dxa"/>
            <w:vAlign w:val="bottom"/>
          </w:tcPr>
          <w:p>
            <w:pPr>
              <w:spacing w:after="0"/>
              <w:rPr>
                <w:sz w:val="14"/>
                <w:szCs w:val="14"/>
                <w:color w:val="auto"/>
              </w:rPr>
            </w:pPr>
          </w:p>
        </w:tc>
        <w:tc>
          <w:tcPr>
            <w:tcW w:w="1160" w:type="dxa"/>
            <w:vAlign w:val="bottom"/>
            <w:gridSpan w:val="3"/>
          </w:tcPr>
          <w:p>
            <w:pPr>
              <w:spacing w:after="0"/>
              <w:rPr>
                <w:sz w:val="20"/>
                <w:szCs w:val="20"/>
                <w:color w:val="auto"/>
              </w:rPr>
            </w:pPr>
            <w:r>
              <w:rPr>
                <w:rFonts w:ascii="Arial" w:cs="Arial" w:eastAsia="Arial" w:hAnsi="Arial"/>
                <w:sz w:val="14"/>
                <w:szCs w:val="14"/>
                <w:b w:val="1"/>
                <w:bCs w:val="1"/>
                <w:color w:val="auto"/>
              </w:rPr>
              <w:t>Instruments (a)</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93"/>
              </w:rPr>
              <w:t>(a)</w:t>
            </w:r>
          </w:p>
        </w:tc>
        <w:tc>
          <w:tcPr>
            <w:tcW w:w="220" w:type="dxa"/>
            <w:vAlign w:val="bottom"/>
          </w:tcPr>
          <w:p>
            <w:pPr>
              <w:spacing w:after="0"/>
              <w:rPr>
                <w:sz w:val="14"/>
                <w:szCs w:val="14"/>
                <w:color w:val="auto"/>
              </w:rPr>
            </w:pPr>
          </w:p>
        </w:tc>
        <w:tc>
          <w:tcPr>
            <w:tcW w:w="780" w:type="dxa"/>
            <w:vAlign w:val="bottom"/>
            <w:gridSpan w:val="3"/>
          </w:tcPr>
          <w:p>
            <w:pPr>
              <w:spacing w:after="0"/>
              <w:rPr>
                <w:sz w:val="20"/>
                <w:szCs w:val="20"/>
                <w:color w:val="auto"/>
              </w:rPr>
            </w:pPr>
            <w:r>
              <w:rPr>
                <w:rFonts w:ascii="Arial" w:cs="Arial" w:eastAsia="Arial" w:hAnsi="Arial"/>
                <w:sz w:val="14"/>
                <w:szCs w:val="14"/>
                <w:b w:val="1"/>
                <w:bCs w:val="1"/>
                <w:color w:val="auto"/>
              </w:rPr>
              <w:t>(Liabilities)</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33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Borders>
              <w:right w:val="single" w:sz="8" w:color="auto"/>
            </w:tcBorders>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20" w:type="dxa"/>
            <w:vAlign w:val="bottom"/>
            <w:tcBorders>
              <w:right w:val="single" w:sz="8" w:color="auto"/>
            </w:tcBorders>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44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Balance at January 1, 2009</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8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w:t>
            </w:r>
          </w:p>
        </w:tc>
        <w:tc>
          <w:tcPr>
            <w:tcW w:w="120" w:type="dxa"/>
            <w:vAlign w:val="bottom"/>
            <w:shd w:val="clear" w:color="auto" w:fill="CCEEFF"/>
          </w:tcPr>
          <w:p>
            <w:pPr>
              <w:spacing w:after="0"/>
              <w:rPr>
                <w:sz w:val="18"/>
                <w:szCs w:val="18"/>
                <w:color w:val="auto"/>
              </w:rPr>
            </w:pPr>
          </w:p>
        </w:tc>
        <w:tc>
          <w:tcPr>
            <w:tcW w:w="48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w w:val="79"/>
              </w:rPr>
              <w:t>$</w:t>
            </w:r>
          </w:p>
        </w:tc>
        <w:tc>
          <w:tcPr>
            <w:tcW w:w="12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(17)</w:t>
            </w:r>
          </w:p>
        </w:tc>
        <w:tc>
          <w:tcPr>
            <w:tcW w:w="180" w:type="dxa"/>
            <w:vAlign w:val="bottom"/>
            <w:shd w:val="clear" w:color="auto" w:fill="CCEEFF"/>
          </w:tcPr>
          <w:p>
            <w:pPr>
              <w:spacing w:after="0"/>
              <w:rPr>
                <w:sz w:val="18"/>
                <w:szCs w:val="18"/>
                <w:color w:val="auto"/>
              </w:rPr>
            </w:pPr>
          </w:p>
        </w:tc>
        <w:tc>
          <w:tcPr>
            <w:tcW w:w="400" w:type="dxa"/>
            <w:vAlign w:val="bottom"/>
            <w:gridSpan w:val="3"/>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(2,144)</w:t>
            </w:r>
          </w:p>
        </w:tc>
        <w:tc>
          <w:tcPr>
            <w:tcW w:w="240" w:type="dxa"/>
            <w:vAlign w:val="bottom"/>
            <w:shd w:val="clear" w:color="auto" w:fill="CCEEFF"/>
          </w:tcPr>
          <w:p>
            <w:pPr>
              <w:spacing w:after="0"/>
              <w:rPr>
                <w:sz w:val="18"/>
                <w:szCs w:val="18"/>
                <w:color w:val="auto"/>
              </w:rPr>
            </w:pPr>
          </w:p>
        </w:tc>
        <w:tc>
          <w:tcPr>
            <w:tcW w:w="34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(164)</w:t>
            </w:r>
          </w:p>
        </w:tc>
        <w:tc>
          <w:tcPr>
            <w:tcW w:w="3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ind w:left="300"/>
              <w:spacing w:after="0"/>
              <w:rPr>
                <w:sz w:val="20"/>
                <w:szCs w:val="20"/>
                <w:color w:val="auto"/>
              </w:rPr>
            </w:pPr>
            <w:r>
              <w:rPr>
                <w:rFonts w:ascii="Arial" w:cs="Arial" w:eastAsia="Arial" w:hAnsi="Arial"/>
                <w:sz w:val="16"/>
                <w:szCs w:val="16"/>
                <w:color w:val="auto"/>
                <w:w w:val="78"/>
              </w:rPr>
              <w:t>17</w:t>
            </w:r>
          </w:p>
        </w:tc>
        <w:tc>
          <w:tcPr>
            <w:tcW w:w="280" w:type="dxa"/>
            <w:vAlign w:val="bottom"/>
            <w:tcBorders>
              <w:left w:val="single" w:sz="8" w:color="CCEEFF"/>
            </w:tcBorders>
            <w:shd w:val="clear" w:color="auto" w:fill="CCEEFF"/>
          </w:tcPr>
          <w:p>
            <w:pPr>
              <w:spacing w:after="0"/>
              <w:rPr>
                <w:sz w:val="18"/>
                <w:szCs w:val="18"/>
                <w:color w:val="auto"/>
              </w:rPr>
            </w:pPr>
          </w:p>
        </w:tc>
        <w:tc>
          <w:tcPr>
            <w:tcW w:w="34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w w:val="99"/>
              </w:rPr>
              <w:t>$</w:t>
            </w: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(2,259)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80" w:type="dxa"/>
            <w:vAlign w:val="bottom"/>
            <w:gridSpan w:val="2"/>
          </w:tcPr>
          <w:p>
            <w:pPr>
              <w:spacing w:after="0"/>
              <w:rPr>
                <w:sz w:val="20"/>
                <w:szCs w:val="20"/>
                <w:color w:val="auto"/>
              </w:rPr>
            </w:pPr>
            <w:r>
              <w:rPr>
                <w:rFonts w:ascii="Arial" w:cs="Arial" w:eastAsia="Arial" w:hAnsi="Arial"/>
                <w:sz w:val="18"/>
                <w:szCs w:val="18"/>
                <w:color w:val="auto"/>
              </w:rPr>
              <w:t>Total realized/unrealized gains (losses)</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8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Included in earnings</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w:t>
            </w: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26</w:t>
            </w:r>
          </w:p>
        </w:tc>
        <w:tc>
          <w:tcPr>
            <w:tcW w:w="240" w:type="dxa"/>
            <w:vAlign w:val="bottom"/>
            <w:shd w:val="clear" w:color="auto" w:fill="CCEEFF"/>
          </w:tcPr>
          <w:p>
            <w:pPr>
              <w:spacing w:after="0"/>
              <w:rPr>
                <w:sz w:val="18"/>
                <w:szCs w:val="18"/>
                <w:color w:val="auto"/>
              </w:rPr>
            </w:pPr>
          </w:p>
        </w:tc>
        <w:tc>
          <w:tcPr>
            <w:tcW w:w="24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164</w:t>
            </w:r>
          </w:p>
        </w:tc>
        <w:tc>
          <w:tcPr>
            <w:tcW w:w="320" w:type="dxa"/>
            <w:vAlign w:val="bottom"/>
            <w:tcBorders>
              <w:left w:val="single" w:sz="8" w:color="CCEEFF"/>
            </w:tcBorders>
            <w:shd w:val="clear" w:color="auto" w:fill="CCEEFF"/>
          </w:tcPr>
          <w:p>
            <w:pPr>
              <w:spacing w:after="0"/>
              <w:rPr>
                <w:sz w:val="18"/>
                <w:szCs w:val="18"/>
                <w:color w:val="auto"/>
              </w:rPr>
            </w:pPr>
          </w:p>
        </w:tc>
        <w:tc>
          <w:tcPr>
            <w:tcW w:w="22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(5)</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196</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4480" w:type="dxa"/>
            <w:vAlign w:val="bottom"/>
            <w:gridSpan w:val="2"/>
          </w:tcPr>
          <w:p>
            <w:pPr>
              <w:ind w:left="200"/>
              <w:spacing w:after="0"/>
              <w:rPr>
                <w:sz w:val="20"/>
                <w:szCs w:val="20"/>
                <w:color w:val="auto"/>
              </w:rPr>
            </w:pPr>
            <w:r>
              <w:rPr>
                <w:rFonts w:ascii="Arial" w:cs="Arial" w:eastAsia="Arial" w:hAnsi="Arial"/>
                <w:sz w:val="18"/>
                <w:szCs w:val="18"/>
                <w:color w:val="auto"/>
                <w:w w:val="98"/>
              </w:rPr>
              <w:t>Included in Accumulated other comprehensive income</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480" w:type="dxa"/>
            <w:vAlign w:val="bottom"/>
            <w:gridSpan w:val="2"/>
          </w:tcPr>
          <w:p>
            <w:pPr>
              <w:ind w:left="420"/>
              <w:spacing w:after="0"/>
              <w:rPr>
                <w:sz w:val="20"/>
                <w:szCs w:val="20"/>
                <w:color w:val="auto"/>
              </w:rPr>
            </w:pPr>
            <w:r>
              <w:rPr>
                <w:rFonts w:ascii="Arial" w:cs="Arial" w:eastAsia="Arial" w:hAnsi="Arial"/>
                <w:sz w:val="18"/>
                <w:szCs w:val="18"/>
                <w:color w:val="auto"/>
              </w:rPr>
              <w:t>(loss)</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40" w:type="dxa"/>
            <w:vAlign w:val="bottom"/>
            <w:gridSpan w:val="3"/>
          </w:tcPr>
          <w:p>
            <w:pPr>
              <w:jc w:val="right"/>
              <w:ind w:right="28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gridSpan w:val="2"/>
          </w:tcPr>
          <w:p>
            <w:pPr>
              <w:jc w:val="right"/>
              <w:ind w:right="20"/>
              <w:spacing w:after="0"/>
              <w:rPr>
                <w:sz w:val="20"/>
                <w:szCs w:val="20"/>
                <w:color w:val="auto"/>
              </w:rPr>
            </w:pPr>
            <w:r>
              <w:rPr>
                <w:rFonts w:ascii="Arial" w:cs="Arial" w:eastAsia="Arial" w:hAnsi="Arial"/>
                <w:sz w:val="18"/>
                <w:szCs w:val="18"/>
                <w:color w:val="auto"/>
              </w:rPr>
              <w:t>(2)</w:t>
            </w: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6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6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60" w:type="dxa"/>
            <w:vAlign w:val="bottom"/>
            <w:gridSpan w:val="2"/>
          </w:tcPr>
          <w:p>
            <w:pPr>
              <w:jc w:val="right"/>
              <w:ind w:right="4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44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Purchases, issuances and settlements</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(14)</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4</w:t>
            </w: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105</w:t>
            </w:r>
          </w:p>
        </w:tc>
        <w:tc>
          <w:tcPr>
            <w:tcW w:w="240" w:type="dxa"/>
            <w:vAlign w:val="bottom"/>
            <w:shd w:val="clear" w:color="auto" w:fill="CCEEFF"/>
          </w:tcPr>
          <w:p>
            <w:pPr>
              <w:spacing w:after="0"/>
              <w:rPr>
                <w:sz w:val="18"/>
                <w:szCs w:val="18"/>
                <w:color w:val="auto"/>
              </w:rPr>
            </w:pPr>
          </w:p>
        </w:tc>
        <w:tc>
          <w:tcPr>
            <w:tcW w:w="24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22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(7)</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80" w:type="dxa"/>
            <w:vAlign w:val="bottom"/>
            <w:gridSpan w:val="2"/>
          </w:tcPr>
          <w:p>
            <w:pPr>
              <w:spacing w:after="0"/>
              <w:rPr>
                <w:sz w:val="20"/>
                <w:szCs w:val="20"/>
                <w:color w:val="auto"/>
              </w:rPr>
            </w:pPr>
            <w:r>
              <w:rPr>
                <w:rFonts w:ascii="Arial" w:cs="Arial" w:eastAsia="Arial" w:hAnsi="Arial"/>
                <w:sz w:val="18"/>
                <w:szCs w:val="18"/>
                <w:color w:val="auto"/>
              </w:rPr>
              <w:t>Transfer in and/or out of Level 3</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gridSpan w:val="2"/>
          </w:tcPr>
          <w:p>
            <w:pPr>
              <w:jc w:val="right"/>
              <w:ind w:right="60"/>
              <w:spacing w:after="0"/>
              <w:rPr>
                <w:sz w:val="20"/>
                <w:szCs w:val="20"/>
                <w:color w:val="auto"/>
              </w:rPr>
            </w:pPr>
            <w:r>
              <w:rPr>
                <w:rFonts w:ascii="Arial" w:cs="Arial" w:eastAsia="Arial" w:hAnsi="Arial"/>
                <w:sz w:val="18"/>
                <w:szCs w:val="18"/>
                <w:color w:val="auto"/>
              </w:rPr>
              <w:t>(33)</w:t>
            </w: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gridSpan w:val="3"/>
          </w:tcPr>
          <w:p>
            <w:pPr>
              <w:jc w:val="right"/>
              <w:ind w:right="28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80"/>
              <w:spacing w:after="0"/>
              <w:rPr>
                <w:sz w:val="20"/>
                <w:szCs w:val="20"/>
                <w:color w:val="auto"/>
              </w:rPr>
            </w:pPr>
            <w:r>
              <w:rPr>
                <w:rFonts w:ascii="Arial" w:cs="Arial" w:eastAsia="Arial" w:hAnsi="Arial"/>
                <w:sz w:val="18"/>
                <w:szCs w:val="18"/>
                <w:color w:val="auto"/>
              </w:rPr>
              <w:t>585</w:t>
            </w: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ind w:left="340"/>
              <w:spacing w:after="0"/>
              <w:rPr>
                <w:sz w:val="20"/>
                <w:szCs w:val="20"/>
                <w:color w:val="auto"/>
              </w:rPr>
            </w:pPr>
            <w:r>
              <w:rPr>
                <w:rFonts w:ascii="Arial" w:cs="Arial" w:eastAsia="Arial" w:hAnsi="Arial"/>
                <w:sz w:val="18"/>
                <w:szCs w:val="18"/>
                <w:color w:val="auto"/>
              </w:rPr>
              <w:t>(5)</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547</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1140" w:type="dxa"/>
            <w:vAlign w:val="bottom"/>
          </w:tcPr>
          <w:p>
            <w:pPr>
              <w:spacing w:after="0"/>
              <w:rPr>
                <w:sz w:val="2"/>
                <w:szCs w:val="2"/>
                <w:color w:val="auto"/>
              </w:rPr>
            </w:pPr>
          </w:p>
        </w:tc>
        <w:tc>
          <w:tcPr>
            <w:tcW w:w="33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240" w:type="dxa"/>
            <w:vAlign w:val="bottom"/>
            <w:tcBorders>
              <w:right w:val="single" w:sz="8" w:color="auto"/>
            </w:tcBorders>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220" w:type="dxa"/>
            <w:vAlign w:val="bottom"/>
            <w:tcBorders>
              <w:right w:val="single" w:sz="8" w:color="auto"/>
            </w:tcBorders>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4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Balance at July 9, 2009</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8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48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w w:val="79"/>
              </w:rPr>
              <w:t>$</w:t>
            </w:r>
          </w:p>
        </w:tc>
        <w:tc>
          <w:tcPr>
            <w:tcW w:w="120" w:type="dxa"/>
            <w:vAlign w:val="bottom"/>
            <w:shd w:val="clear" w:color="auto" w:fill="CCEEFF"/>
          </w:tcPr>
          <w:p>
            <w:pPr>
              <w:spacing w:after="0"/>
              <w:rPr>
                <w:sz w:val="18"/>
                <w:szCs w:val="18"/>
                <w:color w:val="auto"/>
              </w:rPr>
            </w:pPr>
          </w:p>
        </w:tc>
        <w:tc>
          <w:tcPr>
            <w:tcW w:w="74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400" w:type="dxa"/>
            <w:vAlign w:val="bottom"/>
            <w:gridSpan w:val="3"/>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(1,430)</w:t>
            </w:r>
          </w:p>
        </w:tc>
        <w:tc>
          <w:tcPr>
            <w:tcW w:w="240" w:type="dxa"/>
            <w:vAlign w:val="bottom"/>
            <w:shd w:val="clear" w:color="auto" w:fill="CCEEFF"/>
          </w:tcPr>
          <w:p>
            <w:pPr>
              <w:spacing w:after="0"/>
              <w:rPr>
                <w:sz w:val="18"/>
                <w:szCs w:val="18"/>
                <w:color w:val="auto"/>
              </w:rPr>
            </w:pPr>
          </w:p>
        </w:tc>
        <w:tc>
          <w:tcPr>
            <w:tcW w:w="34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3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34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w w:val="99"/>
              </w:rPr>
              <w:t>$</w:t>
            </w: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(1,430)</w:t>
            </w:r>
          </w:p>
        </w:tc>
        <w:tc>
          <w:tcPr>
            <w:tcW w:w="0" w:type="dxa"/>
            <w:vAlign w:val="bottom"/>
          </w:tcPr>
          <w:p>
            <w:pPr>
              <w:spacing w:after="0"/>
              <w:rPr>
                <w:sz w:val="1"/>
                <w:szCs w:val="1"/>
                <w:color w:val="auto"/>
              </w:rPr>
            </w:pPr>
          </w:p>
        </w:tc>
      </w:tr>
      <w:tr>
        <w:trPr>
          <w:trHeight w:val="20"/>
        </w:trPr>
        <w:tc>
          <w:tcPr>
            <w:tcW w:w="4500" w:type="dxa"/>
            <w:vAlign w:val="bottom"/>
            <w:gridSpan w:val="3"/>
            <w:vMerge w:val="restart"/>
          </w:tcPr>
          <w:p>
            <w:pPr>
              <w:spacing w:after="0"/>
              <w:rPr>
                <w:sz w:val="20"/>
                <w:szCs w:val="20"/>
                <w:color w:val="auto"/>
              </w:rPr>
            </w:pPr>
            <w:r>
              <w:rPr>
                <w:rFonts w:ascii="Arial" w:cs="Arial" w:eastAsia="Arial" w:hAnsi="Arial"/>
                <w:sz w:val="18"/>
                <w:szCs w:val="18"/>
                <w:color w:val="auto"/>
                <w:w w:val="99"/>
              </w:rPr>
              <w:t>Amount of total gains and (losses) in the period included</w:t>
            </w:r>
          </w:p>
        </w:tc>
        <w:tc>
          <w:tcPr>
            <w:tcW w:w="1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2"/>
        </w:trPr>
        <w:tc>
          <w:tcPr>
            <w:tcW w:w="4500" w:type="dxa"/>
            <w:vAlign w:val="bottom"/>
            <w:gridSpan w:val="3"/>
            <w:vMerge w:val="continue"/>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80" w:type="dxa"/>
            <w:vAlign w:val="bottom"/>
            <w:gridSpan w:val="2"/>
          </w:tcPr>
          <w:p>
            <w:pPr>
              <w:ind w:left="200"/>
              <w:spacing w:after="0"/>
              <w:rPr>
                <w:sz w:val="20"/>
                <w:szCs w:val="20"/>
                <w:color w:val="auto"/>
              </w:rPr>
            </w:pPr>
            <w:r>
              <w:rPr>
                <w:rFonts w:ascii="Arial" w:cs="Arial" w:eastAsia="Arial" w:hAnsi="Arial"/>
                <w:sz w:val="18"/>
                <w:szCs w:val="18"/>
                <w:color w:val="auto"/>
              </w:rPr>
              <w:t>in earnings attributable to the change in unrealized</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80" w:type="dxa"/>
            <w:vAlign w:val="bottom"/>
            <w:gridSpan w:val="2"/>
          </w:tcPr>
          <w:p>
            <w:pPr>
              <w:ind w:left="200"/>
              <w:spacing w:after="0"/>
              <w:rPr>
                <w:sz w:val="20"/>
                <w:szCs w:val="20"/>
                <w:color w:val="auto"/>
              </w:rPr>
            </w:pPr>
            <w:r>
              <w:rPr>
                <w:rFonts w:ascii="Arial" w:cs="Arial" w:eastAsia="Arial" w:hAnsi="Arial"/>
                <w:sz w:val="18"/>
                <w:szCs w:val="18"/>
                <w:color w:val="auto"/>
              </w:rPr>
              <w:t>gains or (losses) relating to assets still held at the</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480" w:type="dxa"/>
            <w:vAlign w:val="bottom"/>
            <w:gridSpan w:val="2"/>
          </w:tcPr>
          <w:p>
            <w:pPr>
              <w:ind w:left="200"/>
              <w:spacing w:after="0"/>
              <w:rPr>
                <w:sz w:val="20"/>
                <w:szCs w:val="20"/>
                <w:color w:val="auto"/>
              </w:rPr>
            </w:pPr>
            <w:r>
              <w:rPr>
                <w:rFonts w:ascii="Arial" w:cs="Arial" w:eastAsia="Arial" w:hAnsi="Arial"/>
                <w:sz w:val="18"/>
                <w:szCs w:val="18"/>
                <w:color w:val="auto"/>
              </w:rPr>
              <w:t>reporting date</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80" w:type="dxa"/>
            <w:vAlign w:val="bottom"/>
          </w:tcPr>
          <w:p>
            <w:pPr>
              <w:spacing w:after="0"/>
              <w:rPr>
                <w:sz w:val="19"/>
                <w:szCs w:val="19"/>
                <w:color w:val="auto"/>
              </w:rPr>
            </w:pPr>
          </w:p>
        </w:tc>
        <w:tc>
          <w:tcPr>
            <w:tcW w:w="5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480" w:type="dxa"/>
            <w:vAlign w:val="bottom"/>
            <w:gridSpan w:val="2"/>
          </w:tcPr>
          <w:p>
            <w:pPr>
              <w:ind w:left="380"/>
              <w:spacing w:after="0"/>
              <w:rPr>
                <w:sz w:val="20"/>
                <w:szCs w:val="20"/>
                <w:color w:val="auto"/>
              </w:rPr>
            </w:pPr>
            <w:r>
              <w:rPr>
                <w:rFonts w:ascii="Arial" w:cs="Arial" w:eastAsia="Arial" w:hAnsi="Arial"/>
                <w:sz w:val="18"/>
                <w:szCs w:val="18"/>
                <w:color w:val="auto"/>
                <w:w w:val="79"/>
              </w:rPr>
              <w:t>$</w:t>
            </w:r>
          </w:p>
        </w:tc>
        <w:tc>
          <w:tcPr>
            <w:tcW w:w="120" w:type="dxa"/>
            <w:vAlign w:val="bottom"/>
          </w:tcPr>
          <w:p>
            <w:pPr>
              <w:spacing w:after="0"/>
              <w:rPr>
                <w:sz w:val="19"/>
                <w:szCs w:val="19"/>
                <w:color w:val="auto"/>
              </w:rPr>
            </w:pPr>
          </w:p>
        </w:tc>
        <w:tc>
          <w:tcPr>
            <w:tcW w:w="740" w:type="dxa"/>
            <w:vAlign w:val="bottom"/>
            <w:gridSpan w:val="3"/>
          </w:tcPr>
          <w:p>
            <w:pPr>
              <w:jc w:val="right"/>
              <w:ind w:right="280"/>
              <w:spacing w:after="0"/>
              <w:rPr>
                <w:sz w:val="20"/>
                <w:szCs w:val="20"/>
                <w:color w:val="auto"/>
              </w:rPr>
            </w:pPr>
            <w:r>
              <w:rPr>
                <w:rFonts w:ascii="Arial" w:cs="Arial" w:eastAsia="Arial" w:hAnsi="Arial"/>
                <w:sz w:val="18"/>
                <w:szCs w:val="18"/>
                <w:color w:val="auto"/>
              </w:rPr>
              <w:t>—</w:t>
            </w:r>
          </w:p>
        </w:tc>
        <w:tc>
          <w:tcPr>
            <w:tcW w:w="400" w:type="dxa"/>
            <w:vAlign w:val="bottom"/>
            <w:gridSpan w:val="3"/>
          </w:tcPr>
          <w:p>
            <w:pPr>
              <w:ind w:left="220"/>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80"/>
              <w:spacing w:after="0"/>
              <w:rPr>
                <w:sz w:val="20"/>
                <w:szCs w:val="20"/>
                <w:color w:val="auto"/>
              </w:rPr>
            </w:pPr>
            <w:r>
              <w:rPr>
                <w:rFonts w:ascii="Arial" w:cs="Arial" w:eastAsia="Arial" w:hAnsi="Arial"/>
                <w:sz w:val="18"/>
                <w:szCs w:val="18"/>
                <w:color w:val="auto"/>
              </w:rPr>
              <w:t>28</w:t>
            </w:r>
          </w:p>
        </w:tc>
        <w:tc>
          <w:tcPr>
            <w:tcW w:w="240" w:type="dxa"/>
            <w:vAlign w:val="bottom"/>
          </w:tcPr>
          <w:p>
            <w:pPr>
              <w:spacing w:after="0"/>
              <w:rPr>
                <w:sz w:val="19"/>
                <w:szCs w:val="19"/>
                <w:color w:val="auto"/>
              </w:rPr>
            </w:pPr>
          </w:p>
        </w:tc>
        <w:tc>
          <w:tcPr>
            <w:tcW w:w="340" w:type="dxa"/>
            <w:vAlign w:val="bottom"/>
            <w:gridSpan w:val="2"/>
          </w:tcPr>
          <w:p>
            <w:pPr>
              <w:ind w:left="18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320" w:type="dxa"/>
            <w:vAlign w:val="bottom"/>
            <w:gridSpan w:val="2"/>
          </w:tcPr>
          <w:p>
            <w:pPr>
              <w:ind w:left="180"/>
              <w:spacing w:after="0"/>
              <w:rPr>
                <w:sz w:val="20"/>
                <w:szCs w:val="20"/>
                <w:color w:val="auto"/>
              </w:rPr>
            </w:pPr>
            <w:r>
              <w:rPr>
                <w:rFonts w:ascii="Arial" w:cs="Arial" w:eastAsia="Arial" w:hAnsi="Arial"/>
                <w:sz w:val="18"/>
                <w:szCs w:val="18"/>
                <w:color w:val="auto"/>
              </w:rPr>
              <w:t>$</w:t>
            </w:r>
          </w:p>
        </w:tc>
        <w:tc>
          <w:tcPr>
            <w:tcW w:w="76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340" w:type="dxa"/>
            <w:vAlign w:val="bottom"/>
            <w:gridSpan w:val="2"/>
          </w:tcPr>
          <w:p>
            <w:pPr>
              <w:ind w:left="220"/>
              <w:spacing w:after="0"/>
              <w:rPr>
                <w:sz w:val="20"/>
                <w:szCs w:val="20"/>
                <w:color w:val="auto"/>
              </w:rPr>
            </w:pPr>
            <w:r>
              <w:rPr>
                <w:rFonts w:ascii="Arial" w:cs="Arial" w:eastAsia="Arial" w:hAnsi="Arial"/>
                <w:sz w:val="18"/>
                <w:szCs w:val="18"/>
                <w:color w:val="auto"/>
                <w:w w:val="99"/>
              </w:rPr>
              <w:t>$</w:t>
            </w: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33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3"/>
        </w:trPr>
        <w:tc>
          <w:tcPr>
            <w:tcW w:w="20" w:type="dxa"/>
            <w:vAlign w:val="bottom"/>
          </w:tcPr>
          <w:p>
            <w:pPr>
              <w:spacing w:after="0"/>
              <w:rPr>
                <w:sz w:val="8"/>
                <w:szCs w:val="8"/>
                <w:color w:val="auto"/>
              </w:rPr>
            </w:pPr>
          </w:p>
        </w:tc>
        <w:tc>
          <w:tcPr>
            <w:tcW w:w="1140" w:type="dxa"/>
            <w:vAlign w:val="bottom"/>
            <w:tcBorders>
              <w:bottom w:val="single" w:sz="8" w:color="auto"/>
            </w:tcBorders>
          </w:tcPr>
          <w:p>
            <w:pPr>
              <w:spacing w:after="0"/>
              <w:rPr>
                <w:sz w:val="8"/>
                <w:szCs w:val="8"/>
                <w:color w:val="auto"/>
              </w:rPr>
            </w:pPr>
          </w:p>
        </w:tc>
        <w:tc>
          <w:tcPr>
            <w:tcW w:w="3340" w:type="dxa"/>
            <w:vAlign w:val="bottom"/>
          </w:tcPr>
          <w:p>
            <w:pPr>
              <w:spacing w:after="0"/>
              <w:rPr>
                <w:sz w:val="8"/>
                <w:szCs w:val="8"/>
                <w:color w:val="auto"/>
              </w:rPr>
            </w:pPr>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400" w:type="dxa"/>
            <w:vAlign w:val="bottom"/>
          </w:tcPr>
          <w:p>
            <w:pPr>
              <w:spacing w:after="0"/>
              <w:rPr>
                <w:sz w:val="8"/>
                <w:szCs w:val="8"/>
                <w:color w:val="auto"/>
              </w:rPr>
            </w:pPr>
          </w:p>
        </w:tc>
        <w:tc>
          <w:tcPr>
            <w:tcW w:w="120" w:type="dxa"/>
            <w:vAlign w:val="bottom"/>
          </w:tcPr>
          <w:p>
            <w:pPr>
              <w:spacing w:after="0"/>
              <w:rPr>
                <w:sz w:val="8"/>
                <w:szCs w:val="8"/>
                <w:color w:val="auto"/>
              </w:rPr>
            </w:pPr>
          </w:p>
        </w:tc>
        <w:tc>
          <w:tcPr>
            <w:tcW w:w="380" w:type="dxa"/>
            <w:vAlign w:val="bottom"/>
          </w:tcPr>
          <w:p>
            <w:pPr>
              <w:spacing w:after="0"/>
              <w:rPr>
                <w:sz w:val="8"/>
                <w:szCs w:val="8"/>
                <w:color w:val="auto"/>
              </w:rPr>
            </w:pPr>
          </w:p>
        </w:tc>
        <w:tc>
          <w:tcPr>
            <w:tcW w:w="100" w:type="dxa"/>
            <w:vAlign w:val="bottom"/>
          </w:tcPr>
          <w:p>
            <w:pPr>
              <w:spacing w:after="0"/>
              <w:rPr>
                <w:sz w:val="8"/>
                <w:szCs w:val="8"/>
                <w:color w:val="auto"/>
              </w:rPr>
            </w:pPr>
          </w:p>
        </w:tc>
        <w:tc>
          <w:tcPr>
            <w:tcW w:w="120" w:type="dxa"/>
            <w:vAlign w:val="bottom"/>
          </w:tcPr>
          <w:p>
            <w:pPr>
              <w:spacing w:after="0"/>
              <w:rPr>
                <w:sz w:val="8"/>
                <w:szCs w:val="8"/>
                <w:color w:val="auto"/>
              </w:rPr>
            </w:pPr>
          </w:p>
        </w:tc>
        <w:tc>
          <w:tcPr>
            <w:tcW w:w="460" w:type="dxa"/>
            <w:vAlign w:val="bottom"/>
          </w:tcPr>
          <w:p>
            <w:pPr>
              <w:spacing w:after="0"/>
              <w:rPr>
                <w:sz w:val="8"/>
                <w:szCs w:val="8"/>
                <w:color w:val="auto"/>
              </w:rPr>
            </w:pPr>
          </w:p>
        </w:tc>
        <w:tc>
          <w:tcPr>
            <w:tcW w:w="100" w:type="dxa"/>
            <w:vAlign w:val="bottom"/>
          </w:tcPr>
          <w:p>
            <w:pPr>
              <w:spacing w:after="0"/>
              <w:rPr>
                <w:sz w:val="8"/>
                <w:szCs w:val="8"/>
                <w:color w:val="auto"/>
              </w:rPr>
            </w:pPr>
          </w:p>
        </w:tc>
        <w:tc>
          <w:tcPr>
            <w:tcW w:w="180" w:type="dxa"/>
            <w:vAlign w:val="bottom"/>
          </w:tcPr>
          <w:p>
            <w:pPr>
              <w:spacing w:after="0"/>
              <w:rPr>
                <w:sz w:val="8"/>
                <w:szCs w:val="8"/>
                <w:color w:val="auto"/>
              </w:rPr>
            </w:pPr>
          </w:p>
        </w:tc>
        <w:tc>
          <w:tcPr>
            <w:tcW w:w="220" w:type="dxa"/>
            <w:vAlign w:val="bottom"/>
          </w:tcPr>
          <w:p>
            <w:pPr>
              <w:spacing w:after="0"/>
              <w:rPr>
                <w:sz w:val="8"/>
                <w:szCs w:val="8"/>
                <w:color w:val="auto"/>
              </w:rPr>
            </w:pP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660" w:type="dxa"/>
            <w:vAlign w:val="bottom"/>
          </w:tcPr>
          <w:p>
            <w:pPr>
              <w:spacing w:after="0"/>
              <w:rPr>
                <w:sz w:val="8"/>
                <w:szCs w:val="8"/>
                <w:color w:val="auto"/>
              </w:rPr>
            </w:pPr>
          </w:p>
        </w:tc>
        <w:tc>
          <w:tcPr>
            <w:tcW w:w="80" w:type="dxa"/>
            <w:vAlign w:val="bottom"/>
          </w:tcPr>
          <w:p>
            <w:pPr>
              <w:spacing w:after="0"/>
              <w:rPr>
                <w:sz w:val="8"/>
                <w:szCs w:val="8"/>
                <w:color w:val="auto"/>
              </w:rPr>
            </w:pPr>
          </w:p>
        </w:tc>
        <w:tc>
          <w:tcPr>
            <w:tcW w:w="240" w:type="dxa"/>
            <w:vAlign w:val="bottom"/>
          </w:tcPr>
          <w:p>
            <w:pPr>
              <w:spacing w:after="0"/>
              <w:rPr>
                <w:sz w:val="8"/>
                <w:szCs w:val="8"/>
                <w:color w:val="auto"/>
              </w:rPr>
            </w:pPr>
          </w:p>
        </w:tc>
        <w:tc>
          <w:tcPr>
            <w:tcW w:w="240" w:type="dxa"/>
            <w:vAlign w:val="bottom"/>
          </w:tcPr>
          <w:p>
            <w:pPr>
              <w:spacing w:after="0"/>
              <w:rPr>
                <w:sz w:val="8"/>
                <w:szCs w:val="8"/>
                <w:color w:val="auto"/>
              </w:rPr>
            </w:pPr>
          </w:p>
        </w:tc>
        <w:tc>
          <w:tcPr>
            <w:tcW w:w="100" w:type="dxa"/>
            <w:vAlign w:val="bottom"/>
          </w:tcPr>
          <w:p>
            <w:pPr>
              <w:spacing w:after="0"/>
              <w:rPr>
                <w:sz w:val="8"/>
                <w:szCs w:val="8"/>
                <w:color w:val="auto"/>
              </w:rPr>
            </w:pPr>
          </w:p>
        </w:tc>
        <w:tc>
          <w:tcPr>
            <w:tcW w:w="740" w:type="dxa"/>
            <w:vAlign w:val="bottom"/>
          </w:tcPr>
          <w:p>
            <w:pPr>
              <w:spacing w:after="0"/>
              <w:rPr>
                <w:sz w:val="8"/>
                <w:szCs w:val="8"/>
                <w:color w:val="auto"/>
              </w:rPr>
            </w:pPr>
          </w:p>
        </w:tc>
        <w:tc>
          <w:tcPr>
            <w:tcW w:w="32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0" w:type="dxa"/>
            <w:vAlign w:val="bottom"/>
          </w:tcPr>
          <w:p>
            <w:pPr>
              <w:spacing w:after="0"/>
              <w:rPr>
                <w:sz w:val="8"/>
                <w:szCs w:val="8"/>
                <w:color w:val="auto"/>
              </w:rPr>
            </w:pPr>
          </w:p>
        </w:tc>
        <w:tc>
          <w:tcPr>
            <w:tcW w:w="480" w:type="dxa"/>
            <w:vAlign w:val="bottom"/>
          </w:tcPr>
          <w:p>
            <w:pPr>
              <w:spacing w:after="0"/>
              <w:rPr>
                <w:sz w:val="8"/>
                <w:szCs w:val="8"/>
                <w:color w:val="auto"/>
              </w:rPr>
            </w:pPr>
          </w:p>
        </w:tc>
        <w:tc>
          <w:tcPr>
            <w:tcW w:w="280" w:type="dxa"/>
            <w:vAlign w:val="bottom"/>
          </w:tcPr>
          <w:p>
            <w:pPr>
              <w:spacing w:after="0"/>
              <w:rPr>
                <w:sz w:val="8"/>
                <w:szCs w:val="8"/>
                <w:color w:val="auto"/>
              </w:rPr>
            </w:pPr>
          </w:p>
        </w:tc>
        <w:tc>
          <w:tcPr>
            <w:tcW w:w="220" w:type="dxa"/>
            <w:vAlign w:val="bottom"/>
          </w:tcPr>
          <w:p>
            <w:pPr>
              <w:spacing w:after="0"/>
              <w:rPr>
                <w:sz w:val="8"/>
                <w:szCs w:val="8"/>
                <w:color w:val="auto"/>
              </w:rPr>
            </w:pPr>
          </w:p>
        </w:tc>
        <w:tc>
          <w:tcPr>
            <w:tcW w:w="120" w:type="dxa"/>
            <w:vAlign w:val="bottom"/>
          </w:tcPr>
          <w:p>
            <w:pPr>
              <w:spacing w:after="0"/>
              <w:rPr>
                <w:sz w:val="8"/>
                <w:szCs w:val="8"/>
                <w:color w:val="auto"/>
              </w:rPr>
            </w:pPr>
          </w:p>
        </w:tc>
        <w:tc>
          <w:tcPr>
            <w:tcW w:w="56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19" w:lineRule="exact"/>
        <w:rPr>
          <w:sz w:val="20"/>
          <w:szCs w:val="20"/>
          <w:color w:val="auto"/>
        </w:rPr>
      </w:pPr>
    </w:p>
    <w:p>
      <w:pPr>
        <w:ind w:left="340" w:right="140" w:hanging="332"/>
        <w:spacing w:after="0" w:line="268" w:lineRule="auto"/>
        <w:tabs>
          <w:tab w:leader="none" w:pos="340" w:val="left"/>
        </w:tabs>
        <w:numPr>
          <w:ilvl w:val="0"/>
          <w:numId w:val="32"/>
        </w:numPr>
        <w:rPr>
          <w:rFonts w:ascii="Arial" w:cs="Arial" w:eastAsia="Arial" w:hAnsi="Arial"/>
          <w:sz w:val="18"/>
          <w:szCs w:val="18"/>
          <w:color w:val="auto"/>
        </w:rPr>
      </w:pPr>
      <w:r>
        <w:rPr>
          <w:rFonts w:ascii="Arial" w:cs="Arial" w:eastAsia="Arial" w:hAnsi="Arial"/>
          <w:sz w:val="18"/>
          <w:szCs w:val="18"/>
          <w:color w:val="auto"/>
        </w:rPr>
        <w:t>Realized gains (losses) and other than temporary impairments on marketable securities (including the UST warrants outstanding until the closing of the 363 Sale) are recorded in Interest income and other non-operating income, net.</w:t>
      </w:r>
    </w:p>
    <w:p>
      <w:pPr>
        <w:spacing w:after="0" w:line="50" w:lineRule="exact"/>
        <w:rPr>
          <w:rFonts w:ascii="Arial" w:cs="Arial" w:eastAsia="Arial" w:hAnsi="Arial"/>
          <w:sz w:val="18"/>
          <w:szCs w:val="18"/>
          <w:color w:val="auto"/>
        </w:rPr>
      </w:pPr>
    </w:p>
    <w:p>
      <w:pPr>
        <w:ind w:left="340" w:right="60" w:hanging="332"/>
        <w:spacing w:after="0" w:line="259" w:lineRule="auto"/>
        <w:tabs>
          <w:tab w:leader="none" w:pos="340" w:val="left"/>
        </w:tabs>
        <w:numPr>
          <w:ilvl w:val="0"/>
          <w:numId w:val="32"/>
        </w:numPr>
        <w:rPr>
          <w:rFonts w:ascii="Arial" w:cs="Arial" w:eastAsia="Arial" w:hAnsi="Arial"/>
          <w:sz w:val="18"/>
          <w:szCs w:val="18"/>
          <w:color w:val="auto"/>
        </w:rPr>
      </w:pPr>
      <w:r>
        <w:rPr>
          <w:rFonts w:ascii="Arial" w:cs="Arial" w:eastAsia="Arial" w:hAnsi="Arial"/>
          <w:sz w:val="18"/>
          <w:szCs w:val="18"/>
          <w:color w:val="auto"/>
        </w:rPr>
        <w:t>Prior to July 10, 2009 realized and unrealized gains (losses) on commodity derivatives were recorded in Cost of sales. Changes in fair value are attributable to changes in base metal and precious metal prices. Beginning July 10, 2009 realized and unrealized gains (losses) on commodity derivatives are recorded in Interest income and other non-operating income, net.</w:t>
      </w:r>
    </w:p>
    <w:p>
      <w:pPr>
        <w:spacing w:after="0" w:line="59" w:lineRule="exact"/>
        <w:rPr>
          <w:rFonts w:ascii="Arial" w:cs="Arial" w:eastAsia="Arial" w:hAnsi="Arial"/>
          <w:sz w:val="18"/>
          <w:szCs w:val="18"/>
          <w:color w:val="auto"/>
        </w:rPr>
      </w:pPr>
    </w:p>
    <w:p>
      <w:pPr>
        <w:ind w:left="340" w:right="120" w:hanging="332"/>
        <w:spacing w:after="0" w:line="306" w:lineRule="auto"/>
        <w:tabs>
          <w:tab w:leader="none" w:pos="340" w:val="left"/>
        </w:tabs>
        <w:numPr>
          <w:ilvl w:val="0"/>
          <w:numId w:val="32"/>
        </w:numPr>
        <w:rPr>
          <w:rFonts w:ascii="Arial" w:cs="Arial" w:eastAsia="Arial" w:hAnsi="Arial"/>
          <w:sz w:val="16"/>
          <w:szCs w:val="16"/>
          <w:color w:val="auto"/>
        </w:rPr>
      </w:pPr>
      <w:r>
        <w:rPr>
          <w:rFonts w:ascii="Arial" w:cs="Arial" w:eastAsia="Arial" w:hAnsi="Arial"/>
          <w:sz w:val="16"/>
          <w:szCs w:val="16"/>
          <w:color w:val="auto"/>
        </w:rPr>
        <w:t>Prior to July 10, 2009 realized and unrealized gains (losses) on foreign currency derivatives were recorded in the line item associated with the economically hedged item. Beginning July 10, 2009 realized and unrealized gains (losses) on foreign currency derivatives are recorded in Interest income and other non-operating income, net and foreign currency translation gains (losses) are recorded in Accumulated other comprehensive income (loss).</w:t>
      </w:r>
    </w:p>
    <w:p>
      <w:pPr>
        <w:spacing w:after="0" w:line="25" w:lineRule="exact"/>
        <w:rPr>
          <w:rFonts w:ascii="Arial" w:cs="Arial" w:eastAsia="Arial" w:hAnsi="Arial"/>
          <w:sz w:val="16"/>
          <w:szCs w:val="16"/>
          <w:color w:val="auto"/>
        </w:rPr>
      </w:pPr>
    </w:p>
    <w:p>
      <w:pPr>
        <w:ind w:left="340" w:hanging="332"/>
        <w:spacing w:after="0"/>
        <w:tabs>
          <w:tab w:leader="none" w:pos="340" w:val="left"/>
        </w:tabs>
        <w:numPr>
          <w:ilvl w:val="0"/>
          <w:numId w:val="32"/>
        </w:numPr>
        <w:rPr>
          <w:rFonts w:ascii="Arial" w:cs="Arial" w:eastAsia="Arial" w:hAnsi="Arial"/>
          <w:sz w:val="18"/>
          <w:szCs w:val="18"/>
          <w:color w:val="auto"/>
        </w:rPr>
      </w:pPr>
      <w:r>
        <w:rPr>
          <w:rFonts w:ascii="Arial" w:cs="Arial" w:eastAsia="Arial" w:hAnsi="Arial"/>
          <w:sz w:val="18"/>
          <w:szCs w:val="18"/>
          <w:color w:val="auto"/>
        </w:rPr>
        <w:t>Realized and unrealized gains (losses) on options are recorded in Interest income and other non-operating income, net.</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Short-Term and Long-Term Debt</w:t>
      </w:r>
    </w:p>
    <w:p>
      <w:pPr>
        <w:spacing w:after="0" w:line="177" w:lineRule="exact"/>
        <w:rPr>
          <w:sz w:val="20"/>
          <w:szCs w:val="20"/>
          <w:color w:val="auto"/>
        </w:rPr>
      </w:pPr>
    </w:p>
    <w:p>
      <w:pPr>
        <w:ind w:right="200" w:firstLine="228"/>
        <w:spacing w:after="0" w:line="268" w:lineRule="auto"/>
        <w:rPr>
          <w:sz w:val="20"/>
          <w:szCs w:val="20"/>
          <w:color w:val="auto"/>
        </w:rPr>
      </w:pPr>
      <w:r>
        <w:rPr>
          <w:rFonts w:ascii="Arial" w:cs="Arial" w:eastAsia="Arial" w:hAnsi="Arial"/>
          <w:sz w:val="18"/>
          <w:szCs w:val="18"/>
          <w:color w:val="auto"/>
        </w:rPr>
        <w:t>We determined the fair value of debt based on a discounted cash flow model which used benchmark yield curves plus a spread that represented the yields on traded bonds of companies with comparable credit ratings.</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56</w:t>
      </w:r>
    </w:p>
    <w:p>
      <w:pPr>
        <w:sectPr>
          <w:pgSz w:w="11900" w:h="16838" w:orient="portrait"/>
          <w:cols w:equalWidth="0" w:num="1">
            <w:col w:w="11420"/>
          </w:cols>
          <w:pgMar w:left="240" w:top="459" w:right="239" w:bottom="1440" w:gutter="0" w:footer="0" w:header="0"/>
        </w:sectPr>
      </w:pPr>
    </w:p>
    <w:bookmarkStart w:id="58" w:name="page59"/>
    <w:bookmarkEnd w:id="5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339" w:lineRule="exact"/>
        <w:rPr>
          <w:sz w:val="20"/>
          <w:szCs w:val="20"/>
          <w:color w:val="auto"/>
        </w:rPr>
      </w:pPr>
    </w:p>
    <w:p>
      <w:pPr>
        <w:ind w:right="600" w:firstLine="228"/>
        <w:spacing w:after="0" w:line="268" w:lineRule="auto"/>
        <w:rPr>
          <w:sz w:val="20"/>
          <w:szCs w:val="20"/>
          <w:color w:val="auto"/>
        </w:rPr>
      </w:pPr>
      <w:r>
        <w:rPr>
          <w:rFonts w:ascii="Arial" w:cs="Arial" w:eastAsia="Arial" w:hAnsi="Arial"/>
          <w:sz w:val="18"/>
          <w:szCs w:val="18"/>
          <w:color w:val="auto"/>
        </w:rPr>
        <w:t>The following table summarizes the carrying amount and estimated fair value of short-term and long-term debt, including capital leases, for which it is practicable to estimate fair value (dollars in millions):</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120" w:type="dxa"/>
            <w:vAlign w:val="bottom"/>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1340" w:type="dxa"/>
            <w:vAlign w:val="bottom"/>
            <w:tcBorders>
              <w:bottom w:val="single" w:sz="8" w:color="auto"/>
            </w:tcBorders>
            <w:gridSpan w:val="2"/>
          </w:tcPr>
          <w:p>
            <w:pPr>
              <w:jc w:val="right"/>
              <w:ind w:right="512"/>
              <w:spacing w:after="0"/>
              <w:rPr>
                <w:sz w:val="20"/>
                <w:szCs w:val="20"/>
                <w:color w:val="auto"/>
              </w:rPr>
            </w:pPr>
            <w:r>
              <w:rPr>
                <w:rFonts w:ascii="Arial" w:cs="Arial" w:eastAsia="Arial" w:hAnsi="Arial"/>
                <w:sz w:val="14"/>
                <w:szCs w:val="14"/>
                <w:b w:val="1"/>
                <w:bCs w:val="1"/>
                <w:color w:val="auto"/>
              </w:rPr>
              <w:t>Successor</w:t>
            </w:r>
          </w:p>
        </w:tc>
        <w:tc>
          <w:tcPr>
            <w:tcW w:w="7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42"/>
        </w:trPr>
        <w:tc>
          <w:tcPr>
            <w:tcW w:w="8120" w:type="dxa"/>
            <w:vAlign w:val="bottom"/>
          </w:tcPr>
          <w:p>
            <w:pPr>
              <w:spacing w:after="0"/>
              <w:rPr>
                <w:sz w:val="12"/>
                <w:szCs w:val="12"/>
                <w:color w:val="auto"/>
              </w:rPr>
            </w:pPr>
          </w:p>
        </w:tc>
        <w:tc>
          <w:tcPr>
            <w:tcW w:w="1120" w:type="dxa"/>
            <w:vAlign w:val="bottom"/>
            <w:tcBorders>
              <w:bottom w:val="single" w:sz="8" w:color="auto"/>
            </w:tcBorders>
            <w:gridSpan w:val="2"/>
          </w:tcPr>
          <w:p>
            <w:pPr>
              <w:spacing w:after="0" w:line="142" w:lineRule="exact"/>
              <w:rPr>
                <w:sz w:val="20"/>
                <w:szCs w:val="20"/>
                <w:color w:val="auto"/>
              </w:rPr>
            </w:pPr>
            <w:r>
              <w:rPr>
                <w:rFonts w:ascii="Arial" w:cs="Arial" w:eastAsia="Arial" w:hAnsi="Arial"/>
                <w:sz w:val="14"/>
                <w:szCs w:val="14"/>
                <w:b w:val="1"/>
                <w:bCs w:val="1"/>
                <w:color w:val="auto"/>
                <w:w w:val="84"/>
              </w:rPr>
              <w:t>September 30, 2010</w:t>
            </w:r>
          </w:p>
        </w:tc>
        <w:tc>
          <w:tcPr>
            <w:tcW w:w="1000" w:type="dxa"/>
            <w:vAlign w:val="bottom"/>
          </w:tcPr>
          <w:p>
            <w:pPr>
              <w:spacing w:after="0"/>
              <w:rPr>
                <w:sz w:val="12"/>
                <w:szCs w:val="12"/>
                <w:color w:val="auto"/>
              </w:rPr>
            </w:pPr>
          </w:p>
        </w:tc>
        <w:tc>
          <w:tcPr>
            <w:tcW w:w="1080" w:type="dxa"/>
            <w:vAlign w:val="bottom"/>
            <w:tcBorders>
              <w:bottom w:val="single" w:sz="8" w:color="auto"/>
            </w:tcBorders>
            <w:gridSpan w:val="2"/>
          </w:tcPr>
          <w:p>
            <w:pPr>
              <w:jc w:val="right"/>
              <w:spacing w:after="0" w:line="142" w:lineRule="exact"/>
              <w:rPr>
                <w:sz w:val="20"/>
                <w:szCs w:val="20"/>
                <w:color w:val="auto"/>
              </w:rPr>
            </w:pPr>
            <w:r>
              <w:rPr>
                <w:rFonts w:ascii="Arial" w:cs="Arial" w:eastAsia="Arial" w:hAnsi="Arial"/>
                <w:sz w:val="14"/>
                <w:szCs w:val="14"/>
                <w:b w:val="1"/>
                <w:bCs w:val="1"/>
                <w:color w:val="auto"/>
                <w:w w:val="84"/>
              </w:rPr>
              <w:t>December 31, 2009</w:t>
            </w:r>
          </w:p>
        </w:tc>
        <w:tc>
          <w:tcPr>
            <w:tcW w:w="100" w:type="dxa"/>
            <w:vAlign w:val="bottom"/>
          </w:tcPr>
          <w:p>
            <w:pPr>
              <w:spacing w:after="0"/>
              <w:rPr>
                <w:sz w:val="12"/>
                <w:szCs w:val="12"/>
                <w:color w:val="auto"/>
              </w:rPr>
            </w:pPr>
          </w:p>
        </w:tc>
      </w:tr>
      <w:tr>
        <w:trPr>
          <w:trHeight w:val="210"/>
        </w:trPr>
        <w:tc>
          <w:tcPr>
            <w:tcW w:w="8120" w:type="dxa"/>
            <w:vAlign w:val="bottom"/>
            <w:shd w:val="clear" w:color="auto" w:fill="CCEEFF"/>
          </w:tcPr>
          <w:p>
            <w:pPr>
              <w:spacing w:after="0"/>
              <w:rPr>
                <w:sz w:val="20"/>
                <w:szCs w:val="20"/>
                <w:color w:val="auto"/>
              </w:rPr>
            </w:pPr>
            <w:r>
              <w:rPr>
                <w:rFonts w:ascii="Arial" w:cs="Arial" w:eastAsia="Arial" w:hAnsi="Arial"/>
                <w:sz w:val="18"/>
                <w:szCs w:val="18"/>
                <w:color w:val="auto"/>
              </w:rPr>
              <w:t>Carrying amount (a)</w:t>
            </w:r>
          </w:p>
        </w:tc>
        <w:tc>
          <w:tcPr>
            <w:tcW w:w="4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8,566</w:t>
            </w:r>
          </w:p>
        </w:tc>
        <w:tc>
          <w:tcPr>
            <w:tcW w:w="1340" w:type="dxa"/>
            <w:vAlign w:val="bottom"/>
            <w:gridSpan w:val="2"/>
            <w:shd w:val="clear" w:color="auto" w:fill="CCEEFF"/>
          </w:tcPr>
          <w:p>
            <w:pPr>
              <w:jc w:val="right"/>
              <w:ind w:right="192"/>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15,783</w:t>
            </w:r>
          </w:p>
        </w:tc>
        <w:tc>
          <w:tcPr>
            <w:tcW w:w="100" w:type="dxa"/>
            <w:vAlign w:val="bottom"/>
            <w:shd w:val="clear" w:color="auto" w:fill="CCEEFF"/>
          </w:tcPr>
          <w:p>
            <w:pPr>
              <w:spacing w:after="0"/>
              <w:rPr>
                <w:sz w:val="18"/>
                <w:szCs w:val="18"/>
                <w:color w:val="auto"/>
              </w:rPr>
            </w:pPr>
          </w:p>
        </w:tc>
      </w:tr>
      <w:tr>
        <w:trPr>
          <w:trHeight w:val="222"/>
        </w:trPr>
        <w:tc>
          <w:tcPr>
            <w:tcW w:w="8120" w:type="dxa"/>
            <w:vAlign w:val="bottom"/>
          </w:tcPr>
          <w:p>
            <w:pPr>
              <w:spacing w:after="0"/>
              <w:rPr>
                <w:sz w:val="20"/>
                <w:szCs w:val="20"/>
                <w:color w:val="auto"/>
              </w:rPr>
            </w:pPr>
            <w:r>
              <w:rPr>
                <w:rFonts w:ascii="Arial" w:cs="Arial" w:eastAsia="Arial" w:hAnsi="Arial"/>
                <w:sz w:val="18"/>
                <w:szCs w:val="18"/>
                <w:color w:val="auto"/>
              </w:rPr>
              <w:t>Fair value (a)</w:t>
            </w:r>
          </w:p>
        </w:tc>
        <w:tc>
          <w:tcPr>
            <w:tcW w:w="400" w:type="dxa"/>
            <w:vAlign w:val="bottom"/>
          </w:tcPr>
          <w:p>
            <w:pPr>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8,858</w:t>
            </w:r>
          </w:p>
        </w:tc>
        <w:tc>
          <w:tcPr>
            <w:tcW w:w="1340" w:type="dxa"/>
            <w:vAlign w:val="bottom"/>
            <w:gridSpan w:val="2"/>
          </w:tcPr>
          <w:p>
            <w:pPr>
              <w:jc w:val="right"/>
              <w:ind w:right="192"/>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16,024</w:t>
            </w:r>
          </w:p>
        </w:tc>
        <w:tc>
          <w:tcPr>
            <w:tcW w:w="100" w:type="dxa"/>
            <w:vAlign w:val="bottom"/>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64770</wp:posOffset>
            </wp:positionV>
            <wp:extent cx="728980" cy="889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14" w:lineRule="exact"/>
        <w:rPr>
          <w:sz w:val="20"/>
          <w:szCs w:val="20"/>
          <w:color w:val="auto"/>
        </w:rPr>
      </w:pPr>
    </w:p>
    <w:p>
      <w:pPr>
        <w:ind w:left="460" w:right="200" w:hanging="452"/>
        <w:spacing w:after="0" w:line="268" w:lineRule="auto"/>
        <w:tabs>
          <w:tab w:leader="none" w:pos="4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Accounts and notes receivable, net and Accounts payable (principally trade) are not included because the carrying amount approximates fair value due to their short-term nature.</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Ally Financial Common and Preferred Stock</w:t>
      </w:r>
    </w:p>
    <w:p>
      <w:pPr>
        <w:spacing w:after="0" w:line="177" w:lineRule="exact"/>
        <w:rPr>
          <w:sz w:val="20"/>
          <w:szCs w:val="20"/>
          <w:color w:val="auto"/>
        </w:rPr>
      </w:pPr>
    </w:p>
    <w:p>
      <w:pPr>
        <w:jc w:val="both"/>
        <w:ind w:right="200" w:firstLine="228"/>
        <w:spacing w:after="0" w:line="298" w:lineRule="auto"/>
        <w:rPr>
          <w:sz w:val="20"/>
          <w:szCs w:val="20"/>
          <w:color w:val="auto"/>
        </w:rPr>
      </w:pPr>
      <w:r>
        <w:rPr>
          <w:rFonts w:ascii="Arial" w:cs="Arial" w:eastAsia="Arial" w:hAnsi="Arial"/>
          <w:sz w:val="16"/>
          <w:szCs w:val="16"/>
          <w:color w:val="auto"/>
        </w:rPr>
        <w:t>At December 31, 2009 we estimated the fair value of our investment in Ally Financial common stock using a market approach based on the average price to tangible book value multiples of comparable companies to each of Ally Financial’s Auto Finance, Commercial Finance, Mortgage, and Insurance operations to determine the fair value of the individual operations. These values were aggregated to estimate the fair value of Ally Financial’s common stock. The significant inputs used to determine the appropriate multiple for Ally Financial and used in our analysis were as follows:</w:t>
      </w:r>
    </w:p>
    <w:p>
      <w:pPr>
        <w:spacing w:after="0" w:line="153" w:lineRule="exact"/>
        <w:rPr>
          <w:sz w:val="20"/>
          <w:szCs w:val="20"/>
          <w:color w:val="auto"/>
        </w:rPr>
      </w:pPr>
    </w:p>
    <w:p>
      <w:pPr>
        <w:ind w:left="660" w:right="240" w:hanging="436"/>
        <w:spacing w:after="0" w:line="268" w:lineRule="auto"/>
        <w:tabs>
          <w:tab w:leader="none" w:pos="6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Ally Financial’s December 31, 2009 financial statements, as well as the financial statements and price to tangible book value multiples of comparable companies in the Auto Finance, Commercial Finance and Insurance industries;</w:t>
      </w:r>
    </w:p>
    <w:p>
      <w:pPr>
        <w:spacing w:after="0" w:line="50" w:lineRule="exact"/>
        <w:rPr>
          <w:rFonts w:ascii="Arial" w:cs="Arial" w:eastAsia="Arial" w:hAnsi="Arial"/>
          <w:sz w:val="18"/>
          <w:szCs w:val="18"/>
          <w:color w:val="auto"/>
        </w:rPr>
      </w:pPr>
    </w:p>
    <w:p>
      <w:pPr>
        <w:ind w:left="660" w:hanging="436"/>
        <w:spacing w:after="0"/>
        <w:tabs>
          <w:tab w:leader="none" w:pos="6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Historical segment equity information separately provided by Ally Financial;</w:t>
      </w:r>
    </w:p>
    <w:p>
      <w:pPr>
        <w:spacing w:after="0" w:line="90" w:lineRule="exact"/>
        <w:rPr>
          <w:rFonts w:ascii="Arial" w:cs="Arial" w:eastAsia="Arial" w:hAnsi="Arial"/>
          <w:sz w:val="18"/>
          <w:szCs w:val="18"/>
          <w:color w:val="auto"/>
        </w:rPr>
      </w:pPr>
    </w:p>
    <w:p>
      <w:pPr>
        <w:ind w:left="660" w:hanging="436"/>
        <w:spacing w:after="0"/>
        <w:tabs>
          <w:tab w:leader="none" w:pos="6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Expected performance of Ally Financial, as well as our view on its ability to access capital markets; and</w:t>
      </w:r>
    </w:p>
    <w:p>
      <w:pPr>
        <w:spacing w:after="0" w:line="90" w:lineRule="exact"/>
        <w:rPr>
          <w:rFonts w:ascii="Arial" w:cs="Arial" w:eastAsia="Arial" w:hAnsi="Arial"/>
          <w:sz w:val="18"/>
          <w:szCs w:val="18"/>
          <w:color w:val="auto"/>
        </w:rPr>
      </w:pPr>
    </w:p>
    <w:p>
      <w:pPr>
        <w:ind w:left="660" w:right="240" w:hanging="436"/>
        <w:spacing w:after="0" w:line="268" w:lineRule="auto"/>
        <w:tabs>
          <w:tab w:leader="none" w:pos="6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value of Ally Financial’s mortgage operations, taking into consideration the continuing challenges in the housing markets and mortgage industry, and its need for additional liquidity to maintain business operations.</w:t>
      </w:r>
    </w:p>
    <w:p>
      <w:pPr>
        <w:spacing w:after="0" w:line="132" w:lineRule="exact"/>
        <w:rPr>
          <w:sz w:val="20"/>
          <w:szCs w:val="20"/>
          <w:color w:val="auto"/>
        </w:rPr>
      </w:pPr>
    </w:p>
    <w:p>
      <w:pPr>
        <w:ind w:right="40" w:firstLine="228"/>
        <w:spacing w:after="0" w:line="254" w:lineRule="auto"/>
        <w:rPr>
          <w:sz w:val="20"/>
          <w:szCs w:val="20"/>
          <w:color w:val="auto"/>
        </w:rPr>
      </w:pPr>
      <w:r>
        <w:rPr>
          <w:rFonts w:ascii="Arial" w:cs="Arial" w:eastAsia="Arial" w:hAnsi="Arial"/>
          <w:sz w:val="18"/>
          <w:szCs w:val="18"/>
          <w:color w:val="auto"/>
        </w:rPr>
        <w:t>At September 30, 2010 we estimated the fair value of Ally Financial common stock using a market approach that applies the average price to tangible book value multiples of comparable companies to the consolidated Ally Financial tangible book value. This approach provides our best estimate of the fair value of our investment in Ally Financial common stock at September 30, 2010 due to Ally Financial’s transition to a bank holding company and less readily available information with which to value Ally Financial’s business operations individually. The significant inputs used in our fair value analysis were Ally Financial’s September 30, 2010 financial statements, as well as the financial statements and price to tangible book value multiples of comparable companies in the banking and finance industry.</w:t>
      </w:r>
    </w:p>
    <w:p>
      <w:pPr>
        <w:spacing w:after="0" w:line="144" w:lineRule="exact"/>
        <w:rPr>
          <w:sz w:val="20"/>
          <w:szCs w:val="20"/>
          <w:color w:val="auto"/>
        </w:rPr>
      </w:pPr>
    </w:p>
    <w:p>
      <w:pPr>
        <w:jc w:val="both"/>
        <w:ind w:right="60" w:firstLine="228"/>
        <w:spacing w:after="0" w:line="259" w:lineRule="auto"/>
        <w:rPr>
          <w:sz w:val="20"/>
          <w:szCs w:val="20"/>
          <w:color w:val="auto"/>
        </w:rPr>
      </w:pPr>
      <w:r>
        <w:rPr>
          <w:rFonts w:ascii="Arial" w:cs="Arial" w:eastAsia="Arial" w:hAnsi="Arial"/>
          <w:sz w:val="18"/>
          <w:szCs w:val="18"/>
          <w:color w:val="auto"/>
        </w:rPr>
        <w:t>At September 30, 2010 and December 31, 2009 we calculated the fair value of our investment in Ally Financial’s preferred stock using a discounted cash flow approach. The present value of the cash flows was determined using assumptions regarding the expected receipt of dividends on Ally Financial’s preferred stock and the expected call date.</w:t>
      </w:r>
    </w:p>
    <w:p>
      <w:pPr>
        <w:spacing w:after="0" w:line="140" w:lineRule="exact"/>
        <w:rPr>
          <w:sz w:val="20"/>
          <w:szCs w:val="20"/>
          <w:color w:val="auto"/>
        </w:rPr>
      </w:pPr>
    </w:p>
    <w:p>
      <w:pPr>
        <w:ind w:left="240"/>
        <w:spacing w:after="0"/>
        <w:rPr>
          <w:sz w:val="20"/>
          <w:szCs w:val="20"/>
          <w:color w:val="auto"/>
        </w:rPr>
      </w:pPr>
      <w:r>
        <w:rPr>
          <w:rFonts w:ascii="Arial" w:cs="Arial" w:eastAsia="Arial" w:hAnsi="Arial"/>
          <w:sz w:val="16"/>
          <w:szCs w:val="16"/>
          <w:color w:val="auto"/>
        </w:rPr>
        <w:t>The following table summarizes the carrying amount and estimated fair value of Ally Financial common and preferred stock (dollars in millions):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060" w:type="dxa"/>
            <w:vAlign w:val="bottom"/>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400" w:type="dxa"/>
            <w:vAlign w:val="bottom"/>
            <w:tcBorders>
              <w:bottom w:val="single" w:sz="8" w:color="auto"/>
            </w:tcBorders>
            <w:gridSpan w:val="2"/>
          </w:tcPr>
          <w:p>
            <w:pPr>
              <w:ind w:left="120"/>
              <w:spacing w:after="0"/>
              <w:rPr>
                <w:sz w:val="20"/>
                <w:szCs w:val="20"/>
                <w:color w:val="auto"/>
              </w:rPr>
            </w:pPr>
            <w:r>
              <w:rPr>
                <w:rFonts w:ascii="Arial" w:cs="Arial" w:eastAsia="Arial" w:hAnsi="Arial"/>
                <w:sz w:val="14"/>
                <w:szCs w:val="14"/>
                <w:b w:val="1"/>
                <w:bCs w:val="1"/>
                <w:color w:val="auto"/>
              </w:rPr>
              <w:t>Successor</w:t>
            </w:r>
          </w:p>
        </w:tc>
        <w:tc>
          <w:tcPr>
            <w:tcW w:w="6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42"/>
        </w:trPr>
        <w:tc>
          <w:tcPr>
            <w:tcW w:w="8060" w:type="dxa"/>
            <w:vAlign w:val="bottom"/>
          </w:tcPr>
          <w:p>
            <w:pPr>
              <w:spacing w:after="0"/>
              <w:rPr>
                <w:sz w:val="12"/>
                <w:szCs w:val="12"/>
                <w:color w:val="auto"/>
              </w:rPr>
            </w:pPr>
          </w:p>
        </w:tc>
        <w:tc>
          <w:tcPr>
            <w:tcW w:w="1240" w:type="dxa"/>
            <w:vAlign w:val="bottom"/>
            <w:gridSpan w:val="3"/>
          </w:tcPr>
          <w:p>
            <w:pPr>
              <w:spacing w:after="0" w:line="142" w:lineRule="exact"/>
              <w:rPr>
                <w:sz w:val="20"/>
                <w:szCs w:val="20"/>
                <w:color w:val="auto"/>
              </w:rPr>
            </w:pPr>
            <w:r>
              <w:rPr>
                <w:rFonts w:ascii="Arial" w:cs="Arial" w:eastAsia="Arial" w:hAnsi="Arial"/>
                <w:sz w:val="14"/>
                <w:szCs w:val="14"/>
                <w:b w:val="1"/>
                <w:bCs w:val="1"/>
                <w:color w:val="auto"/>
                <w:w w:val="93"/>
              </w:rPr>
              <w:t>September 30, 2010</w:t>
            </w:r>
          </w:p>
        </w:tc>
        <w:tc>
          <w:tcPr>
            <w:tcW w:w="940" w:type="dxa"/>
            <w:vAlign w:val="bottom"/>
          </w:tcPr>
          <w:p>
            <w:pPr>
              <w:spacing w:after="0"/>
              <w:rPr>
                <w:sz w:val="12"/>
                <w:szCs w:val="12"/>
                <w:color w:val="auto"/>
              </w:rPr>
            </w:pPr>
          </w:p>
        </w:tc>
        <w:tc>
          <w:tcPr>
            <w:tcW w:w="1080" w:type="dxa"/>
            <w:vAlign w:val="bottom"/>
            <w:gridSpan w:val="2"/>
          </w:tcPr>
          <w:p>
            <w:pPr>
              <w:spacing w:after="0" w:line="142" w:lineRule="exact"/>
              <w:rPr>
                <w:sz w:val="20"/>
                <w:szCs w:val="20"/>
                <w:color w:val="auto"/>
              </w:rPr>
            </w:pPr>
            <w:r>
              <w:rPr>
                <w:rFonts w:ascii="Arial" w:cs="Arial" w:eastAsia="Arial" w:hAnsi="Arial"/>
                <w:sz w:val="14"/>
                <w:szCs w:val="14"/>
                <w:b w:val="1"/>
                <w:bCs w:val="1"/>
                <w:color w:val="auto"/>
                <w:w w:val="84"/>
              </w:rPr>
              <w:t>December 31, 2009</w:t>
            </w:r>
          </w:p>
        </w:tc>
        <w:tc>
          <w:tcPr>
            <w:tcW w:w="100" w:type="dxa"/>
            <w:vAlign w:val="bottom"/>
          </w:tcPr>
          <w:p>
            <w:pPr>
              <w:spacing w:after="0"/>
              <w:rPr>
                <w:sz w:val="12"/>
                <w:szCs w:val="12"/>
                <w:color w:val="auto"/>
              </w:rPr>
            </w:pPr>
          </w:p>
        </w:tc>
      </w:tr>
      <w:tr>
        <w:trPr>
          <w:trHeight w:val="210"/>
        </w:trPr>
        <w:tc>
          <w:tcPr>
            <w:tcW w:w="80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Common stock</w:t>
            </w:r>
          </w:p>
        </w:tc>
        <w:tc>
          <w:tcPr>
            <w:tcW w:w="42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060" w:type="dxa"/>
            <w:vAlign w:val="bottom"/>
          </w:tcPr>
          <w:p>
            <w:pPr>
              <w:spacing w:after="0"/>
              <w:rPr>
                <w:sz w:val="20"/>
                <w:szCs w:val="20"/>
                <w:color w:val="auto"/>
              </w:rPr>
            </w:pPr>
            <w:r>
              <w:rPr>
                <w:rFonts w:ascii="Arial" w:cs="Arial" w:eastAsia="Arial" w:hAnsi="Arial"/>
                <w:sz w:val="18"/>
                <w:szCs w:val="18"/>
                <w:color w:val="auto"/>
              </w:rPr>
              <w:t>Carrying amount (a)</w:t>
            </w:r>
          </w:p>
        </w:tc>
        <w:tc>
          <w:tcPr>
            <w:tcW w:w="420" w:type="dxa"/>
            <w:vAlign w:val="bottom"/>
          </w:tcPr>
          <w:p>
            <w:pPr>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966</w:t>
            </w:r>
          </w:p>
        </w:tc>
        <w:tc>
          <w:tcPr>
            <w:tcW w:w="1400" w:type="dxa"/>
            <w:vAlign w:val="bottom"/>
            <w:gridSpan w:val="2"/>
          </w:tcPr>
          <w:p>
            <w:pPr>
              <w:ind w:left="940"/>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970</w:t>
            </w:r>
          </w:p>
        </w:tc>
        <w:tc>
          <w:tcPr>
            <w:tcW w:w="100" w:type="dxa"/>
            <w:vAlign w:val="bottom"/>
          </w:tcPr>
          <w:p>
            <w:pPr>
              <w:spacing w:after="0"/>
              <w:rPr>
                <w:sz w:val="18"/>
                <w:szCs w:val="18"/>
                <w:color w:val="auto"/>
              </w:rPr>
            </w:pPr>
          </w:p>
        </w:tc>
      </w:tr>
      <w:tr>
        <w:trPr>
          <w:trHeight w:val="216"/>
        </w:trPr>
        <w:tc>
          <w:tcPr>
            <w:tcW w:w="8060" w:type="dxa"/>
            <w:vAlign w:val="bottom"/>
            <w:shd w:val="clear" w:color="auto" w:fill="CCEEFF"/>
          </w:tcPr>
          <w:p>
            <w:pPr>
              <w:spacing w:after="0"/>
              <w:rPr>
                <w:sz w:val="20"/>
                <w:szCs w:val="20"/>
                <w:color w:val="auto"/>
              </w:rPr>
            </w:pPr>
            <w:r>
              <w:rPr>
                <w:rFonts w:ascii="Arial" w:cs="Arial" w:eastAsia="Arial" w:hAnsi="Arial"/>
                <w:sz w:val="18"/>
                <w:szCs w:val="18"/>
                <w:color w:val="auto"/>
              </w:rPr>
              <w:t>Fair value</w:t>
            </w:r>
          </w:p>
        </w:tc>
        <w:tc>
          <w:tcPr>
            <w:tcW w:w="4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1,039</w:t>
            </w:r>
          </w:p>
        </w:tc>
        <w:tc>
          <w:tcPr>
            <w:tcW w:w="1400" w:type="dxa"/>
            <w:vAlign w:val="bottom"/>
            <w:gridSpan w:val="2"/>
            <w:shd w:val="clear" w:color="auto" w:fill="CCEEFF"/>
          </w:tcPr>
          <w:p>
            <w:pPr>
              <w:ind w:left="94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970</w:t>
            </w:r>
          </w:p>
        </w:tc>
        <w:tc>
          <w:tcPr>
            <w:tcW w:w="100" w:type="dxa"/>
            <w:vAlign w:val="bottom"/>
            <w:shd w:val="clear" w:color="auto" w:fill="CCEEFF"/>
          </w:tcPr>
          <w:p>
            <w:pPr>
              <w:spacing w:after="0"/>
              <w:rPr>
                <w:sz w:val="18"/>
                <w:szCs w:val="18"/>
                <w:color w:val="auto"/>
              </w:rPr>
            </w:pPr>
          </w:p>
        </w:tc>
      </w:tr>
      <w:tr>
        <w:trPr>
          <w:trHeight w:val="216"/>
        </w:trPr>
        <w:tc>
          <w:tcPr>
            <w:tcW w:w="8060" w:type="dxa"/>
            <w:vAlign w:val="bottom"/>
          </w:tcPr>
          <w:p>
            <w:pPr>
              <w:spacing w:after="0"/>
              <w:rPr>
                <w:sz w:val="20"/>
                <w:szCs w:val="20"/>
                <w:color w:val="auto"/>
              </w:rPr>
            </w:pPr>
            <w:r>
              <w:rPr>
                <w:rFonts w:ascii="Arial" w:cs="Arial" w:eastAsia="Arial" w:hAnsi="Arial"/>
                <w:sz w:val="18"/>
                <w:szCs w:val="18"/>
                <w:b w:val="1"/>
                <w:bCs w:val="1"/>
                <w:color w:val="auto"/>
              </w:rPr>
              <w:t>Preferred stock</w:t>
            </w:r>
          </w:p>
        </w:tc>
        <w:tc>
          <w:tcPr>
            <w:tcW w:w="4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060" w:type="dxa"/>
            <w:vAlign w:val="bottom"/>
            <w:shd w:val="clear" w:color="auto" w:fill="CCEEFF"/>
          </w:tcPr>
          <w:p>
            <w:pPr>
              <w:spacing w:after="0"/>
              <w:rPr>
                <w:sz w:val="20"/>
                <w:szCs w:val="20"/>
                <w:color w:val="auto"/>
              </w:rPr>
            </w:pPr>
            <w:r>
              <w:rPr>
                <w:rFonts w:ascii="Arial" w:cs="Arial" w:eastAsia="Arial" w:hAnsi="Arial"/>
                <w:sz w:val="18"/>
                <w:szCs w:val="18"/>
                <w:color w:val="auto"/>
              </w:rPr>
              <w:t>Carrying amount</w:t>
            </w:r>
          </w:p>
        </w:tc>
        <w:tc>
          <w:tcPr>
            <w:tcW w:w="4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665</w:t>
            </w:r>
          </w:p>
        </w:tc>
        <w:tc>
          <w:tcPr>
            <w:tcW w:w="1400" w:type="dxa"/>
            <w:vAlign w:val="bottom"/>
            <w:gridSpan w:val="2"/>
            <w:shd w:val="clear" w:color="auto" w:fill="CCEEFF"/>
          </w:tcPr>
          <w:p>
            <w:pPr>
              <w:ind w:left="94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665</w:t>
            </w:r>
          </w:p>
        </w:tc>
        <w:tc>
          <w:tcPr>
            <w:tcW w:w="100" w:type="dxa"/>
            <w:vAlign w:val="bottom"/>
            <w:shd w:val="clear" w:color="auto" w:fill="CCEEFF"/>
          </w:tcPr>
          <w:p>
            <w:pPr>
              <w:spacing w:after="0"/>
              <w:rPr>
                <w:sz w:val="18"/>
                <w:szCs w:val="18"/>
                <w:color w:val="auto"/>
              </w:rPr>
            </w:pPr>
          </w:p>
        </w:tc>
      </w:tr>
      <w:tr>
        <w:trPr>
          <w:trHeight w:val="222"/>
        </w:trPr>
        <w:tc>
          <w:tcPr>
            <w:tcW w:w="8060" w:type="dxa"/>
            <w:vAlign w:val="bottom"/>
          </w:tcPr>
          <w:p>
            <w:pPr>
              <w:spacing w:after="0"/>
              <w:rPr>
                <w:sz w:val="20"/>
                <w:szCs w:val="20"/>
                <w:color w:val="auto"/>
              </w:rPr>
            </w:pPr>
            <w:r>
              <w:rPr>
                <w:rFonts w:ascii="Arial" w:cs="Arial" w:eastAsia="Arial" w:hAnsi="Arial"/>
                <w:sz w:val="18"/>
                <w:szCs w:val="18"/>
                <w:color w:val="auto"/>
              </w:rPr>
              <w:t>Fair value</w:t>
            </w:r>
          </w:p>
        </w:tc>
        <w:tc>
          <w:tcPr>
            <w:tcW w:w="420" w:type="dxa"/>
            <w:vAlign w:val="bottom"/>
          </w:tcPr>
          <w:p>
            <w:pPr>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1,056</w:t>
            </w:r>
          </w:p>
        </w:tc>
        <w:tc>
          <w:tcPr>
            <w:tcW w:w="1400" w:type="dxa"/>
            <w:vAlign w:val="bottom"/>
            <w:gridSpan w:val="2"/>
          </w:tcPr>
          <w:p>
            <w:pPr>
              <w:ind w:left="940"/>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989</w:t>
            </w:r>
          </w:p>
        </w:tc>
        <w:tc>
          <w:tcPr>
            <w:tcW w:w="100" w:type="dxa"/>
            <w:vAlign w:val="bottom"/>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64770</wp:posOffset>
            </wp:positionV>
            <wp:extent cx="728980" cy="889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14" w:lineRule="exact"/>
        <w:rPr>
          <w:sz w:val="20"/>
          <w:szCs w:val="20"/>
          <w:color w:val="auto"/>
        </w:rPr>
      </w:pPr>
    </w:p>
    <w:p>
      <w:pPr>
        <w:ind w:left="460" w:right="220" w:hanging="452"/>
        <w:spacing w:after="0" w:line="268" w:lineRule="auto"/>
        <w:tabs>
          <w:tab w:leader="none" w:pos="4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Investment in Ally Financial common stock at September 30, 2010 and December 31, 2009 includes the 16.6% held directly and through an independent trust.</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57</w:t>
      </w:r>
    </w:p>
    <w:p>
      <w:pPr>
        <w:sectPr>
          <w:pgSz w:w="11900" w:h="16838" w:orient="portrait"/>
          <w:cols w:equalWidth="0" w:num="1">
            <w:col w:w="11420"/>
          </w:cols>
          <w:pgMar w:left="240" w:top="459" w:right="239" w:bottom="1440" w:gutter="0" w:footer="0" w:header="0"/>
        </w:sectPr>
      </w:pPr>
    </w:p>
    <w:bookmarkStart w:id="59" w:name="page60"/>
    <w:bookmarkEnd w:id="5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20. Restructuring and Other Initiatives</w:t>
      </w:r>
    </w:p>
    <w:p>
      <w:pPr>
        <w:spacing w:after="0" w:line="177" w:lineRule="exact"/>
        <w:rPr>
          <w:sz w:val="20"/>
          <w:szCs w:val="20"/>
          <w:color w:val="auto"/>
        </w:rPr>
      </w:pPr>
    </w:p>
    <w:p>
      <w:pPr>
        <w:ind w:right="400" w:firstLine="228"/>
        <w:spacing w:after="0" w:line="306" w:lineRule="auto"/>
        <w:rPr>
          <w:sz w:val="20"/>
          <w:szCs w:val="20"/>
          <w:color w:val="auto"/>
        </w:rPr>
      </w:pPr>
      <w:r>
        <w:rPr>
          <w:rFonts w:ascii="Arial" w:cs="Arial" w:eastAsia="Arial" w:hAnsi="Arial"/>
          <w:sz w:val="16"/>
          <w:szCs w:val="16"/>
          <w:color w:val="auto"/>
        </w:rPr>
        <w:t>We have and Old GM had previously executed various restructuring and other initiatives, and we plan to execute additional initiatives in the future, if necessary, in order to preserve adequate liquidity, to align manufacturing capacity and other costs with prevailing global automotive sales and to improve the utilization of remaining facilities. Related charges are primarily recorded in Cost of sales and Selling, general and administrative expense.</w:t>
      </w:r>
    </w:p>
    <w:p>
      <w:pPr>
        <w:spacing w:after="0" w:line="107" w:lineRule="exact"/>
        <w:rPr>
          <w:sz w:val="20"/>
          <w:szCs w:val="20"/>
          <w:color w:val="auto"/>
        </w:rPr>
      </w:pPr>
    </w:p>
    <w:p>
      <w:pPr>
        <w:ind w:right="40" w:firstLine="228"/>
        <w:spacing w:after="0" w:line="259" w:lineRule="auto"/>
        <w:rPr>
          <w:sz w:val="20"/>
          <w:szCs w:val="20"/>
          <w:color w:val="auto"/>
        </w:rPr>
      </w:pPr>
      <w:r>
        <w:rPr>
          <w:rFonts w:ascii="Arial" w:cs="Arial" w:eastAsia="Arial" w:hAnsi="Arial"/>
          <w:sz w:val="18"/>
          <w:szCs w:val="18"/>
          <w:color w:val="auto"/>
        </w:rPr>
        <w:t>Estimates of restructuring and other initiative charges are based on information available at the time such charges are recorded. Due to the inherent uncertainty involved, actual amounts paid for such activities may differ from amounts initially recorded. Accordingly, we may record revisions to previous estimates by adjusting previously established reserves.</w:t>
      </w:r>
    </w:p>
    <w:p>
      <w:pPr>
        <w:spacing w:after="0" w:line="140" w:lineRule="exact"/>
        <w:rPr>
          <w:sz w:val="20"/>
          <w:szCs w:val="20"/>
          <w:color w:val="auto"/>
        </w:rPr>
      </w:pPr>
    </w:p>
    <w:p>
      <w:pPr>
        <w:ind w:left="240"/>
        <w:spacing w:after="0"/>
        <w:rPr>
          <w:sz w:val="20"/>
          <w:szCs w:val="20"/>
          <w:color w:val="auto"/>
        </w:rPr>
      </w:pPr>
      <w:r>
        <w:rPr>
          <w:rFonts w:ascii="Arial" w:cs="Arial" w:eastAsia="Arial" w:hAnsi="Arial"/>
          <w:sz w:val="18"/>
          <w:szCs w:val="18"/>
          <w:color w:val="auto"/>
        </w:rPr>
        <w:t>Refer to Note 21 for asset impairment charges related to our restructuring initiatives.</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GM</w:t>
      </w:r>
    </w:p>
    <w:p>
      <w:pPr>
        <w:spacing w:after="0" w:line="177" w:lineRule="exact"/>
        <w:rPr>
          <w:sz w:val="20"/>
          <w:szCs w:val="20"/>
          <w:color w:val="auto"/>
        </w:rPr>
      </w:pPr>
    </w:p>
    <w:p>
      <w:pPr>
        <w:ind w:right="320" w:firstLine="228"/>
        <w:spacing w:after="0" w:line="332" w:lineRule="auto"/>
        <w:rPr>
          <w:sz w:val="20"/>
          <w:szCs w:val="20"/>
          <w:color w:val="auto"/>
        </w:rPr>
      </w:pPr>
      <w:r>
        <w:rPr>
          <w:rFonts w:ascii="Arial" w:cs="Arial" w:eastAsia="Arial" w:hAnsi="Arial"/>
          <w:sz w:val="16"/>
          <w:szCs w:val="16"/>
          <w:color w:val="auto"/>
        </w:rPr>
        <w:t>The following table summarizes restructuring reserves (excluding restructuring reserves related to dealer wind-down agreements) and charges by segment, including postemployment benefit reserves and charges in the three and nine months ended September 30, 2010 (dollars in millions):</w:t>
      </w:r>
    </w:p>
    <w:p>
      <w:pPr>
        <w:spacing w:after="0" w:line="12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7420" w:type="dxa"/>
            <w:vAlign w:val="bottom"/>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gridSpan w:val="4"/>
          </w:tcPr>
          <w:p>
            <w:pPr>
              <w:jc w:val="right"/>
              <w:ind w:right="460"/>
              <w:spacing w:after="0"/>
              <w:rPr>
                <w:sz w:val="20"/>
                <w:szCs w:val="20"/>
                <w:color w:val="auto"/>
              </w:rPr>
            </w:pPr>
            <w:r>
              <w:rPr>
                <w:rFonts w:ascii="Arial" w:cs="Arial" w:eastAsia="Arial" w:hAnsi="Arial"/>
                <w:sz w:val="14"/>
                <w:szCs w:val="14"/>
                <w:b w:val="1"/>
                <w:bCs w:val="1"/>
                <w:color w:val="auto"/>
                <w:w w:val="93"/>
              </w:rPr>
              <w:t>Successor</w:t>
            </w:r>
          </w:p>
        </w:tc>
        <w:tc>
          <w:tcPr>
            <w:tcW w:w="14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42"/>
        </w:trPr>
        <w:tc>
          <w:tcPr>
            <w:tcW w:w="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7420" w:type="dxa"/>
            <w:vAlign w:val="bottom"/>
          </w:tcPr>
          <w:p>
            <w:pPr>
              <w:spacing w:after="0"/>
              <w:rPr>
                <w:sz w:val="12"/>
                <w:szCs w:val="12"/>
                <w:color w:val="auto"/>
              </w:rPr>
            </w:pPr>
          </w:p>
        </w:tc>
        <w:tc>
          <w:tcPr>
            <w:tcW w:w="50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GMNA</w:t>
            </w: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0" w:type="dxa"/>
            <w:vAlign w:val="bottom"/>
            <w:tcBorders>
              <w:bottom w:val="single" w:sz="8" w:color="auto"/>
            </w:tcBorders>
            <w:gridSpan w:val="2"/>
          </w:tcPr>
          <w:p>
            <w:pPr>
              <w:spacing w:after="0" w:line="142" w:lineRule="exact"/>
              <w:rPr>
                <w:sz w:val="20"/>
                <w:szCs w:val="20"/>
                <w:color w:val="auto"/>
              </w:rPr>
            </w:pPr>
            <w:r>
              <w:rPr>
                <w:rFonts w:ascii="Arial" w:cs="Arial" w:eastAsia="Arial" w:hAnsi="Arial"/>
                <w:sz w:val="14"/>
                <w:szCs w:val="14"/>
                <w:b w:val="1"/>
                <w:bCs w:val="1"/>
                <w:color w:val="auto"/>
              </w:rPr>
              <w:t>GMIO</w:t>
            </w:r>
          </w:p>
        </w:tc>
        <w:tc>
          <w:tcPr>
            <w:tcW w:w="300" w:type="dxa"/>
            <w:vAlign w:val="bottom"/>
          </w:tcPr>
          <w:p>
            <w:pPr>
              <w:spacing w:after="0"/>
              <w:rPr>
                <w:sz w:val="12"/>
                <w:szCs w:val="12"/>
                <w:color w:val="auto"/>
              </w:rPr>
            </w:pPr>
          </w:p>
        </w:tc>
        <w:tc>
          <w:tcPr>
            <w:tcW w:w="42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GME</w:t>
            </w: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00" w:type="dxa"/>
            <w:vAlign w:val="bottom"/>
            <w:tcBorders>
              <w:bottom w:val="single" w:sz="8" w:color="auto"/>
            </w:tcBorders>
          </w:tcPr>
          <w:p>
            <w:pPr>
              <w:jc w:val="right"/>
              <w:ind w:right="37"/>
              <w:spacing w:after="0" w:line="142" w:lineRule="exact"/>
              <w:rPr>
                <w:sz w:val="20"/>
                <w:szCs w:val="20"/>
                <w:color w:val="auto"/>
              </w:rPr>
            </w:pPr>
            <w:r>
              <w:rPr>
                <w:rFonts w:ascii="Arial" w:cs="Arial" w:eastAsia="Arial" w:hAnsi="Arial"/>
                <w:sz w:val="14"/>
                <w:szCs w:val="14"/>
                <w:b w:val="1"/>
                <w:bCs w:val="1"/>
                <w:color w:val="auto"/>
              </w:rPr>
              <w:t>Total</w:t>
            </w:r>
          </w:p>
        </w:tc>
        <w:tc>
          <w:tcPr>
            <w:tcW w:w="100" w:type="dxa"/>
            <w:vAlign w:val="bottom"/>
          </w:tcPr>
          <w:p>
            <w:pPr>
              <w:spacing w:after="0"/>
              <w:rPr>
                <w:sz w:val="12"/>
                <w:szCs w:val="12"/>
                <w:color w:val="auto"/>
              </w:rPr>
            </w:pPr>
          </w:p>
        </w:tc>
      </w:tr>
      <w:tr>
        <w:trPr>
          <w:trHeight w:val="210"/>
        </w:trPr>
        <w:tc>
          <w:tcPr>
            <w:tcW w:w="20" w:type="dxa"/>
            <w:vAlign w:val="bottom"/>
          </w:tcPr>
          <w:p>
            <w:pPr>
              <w:spacing w:after="0"/>
              <w:rPr>
                <w:sz w:val="18"/>
                <w:szCs w:val="18"/>
                <w:color w:val="auto"/>
              </w:rPr>
            </w:pPr>
          </w:p>
        </w:tc>
        <w:tc>
          <w:tcPr>
            <w:tcW w:w="85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Balance at January 1, 2010</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$2,088</w:t>
            </w:r>
          </w:p>
        </w:tc>
        <w:tc>
          <w:tcPr>
            <w:tcW w:w="180" w:type="dxa"/>
            <w:vAlign w:val="bottom"/>
            <w:shd w:val="clear" w:color="auto" w:fill="CCEEFF"/>
          </w:tcPr>
          <w:p>
            <w:pPr>
              <w:spacing w:after="0"/>
              <w:rPr>
                <w:sz w:val="18"/>
                <w:szCs w:val="18"/>
                <w:color w:val="auto"/>
              </w:rPr>
            </w:pPr>
          </w:p>
        </w:tc>
        <w:tc>
          <w:tcPr>
            <w:tcW w:w="28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5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7</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$ 451</w:t>
            </w:r>
          </w:p>
        </w:tc>
        <w:tc>
          <w:tcPr>
            <w:tcW w:w="180" w:type="dxa"/>
            <w:vAlign w:val="bottom"/>
            <w:shd w:val="clear" w:color="auto" w:fill="CCEEFF"/>
          </w:tcPr>
          <w:p>
            <w:pPr>
              <w:spacing w:after="0"/>
              <w:rPr>
                <w:sz w:val="18"/>
                <w:szCs w:val="18"/>
                <w:color w:val="auto"/>
              </w:rPr>
            </w:pPr>
          </w:p>
        </w:tc>
        <w:tc>
          <w:tcPr>
            <w:tcW w:w="7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$2,546</w:t>
            </w:r>
          </w:p>
        </w:tc>
      </w:tr>
      <w:tr>
        <w:trPr>
          <w:trHeight w:val="216"/>
        </w:trPr>
        <w:tc>
          <w:tcPr>
            <w:tcW w:w="20" w:type="dxa"/>
            <w:vAlign w:val="bottom"/>
          </w:tcPr>
          <w:p>
            <w:pPr>
              <w:spacing w:after="0"/>
              <w:rPr>
                <w:sz w:val="18"/>
                <w:szCs w:val="18"/>
                <w:color w:val="auto"/>
              </w:rPr>
            </w:pPr>
          </w:p>
        </w:tc>
        <w:tc>
          <w:tcPr>
            <w:tcW w:w="8560" w:type="dxa"/>
            <w:vAlign w:val="bottom"/>
            <w:gridSpan w:val="2"/>
          </w:tcPr>
          <w:p>
            <w:pPr>
              <w:spacing w:after="0"/>
              <w:rPr>
                <w:sz w:val="20"/>
                <w:szCs w:val="20"/>
                <w:color w:val="auto"/>
              </w:rPr>
            </w:pPr>
            <w:r>
              <w:rPr>
                <w:rFonts w:ascii="Arial" w:cs="Arial" w:eastAsia="Arial" w:hAnsi="Arial"/>
                <w:sz w:val="18"/>
                <w:szCs w:val="18"/>
                <w:color w:val="auto"/>
              </w:rPr>
              <w:t>Additions</w:t>
            </w:r>
          </w:p>
        </w:tc>
        <w:tc>
          <w:tcPr>
            <w:tcW w:w="500" w:type="dxa"/>
            <w:vAlign w:val="bottom"/>
          </w:tcPr>
          <w:p>
            <w:pPr>
              <w:jc w:val="right"/>
              <w:spacing w:after="0"/>
              <w:rPr>
                <w:sz w:val="20"/>
                <w:szCs w:val="20"/>
                <w:color w:val="auto"/>
              </w:rPr>
            </w:pPr>
            <w:r>
              <w:rPr>
                <w:rFonts w:ascii="Arial" w:cs="Arial" w:eastAsia="Arial" w:hAnsi="Arial"/>
                <w:sz w:val="18"/>
                <w:szCs w:val="18"/>
                <w:color w:val="auto"/>
              </w:rPr>
              <w:t>7</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4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420" w:type="dxa"/>
            <w:vAlign w:val="bottom"/>
          </w:tcPr>
          <w:p>
            <w:pPr>
              <w:jc w:val="right"/>
              <w:spacing w:after="0"/>
              <w:rPr>
                <w:sz w:val="20"/>
                <w:szCs w:val="20"/>
                <w:color w:val="auto"/>
              </w:rPr>
            </w:pPr>
            <w:r>
              <w:rPr>
                <w:rFonts w:ascii="Arial" w:cs="Arial" w:eastAsia="Arial" w:hAnsi="Arial"/>
                <w:sz w:val="18"/>
                <w:szCs w:val="18"/>
                <w:color w:val="auto"/>
              </w:rPr>
              <w:t>273</w:t>
            </w:r>
          </w:p>
        </w:tc>
        <w:tc>
          <w:tcPr>
            <w:tcW w:w="180" w:type="dxa"/>
            <w:vAlign w:val="bottom"/>
          </w:tcPr>
          <w:p>
            <w:pPr>
              <w:spacing w:after="0"/>
              <w:rPr>
                <w:sz w:val="18"/>
                <w:szCs w:val="18"/>
                <w:color w:val="auto"/>
              </w:rPr>
            </w:pPr>
          </w:p>
        </w:tc>
        <w:tc>
          <w:tcPr>
            <w:tcW w:w="740" w:type="dxa"/>
            <w:vAlign w:val="bottom"/>
            <w:gridSpan w:val="3"/>
          </w:tcPr>
          <w:p>
            <w:pPr>
              <w:jc w:val="right"/>
              <w:ind w:right="100"/>
              <w:spacing w:after="0"/>
              <w:rPr>
                <w:sz w:val="20"/>
                <w:szCs w:val="20"/>
                <w:color w:val="auto"/>
              </w:rPr>
            </w:pPr>
            <w:r>
              <w:rPr>
                <w:rFonts w:ascii="Arial" w:cs="Arial" w:eastAsia="Arial" w:hAnsi="Arial"/>
                <w:sz w:val="18"/>
                <w:szCs w:val="18"/>
                <w:color w:val="auto"/>
              </w:rPr>
              <w:t>280</w:t>
            </w:r>
          </w:p>
        </w:tc>
      </w:tr>
      <w:tr>
        <w:trPr>
          <w:trHeight w:val="216"/>
        </w:trPr>
        <w:tc>
          <w:tcPr>
            <w:tcW w:w="20" w:type="dxa"/>
            <w:vAlign w:val="bottom"/>
          </w:tcPr>
          <w:p>
            <w:pPr>
              <w:spacing w:after="0"/>
              <w:rPr>
                <w:sz w:val="18"/>
                <w:szCs w:val="18"/>
                <w:color w:val="auto"/>
              </w:rPr>
            </w:pPr>
          </w:p>
        </w:tc>
        <w:tc>
          <w:tcPr>
            <w:tcW w:w="85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Interest accretion and other</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w:t>
            </w:r>
          </w:p>
        </w:tc>
        <w:tc>
          <w:tcPr>
            <w:tcW w:w="180" w:type="dxa"/>
            <w:vAlign w:val="bottom"/>
            <w:shd w:val="clear" w:color="auto" w:fill="CCEEFF"/>
          </w:tcPr>
          <w:p>
            <w:pPr>
              <w:spacing w:after="0"/>
              <w:rPr>
                <w:sz w:val="18"/>
                <w:szCs w:val="18"/>
                <w:color w:val="auto"/>
              </w:rPr>
            </w:pPr>
          </w:p>
        </w:tc>
        <w:tc>
          <w:tcPr>
            <w:tcW w:w="7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42</w:t>
            </w:r>
          </w:p>
        </w:tc>
      </w:tr>
      <w:tr>
        <w:trPr>
          <w:trHeight w:val="216"/>
        </w:trPr>
        <w:tc>
          <w:tcPr>
            <w:tcW w:w="20" w:type="dxa"/>
            <w:vAlign w:val="bottom"/>
          </w:tcPr>
          <w:p>
            <w:pPr>
              <w:spacing w:after="0"/>
              <w:rPr>
                <w:sz w:val="18"/>
                <w:szCs w:val="18"/>
                <w:color w:val="auto"/>
              </w:rPr>
            </w:pPr>
          </w:p>
        </w:tc>
        <w:tc>
          <w:tcPr>
            <w:tcW w:w="8560" w:type="dxa"/>
            <w:vAlign w:val="bottom"/>
            <w:gridSpan w:val="2"/>
          </w:tcPr>
          <w:p>
            <w:pPr>
              <w:spacing w:after="0"/>
              <w:rPr>
                <w:sz w:val="20"/>
                <w:szCs w:val="20"/>
                <w:color w:val="auto"/>
              </w:rPr>
            </w:pPr>
            <w:r>
              <w:rPr>
                <w:rFonts w:ascii="Arial" w:cs="Arial" w:eastAsia="Arial" w:hAnsi="Arial"/>
                <w:sz w:val="18"/>
                <w:szCs w:val="18"/>
                <w:color w:val="auto"/>
              </w:rPr>
              <w:t>Payments</w:t>
            </w:r>
          </w:p>
        </w:tc>
        <w:tc>
          <w:tcPr>
            <w:tcW w:w="680" w:type="dxa"/>
            <w:vAlign w:val="bottom"/>
            <w:gridSpan w:val="2"/>
          </w:tcPr>
          <w:p>
            <w:pPr>
              <w:jc w:val="right"/>
              <w:ind w:right="140"/>
              <w:spacing w:after="0"/>
              <w:rPr>
                <w:sz w:val="20"/>
                <w:szCs w:val="20"/>
                <w:color w:val="auto"/>
              </w:rPr>
            </w:pPr>
            <w:r>
              <w:rPr>
                <w:rFonts w:ascii="Arial" w:cs="Arial" w:eastAsia="Arial" w:hAnsi="Arial"/>
                <w:sz w:val="18"/>
                <w:szCs w:val="18"/>
                <w:color w:val="auto"/>
              </w:rPr>
              <w:t>(243)</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40" w:type="dxa"/>
            <w:vAlign w:val="bottom"/>
            <w:gridSpan w:val="2"/>
          </w:tcPr>
          <w:p>
            <w:pPr>
              <w:jc w:val="right"/>
              <w:ind w:right="240"/>
              <w:spacing w:after="0"/>
              <w:rPr>
                <w:sz w:val="20"/>
                <w:szCs w:val="20"/>
                <w:color w:val="auto"/>
              </w:rPr>
            </w:pPr>
            <w:r>
              <w:rPr>
                <w:rFonts w:ascii="Arial" w:cs="Arial" w:eastAsia="Arial" w:hAnsi="Arial"/>
                <w:sz w:val="18"/>
                <w:szCs w:val="18"/>
                <w:color w:val="auto"/>
              </w:rPr>
              <w:t>(3)</w:t>
            </w:r>
          </w:p>
        </w:tc>
        <w:tc>
          <w:tcPr>
            <w:tcW w:w="600" w:type="dxa"/>
            <w:vAlign w:val="bottom"/>
            <w:gridSpan w:val="2"/>
          </w:tcPr>
          <w:p>
            <w:pPr>
              <w:jc w:val="right"/>
              <w:ind w:right="120"/>
              <w:spacing w:after="0"/>
              <w:rPr>
                <w:sz w:val="20"/>
                <w:szCs w:val="20"/>
                <w:color w:val="auto"/>
              </w:rPr>
            </w:pPr>
            <w:r>
              <w:rPr>
                <w:rFonts w:ascii="Arial" w:cs="Arial" w:eastAsia="Arial" w:hAnsi="Arial"/>
                <w:sz w:val="18"/>
                <w:szCs w:val="18"/>
                <w:color w:val="auto"/>
              </w:rPr>
              <w:t>(37)</w:t>
            </w:r>
          </w:p>
        </w:tc>
        <w:tc>
          <w:tcPr>
            <w:tcW w:w="740" w:type="dxa"/>
            <w:vAlign w:val="bottom"/>
            <w:gridSpan w:val="3"/>
          </w:tcPr>
          <w:p>
            <w:pPr>
              <w:jc w:val="right"/>
              <w:ind w:right="40"/>
              <w:spacing w:after="0"/>
              <w:rPr>
                <w:sz w:val="20"/>
                <w:szCs w:val="20"/>
                <w:color w:val="auto"/>
              </w:rPr>
            </w:pPr>
            <w:r>
              <w:rPr>
                <w:rFonts w:ascii="Arial" w:cs="Arial" w:eastAsia="Arial" w:hAnsi="Arial"/>
                <w:sz w:val="18"/>
                <w:szCs w:val="18"/>
                <w:color w:val="auto"/>
              </w:rPr>
              <w:t>(283)</w:t>
            </w:r>
          </w:p>
        </w:tc>
      </w:tr>
      <w:tr>
        <w:trPr>
          <w:trHeight w:val="216"/>
        </w:trPr>
        <w:tc>
          <w:tcPr>
            <w:tcW w:w="20" w:type="dxa"/>
            <w:vAlign w:val="bottom"/>
          </w:tcPr>
          <w:p>
            <w:pPr>
              <w:spacing w:after="0"/>
              <w:rPr>
                <w:sz w:val="18"/>
                <w:szCs w:val="18"/>
                <w:color w:val="auto"/>
              </w:rPr>
            </w:pPr>
          </w:p>
        </w:tc>
        <w:tc>
          <w:tcPr>
            <w:tcW w:w="85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Revisions to estimates</w:t>
            </w:r>
          </w:p>
        </w:tc>
        <w:tc>
          <w:tcPr>
            <w:tcW w:w="6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(104)</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6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74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(104)</w:t>
            </w:r>
          </w:p>
        </w:tc>
      </w:tr>
      <w:tr>
        <w:trPr>
          <w:trHeight w:val="223"/>
        </w:trPr>
        <w:tc>
          <w:tcPr>
            <w:tcW w:w="20" w:type="dxa"/>
            <w:vAlign w:val="bottom"/>
          </w:tcPr>
          <w:p>
            <w:pPr>
              <w:spacing w:after="0"/>
              <w:rPr>
                <w:sz w:val="19"/>
                <w:szCs w:val="19"/>
                <w:color w:val="auto"/>
              </w:rPr>
            </w:pPr>
          </w:p>
        </w:tc>
        <w:tc>
          <w:tcPr>
            <w:tcW w:w="8560" w:type="dxa"/>
            <w:vAlign w:val="bottom"/>
            <w:gridSpan w:val="2"/>
          </w:tcPr>
          <w:p>
            <w:pPr>
              <w:spacing w:after="0"/>
              <w:rPr>
                <w:sz w:val="20"/>
                <w:szCs w:val="20"/>
                <w:color w:val="auto"/>
              </w:rPr>
            </w:pPr>
            <w:r>
              <w:rPr>
                <w:rFonts w:ascii="Arial" w:cs="Arial" w:eastAsia="Arial" w:hAnsi="Arial"/>
                <w:sz w:val="18"/>
                <w:szCs w:val="18"/>
                <w:color w:val="auto"/>
              </w:rPr>
              <w:t>Effect of foreign currency translation</w:t>
            </w:r>
          </w:p>
        </w:tc>
        <w:tc>
          <w:tcPr>
            <w:tcW w:w="500" w:type="dxa"/>
            <w:vAlign w:val="bottom"/>
          </w:tcPr>
          <w:p>
            <w:pPr>
              <w:jc w:val="right"/>
              <w:spacing w:after="0"/>
              <w:rPr>
                <w:sz w:val="20"/>
                <w:szCs w:val="20"/>
                <w:color w:val="auto"/>
              </w:rPr>
            </w:pPr>
            <w:r>
              <w:rPr>
                <w:rFonts w:ascii="Arial" w:cs="Arial" w:eastAsia="Arial" w:hAnsi="Arial"/>
                <w:sz w:val="18"/>
                <w:szCs w:val="18"/>
                <w:color w:val="auto"/>
              </w:rPr>
              <w:t>24</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600" w:type="dxa"/>
            <w:vAlign w:val="bottom"/>
            <w:gridSpan w:val="2"/>
          </w:tcPr>
          <w:p>
            <w:pPr>
              <w:jc w:val="right"/>
              <w:ind w:right="120"/>
              <w:spacing w:after="0"/>
              <w:rPr>
                <w:sz w:val="20"/>
                <w:szCs w:val="20"/>
                <w:color w:val="auto"/>
              </w:rPr>
            </w:pPr>
            <w:r>
              <w:rPr>
                <w:rFonts w:ascii="Arial" w:cs="Arial" w:eastAsia="Arial" w:hAnsi="Arial"/>
                <w:sz w:val="18"/>
                <w:szCs w:val="18"/>
                <w:color w:val="auto"/>
              </w:rPr>
              <w:t>(33)</w:t>
            </w:r>
          </w:p>
        </w:tc>
        <w:tc>
          <w:tcPr>
            <w:tcW w:w="740" w:type="dxa"/>
            <w:vAlign w:val="bottom"/>
            <w:gridSpan w:val="3"/>
          </w:tcPr>
          <w:p>
            <w:pPr>
              <w:jc w:val="right"/>
              <w:ind w:right="40"/>
              <w:spacing w:after="0"/>
              <w:rPr>
                <w:sz w:val="20"/>
                <w:szCs w:val="20"/>
                <w:color w:val="auto"/>
              </w:rPr>
            </w:pPr>
            <w:r>
              <w:rPr>
                <w:rFonts w:ascii="Arial" w:cs="Arial" w:eastAsia="Arial" w:hAnsi="Arial"/>
                <w:sz w:val="18"/>
                <w:szCs w:val="18"/>
                <w:color w:val="auto"/>
              </w:rPr>
              <w:t>(9)</w:t>
            </w:r>
          </w:p>
        </w:tc>
      </w:tr>
      <w:tr>
        <w:trPr>
          <w:trHeight w:val="216"/>
        </w:trPr>
        <w:tc>
          <w:tcPr>
            <w:tcW w:w="20" w:type="dxa"/>
            <w:vAlign w:val="bottom"/>
          </w:tcPr>
          <w:p>
            <w:pPr>
              <w:spacing w:after="0"/>
              <w:rPr>
                <w:sz w:val="18"/>
                <w:szCs w:val="18"/>
                <w:color w:val="auto"/>
              </w:rPr>
            </w:pPr>
          </w:p>
        </w:tc>
        <w:tc>
          <w:tcPr>
            <w:tcW w:w="85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Balance at March 31, 2010</w:t>
            </w:r>
          </w:p>
        </w:tc>
        <w:tc>
          <w:tcPr>
            <w:tcW w:w="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1,782</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300" w:type="dxa"/>
            <w:vAlign w:val="bottom"/>
            <w:shd w:val="clear" w:color="auto" w:fill="CCEEFF"/>
          </w:tcPr>
          <w:p>
            <w:pPr>
              <w:spacing w:after="0"/>
              <w:rPr>
                <w:sz w:val="18"/>
                <w:szCs w:val="18"/>
                <w:color w:val="auto"/>
              </w:rPr>
            </w:pPr>
          </w:p>
        </w:tc>
        <w:tc>
          <w:tcPr>
            <w:tcW w:w="4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686</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2,472</w:t>
            </w:r>
          </w:p>
        </w:tc>
        <w:tc>
          <w:tcPr>
            <w:tcW w:w="100" w:type="dxa"/>
            <w:vAlign w:val="bottom"/>
            <w:shd w:val="clear" w:color="auto" w:fill="CCEEFF"/>
          </w:tcPr>
          <w:p>
            <w:pPr>
              <w:spacing w:after="0"/>
              <w:rPr>
                <w:sz w:val="18"/>
                <w:szCs w:val="18"/>
                <w:color w:val="auto"/>
              </w:rPr>
            </w:pPr>
          </w:p>
        </w:tc>
      </w:tr>
      <w:tr>
        <w:trPr>
          <w:trHeight w:val="221"/>
        </w:trPr>
        <w:tc>
          <w:tcPr>
            <w:tcW w:w="8580" w:type="dxa"/>
            <w:vAlign w:val="bottom"/>
            <w:gridSpan w:val="3"/>
          </w:tcPr>
          <w:p>
            <w:pPr>
              <w:spacing w:after="0"/>
              <w:rPr>
                <w:sz w:val="20"/>
                <w:szCs w:val="20"/>
                <w:color w:val="auto"/>
              </w:rPr>
            </w:pPr>
            <w:r>
              <w:rPr>
                <w:rFonts w:ascii="Arial" w:cs="Arial" w:eastAsia="Arial" w:hAnsi="Arial"/>
                <w:sz w:val="18"/>
                <w:szCs w:val="18"/>
                <w:color w:val="auto"/>
              </w:rPr>
              <w:t>Additions</w:t>
            </w:r>
          </w:p>
        </w:tc>
        <w:tc>
          <w:tcPr>
            <w:tcW w:w="500" w:type="dxa"/>
            <w:vAlign w:val="bottom"/>
          </w:tcPr>
          <w:p>
            <w:pPr>
              <w:jc w:val="right"/>
              <w:spacing w:after="0"/>
              <w:rPr>
                <w:sz w:val="20"/>
                <w:szCs w:val="20"/>
                <w:color w:val="auto"/>
              </w:rPr>
            </w:pPr>
            <w:r>
              <w:rPr>
                <w:rFonts w:ascii="Arial" w:cs="Arial" w:eastAsia="Arial" w:hAnsi="Arial"/>
                <w:sz w:val="18"/>
                <w:szCs w:val="18"/>
                <w:color w:val="auto"/>
              </w:rPr>
              <w:t>21</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4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420" w:type="dxa"/>
            <w:vAlign w:val="bottom"/>
          </w:tcPr>
          <w:p>
            <w:pPr>
              <w:jc w:val="right"/>
              <w:spacing w:after="0"/>
              <w:rPr>
                <w:sz w:val="20"/>
                <w:szCs w:val="20"/>
                <w:color w:val="auto"/>
              </w:rPr>
            </w:pPr>
            <w:r>
              <w:rPr>
                <w:rFonts w:ascii="Arial" w:cs="Arial" w:eastAsia="Arial" w:hAnsi="Arial"/>
                <w:sz w:val="18"/>
                <w:szCs w:val="18"/>
                <w:color w:val="auto"/>
              </w:rPr>
              <w:t>207</w:t>
            </w:r>
          </w:p>
        </w:tc>
        <w:tc>
          <w:tcPr>
            <w:tcW w:w="180" w:type="dxa"/>
            <w:vAlign w:val="bottom"/>
          </w:tcPr>
          <w:p>
            <w:pPr>
              <w:spacing w:after="0"/>
              <w:rPr>
                <w:sz w:val="19"/>
                <w:szCs w:val="19"/>
                <w:color w:val="auto"/>
              </w:rPr>
            </w:pPr>
          </w:p>
        </w:tc>
        <w:tc>
          <w:tcPr>
            <w:tcW w:w="740" w:type="dxa"/>
            <w:vAlign w:val="bottom"/>
            <w:gridSpan w:val="3"/>
          </w:tcPr>
          <w:p>
            <w:pPr>
              <w:jc w:val="right"/>
              <w:ind w:right="100"/>
              <w:spacing w:after="0"/>
              <w:rPr>
                <w:sz w:val="20"/>
                <w:szCs w:val="20"/>
                <w:color w:val="auto"/>
              </w:rPr>
            </w:pPr>
            <w:r>
              <w:rPr>
                <w:rFonts w:ascii="Arial" w:cs="Arial" w:eastAsia="Arial" w:hAnsi="Arial"/>
                <w:sz w:val="18"/>
                <w:szCs w:val="18"/>
                <w:color w:val="auto"/>
              </w:rPr>
              <w:t>228</w:t>
            </w:r>
          </w:p>
        </w:tc>
      </w:tr>
      <w:tr>
        <w:trPr>
          <w:trHeight w:val="218"/>
        </w:trPr>
        <w:tc>
          <w:tcPr>
            <w:tcW w:w="20" w:type="dxa"/>
            <w:vAlign w:val="bottom"/>
          </w:tcPr>
          <w:p>
            <w:pPr>
              <w:spacing w:after="0"/>
              <w:rPr>
                <w:sz w:val="18"/>
                <w:szCs w:val="18"/>
                <w:color w:val="auto"/>
              </w:rPr>
            </w:pPr>
          </w:p>
        </w:tc>
        <w:tc>
          <w:tcPr>
            <w:tcW w:w="85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Interest accretion and other</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180" w:type="dxa"/>
            <w:vAlign w:val="bottom"/>
            <w:shd w:val="clear" w:color="auto" w:fill="CCEEFF"/>
          </w:tcPr>
          <w:p>
            <w:pPr>
              <w:spacing w:after="0"/>
              <w:rPr>
                <w:sz w:val="18"/>
                <w:szCs w:val="18"/>
                <w:color w:val="auto"/>
              </w:rPr>
            </w:pPr>
          </w:p>
        </w:tc>
        <w:tc>
          <w:tcPr>
            <w:tcW w:w="7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38</w:t>
            </w:r>
          </w:p>
        </w:tc>
      </w:tr>
      <w:tr>
        <w:trPr>
          <w:trHeight w:val="216"/>
        </w:trPr>
        <w:tc>
          <w:tcPr>
            <w:tcW w:w="20" w:type="dxa"/>
            <w:vAlign w:val="bottom"/>
          </w:tcPr>
          <w:p>
            <w:pPr>
              <w:spacing w:after="0"/>
              <w:rPr>
                <w:sz w:val="18"/>
                <w:szCs w:val="18"/>
                <w:color w:val="auto"/>
              </w:rPr>
            </w:pPr>
          </w:p>
        </w:tc>
        <w:tc>
          <w:tcPr>
            <w:tcW w:w="8560" w:type="dxa"/>
            <w:vAlign w:val="bottom"/>
            <w:gridSpan w:val="2"/>
          </w:tcPr>
          <w:p>
            <w:pPr>
              <w:spacing w:after="0"/>
              <w:rPr>
                <w:sz w:val="20"/>
                <w:szCs w:val="20"/>
                <w:color w:val="auto"/>
              </w:rPr>
            </w:pPr>
            <w:r>
              <w:rPr>
                <w:rFonts w:ascii="Arial" w:cs="Arial" w:eastAsia="Arial" w:hAnsi="Arial"/>
                <w:sz w:val="18"/>
                <w:szCs w:val="18"/>
                <w:color w:val="auto"/>
              </w:rPr>
              <w:t>Payments</w:t>
            </w:r>
          </w:p>
        </w:tc>
        <w:tc>
          <w:tcPr>
            <w:tcW w:w="680" w:type="dxa"/>
            <w:vAlign w:val="bottom"/>
            <w:gridSpan w:val="2"/>
          </w:tcPr>
          <w:p>
            <w:pPr>
              <w:jc w:val="right"/>
              <w:ind w:right="140"/>
              <w:spacing w:after="0"/>
              <w:rPr>
                <w:sz w:val="20"/>
                <w:szCs w:val="20"/>
                <w:color w:val="auto"/>
              </w:rPr>
            </w:pPr>
            <w:r>
              <w:rPr>
                <w:rFonts w:ascii="Arial" w:cs="Arial" w:eastAsia="Arial" w:hAnsi="Arial"/>
                <w:sz w:val="18"/>
                <w:szCs w:val="18"/>
                <w:color w:val="auto"/>
              </w:rPr>
              <w:t>(178)</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40" w:type="dxa"/>
            <w:vAlign w:val="bottom"/>
            <w:gridSpan w:val="2"/>
          </w:tcPr>
          <w:p>
            <w:pPr>
              <w:jc w:val="right"/>
              <w:ind w:right="240"/>
              <w:spacing w:after="0"/>
              <w:rPr>
                <w:sz w:val="20"/>
                <w:szCs w:val="20"/>
                <w:color w:val="auto"/>
              </w:rPr>
            </w:pPr>
            <w:r>
              <w:rPr>
                <w:rFonts w:ascii="Arial" w:cs="Arial" w:eastAsia="Arial" w:hAnsi="Arial"/>
                <w:sz w:val="18"/>
                <w:szCs w:val="18"/>
                <w:color w:val="auto"/>
              </w:rPr>
              <w:t>(2)</w:t>
            </w:r>
          </w:p>
        </w:tc>
        <w:tc>
          <w:tcPr>
            <w:tcW w:w="600" w:type="dxa"/>
            <w:vAlign w:val="bottom"/>
            <w:gridSpan w:val="2"/>
          </w:tcPr>
          <w:p>
            <w:pPr>
              <w:jc w:val="right"/>
              <w:ind w:right="120"/>
              <w:spacing w:after="0"/>
              <w:rPr>
                <w:sz w:val="20"/>
                <w:szCs w:val="20"/>
                <w:color w:val="auto"/>
              </w:rPr>
            </w:pPr>
            <w:r>
              <w:rPr>
                <w:rFonts w:ascii="Arial" w:cs="Arial" w:eastAsia="Arial" w:hAnsi="Arial"/>
                <w:sz w:val="18"/>
                <w:szCs w:val="18"/>
                <w:color w:val="auto"/>
              </w:rPr>
              <w:t>(257)</w:t>
            </w:r>
          </w:p>
        </w:tc>
        <w:tc>
          <w:tcPr>
            <w:tcW w:w="740" w:type="dxa"/>
            <w:vAlign w:val="bottom"/>
            <w:gridSpan w:val="3"/>
          </w:tcPr>
          <w:p>
            <w:pPr>
              <w:jc w:val="right"/>
              <w:ind w:right="40"/>
              <w:spacing w:after="0"/>
              <w:rPr>
                <w:sz w:val="20"/>
                <w:szCs w:val="20"/>
                <w:color w:val="auto"/>
              </w:rPr>
            </w:pPr>
            <w:r>
              <w:rPr>
                <w:rFonts w:ascii="Arial" w:cs="Arial" w:eastAsia="Arial" w:hAnsi="Arial"/>
                <w:sz w:val="18"/>
                <w:szCs w:val="18"/>
                <w:color w:val="auto"/>
              </w:rPr>
              <w:t>(437)</w:t>
            </w:r>
          </w:p>
        </w:tc>
      </w:tr>
      <w:tr>
        <w:trPr>
          <w:trHeight w:val="216"/>
        </w:trPr>
        <w:tc>
          <w:tcPr>
            <w:tcW w:w="20" w:type="dxa"/>
            <w:vAlign w:val="bottom"/>
          </w:tcPr>
          <w:p>
            <w:pPr>
              <w:spacing w:after="0"/>
              <w:rPr>
                <w:sz w:val="18"/>
                <w:szCs w:val="18"/>
                <w:color w:val="auto"/>
              </w:rPr>
            </w:pPr>
          </w:p>
        </w:tc>
        <w:tc>
          <w:tcPr>
            <w:tcW w:w="85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Revisions to estimates</w:t>
            </w:r>
          </w:p>
        </w:tc>
        <w:tc>
          <w:tcPr>
            <w:tcW w:w="6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w:t>
            </w:r>
          </w:p>
        </w:tc>
        <w:tc>
          <w:tcPr>
            <w:tcW w:w="6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(8)</w:t>
            </w:r>
          </w:p>
        </w:tc>
        <w:tc>
          <w:tcPr>
            <w:tcW w:w="74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(8)</w:t>
            </w:r>
          </w:p>
        </w:tc>
      </w:tr>
      <w:tr>
        <w:trPr>
          <w:trHeight w:val="223"/>
        </w:trPr>
        <w:tc>
          <w:tcPr>
            <w:tcW w:w="20" w:type="dxa"/>
            <w:vAlign w:val="bottom"/>
          </w:tcPr>
          <w:p>
            <w:pPr>
              <w:spacing w:after="0"/>
              <w:rPr>
                <w:sz w:val="19"/>
                <w:szCs w:val="19"/>
                <w:color w:val="auto"/>
              </w:rPr>
            </w:pPr>
          </w:p>
        </w:tc>
        <w:tc>
          <w:tcPr>
            <w:tcW w:w="8560" w:type="dxa"/>
            <w:vAlign w:val="bottom"/>
            <w:gridSpan w:val="2"/>
          </w:tcPr>
          <w:p>
            <w:pPr>
              <w:spacing w:after="0"/>
              <w:rPr>
                <w:sz w:val="20"/>
                <w:szCs w:val="20"/>
                <w:color w:val="auto"/>
              </w:rPr>
            </w:pPr>
            <w:r>
              <w:rPr>
                <w:rFonts w:ascii="Arial" w:cs="Arial" w:eastAsia="Arial" w:hAnsi="Arial"/>
                <w:sz w:val="18"/>
                <w:szCs w:val="18"/>
                <w:color w:val="auto"/>
              </w:rPr>
              <w:t>Effect of foreign currency translation</w:t>
            </w:r>
          </w:p>
        </w:tc>
        <w:tc>
          <w:tcPr>
            <w:tcW w:w="680" w:type="dxa"/>
            <w:vAlign w:val="bottom"/>
            <w:gridSpan w:val="2"/>
          </w:tcPr>
          <w:p>
            <w:pPr>
              <w:jc w:val="right"/>
              <w:ind w:right="140"/>
              <w:spacing w:after="0"/>
              <w:rPr>
                <w:sz w:val="20"/>
                <w:szCs w:val="20"/>
                <w:color w:val="auto"/>
              </w:rPr>
            </w:pPr>
            <w:r>
              <w:rPr>
                <w:rFonts w:ascii="Arial" w:cs="Arial" w:eastAsia="Arial" w:hAnsi="Arial"/>
                <w:sz w:val="18"/>
                <w:szCs w:val="18"/>
                <w:color w:val="auto"/>
              </w:rPr>
              <w:t>(25)</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4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600" w:type="dxa"/>
            <w:vAlign w:val="bottom"/>
            <w:gridSpan w:val="2"/>
          </w:tcPr>
          <w:p>
            <w:pPr>
              <w:jc w:val="right"/>
              <w:ind w:right="120"/>
              <w:spacing w:after="0"/>
              <w:rPr>
                <w:sz w:val="20"/>
                <w:szCs w:val="20"/>
                <w:color w:val="auto"/>
              </w:rPr>
            </w:pPr>
            <w:r>
              <w:rPr>
                <w:rFonts w:ascii="Arial" w:cs="Arial" w:eastAsia="Arial" w:hAnsi="Arial"/>
                <w:sz w:val="18"/>
                <w:szCs w:val="18"/>
                <w:color w:val="auto"/>
              </w:rPr>
              <w:t>(63)</w:t>
            </w:r>
          </w:p>
        </w:tc>
        <w:tc>
          <w:tcPr>
            <w:tcW w:w="740" w:type="dxa"/>
            <w:vAlign w:val="bottom"/>
            <w:gridSpan w:val="3"/>
          </w:tcPr>
          <w:p>
            <w:pPr>
              <w:jc w:val="right"/>
              <w:ind w:right="40"/>
              <w:spacing w:after="0"/>
              <w:rPr>
                <w:sz w:val="20"/>
                <w:szCs w:val="20"/>
                <w:color w:val="auto"/>
              </w:rPr>
            </w:pPr>
            <w:r>
              <w:rPr>
                <w:rFonts w:ascii="Arial" w:cs="Arial" w:eastAsia="Arial" w:hAnsi="Arial"/>
                <w:sz w:val="18"/>
                <w:szCs w:val="18"/>
                <w:color w:val="auto"/>
              </w:rPr>
              <w:t>(88)</w:t>
            </w:r>
          </w:p>
        </w:tc>
      </w:tr>
      <w:tr>
        <w:trPr>
          <w:trHeight w:val="216"/>
        </w:trPr>
        <w:tc>
          <w:tcPr>
            <w:tcW w:w="20" w:type="dxa"/>
            <w:vAlign w:val="bottom"/>
          </w:tcPr>
          <w:p>
            <w:pPr>
              <w:spacing w:after="0"/>
              <w:rPr>
                <w:sz w:val="18"/>
                <w:szCs w:val="18"/>
                <w:color w:val="auto"/>
              </w:rPr>
            </w:pPr>
          </w:p>
        </w:tc>
        <w:tc>
          <w:tcPr>
            <w:tcW w:w="85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Balance at June 30, 2010</w:t>
            </w:r>
          </w:p>
        </w:tc>
        <w:tc>
          <w:tcPr>
            <w:tcW w:w="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1,609</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300" w:type="dxa"/>
            <w:vAlign w:val="bottom"/>
            <w:shd w:val="clear" w:color="auto" w:fill="CCEEFF"/>
          </w:tcPr>
          <w:p>
            <w:pPr>
              <w:spacing w:after="0"/>
              <w:rPr>
                <w:sz w:val="18"/>
                <w:szCs w:val="18"/>
                <w:color w:val="auto"/>
              </w:rPr>
            </w:pPr>
          </w:p>
        </w:tc>
        <w:tc>
          <w:tcPr>
            <w:tcW w:w="4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593</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2,205</w:t>
            </w:r>
          </w:p>
        </w:tc>
        <w:tc>
          <w:tcPr>
            <w:tcW w:w="100" w:type="dxa"/>
            <w:vAlign w:val="bottom"/>
            <w:shd w:val="clear" w:color="auto" w:fill="CCEEFF"/>
          </w:tcPr>
          <w:p>
            <w:pPr>
              <w:spacing w:after="0"/>
              <w:rPr>
                <w:sz w:val="18"/>
                <w:szCs w:val="18"/>
                <w:color w:val="auto"/>
              </w:rPr>
            </w:pPr>
          </w:p>
        </w:tc>
      </w:tr>
      <w:tr>
        <w:trPr>
          <w:trHeight w:val="221"/>
        </w:trPr>
        <w:tc>
          <w:tcPr>
            <w:tcW w:w="8580" w:type="dxa"/>
            <w:vAlign w:val="bottom"/>
            <w:gridSpan w:val="3"/>
          </w:tcPr>
          <w:p>
            <w:pPr>
              <w:spacing w:after="0"/>
              <w:rPr>
                <w:sz w:val="20"/>
                <w:szCs w:val="20"/>
                <w:color w:val="auto"/>
              </w:rPr>
            </w:pPr>
            <w:r>
              <w:rPr>
                <w:rFonts w:ascii="Arial" w:cs="Arial" w:eastAsia="Arial" w:hAnsi="Arial"/>
                <w:sz w:val="18"/>
                <w:szCs w:val="18"/>
                <w:color w:val="auto"/>
              </w:rPr>
              <w:t>Additions</w:t>
            </w:r>
          </w:p>
        </w:tc>
        <w:tc>
          <w:tcPr>
            <w:tcW w:w="500" w:type="dxa"/>
            <w:vAlign w:val="bottom"/>
          </w:tcPr>
          <w:p>
            <w:pPr>
              <w:jc w:val="right"/>
              <w:spacing w:after="0"/>
              <w:rPr>
                <w:sz w:val="20"/>
                <w:szCs w:val="20"/>
                <w:color w:val="auto"/>
              </w:rPr>
            </w:pPr>
            <w:r>
              <w:rPr>
                <w:rFonts w:ascii="Arial" w:cs="Arial" w:eastAsia="Arial" w:hAnsi="Arial"/>
                <w:sz w:val="18"/>
                <w:szCs w:val="18"/>
                <w:color w:val="auto"/>
              </w:rPr>
              <w:t>14</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40" w:type="dxa"/>
            <w:vAlign w:val="bottom"/>
            <w:gridSpan w:val="2"/>
          </w:tcPr>
          <w:p>
            <w:pPr>
              <w:jc w:val="right"/>
              <w:ind w:right="300"/>
              <w:spacing w:after="0"/>
              <w:rPr>
                <w:sz w:val="20"/>
                <w:szCs w:val="20"/>
                <w:color w:val="auto"/>
              </w:rPr>
            </w:pPr>
            <w:r>
              <w:rPr>
                <w:rFonts w:ascii="Arial" w:cs="Arial" w:eastAsia="Arial" w:hAnsi="Arial"/>
                <w:sz w:val="18"/>
                <w:szCs w:val="18"/>
                <w:color w:val="auto"/>
              </w:rPr>
              <w:t>2</w:t>
            </w:r>
          </w:p>
        </w:tc>
        <w:tc>
          <w:tcPr>
            <w:tcW w:w="420" w:type="dxa"/>
            <w:vAlign w:val="bottom"/>
          </w:tcPr>
          <w:p>
            <w:pPr>
              <w:jc w:val="right"/>
              <w:spacing w:after="0"/>
              <w:rPr>
                <w:sz w:val="20"/>
                <w:szCs w:val="20"/>
                <w:color w:val="auto"/>
              </w:rPr>
            </w:pPr>
            <w:r>
              <w:rPr>
                <w:rFonts w:ascii="Arial" w:cs="Arial" w:eastAsia="Arial" w:hAnsi="Arial"/>
                <w:sz w:val="18"/>
                <w:szCs w:val="18"/>
                <w:color w:val="auto"/>
              </w:rPr>
              <w:t>125</w:t>
            </w:r>
          </w:p>
        </w:tc>
        <w:tc>
          <w:tcPr>
            <w:tcW w:w="180" w:type="dxa"/>
            <w:vAlign w:val="bottom"/>
          </w:tcPr>
          <w:p>
            <w:pPr>
              <w:spacing w:after="0"/>
              <w:rPr>
                <w:sz w:val="19"/>
                <w:szCs w:val="19"/>
                <w:color w:val="auto"/>
              </w:rPr>
            </w:pPr>
          </w:p>
        </w:tc>
        <w:tc>
          <w:tcPr>
            <w:tcW w:w="740" w:type="dxa"/>
            <w:vAlign w:val="bottom"/>
            <w:gridSpan w:val="3"/>
          </w:tcPr>
          <w:p>
            <w:pPr>
              <w:jc w:val="right"/>
              <w:ind w:right="100"/>
              <w:spacing w:after="0"/>
              <w:rPr>
                <w:sz w:val="20"/>
                <w:szCs w:val="20"/>
                <w:color w:val="auto"/>
              </w:rPr>
            </w:pPr>
            <w:r>
              <w:rPr>
                <w:rFonts w:ascii="Arial" w:cs="Arial" w:eastAsia="Arial" w:hAnsi="Arial"/>
                <w:sz w:val="18"/>
                <w:szCs w:val="18"/>
                <w:color w:val="auto"/>
              </w:rPr>
              <w:t>141</w:t>
            </w:r>
          </w:p>
        </w:tc>
      </w:tr>
      <w:tr>
        <w:trPr>
          <w:trHeight w:val="218"/>
        </w:trPr>
        <w:tc>
          <w:tcPr>
            <w:tcW w:w="20" w:type="dxa"/>
            <w:vAlign w:val="bottom"/>
          </w:tcPr>
          <w:p>
            <w:pPr>
              <w:spacing w:after="0"/>
              <w:rPr>
                <w:sz w:val="18"/>
                <w:szCs w:val="18"/>
                <w:color w:val="auto"/>
              </w:rPr>
            </w:pPr>
          </w:p>
        </w:tc>
        <w:tc>
          <w:tcPr>
            <w:tcW w:w="85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Interest accretion and other</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180" w:type="dxa"/>
            <w:vAlign w:val="bottom"/>
            <w:shd w:val="clear" w:color="auto" w:fill="CCEEFF"/>
          </w:tcPr>
          <w:p>
            <w:pPr>
              <w:spacing w:after="0"/>
              <w:rPr>
                <w:sz w:val="18"/>
                <w:szCs w:val="18"/>
                <w:color w:val="auto"/>
              </w:rPr>
            </w:pPr>
          </w:p>
        </w:tc>
        <w:tc>
          <w:tcPr>
            <w:tcW w:w="7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36</w:t>
            </w:r>
          </w:p>
        </w:tc>
      </w:tr>
      <w:tr>
        <w:trPr>
          <w:trHeight w:val="216"/>
        </w:trPr>
        <w:tc>
          <w:tcPr>
            <w:tcW w:w="20" w:type="dxa"/>
            <w:vAlign w:val="bottom"/>
          </w:tcPr>
          <w:p>
            <w:pPr>
              <w:spacing w:after="0"/>
              <w:rPr>
                <w:sz w:val="18"/>
                <w:szCs w:val="18"/>
                <w:color w:val="auto"/>
              </w:rPr>
            </w:pPr>
          </w:p>
        </w:tc>
        <w:tc>
          <w:tcPr>
            <w:tcW w:w="8560" w:type="dxa"/>
            <w:vAlign w:val="bottom"/>
            <w:gridSpan w:val="2"/>
          </w:tcPr>
          <w:p>
            <w:pPr>
              <w:spacing w:after="0"/>
              <w:rPr>
                <w:sz w:val="20"/>
                <w:szCs w:val="20"/>
                <w:color w:val="auto"/>
              </w:rPr>
            </w:pPr>
            <w:r>
              <w:rPr>
                <w:rFonts w:ascii="Arial" w:cs="Arial" w:eastAsia="Arial" w:hAnsi="Arial"/>
                <w:sz w:val="18"/>
                <w:szCs w:val="18"/>
                <w:color w:val="auto"/>
              </w:rPr>
              <w:t>Payments</w:t>
            </w:r>
          </w:p>
        </w:tc>
        <w:tc>
          <w:tcPr>
            <w:tcW w:w="680" w:type="dxa"/>
            <w:vAlign w:val="bottom"/>
            <w:gridSpan w:val="2"/>
          </w:tcPr>
          <w:p>
            <w:pPr>
              <w:jc w:val="right"/>
              <w:ind w:right="140"/>
              <w:spacing w:after="0"/>
              <w:rPr>
                <w:sz w:val="20"/>
                <w:szCs w:val="20"/>
                <w:color w:val="auto"/>
              </w:rPr>
            </w:pPr>
            <w:r>
              <w:rPr>
                <w:rFonts w:ascii="Arial" w:cs="Arial" w:eastAsia="Arial" w:hAnsi="Arial"/>
                <w:sz w:val="18"/>
                <w:szCs w:val="18"/>
                <w:color w:val="auto"/>
              </w:rPr>
              <w:t>(169)</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40" w:type="dxa"/>
            <w:vAlign w:val="bottom"/>
            <w:gridSpan w:val="2"/>
          </w:tcPr>
          <w:p>
            <w:pPr>
              <w:jc w:val="right"/>
              <w:ind w:right="240"/>
              <w:spacing w:after="0"/>
              <w:rPr>
                <w:sz w:val="20"/>
                <w:szCs w:val="20"/>
                <w:color w:val="auto"/>
              </w:rPr>
            </w:pPr>
            <w:r>
              <w:rPr>
                <w:rFonts w:ascii="Arial" w:cs="Arial" w:eastAsia="Arial" w:hAnsi="Arial"/>
                <w:sz w:val="18"/>
                <w:szCs w:val="18"/>
                <w:color w:val="auto"/>
              </w:rPr>
              <w:t>(3)</w:t>
            </w:r>
          </w:p>
        </w:tc>
        <w:tc>
          <w:tcPr>
            <w:tcW w:w="600" w:type="dxa"/>
            <w:vAlign w:val="bottom"/>
            <w:gridSpan w:val="2"/>
          </w:tcPr>
          <w:p>
            <w:pPr>
              <w:jc w:val="right"/>
              <w:ind w:right="120"/>
              <w:spacing w:after="0"/>
              <w:rPr>
                <w:sz w:val="20"/>
                <w:szCs w:val="20"/>
                <w:color w:val="auto"/>
              </w:rPr>
            </w:pPr>
            <w:r>
              <w:rPr>
                <w:rFonts w:ascii="Arial" w:cs="Arial" w:eastAsia="Arial" w:hAnsi="Arial"/>
                <w:sz w:val="18"/>
                <w:szCs w:val="18"/>
                <w:color w:val="auto"/>
              </w:rPr>
              <w:t>(84)</w:t>
            </w:r>
          </w:p>
        </w:tc>
        <w:tc>
          <w:tcPr>
            <w:tcW w:w="740" w:type="dxa"/>
            <w:vAlign w:val="bottom"/>
            <w:gridSpan w:val="3"/>
          </w:tcPr>
          <w:p>
            <w:pPr>
              <w:jc w:val="right"/>
              <w:ind w:right="40"/>
              <w:spacing w:after="0"/>
              <w:rPr>
                <w:sz w:val="20"/>
                <w:szCs w:val="20"/>
                <w:color w:val="auto"/>
              </w:rPr>
            </w:pPr>
            <w:r>
              <w:rPr>
                <w:rFonts w:ascii="Arial" w:cs="Arial" w:eastAsia="Arial" w:hAnsi="Arial"/>
                <w:sz w:val="18"/>
                <w:szCs w:val="18"/>
                <w:color w:val="auto"/>
              </w:rPr>
              <w:t>(256)</w:t>
            </w:r>
          </w:p>
        </w:tc>
      </w:tr>
      <w:tr>
        <w:trPr>
          <w:trHeight w:val="216"/>
        </w:trPr>
        <w:tc>
          <w:tcPr>
            <w:tcW w:w="20" w:type="dxa"/>
            <w:vAlign w:val="bottom"/>
          </w:tcPr>
          <w:p>
            <w:pPr>
              <w:spacing w:after="0"/>
              <w:rPr>
                <w:sz w:val="18"/>
                <w:szCs w:val="18"/>
                <w:color w:val="auto"/>
              </w:rPr>
            </w:pPr>
          </w:p>
        </w:tc>
        <w:tc>
          <w:tcPr>
            <w:tcW w:w="85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Revisions to estimates</w:t>
            </w:r>
          </w:p>
        </w:tc>
        <w:tc>
          <w:tcPr>
            <w:tcW w:w="6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(73)</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6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w:t>
            </w:r>
          </w:p>
        </w:tc>
        <w:tc>
          <w:tcPr>
            <w:tcW w:w="74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(75)</w:t>
            </w:r>
          </w:p>
        </w:tc>
      </w:tr>
      <w:tr>
        <w:trPr>
          <w:trHeight w:val="223"/>
        </w:trPr>
        <w:tc>
          <w:tcPr>
            <w:tcW w:w="20" w:type="dxa"/>
            <w:vAlign w:val="bottom"/>
          </w:tcPr>
          <w:p>
            <w:pPr>
              <w:spacing w:after="0"/>
              <w:rPr>
                <w:sz w:val="19"/>
                <w:szCs w:val="19"/>
                <w:color w:val="auto"/>
              </w:rPr>
            </w:pPr>
          </w:p>
        </w:tc>
        <w:tc>
          <w:tcPr>
            <w:tcW w:w="8560" w:type="dxa"/>
            <w:vAlign w:val="bottom"/>
            <w:gridSpan w:val="2"/>
          </w:tcPr>
          <w:p>
            <w:pPr>
              <w:spacing w:after="0"/>
              <w:rPr>
                <w:sz w:val="20"/>
                <w:szCs w:val="20"/>
                <w:color w:val="auto"/>
              </w:rPr>
            </w:pPr>
            <w:r>
              <w:rPr>
                <w:rFonts w:ascii="Arial" w:cs="Arial" w:eastAsia="Arial" w:hAnsi="Arial"/>
                <w:sz w:val="18"/>
                <w:szCs w:val="18"/>
                <w:color w:val="auto"/>
              </w:rPr>
              <w:t>Effect of foreign currency translation</w:t>
            </w: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72</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89</w:t>
            </w:r>
          </w:p>
        </w:tc>
        <w:tc>
          <w:tcPr>
            <w:tcW w:w="1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85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Balance at September 30, 2010 (a)</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1,406</w:t>
            </w:r>
          </w:p>
        </w:tc>
        <w:tc>
          <w:tcPr>
            <w:tcW w:w="180" w:type="dxa"/>
            <w:vAlign w:val="bottom"/>
            <w:shd w:val="clear" w:color="auto" w:fill="CCEEFF"/>
          </w:tcPr>
          <w:p>
            <w:pPr>
              <w:spacing w:after="0"/>
              <w:rPr>
                <w:sz w:val="18"/>
                <w:szCs w:val="18"/>
                <w:color w:val="auto"/>
              </w:rPr>
            </w:pPr>
          </w:p>
        </w:tc>
        <w:tc>
          <w:tcPr>
            <w:tcW w:w="28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5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$ 732</w:t>
            </w:r>
          </w:p>
        </w:tc>
        <w:tc>
          <w:tcPr>
            <w:tcW w:w="180" w:type="dxa"/>
            <w:vAlign w:val="bottom"/>
            <w:shd w:val="clear" w:color="auto" w:fill="CCEEFF"/>
          </w:tcPr>
          <w:p>
            <w:pPr>
              <w:spacing w:after="0"/>
              <w:rPr>
                <w:sz w:val="18"/>
                <w:szCs w:val="18"/>
                <w:color w:val="auto"/>
              </w:rPr>
            </w:pPr>
          </w:p>
        </w:tc>
        <w:tc>
          <w:tcPr>
            <w:tcW w:w="7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2,140</w:t>
            </w:r>
          </w:p>
        </w:tc>
      </w:tr>
      <w:tr>
        <w:trPr>
          <w:trHeight w:val="20"/>
        </w:trPr>
        <w:tc>
          <w:tcPr>
            <w:tcW w:w="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742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02"/>
        </w:trPr>
        <w:tc>
          <w:tcPr>
            <w:tcW w:w="20" w:type="dxa"/>
            <w:vAlign w:val="bottom"/>
          </w:tcPr>
          <w:p>
            <w:pPr>
              <w:spacing w:after="0"/>
              <w:rPr>
                <w:sz w:val="8"/>
                <w:szCs w:val="8"/>
                <w:color w:val="auto"/>
              </w:rPr>
            </w:pPr>
          </w:p>
        </w:tc>
        <w:tc>
          <w:tcPr>
            <w:tcW w:w="1140" w:type="dxa"/>
            <w:vAlign w:val="bottom"/>
            <w:tcBorders>
              <w:bottom w:val="single" w:sz="8" w:color="auto"/>
            </w:tcBorders>
          </w:tcPr>
          <w:p>
            <w:pPr>
              <w:spacing w:after="0"/>
              <w:rPr>
                <w:sz w:val="8"/>
                <w:szCs w:val="8"/>
                <w:color w:val="auto"/>
              </w:rPr>
            </w:pPr>
          </w:p>
        </w:tc>
        <w:tc>
          <w:tcPr>
            <w:tcW w:w="7420" w:type="dxa"/>
            <w:vAlign w:val="bottom"/>
          </w:tcPr>
          <w:p>
            <w:pPr>
              <w:spacing w:after="0"/>
              <w:rPr>
                <w:sz w:val="8"/>
                <w:szCs w:val="8"/>
                <w:color w:val="auto"/>
              </w:rPr>
            </w:pPr>
          </w:p>
        </w:tc>
        <w:tc>
          <w:tcPr>
            <w:tcW w:w="500" w:type="dxa"/>
            <w:vAlign w:val="bottom"/>
          </w:tcPr>
          <w:p>
            <w:pPr>
              <w:spacing w:after="0"/>
              <w:rPr>
                <w:sz w:val="8"/>
                <w:szCs w:val="8"/>
                <w:color w:val="auto"/>
              </w:rPr>
            </w:pPr>
          </w:p>
        </w:tc>
        <w:tc>
          <w:tcPr>
            <w:tcW w:w="180" w:type="dxa"/>
            <w:vAlign w:val="bottom"/>
          </w:tcPr>
          <w:p>
            <w:pPr>
              <w:spacing w:after="0"/>
              <w:rPr>
                <w:sz w:val="8"/>
                <w:szCs w:val="8"/>
                <w:color w:val="auto"/>
              </w:rPr>
            </w:pPr>
          </w:p>
        </w:tc>
        <w:tc>
          <w:tcPr>
            <w:tcW w:w="120" w:type="dxa"/>
            <w:vAlign w:val="bottom"/>
          </w:tcPr>
          <w:p>
            <w:pPr>
              <w:spacing w:after="0"/>
              <w:rPr>
                <w:sz w:val="8"/>
                <w:szCs w:val="8"/>
                <w:color w:val="auto"/>
              </w:rPr>
            </w:pPr>
          </w:p>
        </w:tc>
        <w:tc>
          <w:tcPr>
            <w:tcW w:w="160" w:type="dxa"/>
            <w:vAlign w:val="bottom"/>
          </w:tcPr>
          <w:p>
            <w:pPr>
              <w:spacing w:after="0"/>
              <w:rPr>
                <w:sz w:val="8"/>
                <w:szCs w:val="8"/>
                <w:color w:val="auto"/>
              </w:rPr>
            </w:pPr>
          </w:p>
        </w:tc>
        <w:tc>
          <w:tcPr>
            <w:tcW w:w="240" w:type="dxa"/>
            <w:vAlign w:val="bottom"/>
          </w:tcPr>
          <w:p>
            <w:pPr>
              <w:spacing w:after="0"/>
              <w:rPr>
                <w:sz w:val="8"/>
                <w:szCs w:val="8"/>
                <w:color w:val="auto"/>
              </w:rPr>
            </w:pPr>
          </w:p>
        </w:tc>
        <w:tc>
          <w:tcPr>
            <w:tcW w:w="300" w:type="dxa"/>
            <w:vAlign w:val="bottom"/>
          </w:tcPr>
          <w:p>
            <w:pPr>
              <w:spacing w:after="0"/>
              <w:rPr>
                <w:sz w:val="8"/>
                <w:szCs w:val="8"/>
                <w:color w:val="auto"/>
              </w:rPr>
            </w:pPr>
          </w:p>
        </w:tc>
        <w:tc>
          <w:tcPr>
            <w:tcW w:w="420" w:type="dxa"/>
            <w:vAlign w:val="bottom"/>
          </w:tcPr>
          <w:p>
            <w:pPr>
              <w:spacing w:after="0"/>
              <w:rPr>
                <w:sz w:val="8"/>
                <w:szCs w:val="8"/>
                <w:color w:val="auto"/>
              </w:rPr>
            </w:pPr>
          </w:p>
        </w:tc>
        <w:tc>
          <w:tcPr>
            <w:tcW w:w="180" w:type="dxa"/>
            <w:vAlign w:val="bottom"/>
          </w:tcPr>
          <w:p>
            <w:pPr>
              <w:spacing w:after="0"/>
              <w:rPr>
                <w:sz w:val="8"/>
                <w:szCs w:val="8"/>
                <w:color w:val="auto"/>
              </w:rPr>
            </w:pPr>
          </w:p>
        </w:tc>
        <w:tc>
          <w:tcPr>
            <w:tcW w:w="140" w:type="dxa"/>
            <w:vAlign w:val="bottom"/>
          </w:tcPr>
          <w:p>
            <w:pPr>
              <w:spacing w:after="0"/>
              <w:rPr>
                <w:sz w:val="8"/>
                <w:szCs w:val="8"/>
                <w:color w:val="auto"/>
              </w:rPr>
            </w:pPr>
          </w:p>
        </w:tc>
        <w:tc>
          <w:tcPr>
            <w:tcW w:w="500" w:type="dxa"/>
            <w:vAlign w:val="bottom"/>
          </w:tcPr>
          <w:p>
            <w:pPr>
              <w:spacing w:after="0"/>
              <w:rPr>
                <w:sz w:val="8"/>
                <w:szCs w:val="8"/>
                <w:color w:val="auto"/>
              </w:rPr>
            </w:pPr>
          </w:p>
        </w:tc>
        <w:tc>
          <w:tcPr>
            <w:tcW w:w="100" w:type="dxa"/>
            <w:vAlign w:val="bottom"/>
          </w:tcPr>
          <w:p>
            <w:pPr>
              <w:spacing w:after="0"/>
              <w:rPr>
                <w:sz w:val="8"/>
                <w:szCs w:val="8"/>
                <w:color w:val="auto"/>
              </w:rPr>
            </w:pPr>
          </w:p>
        </w:tc>
      </w:tr>
    </w:tbl>
    <w:p>
      <w:pPr>
        <w:spacing w:after="0" w:line="19" w:lineRule="exact"/>
        <w:rPr>
          <w:sz w:val="20"/>
          <w:szCs w:val="20"/>
          <w:color w:val="auto"/>
        </w:rPr>
      </w:pPr>
    </w:p>
    <w:p>
      <w:pPr>
        <w:ind w:left="5620" w:right="2300" w:hanging="5612"/>
        <w:spacing w:after="0" w:line="440" w:lineRule="auto"/>
        <w:tabs>
          <w:tab w:leader="none" w:pos="448"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remaining cash payments related to these restructuring reserves primarily relate to postemployment benefits to be paid. 58</w:t>
      </w:r>
    </w:p>
    <w:p>
      <w:pPr>
        <w:sectPr>
          <w:pgSz w:w="11900" w:h="16838" w:orient="portrait"/>
          <w:cols w:equalWidth="0" w:num="1">
            <w:col w:w="11420"/>
          </w:cols>
          <w:pgMar w:left="240" w:top="459" w:right="239" w:bottom="1440" w:gutter="0" w:footer="0" w:header="0"/>
        </w:sectPr>
      </w:pPr>
    </w:p>
    <w:bookmarkStart w:id="60" w:name="page61"/>
    <w:bookmarkEnd w:id="6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339"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GMNA</w:t>
      </w:r>
    </w:p>
    <w:p>
      <w:pPr>
        <w:spacing w:after="0" w:line="171" w:lineRule="exact"/>
        <w:rPr>
          <w:sz w:val="20"/>
          <w:szCs w:val="20"/>
          <w:color w:val="auto"/>
        </w:rPr>
      </w:pPr>
    </w:p>
    <w:p>
      <w:pPr>
        <w:ind w:right="200" w:firstLine="228"/>
        <w:spacing w:after="0" w:line="306" w:lineRule="auto"/>
        <w:rPr>
          <w:sz w:val="20"/>
          <w:szCs w:val="20"/>
          <w:color w:val="auto"/>
        </w:rPr>
      </w:pPr>
      <w:r>
        <w:rPr>
          <w:rFonts w:ascii="Arial" w:cs="Arial" w:eastAsia="Arial" w:hAnsi="Arial"/>
          <w:sz w:val="16"/>
          <w:szCs w:val="16"/>
          <w:color w:val="auto"/>
        </w:rPr>
        <w:t>GMNA recorded charges, interest accretion and other and revisions to estimates that decreased the restructuring reserves by $51 million and $108 million in the three and nine months ended September 30, 2010. The decreases were primarily related to increased production capacity utilization, which resulted in the recall of idled employees to fill added shifts at multiple production sites, partially offset by Canadian restructuring activities.</w:t>
      </w:r>
    </w:p>
    <w:p>
      <w:pPr>
        <w:spacing w:after="0" w:line="107"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GME</w:t>
      </w:r>
    </w:p>
    <w:p>
      <w:pPr>
        <w:spacing w:after="0" w:line="171" w:lineRule="exact"/>
        <w:rPr>
          <w:sz w:val="20"/>
          <w:szCs w:val="20"/>
          <w:color w:val="auto"/>
        </w:rPr>
      </w:pPr>
    </w:p>
    <w:p>
      <w:pPr>
        <w:ind w:left="240"/>
        <w:spacing w:after="0"/>
        <w:rPr>
          <w:sz w:val="20"/>
          <w:szCs w:val="20"/>
          <w:color w:val="auto"/>
        </w:rPr>
      </w:pPr>
      <w:r>
        <w:rPr>
          <w:rFonts w:ascii="Arial" w:cs="Arial" w:eastAsia="Arial" w:hAnsi="Arial"/>
          <w:sz w:val="16"/>
          <w:szCs w:val="16"/>
          <w:color w:val="auto"/>
        </w:rPr>
        <w:t>GME recorded charges, interest accretion and other, and revisions to estimates of $151 million and $683 million in the three and nine months ended</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September 30, 2010 for separation programs primarily related to the following initiatives:</w:t>
      </w:r>
    </w:p>
    <w:p>
      <w:pPr>
        <w:spacing w:after="0" w:line="205" w:lineRule="exact"/>
        <w:rPr>
          <w:sz w:val="20"/>
          <w:szCs w:val="20"/>
          <w:color w:val="auto"/>
        </w:rPr>
      </w:pPr>
    </w:p>
    <w:p>
      <w:pPr>
        <w:ind w:left="660" w:right="520" w:hanging="436"/>
        <w:spacing w:after="0" w:line="268" w:lineRule="auto"/>
        <w:tabs>
          <w:tab w:leader="none" w:pos="6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Separation charges of $92 million and $445 million in the three and nine months ended September 30, 2010 related to the closure of the Antwerp, Belgium facility which affects 2,600 employees.</w:t>
      </w:r>
    </w:p>
    <w:p>
      <w:pPr>
        <w:spacing w:after="0" w:line="50" w:lineRule="exact"/>
        <w:rPr>
          <w:rFonts w:ascii="Arial" w:cs="Arial" w:eastAsia="Arial" w:hAnsi="Arial"/>
          <w:sz w:val="18"/>
          <w:szCs w:val="18"/>
          <w:color w:val="auto"/>
        </w:rPr>
      </w:pPr>
    </w:p>
    <w:p>
      <w:pPr>
        <w:ind w:left="660" w:right="20" w:hanging="436"/>
        <w:spacing w:after="0" w:line="268" w:lineRule="auto"/>
        <w:tabs>
          <w:tab w:leader="none" w:pos="6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Separation charges of $72 million and revisions to estimates to decrease the reserve by $11 million in the nine months ended September 30, 2010 related to separation/layoff plans and an early retirement plan in Spain which affects 1,200 employees.</w:t>
      </w:r>
    </w:p>
    <w:p>
      <w:pPr>
        <w:spacing w:after="0" w:line="50" w:lineRule="exact"/>
        <w:rPr>
          <w:rFonts w:ascii="Arial" w:cs="Arial" w:eastAsia="Arial" w:hAnsi="Arial"/>
          <w:sz w:val="18"/>
          <w:szCs w:val="18"/>
          <w:color w:val="auto"/>
        </w:rPr>
      </w:pPr>
    </w:p>
    <w:p>
      <w:pPr>
        <w:ind w:left="660" w:right="220" w:hanging="436"/>
        <w:spacing w:after="0" w:line="268" w:lineRule="auto"/>
        <w:tabs>
          <w:tab w:leader="none" w:pos="6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Separation charges of $3 million and $28 million in the three and nine months ended September 30, 2010 related to a voluntary separation program in the United Kingdom.</w:t>
      </w:r>
    </w:p>
    <w:p>
      <w:pPr>
        <w:spacing w:after="0" w:line="50" w:lineRule="exact"/>
        <w:rPr>
          <w:rFonts w:ascii="Arial" w:cs="Arial" w:eastAsia="Arial" w:hAnsi="Arial"/>
          <w:sz w:val="18"/>
          <w:szCs w:val="18"/>
          <w:color w:val="auto"/>
        </w:rPr>
      </w:pPr>
    </w:p>
    <w:p>
      <w:pPr>
        <w:ind w:left="660" w:right="360" w:hanging="436"/>
        <w:spacing w:after="0" w:line="259" w:lineRule="auto"/>
        <w:tabs>
          <w:tab w:leader="none" w:pos="6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Separation charges of $5 million and $32 million and interest accretion and other of $26 million and $81 million in the three and nine months ended September 30, 2010 related to previously announced programs in Germany, and separation charges of $20 million related to a voluntary separation program announced in the three months ended September 30, 2010.</w:t>
      </w:r>
    </w:p>
    <w:p>
      <w:pPr>
        <w:spacing w:after="0" w:line="140"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Dealer Wind-downs</w:t>
      </w:r>
    </w:p>
    <w:p>
      <w:pPr>
        <w:spacing w:after="0" w:line="171" w:lineRule="exact"/>
        <w:rPr>
          <w:sz w:val="20"/>
          <w:szCs w:val="20"/>
          <w:color w:val="auto"/>
        </w:rPr>
      </w:pPr>
    </w:p>
    <w:p>
      <w:pPr>
        <w:ind w:firstLine="228"/>
        <w:spacing w:after="0" w:line="254" w:lineRule="auto"/>
        <w:rPr>
          <w:sz w:val="20"/>
          <w:szCs w:val="20"/>
          <w:color w:val="auto"/>
        </w:rPr>
      </w:pPr>
      <w:r>
        <w:rPr>
          <w:rFonts w:ascii="Arial" w:cs="Arial" w:eastAsia="Arial" w:hAnsi="Arial"/>
          <w:sz w:val="18"/>
          <w:szCs w:val="18"/>
          <w:color w:val="auto"/>
        </w:rPr>
        <w:t>We market vehicles worldwide through a network of independent retail dealers and distributors. As part of achieving and sustaining long-term viability and the viability of our dealer network, we determined that a reduction in the number of GMNA dealerships was necessary. At September 30, 2010 there were approximately 5,800 dealers in GMNA compared to approximately 6,500 at December 31, 2009. Certain dealers in the U.S. that had signed wind-down agreements with us elected to file for reinstatement through a binding arbitration process. In response to the arbitration filings we offered certain dealers reinstatement contingent upon compliance with our core business criteria for operation of a dealership. At September 30, 2010 the arbitration process had been fundamentally resolved.</w:t>
      </w:r>
    </w:p>
    <w:p>
      <w:pPr>
        <w:spacing w:after="0" w:line="144" w:lineRule="exact"/>
        <w:rPr>
          <w:sz w:val="20"/>
          <w:szCs w:val="20"/>
          <w:color w:val="auto"/>
        </w:rPr>
      </w:pPr>
    </w:p>
    <w:p>
      <w:pPr>
        <w:ind w:right="260" w:firstLine="228"/>
        <w:spacing w:after="0" w:line="268" w:lineRule="auto"/>
        <w:rPr>
          <w:sz w:val="20"/>
          <w:szCs w:val="20"/>
          <w:color w:val="auto"/>
        </w:rPr>
      </w:pPr>
      <w:r>
        <w:rPr>
          <w:rFonts w:ascii="Arial" w:cs="Arial" w:eastAsia="Arial" w:hAnsi="Arial"/>
          <w:sz w:val="18"/>
          <w:szCs w:val="18"/>
          <w:color w:val="auto"/>
        </w:rPr>
        <w:t>The following table summarizes GMNA’s restructuring reserves related to dealer wind-down agreements in the three and nine months ended September 30, 2010 (dollars in millions):</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100" w:type="dxa"/>
            <w:vAlign w:val="bottom"/>
          </w:tcPr>
          <w:p>
            <w:pPr>
              <w:spacing w:after="0"/>
              <w:rPr>
                <w:sz w:val="14"/>
                <w:szCs w:val="14"/>
                <w:color w:val="auto"/>
              </w:rPr>
            </w:pPr>
          </w:p>
        </w:tc>
        <w:tc>
          <w:tcPr>
            <w:tcW w:w="3840" w:type="dxa"/>
            <w:vAlign w:val="bottom"/>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320" w:type="dxa"/>
            <w:vAlign w:val="bottom"/>
            <w:tcBorders>
              <w:bottom w:val="single" w:sz="8" w:color="auto"/>
            </w:tcBorders>
            <w:gridSpan w:val="2"/>
          </w:tcPr>
          <w:p>
            <w:pPr>
              <w:jc w:val="right"/>
              <w:ind w:right="660"/>
              <w:spacing w:after="0"/>
              <w:rPr>
                <w:sz w:val="20"/>
                <w:szCs w:val="20"/>
                <w:color w:val="auto"/>
              </w:rPr>
            </w:pPr>
            <w:r>
              <w:rPr>
                <w:rFonts w:ascii="Arial" w:cs="Arial" w:eastAsia="Arial" w:hAnsi="Arial"/>
                <w:sz w:val="14"/>
                <w:szCs w:val="14"/>
                <w:b w:val="1"/>
                <w:bCs w:val="1"/>
                <w:color w:val="auto"/>
                <w:w w:val="90"/>
              </w:rPr>
              <w:t>Successor</w:t>
            </w:r>
          </w:p>
        </w:tc>
        <w:tc>
          <w:tcPr>
            <w:tcW w:w="32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100" w:type="dxa"/>
            <w:vAlign w:val="bottom"/>
          </w:tcPr>
          <w:p>
            <w:pPr>
              <w:spacing w:after="0"/>
              <w:rPr>
                <w:sz w:val="12"/>
                <w:szCs w:val="12"/>
                <w:color w:val="auto"/>
              </w:rPr>
            </w:pPr>
          </w:p>
        </w:tc>
        <w:tc>
          <w:tcPr>
            <w:tcW w:w="3840" w:type="dxa"/>
            <w:vAlign w:val="bottom"/>
          </w:tcPr>
          <w:p>
            <w:pPr>
              <w:spacing w:after="0"/>
              <w:rPr>
                <w:sz w:val="12"/>
                <w:szCs w:val="12"/>
                <w:color w:val="auto"/>
              </w:rPr>
            </w:pPr>
          </w:p>
        </w:tc>
        <w:tc>
          <w:tcPr>
            <w:tcW w:w="42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U.S.</w:t>
            </w:r>
          </w:p>
        </w:tc>
        <w:tc>
          <w:tcPr>
            <w:tcW w:w="680" w:type="dxa"/>
            <w:vAlign w:val="bottom"/>
          </w:tcPr>
          <w:p>
            <w:pPr>
              <w:spacing w:after="0"/>
              <w:rPr>
                <w:sz w:val="12"/>
                <w:szCs w:val="12"/>
                <w:color w:val="auto"/>
              </w:rPr>
            </w:pPr>
          </w:p>
        </w:tc>
        <w:tc>
          <w:tcPr>
            <w:tcW w:w="1160" w:type="dxa"/>
            <w:vAlign w:val="bottom"/>
            <w:tcBorders>
              <w:bottom w:val="single" w:sz="8" w:color="auto"/>
            </w:tcBorders>
            <w:gridSpan w:val="2"/>
          </w:tcPr>
          <w:p>
            <w:pPr>
              <w:spacing w:after="0" w:line="142" w:lineRule="exact"/>
              <w:rPr>
                <w:sz w:val="20"/>
                <w:szCs w:val="20"/>
                <w:color w:val="auto"/>
              </w:rPr>
            </w:pPr>
            <w:r>
              <w:rPr>
                <w:rFonts w:ascii="Arial" w:cs="Arial" w:eastAsia="Arial" w:hAnsi="Arial"/>
                <w:sz w:val="14"/>
                <w:szCs w:val="14"/>
                <w:b w:val="1"/>
                <w:bCs w:val="1"/>
                <w:color w:val="auto"/>
                <w:w w:val="87"/>
              </w:rPr>
              <w:t>Canada and Mexico</w:t>
            </w:r>
          </w:p>
        </w:tc>
        <w:tc>
          <w:tcPr>
            <w:tcW w:w="3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42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Total</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100" w:type="dxa"/>
            <w:vAlign w:val="bottom"/>
            <w:shd w:val="clear" w:color="auto" w:fill="CCEEFF"/>
          </w:tcPr>
          <w:p>
            <w:pPr>
              <w:spacing w:after="0"/>
              <w:rPr>
                <w:sz w:val="20"/>
                <w:szCs w:val="20"/>
                <w:color w:val="auto"/>
              </w:rPr>
            </w:pPr>
            <w:r>
              <w:rPr>
                <w:rFonts w:ascii="Arial" w:cs="Arial" w:eastAsia="Arial" w:hAnsi="Arial"/>
                <w:sz w:val="18"/>
                <w:szCs w:val="18"/>
                <w:color w:val="auto"/>
              </w:rPr>
              <w:t>Balance at January 1, 2010</w:t>
            </w:r>
          </w:p>
        </w:tc>
        <w:tc>
          <w:tcPr>
            <w:tcW w:w="4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$ 460</w:t>
            </w:r>
          </w:p>
        </w:tc>
        <w:tc>
          <w:tcPr>
            <w:tcW w:w="6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3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41</w:t>
            </w:r>
          </w:p>
        </w:tc>
        <w:tc>
          <w:tcPr>
            <w:tcW w:w="8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$ 501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tcPr>
          <w:p>
            <w:pPr>
              <w:spacing w:after="0"/>
              <w:rPr>
                <w:sz w:val="20"/>
                <w:szCs w:val="20"/>
                <w:color w:val="auto"/>
              </w:rPr>
            </w:pPr>
            <w:r>
              <w:rPr>
                <w:rFonts w:ascii="Arial" w:cs="Arial" w:eastAsia="Arial" w:hAnsi="Arial"/>
                <w:sz w:val="18"/>
                <w:szCs w:val="18"/>
                <w:color w:val="auto"/>
              </w:rPr>
              <w:t>Additions</w:t>
            </w:r>
          </w:p>
        </w:tc>
        <w:tc>
          <w:tcPr>
            <w:tcW w:w="4260" w:type="dxa"/>
            <w:vAlign w:val="bottom"/>
            <w:gridSpan w:val="2"/>
          </w:tcPr>
          <w:p>
            <w:pPr>
              <w:jc w:val="right"/>
              <w:spacing w:after="0"/>
              <w:rPr>
                <w:sz w:val="20"/>
                <w:szCs w:val="20"/>
                <w:color w:val="auto"/>
              </w:rPr>
            </w:pPr>
            <w:r>
              <w:rPr>
                <w:rFonts w:ascii="Arial" w:cs="Arial" w:eastAsia="Arial" w:hAnsi="Arial"/>
                <w:sz w:val="18"/>
                <w:szCs w:val="18"/>
                <w:color w:val="auto"/>
              </w:rPr>
              <w:t>9</w:t>
            </w:r>
          </w:p>
        </w:tc>
        <w:tc>
          <w:tcPr>
            <w:tcW w:w="6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20" w:type="dxa"/>
            <w:vAlign w:val="bottom"/>
            <w:gridSpan w:val="2"/>
          </w:tcPr>
          <w:p>
            <w:pPr>
              <w:jc w:val="right"/>
              <w:ind w:right="360"/>
              <w:spacing w:after="0"/>
              <w:rPr>
                <w:sz w:val="20"/>
                <w:szCs w:val="20"/>
                <w:color w:val="auto"/>
              </w:rPr>
            </w:pPr>
            <w:r>
              <w:rPr>
                <w:rFonts w:ascii="Arial" w:cs="Arial" w:eastAsia="Arial" w:hAnsi="Arial"/>
                <w:sz w:val="18"/>
                <w:szCs w:val="18"/>
                <w:color w:val="auto"/>
              </w:rPr>
              <w:t>9</w:t>
            </w:r>
          </w:p>
        </w:tc>
        <w:tc>
          <w:tcPr>
            <w:tcW w:w="840" w:type="dxa"/>
            <w:vAlign w:val="bottom"/>
            <w:gridSpan w:val="3"/>
          </w:tcPr>
          <w:p>
            <w:pPr>
              <w:jc w:val="right"/>
              <w:ind w:right="100"/>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shd w:val="clear" w:color="auto" w:fill="CCEEFF"/>
          </w:tcPr>
          <w:p>
            <w:pPr>
              <w:spacing w:after="0"/>
              <w:rPr>
                <w:sz w:val="20"/>
                <w:szCs w:val="20"/>
                <w:color w:val="auto"/>
              </w:rPr>
            </w:pPr>
            <w:r>
              <w:rPr>
                <w:rFonts w:ascii="Arial" w:cs="Arial" w:eastAsia="Arial" w:hAnsi="Arial"/>
                <w:sz w:val="18"/>
                <w:szCs w:val="18"/>
                <w:color w:val="auto"/>
              </w:rPr>
              <w:t>Payments</w:t>
            </w:r>
          </w:p>
        </w:tc>
        <w:tc>
          <w:tcPr>
            <w:tcW w:w="4940" w:type="dxa"/>
            <w:vAlign w:val="bottom"/>
            <w:gridSpan w:val="3"/>
            <w:shd w:val="clear" w:color="auto" w:fill="CCEEFF"/>
          </w:tcPr>
          <w:p>
            <w:pPr>
              <w:jc w:val="right"/>
              <w:ind w:right="620"/>
              <w:spacing w:after="0"/>
              <w:rPr>
                <w:sz w:val="20"/>
                <w:szCs w:val="20"/>
                <w:color w:val="auto"/>
              </w:rPr>
            </w:pPr>
            <w:r>
              <w:rPr>
                <w:rFonts w:ascii="Arial" w:cs="Arial" w:eastAsia="Arial" w:hAnsi="Arial"/>
                <w:sz w:val="18"/>
                <w:szCs w:val="18"/>
                <w:color w:val="auto"/>
              </w:rPr>
              <w:t>(44)</w:t>
            </w:r>
          </w:p>
        </w:tc>
        <w:tc>
          <w:tcPr>
            <w:tcW w:w="20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(28)</w:t>
            </w:r>
          </w:p>
        </w:tc>
        <w:tc>
          <w:tcPr>
            <w:tcW w:w="84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(72)</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100" w:type="dxa"/>
            <w:vAlign w:val="bottom"/>
          </w:tcPr>
          <w:p>
            <w:pPr>
              <w:spacing w:after="0"/>
              <w:rPr>
                <w:sz w:val="20"/>
                <w:szCs w:val="20"/>
                <w:color w:val="auto"/>
              </w:rPr>
            </w:pPr>
            <w:r>
              <w:rPr>
                <w:rFonts w:ascii="Arial" w:cs="Arial" w:eastAsia="Arial" w:hAnsi="Arial"/>
                <w:sz w:val="18"/>
                <w:szCs w:val="18"/>
                <w:color w:val="auto"/>
              </w:rPr>
              <w:t>Effect of foreign currency translation</w:t>
            </w:r>
          </w:p>
        </w:tc>
        <w:tc>
          <w:tcPr>
            <w:tcW w:w="3840" w:type="dxa"/>
            <w:vAlign w:val="bottom"/>
          </w:tcPr>
          <w:p>
            <w:pPr>
              <w:spacing w:after="0"/>
              <w:rPr>
                <w:sz w:val="19"/>
                <w:szCs w:val="19"/>
                <w:color w:val="auto"/>
              </w:rPr>
            </w:pPr>
          </w:p>
        </w:tc>
        <w:tc>
          <w:tcPr>
            <w:tcW w:w="1100" w:type="dxa"/>
            <w:vAlign w:val="bottom"/>
            <w:gridSpan w:val="2"/>
          </w:tcPr>
          <w:p>
            <w:pPr>
              <w:jc w:val="right"/>
              <w:ind w:right="6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320" w:type="dxa"/>
            <w:vAlign w:val="bottom"/>
            <w:gridSpan w:val="2"/>
          </w:tcPr>
          <w:p>
            <w:pPr>
              <w:jc w:val="right"/>
              <w:ind w:right="360"/>
              <w:spacing w:after="0"/>
              <w:rPr>
                <w:sz w:val="20"/>
                <w:szCs w:val="20"/>
                <w:color w:val="auto"/>
              </w:rPr>
            </w:pPr>
            <w:r>
              <w:rPr>
                <w:rFonts w:ascii="Arial" w:cs="Arial" w:eastAsia="Arial" w:hAnsi="Arial"/>
                <w:sz w:val="18"/>
                <w:szCs w:val="18"/>
                <w:color w:val="auto"/>
              </w:rPr>
              <w:t>2</w:t>
            </w:r>
          </w:p>
        </w:tc>
        <w:tc>
          <w:tcPr>
            <w:tcW w:w="840" w:type="dxa"/>
            <w:vAlign w:val="bottom"/>
            <w:gridSpan w:val="3"/>
          </w:tcPr>
          <w:p>
            <w:pPr>
              <w:jc w:val="right"/>
              <w:ind w:right="10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shd w:val="clear" w:color="auto" w:fill="CCEEFF"/>
          </w:tcPr>
          <w:p>
            <w:pPr>
              <w:spacing w:after="0"/>
              <w:rPr>
                <w:sz w:val="20"/>
                <w:szCs w:val="20"/>
                <w:color w:val="auto"/>
              </w:rPr>
            </w:pPr>
            <w:r>
              <w:rPr>
                <w:rFonts w:ascii="Arial" w:cs="Arial" w:eastAsia="Arial" w:hAnsi="Arial"/>
                <w:sz w:val="18"/>
                <w:szCs w:val="18"/>
                <w:color w:val="auto"/>
              </w:rPr>
              <w:t>Balance at March 31, 2010</w:t>
            </w:r>
          </w:p>
        </w:tc>
        <w:tc>
          <w:tcPr>
            <w:tcW w:w="3840" w:type="dxa"/>
            <w:vAlign w:val="bottom"/>
            <w:shd w:val="clear" w:color="auto" w:fill="CCEEFF"/>
          </w:tcPr>
          <w:p>
            <w:pPr>
              <w:spacing w:after="0"/>
              <w:rPr>
                <w:sz w:val="18"/>
                <w:szCs w:val="18"/>
                <w:color w:val="auto"/>
              </w:rPr>
            </w:pPr>
          </w:p>
        </w:tc>
        <w:tc>
          <w:tcPr>
            <w:tcW w:w="4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425</w:t>
            </w:r>
          </w:p>
        </w:tc>
        <w:tc>
          <w:tcPr>
            <w:tcW w:w="680" w:type="dxa"/>
            <w:vAlign w:val="bottom"/>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spacing w:after="0"/>
              <w:rPr>
                <w:sz w:val="18"/>
                <w:szCs w:val="18"/>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3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4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4120" w:type="dxa"/>
            <w:vAlign w:val="bottom"/>
            <w:gridSpan w:val="2"/>
          </w:tcPr>
          <w:p>
            <w:pPr>
              <w:spacing w:after="0"/>
              <w:rPr>
                <w:sz w:val="20"/>
                <w:szCs w:val="20"/>
                <w:color w:val="auto"/>
              </w:rPr>
            </w:pPr>
            <w:r>
              <w:rPr>
                <w:rFonts w:ascii="Arial" w:cs="Arial" w:eastAsia="Arial" w:hAnsi="Arial"/>
                <w:sz w:val="18"/>
                <w:szCs w:val="18"/>
                <w:color w:val="auto"/>
              </w:rPr>
              <w:t>Revisions to estimates</w:t>
            </w:r>
          </w:p>
        </w:tc>
        <w:tc>
          <w:tcPr>
            <w:tcW w:w="4940" w:type="dxa"/>
            <w:vAlign w:val="bottom"/>
            <w:gridSpan w:val="3"/>
          </w:tcPr>
          <w:p>
            <w:pPr>
              <w:jc w:val="right"/>
              <w:ind w:right="620"/>
              <w:spacing w:after="0"/>
              <w:rPr>
                <w:sz w:val="20"/>
                <w:szCs w:val="20"/>
                <w:color w:val="auto"/>
              </w:rPr>
            </w:pPr>
            <w:r>
              <w:rPr>
                <w:rFonts w:ascii="Arial" w:cs="Arial" w:eastAsia="Arial" w:hAnsi="Arial"/>
                <w:sz w:val="18"/>
                <w:szCs w:val="18"/>
                <w:color w:val="auto"/>
              </w:rPr>
              <w:t>(6)</w:t>
            </w:r>
          </w:p>
        </w:tc>
        <w:tc>
          <w:tcPr>
            <w:tcW w:w="200" w:type="dxa"/>
            <w:vAlign w:val="bottom"/>
          </w:tcPr>
          <w:p>
            <w:pPr>
              <w:spacing w:after="0"/>
              <w:rPr>
                <w:sz w:val="19"/>
                <w:szCs w:val="19"/>
                <w:color w:val="auto"/>
              </w:rPr>
            </w:pPr>
          </w:p>
        </w:tc>
        <w:tc>
          <w:tcPr>
            <w:tcW w:w="132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840" w:type="dxa"/>
            <w:vAlign w:val="bottom"/>
            <w:gridSpan w:val="3"/>
          </w:tcPr>
          <w:p>
            <w:pPr>
              <w:jc w:val="right"/>
              <w:ind w:right="40"/>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4100" w:type="dxa"/>
            <w:vAlign w:val="bottom"/>
            <w:shd w:val="clear" w:color="auto" w:fill="CCEEFF"/>
          </w:tcPr>
          <w:p>
            <w:pPr>
              <w:spacing w:after="0"/>
              <w:rPr>
                <w:sz w:val="20"/>
                <w:szCs w:val="20"/>
                <w:color w:val="auto"/>
              </w:rPr>
            </w:pPr>
            <w:r>
              <w:rPr>
                <w:rFonts w:ascii="Arial" w:cs="Arial" w:eastAsia="Arial" w:hAnsi="Arial"/>
                <w:sz w:val="18"/>
                <w:szCs w:val="18"/>
                <w:color w:val="auto"/>
              </w:rPr>
              <w:t>Payments</w:t>
            </w:r>
          </w:p>
        </w:tc>
        <w:tc>
          <w:tcPr>
            <w:tcW w:w="38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(140)</w:t>
            </w:r>
          </w:p>
        </w:tc>
        <w:tc>
          <w:tcPr>
            <w:tcW w:w="20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(4)</w:t>
            </w:r>
          </w:p>
        </w:tc>
        <w:tc>
          <w:tcPr>
            <w:tcW w:w="84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(144)</w:t>
            </w:r>
          </w:p>
        </w:tc>
        <w:tc>
          <w:tcPr>
            <w:tcW w:w="0" w:type="dxa"/>
            <w:vAlign w:val="bottom"/>
          </w:tcPr>
          <w:p>
            <w:pPr>
              <w:spacing w:after="0"/>
              <w:rPr>
                <w:sz w:val="1"/>
                <w:szCs w:val="1"/>
                <w:color w:val="auto"/>
              </w:rPr>
            </w:pPr>
          </w:p>
        </w:tc>
      </w:tr>
      <w:tr>
        <w:trPr>
          <w:trHeight w:val="230"/>
        </w:trPr>
        <w:tc>
          <w:tcPr>
            <w:tcW w:w="4120" w:type="dxa"/>
            <w:vAlign w:val="bottom"/>
            <w:gridSpan w:val="2"/>
          </w:tcPr>
          <w:p>
            <w:pPr>
              <w:spacing w:after="0"/>
              <w:rPr>
                <w:sz w:val="20"/>
                <w:szCs w:val="20"/>
                <w:color w:val="auto"/>
              </w:rPr>
            </w:pPr>
            <w:r>
              <w:rPr>
                <w:rFonts w:ascii="Arial" w:cs="Arial" w:eastAsia="Arial" w:hAnsi="Arial"/>
                <w:sz w:val="18"/>
                <w:szCs w:val="18"/>
                <w:color w:val="auto"/>
              </w:rPr>
              <w:t>Balance at June 30, 2010</w:t>
            </w:r>
          </w:p>
        </w:tc>
        <w:tc>
          <w:tcPr>
            <w:tcW w:w="3840" w:type="dxa"/>
            <w:vAlign w:val="bottom"/>
          </w:tcPr>
          <w:p>
            <w:pPr>
              <w:spacing w:after="0"/>
              <w:rPr>
                <w:sz w:val="20"/>
                <w:szCs w:val="20"/>
                <w:color w:val="auto"/>
              </w:rPr>
            </w:pPr>
          </w:p>
        </w:tc>
        <w:tc>
          <w:tcPr>
            <w:tcW w:w="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279</w:t>
            </w:r>
          </w:p>
        </w:tc>
        <w:tc>
          <w:tcPr>
            <w:tcW w:w="680" w:type="dxa"/>
            <w:vAlign w:val="bottom"/>
          </w:tcPr>
          <w:p>
            <w:pPr>
              <w:spacing w:after="0"/>
              <w:rPr>
                <w:sz w:val="20"/>
                <w:szCs w:val="20"/>
                <w:color w:val="auto"/>
              </w:rPr>
            </w:pPr>
          </w:p>
        </w:tc>
        <w:tc>
          <w:tcPr>
            <w:tcW w:w="200" w:type="dxa"/>
            <w:vAlign w:val="bottom"/>
            <w:tcBorders>
              <w:top w:val="single" w:sz="8" w:color="auto"/>
              <w:bottom w:val="single" w:sz="8" w:color="auto"/>
            </w:tcBorders>
          </w:tcPr>
          <w:p>
            <w:pPr>
              <w:spacing w:after="0"/>
              <w:rPr>
                <w:sz w:val="20"/>
                <w:szCs w:val="20"/>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w:t>
            </w:r>
          </w:p>
        </w:tc>
        <w:tc>
          <w:tcPr>
            <w:tcW w:w="3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299</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shd w:val="clear" w:color="auto" w:fill="CCEEFF"/>
          </w:tcPr>
          <w:p>
            <w:pPr>
              <w:spacing w:after="0"/>
              <w:rPr>
                <w:sz w:val="20"/>
                <w:szCs w:val="20"/>
                <w:color w:val="auto"/>
              </w:rPr>
            </w:pPr>
            <w:r>
              <w:rPr>
                <w:rFonts w:ascii="Arial" w:cs="Arial" w:eastAsia="Arial" w:hAnsi="Arial"/>
                <w:sz w:val="18"/>
                <w:szCs w:val="18"/>
                <w:color w:val="auto"/>
              </w:rPr>
              <w:t>Revisions to estimates</w:t>
            </w:r>
          </w:p>
        </w:tc>
        <w:tc>
          <w:tcPr>
            <w:tcW w:w="4940" w:type="dxa"/>
            <w:vAlign w:val="bottom"/>
            <w:gridSpan w:val="3"/>
            <w:shd w:val="clear" w:color="auto" w:fill="CCEEFF"/>
          </w:tcPr>
          <w:p>
            <w:pPr>
              <w:jc w:val="right"/>
              <w:ind w:right="620"/>
              <w:spacing w:after="0"/>
              <w:rPr>
                <w:sz w:val="20"/>
                <w:szCs w:val="20"/>
                <w:color w:val="auto"/>
              </w:rPr>
            </w:pPr>
            <w:r>
              <w:rPr>
                <w:rFonts w:ascii="Arial" w:cs="Arial" w:eastAsia="Arial" w:hAnsi="Arial"/>
                <w:sz w:val="18"/>
                <w:szCs w:val="18"/>
                <w:color w:val="auto"/>
              </w:rPr>
              <w:t>(2)</w:t>
            </w:r>
          </w:p>
        </w:tc>
        <w:tc>
          <w:tcPr>
            <w:tcW w:w="20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84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tcPr>
          <w:p>
            <w:pPr>
              <w:spacing w:after="0"/>
              <w:rPr>
                <w:sz w:val="20"/>
                <w:szCs w:val="20"/>
                <w:color w:val="auto"/>
              </w:rPr>
            </w:pPr>
            <w:r>
              <w:rPr>
                <w:rFonts w:ascii="Arial" w:cs="Arial" w:eastAsia="Arial" w:hAnsi="Arial"/>
                <w:sz w:val="18"/>
                <w:szCs w:val="18"/>
                <w:color w:val="auto"/>
              </w:rPr>
              <w:t>Payments</w:t>
            </w:r>
          </w:p>
        </w:tc>
        <w:tc>
          <w:tcPr>
            <w:tcW w:w="3840" w:type="dxa"/>
            <w:vAlign w:val="bottom"/>
          </w:tcPr>
          <w:p>
            <w:pPr>
              <w:spacing w:after="0"/>
              <w:rPr>
                <w:sz w:val="18"/>
                <w:szCs w:val="18"/>
                <w:color w:val="auto"/>
              </w:rPr>
            </w:pPr>
          </w:p>
        </w:tc>
        <w:tc>
          <w:tcPr>
            <w:tcW w:w="1100" w:type="dxa"/>
            <w:vAlign w:val="bottom"/>
            <w:gridSpan w:val="2"/>
          </w:tcPr>
          <w:p>
            <w:pPr>
              <w:jc w:val="right"/>
              <w:ind w:right="620"/>
              <w:spacing w:after="0"/>
              <w:rPr>
                <w:sz w:val="20"/>
                <w:szCs w:val="20"/>
                <w:color w:val="auto"/>
              </w:rPr>
            </w:pPr>
            <w:r>
              <w:rPr>
                <w:rFonts w:ascii="Arial" w:cs="Arial" w:eastAsia="Arial" w:hAnsi="Arial"/>
                <w:sz w:val="18"/>
                <w:szCs w:val="18"/>
                <w:color w:val="auto"/>
              </w:rPr>
              <w:t>(73)</w:t>
            </w:r>
          </w:p>
        </w:tc>
        <w:tc>
          <w:tcPr>
            <w:tcW w:w="200" w:type="dxa"/>
            <w:vAlign w:val="bottom"/>
          </w:tcPr>
          <w:p>
            <w:pPr>
              <w:spacing w:after="0"/>
              <w:rPr>
                <w:sz w:val="18"/>
                <w:szCs w:val="18"/>
                <w:color w:val="auto"/>
              </w:rPr>
            </w:pPr>
          </w:p>
        </w:tc>
        <w:tc>
          <w:tcPr>
            <w:tcW w:w="1320" w:type="dxa"/>
            <w:vAlign w:val="bottom"/>
            <w:gridSpan w:val="2"/>
          </w:tcPr>
          <w:p>
            <w:pPr>
              <w:jc w:val="right"/>
              <w:ind w:right="300"/>
              <w:spacing w:after="0"/>
              <w:rPr>
                <w:sz w:val="20"/>
                <w:szCs w:val="20"/>
                <w:color w:val="auto"/>
              </w:rPr>
            </w:pPr>
            <w:r>
              <w:rPr>
                <w:rFonts w:ascii="Arial" w:cs="Arial" w:eastAsia="Arial" w:hAnsi="Arial"/>
                <w:sz w:val="18"/>
                <w:szCs w:val="18"/>
                <w:color w:val="auto"/>
              </w:rPr>
              <w:t>(9)</w:t>
            </w:r>
          </w:p>
        </w:tc>
        <w:tc>
          <w:tcPr>
            <w:tcW w:w="840" w:type="dxa"/>
            <w:vAlign w:val="bottom"/>
            <w:gridSpan w:val="3"/>
          </w:tcPr>
          <w:p>
            <w:pPr>
              <w:jc w:val="right"/>
              <w:ind w:right="40"/>
              <w:spacing w:after="0"/>
              <w:rPr>
                <w:sz w:val="20"/>
                <w:szCs w:val="20"/>
                <w:color w:val="auto"/>
              </w:rPr>
            </w:pPr>
            <w:r>
              <w:rPr>
                <w:rFonts w:ascii="Arial" w:cs="Arial" w:eastAsia="Arial" w:hAnsi="Arial"/>
                <w:sz w:val="18"/>
                <w:szCs w:val="18"/>
                <w:color w:val="auto"/>
              </w:rPr>
              <w:t>(82)</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100" w:type="dxa"/>
            <w:vAlign w:val="bottom"/>
          </w:tcPr>
          <w:p>
            <w:pPr>
              <w:spacing w:after="0"/>
              <w:rPr>
                <w:sz w:val="2"/>
                <w:szCs w:val="2"/>
                <w:color w:val="auto"/>
              </w:rPr>
            </w:pPr>
          </w:p>
        </w:tc>
        <w:tc>
          <w:tcPr>
            <w:tcW w:w="3840" w:type="dxa"/>
            <w:vAlign w:val="bottom"/>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68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320" w:type="dxa"/>
            <w:vAlign w:val="bottom"/>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100" w:type="dxa"/>
            <w:vAlign w:val="bottom"/>
            <w:shd w:val="clear" w:color="auto" w:fill="CCEEFF"/>
          </w:tcPr>
          <w:p>
            <w:pPr>
              <w:spacing w:after="0"/>
              <w:rPr>
                <w:sz w:val="20"/>
                <w:szCs w:val="20"/>
                <w:color w:val="auto"/>
              </w:rPr>
            </w:pPr>
            <w:r>
              <w:rPr>
                <w:rFonts w:ascii="Arial" w:cs="Arial" w:eastAsia="Arial" w:hAnsi="Arial"/>
                <w:sz w:val="18"/>
                <w:szCs w:val="18"/>
                <w:color w:val="auto"/>
              </w:rPr>
              <w:t>Balance at September 30, 2010</w:t>
            </w:r>
          </w:p>
        </w:tc>
        <w:tc>
          <w:tcPr>
            <w:tcW w:w="384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$ 204</w:t>
            </w:r>
          </w:p>
        </w:tc>
        <w:tc>
          <w:tcPr>
            <w:tcW w:w="6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360" w:type="dxa"/>
            <w:vAlign w:val="bottom"/>
            <w:shd w:val="clear" w:color="auto" w:fill="CCEEFF"/>
          </w:tcPr>
          <w:p>
            <w:pPr>
              <w:spacing w:after="0"/>
              <w:rPr>
                <w:sz w:val="18"/>
                <w:szCs w:val="18"/>
                <w:color w:val="auto"/>
              </w:rPr>
            </w:pPr>
          </w:p>
        </w:tc>
        <w:tc>
          <w:tcPr>
            <w:tcW w:w="8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$ 215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100" w:type="dxa"/>
            <w:vAlign w:val="bottom"/>
          </w:tcPr>
          <w:p>
            <w:pPr>
              <w:spacing w:after="0" w:line="20" w:lineRule="exact"/>
              <w:rPr>
                <w:sz w:val="1"/>
                <w:szCs w:val="1"/>
                <w:color w:val="auto"/>
              </w:rPr>
            </w:pPr>
          </w:p>
        </w:tc>
        <w:tc>
          <w:tcPr>
            <w:tcW w:w="3840" w:type="dxa"/>
            <w:vAlign w:val="bottom"/>
            <w:vMerge w:val="restart"/>
          </w:tcPr>
          <w:p>
            <w:pPr>
              <w:jc w:val="right"/>
              <w:ind w:right="2072"/>
              <w:spacing w:after="0"/>
              <w:rPr>
                <w:sz w:val="20"/>
                <w:szCs w:val="20"/>
                <w:color w:val="auto"/>
              </w:rPr>
            </w:pPr>
            <w:r>
              <w:rPr>
                <w:rFonts w:ascii="Arial" w:cs="Arial" w:eastAsia="Arial" w:hAnsi="Arial"/>
                <w:sz w:val="18"/>
                <w:szCs w:val="18"/>
                <w:color w:val="auto"/>
              </w:rPr>
              <w:t>59</w:t>
            </w:r>
          </w:p>
        </w:tc>
        <w:tc>
          <w:tcPr>
            <w:tcW w:w="4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7"/>
        </w:trPr>
        <w:tc>
          <w:tcPr>
            <w:tcW w:w="20" w:type="dxa"/>
            <w:vAlign w:val="bottom"/>
          </w:tcPr>
          <w:p>
            <w:pPr>
              <w:spacing w:after="0"/>
              <w:rPr>
                <w:sz w:val="24"/>
                <w:szCs w:val="24"/>
                <w:color w:val="auto"/>
              </w:rPr>
            </w:pPr>
          </w:p>
        </w:tc>
        <w:tc>
          <w:tcPr>
            <w:tcW w:w="4100" w:type="dxa"/>
            <w:vAlign w:val="bottom"/>
          </w:tcPr>
          <w:p>
            <w:pPr>
              <w:spacing w:after="0"/>
              <w:rPr>
                <w:sz w:val="24"/>
                <w:szCs w:val="24"/>
                <w:color w:val="auto"/>
              </w:rPr>
            </w:pPr>
          </w:p>
        </w:tc>
        <w:tc>
          <w:tcPr>
            <w:tcW w:w="3840" w:type="dxa"/>
            <w:vAlign w:val="bottom"/>
            <w:vMerge w:val="continue"/>
          </w:tcPr>
          <w:p>
            <w:pPr>
              <w:spacing w:after="0"/>
              <w:rPr>
                <w:sz w:val="24"/>
                <w:szCs w:val="24"/>
                <w:color w:val="auto"/>
              </w:rPr>
            </w:pPr>
          </w:p>
        </w:tc>
        <w:tc>
          <w:tcPr>
            <w:tcW w:w="4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61" w:name="page62"/>
    <w:bookmarkEnd w:id="6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339" w:lineRule="exact"/>
        <w:rPr>
          <w:sz w:val="20"/>
          <w:szCs w:val="20"/>
          <w:color w:val="auto"/>
        </w:rPr>
      </w:pPr>
    </w:p>
    <w:p>
      <w:pPr>
        <w:ind w:right="40" w:firstLine="228"/>
        <w:spacing w:after="0" w:line="332" w:lineRule="auto"/>
        <w:rPr>
          <w:sz w:val="20"/>
          <w:szCs w:val="20"/>
          <w:color w:val="auto"/>
        </w:rPr>
      </w:pPr>
      <w:r>
        <w:rPr>
          <w:rFonts w:ascii="Arial" w:cs="Arial" w:eastAsia="Arial" w:hAnsi="Arial"/>
          <w:sz w:val="16"/>
          <w:szCs w:val="16"/>
          <w:color w:val="auto"/>
        </w:rPr>
        <w:t>The following table summarizes our restructuring reserves (excluding restructuring reserves related to dealer wind-down agreements) and charges by segment, including postemployment benefit reserves and charges in the period July 10, 2009 through September 30, 2009 (dollars in millions):</w:t>
      </w:r>
    </w:p>
    <w:p>
      <w:pPr>
        <w:spacing w:after="0" w:line="12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7460" w:type="dxa"/>
            <w:vAlign w:val="bottom"/>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gridSpan w:val="3"/>
          </w:tcPr>
          <w:p>
            <w:pPr>
              <w:ind w:left="240"/>
              <w:spacing w:after="0"/>
              <w:rPr>
                <w:sz w:val="20"/>
                <w:szCs w:val="20"/>
                <w:color w:val="auto"/>
              </w:rPr>
            </w:pPr>
            <w:r>
              <w:rPr>
                <w:rFonts w:ascii="Arial" w:cs="Arial" w:eastAsia="Arial" w:hAnsi="Arial"/>
                <w:sz w:val="14"/>
                <w:szCs w:val="14"/>
                <w:b w:val="1"/>
                <w:bCs w:val="1"/>
                <w:color w:val="auto"/>
                <w:w w:val="79"/>
              </w:rPr>
              <w:t>Successor</w:t>
            </w:r>
          </w:p>
        </w:tc>
        <w:tc>
          <w:tcPr>
            <w:tcW w:w="24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7460" w:type="dxa"/>
            <w:vAlign w:val="bottom"/>
          </w:tcPr>
          <w:p>
            <w:pPr>
              <w:spacing w:after="0"/>
              <w:rPr>
                <w:sz w:val="12"/>
                <w:szCs w:val="12"/>
                <w:color w:val="auto"/>
              </w:rPr>
            </w:pPr>
          </w:p>
        </w:tc>
        <w:tc>
          <w:tcPr>
            <w:tcW w:w="500" w:type="dxa"/>
            <w:vAlign w:val="bottom"/>
          </w:tcPr>
          <w:p>
            <w:pPr>
              <w:jc w:val="right"/>
              <w:spacing w:after="0" w:line="142" w:lineRule="exact"/>
              <w:rPr>
                <w:sz w:val="20"/>
                <w:szCs w:val="20"/>
                <w:color w:val="auto"/>
              </w:rPr>
            </w:pPr>
            <w:r>
              <w:rPr>
                <w:rFonts w:ascii="Arial" w:cs="Arial" w:eastAsia="Arial" w:hAnsi="Arial"/>
                <w:sz w:val="14"/>
                <w:szCs w:val="14"/>
                <w:b w:val="1"/>
                <w:bCs w:val="1"/>
                <w:color w:val="auto"/>
              </w:rPr>
              <w:t>GMNA</w:t>
            </w: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60" w:type="dxa"/>
            <w:vAlign w:val="bottom"/>
          </w:tcPr>
          <w:p>
            <w:pPr>
              <w:jc w:val="right"/>
              <w:spacing w:after="0" w:line="142" w:lineRule="exact"/>
              <w:rPr>
                <w:sz w:val="20"/>
                <w:szCs w:val="20"/>
                <w:color w:val="auto"/>
              </w:rPr>
            </w:pPr>
            <w:r>
              <w:rPr>
                <w:rFonts w:ascii="Arial" w:cs="Arial" w:eastAsia="Arial" w:hAnsi="Arial"/>
                <w:sz w:val="14"/>
                <w:szCs w:val="14"/>
                <w:b w:val="1"/>
                <w:bCs w:val="1"/>
                <w:color w:val="auto"/>
              </w:rPr>
              <w:t>GME</w:t>
            </w:r>
          </w:p>
        </w:tc>
        <w:tc>
          <w:tcPr>
            <w:tcW w:w="300" w:type="dxa"/>
            <w:vAlign w:val="bottom"/>
          </w:tcPr>
          <w:p>
            <w:pPr>
              <w:spacing w:after="0"/>
              <w:rPr>
                <w:sz w:val="12"/>
                <w:szCs w:val="12"/>
                <w:color w:val="auto"/>
              </w:rPr>
            </w:pPr>
          </w:p>
        </w:tc>
        <w:tc>
          <w:tcPr>
            <w:tcW w:w="580" w:type="dxa"/>
            <w:vAlign w:val="bottom"/>
            <w:gridSpan w:val="3"/>
          </w:tcPr>
          <w:p>
            <w:pPr>
              <w:ind w:left="20"/>
              <w:spacing w:after="0" w:line="142" w:lineRule="exact"/>
              <w:rPr>
                <w:sz w:val="20"/>
                <w:szCs w:val="20"/>
                <w:color w:val="auto"/>
              </w:rPr>
            </w:pPr>
            <w:r>
              <w:rPr>
                <w:rFonts w:ascii="Arial" w:cs="Arial" w:eastAsia="Arial" w:hAnsi="Arial"/>
                <w:sz w:val="14"/>
                <w:szCs w:val="14"/>
                <w:b w:val="1"/>
                <w:bCs w:val="1"/>
                <w:color w:val="auto"/>
              </w:rPr>
              <w:t>GMIO</w:t>
            </w:r>
          </w:p>
        </w:tc>
        <w:tc>
          <w:tcPr>
            <w:tcW w:w="140" w:type="dxa"/>
            <w:vAlign w:val="bottom"/>
          </w:tcPr>
          <w:p>
            <w:pPr>
              <w:spacing w:after="0"/>
              <w:rPr>
                <w:sz w:val="12"/>
                <w:szCs w:val="12"/>
                <w:color w:val="auto"/>
              </w:rPr>
            </w:pPr>
          </w:p>
        </w:tc>
        <w:tc>
          <w:tcPr>
            <w:tcW w:w="500" w:type="dxa"/>
            <w:vAlign w:val="bottom"/>
          </w:tcPr>
          <w:p>
            <w:pPr>
              <w:jc w:val="right"/>
              <w:ind w:right="42"/>
              <w:spacing w:after="0" w:line="142" w:lineRule="exact"/>
              <w:rPr>
                <w:sz w:val="20"/>
                <w:szCs w:val="20"/>
                <w:color w:val="auto"/>
              </w:rPr>
            </w:pPr>
            <w:r>
              <w:rPr>
                <w:rFonts w:ascii="Arial" w:cs="Arial" w:eastAsia="Arial" w:hAnsi="Arial"/>
                <w:sz w:val="14"/>
                <w:szCs w:val="14"/>
                <w:b w:val="1"/>
                <w:bCs w:val="1"/>
                <w:color w:val="auto"/>
              </w:rPr>
              <w:t>Total</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746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86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Balance at July 10, 2009</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$2,905</w:t>
            </w:r>
          </w:p>
        </w:tc>
        <w:tc>
          <w:tcPr>
            <w:tcW w:w="180" w:type="dxa"/>
            <w:vAlign w:val="bottom"/>
            <w:shd w:val="clear" w:color="auto" w:fill="CCEEFF"/>
          </w:tcPr>
          <w:p>
            <w:pPr>
              <w:spacing w:after="0"/>
              <w:rPr>
                <w:sz w:val="18"/>
                <w:szCs w:val="18"/>
                <w:color w:val="auto"/>
              </w:rPr>
            </w:pPr>
          </w:p>
        </w:tc>
        <w:tc>
          <w:tcPr>
            <w:tcW w:w="80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$433</w:t>
            </w:r>
          </w:p>
        </w:tc>
        <w:tc>
          <w:tcPr>
            <w:tcW w:w="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w:t>
            </w:r>
          </w:p>
        </w:tc>
        <w:tc>
          <w:tcPr>
            <w:tcW w:w="180" w:type="dxa"/>
            <w:vAlign w:val="bottom"/>
            <w:shd w:val="clear" w:color="auto" w:fill="CCEEFF"/>
          </w:tcPr>
          <w:p>
            <w:pPr>
              <w:spacing w:after="0"/>
              <w:rPr>
                <w:sz w:val="18"/>
                <w:szCs w:val="18"/>
                <w:color w:val="auto"/>
              </w:rPr>
            </w:pPr>
          </w:p>
        </w:tc>
        <w:tc>
          <w:tcPr>
            <w:tcW w:w="7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$3,386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00" w:type="dxa"/>
            <w:vAlign w:val="bottom"/>
            <w:gridSpan w:val="2"/>
          </w:tcPr>
          <w:p>
            <w:pPr>
              <w:spacing w:after="0"/>
              <w:rPr>
                <w:sz w:val="20"/>
                <w:szCs w:val="20"/>
                <w:color w:val="auto"/>
              </w:rPr>
            </w:pPr>
            <w:r>
              <w:rPr>
                <w:rFonts w:ascii="Arial" w:cs="Arial" w:eastAsia="Arial" w:hAnsi="Arial"/>
                <w:sz w:val="18"/>
                <w:szCs w:val="18"/>
                <w:color w:val="auto"/>
              </w:rPr>
              <w:t>Additions</w:t>
            </w:r>
          </w:p>
        </w:tc>
        <w:tc>
          <w:tcPr>
            <w:tcW w:w="500" w:type="dxa"/>
            <w:vAlign w:val="bottom"/>
          </w:tcPr>
          <w:p>
            <w:pPr>
              <w:jc w:val="right"/>
              <w:spacing w:after="0"/>
              <w:rPr>
                <w:sz w:val="20"/>
                <w:szCs w:val="20"/>
                <w:color w:val="auto"/>
              </w:rPr>
            </w:pPr>
            <w:r>
              <w:rPr>
                <w:rFonts w:ascii="Arial" w:cs="Arial" w:eastAsia="Arial" w:hAnsi="Arial"/>
                <w:sz w:val="18"/>
                <w:szCs w:val="18"/>
                <w:color w:val="auto"/>
              </w:rPr>
              <w:t>5</w:t>
            </w:r>
          </w:p>
        </w:tc>
        <w:tc>
          <w:tcPr>
            <w:tcW w:w="180" w:type="dxa"/>
            <w:vAlign w:val="bottom"/>
          </w:tcPr>
          <w:p>
            <w:pPr>
              <w:spacing w:after="0"/>
              <w:rPr>
                <w:sz w:val="18"/>
                <w:szCs w:val="18"/>
                <w:color w:val="auto"/>
              </w:rPr>
            </w:pPr>
          </w:p>
        </w:tc>
        <w:tc>
          <w:tcPr>
            <w:tcW w:w="800" w:type="dxa"/>
            <w:vAlign w:val="bottom"/>
            <w:gridSpan w:val="3"/>
          </w:tcPr>
          <w:p>
            <w:pPr>
              <w:jc w:val="right"/>
              <w:ind w:right="300"/>
              <w:spacing w:after="0"/>
              <w:rPr>
                <w:sz w:val="20"/>
                <w:szCs w:val="20"/>
                <w:color w:val="auto"/>
              </w:rPr>
            </w:pPr>
            <w:r>
              <w:rPr>
                <w:rFonts w:ascii="Arial" w:cs="Arial" w:eastAsia="Arial" w:hAnsi="Arial"/>
                <w:sz w:val="18"/>
                <w:szCs w:val="18"/>
                <w:color w:val="auto"/>
              </w:rPr>
              <w:t>9</w:t>
            </w:r>
          </w:p>
        </w:tc>
        <w:tc>
          <w:tcPr>
            <w:tcW w:w="160" w:type="dxa"/>
            <w:vAlign w:val="bottom"/>
          </w:tcPr>
          <w:p>
            <w:pPr>
              <w:spacing w:after="0"/>
              <w:rPr>
                <w:sz w:val="18"/>
                <w:szCs w:val="18"/>
                <w:color w:val="auto"/>
              </w:rPr>
            </w:pPr>
          </w:p>
        </w:tc>
        <w:tc>
          <w:tcPr>
            <w:tcW w:w="240" w:type="dxa"/>
            <w:vAlign w:val="bottom"/>
          </w:tcPr>
          <w:p>
            <w:pPr>
              <w:jc w:val="right"/>
              <w:spacing w:after="0"/>
              <w:rPr>
                <w:sz w:val="20"/>
                <w:szCs w:val="20"/>
                <w:color w:val="auto"/>
              </w:rPr>
            </w:pPr>
            <w:r>
              <w:rPr>
                <w:rFonts w:ascii="Arial" w:cs="Arial" w:eastAsia="Arial" w:hAnsi="Arial"/>
                <w:sz w:val="18"/>
                <w:szCs w:val="18"/>
                <w:color w:val="auto"/>
              </w:rPr>
              <w:t>29</w:t>
            </w:r>
          </w:p>
        </w:tc>
        <w:tc>
          <w:tcPr>
            <w:tcW w:w="180" w:type="dxa"/>
            <w:vAlign w:val="bottom"/>
          </w:tcPr>
          <w:p>
            <w:pPr>
              <w:spacing w:after="0"/>
              <w:rPr>
                <w:sz w:val="18"/>
                <w:szCs w:val="18"/>
                <w:color w:val="auto"/>
              </w:rPr>
            </w:pPr>
          </w:p>
        </w:tc>
        <w:tc>
          <w:tcPr>
            <w:tcW w:w="740" w:type="dxa"/>
            <w:vAlign w:val="bottom"/>
            <w:gridSpan w:val="3"/>
          </w:tcPr>
          <w:p>
            <w:pPr>
              <w:jc w:val="right"/>
              <w:ind w:right="100"/>
              <w:spacing w:after="0"/>
              <w:rPr>
                <w:sz w:val="20"/>
                <w:szCs w:val="20"/>
                <w:color w:val="auto"/>
              </w:rPr>
            </w:pPr>
            <w:r>
              <w:rPr>
                <w:rFonts w:ascii="Arial" w:cs="Arial" w:eastAsia="Arial" w:hAnsi="Arial"/>
                <w:sz w:val="18"/>
                <w:szCs w:val="18"/>
                <w:color w:val="auto"/>
              </w:rPr>
              <w:t>43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Interest accretion and other</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180" w:type="dxa"/>
            <w:vAlign w:val="bottom"/>
            <w:shd w:val="clear" w:color="auto" w:fill="CCEEFF"/>
          </w:tcPr>
          <w:p>
            <w:pPr>
              <w:spacing w:after="0"/>
              <w:rPr>
                <w:sz w:val="18"/>
                <w:szCs w:val="18"/>
                <w:color w:val="auto"/>
              </w:rPr>
            </w:pPr>
          </w:p>
        </w:tc>
        <w:tc>
          <w:tcPr>
            <w:tcW w:w="80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13</w:t>
            </w:r>
          </w:p>
        </w:tc>
        <w:tc>
          <w:tcPr>
            <w:tcW w:w="16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7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00" w:type="dxa"/>
            <w:vAlign w:val="bottom"/>
            <w:gridSpan w:val="2"/>
          </w:tcPr>
          <w:p>
            <w:pPr>
              <w:spacing w:after="0"/>
              <w:rPr>
                <w:sz w:val="20"/>
                <w:szCs w:val="20"/>
                <w:color w:val="auto"/>
              </w:rPr>
            </w:pPr>
            <w:r>
              <w:rPr>
                <w:rFonts w:ascii="Arial" w:cs="Arial" w:eastAsia="Arial" w:hAnsi="Arial"/>
                <w:sz w:val="18"/>
                <w:szCs w:val="18"/>
                <w:color w:val="auto"/>
              </w:rPr>
              <w:t>Payments</w:t>
            </w:r>
          </w:p>
        </w:tc>
        <w:tc>
          <w:tcPr>
            <w:tcW w:w="680" w:type="dxa"/>
            <w:vAlign w:val="bottom"/>
            <w:gridSpan w:val="2"/>
          </w:tcPr>
          <w:p>
            <w:pPr>
              <w:jc w:val="right"/>
              <w:ind w:right="120"/>
              <w:spacing w:after="0"/>
              <w:rPr>
                <w:sz w:val="20"/>
                <w:szCs w:val="20"/>
                <w:color w:val="auto"/>
              </w:rPr>
            </w:pPr>
            <w:r>
              <w:rPr>
                <w:rFonts w:ascii="Arial" w:cs="Arial" w:eastAsia="Arial" w:hAnsi="Arial"/>
                <w:sz w:val="18"/>
                <w:szCs w:val="18"/>
                <w:color w:val="auto"/>
              </w:rPr>
              <w:t>(643)</w:t>
            </w:r>
          </w:p>
        </w:tc>
        <w:tc>
          <w:tcPr>
            <w:tcW w:w="800" w:type="dxa"/>
            <w:vAlign w:val="bottom"/>
            <w:gridSpan w:val="3"/>
          </w:tcPr>
          <w:p>
            <w:pPr>
              <w:jc w:val="right"/>
              <w:ind w:right="240"/>
              <w:spacing w:after="0"/>
              <w:rPr>
                <w:sz w:val="20"/>
                <w:szCs w:val="20"/>
                <w:color w:val="auto"/>
              </w:rPr>
            </w:pPr>
            <w:r>
              <w:rPr>
                <w:rFonts w:ascii="Arial" w:cs="Arial" w:eastAsia="Arial" w:hAnsi="Arial"/>
                <w:sz w:val="18"/>
                <w:szCs w:val="18"/>
                <w:color w:val="auto"/>
              </w:rPr>
              <w:t>(26)</w:t>
            </w:r>
          </w:p>
        </w:tc>
        <w:tc>
          <w:tcPr>
            <w:tcW w:w="160" w:type="dxa"/>
            <w:vAlign w:val="bottom"/>
          </w:tcPr>
          <w:p>
            <w:pPr>
              <w:spacing w:after="0"/>
              <w:rPr>
                <w:sz w:val="18"/>
                <w:szCs w:val="18"/>
                <w:color w:val="auto"/>
              </w:rPr>
            </w:pPr>
          </w:p>
        </w:tc>
        <w:tc>
          <w:tcPr>
            <w:tcW w:w="420" w:type="dxa"/>
            <w:vAlign w:val="bottom"/>
            <w:gridSpan w:val="2"/>
          </w:tcPr>
          <w:p>
            <w:pPr>
              <w:jc w:val="right"/>
              <w:ind w:right="120"/>
              <w:spacing w:after="0"/>
              <w:rPr>
                <w:sz w:val="20"/>
                <w:szCs w:val="20"/>
                <w:color w:val="auto"/>
              </w:rPr>
            </w:pPr>
            <w:r>
              <w:rPr>
                <w:rFonts w:ascii="Arial" w:cs="Arial" w:eastAsia="Arial" w:hAnsi="Arial"/>
                <w:sz w:val="18"/>
                <w:szCs w:val="18"/>
                <w:color w:val="auto"/>
                <w:w w:val="87"/>
              </w:rPr>
              <w:t>(43)</w:t>
            </w:r>
          </w:p>
        </w:tc>
        <w:tc>
          <w:tcPr>
            <w:tcW w:w="740" w:type="dxa"/>
            <w:vAlign w:val="bottom"/>
            <w:gridSpan w:val="3"/>
          </w:tcPr>
          <w:p>
            <w:pPr>
              <w:jc w:val="right"/>
              <w:ind w:right="40"/>
              <w:spacing w:after="0"/>
              <w:rPr>
                <w:sz w:val="20"/>
                <w:szCs w:val="20"/>
                <w:color w:val="auto"/>
              </w:rPr>
            </w:pPr>
            <w:r>
              <w:rPr>
                <w:rFonts w:ascii="Arial" w:cs="Arial" w:eastAsia="Arial" w:hAnsi="Arial"/>
                <w:sz w:val="18"/>
                <w:szCs w:val="18"/>
                <w:color w:val="auto"/>
              </w:rPr>
              <w:t>(712)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Revisions to estimates</w:t>
            </w:r>
          </w:p>
        </w:tc>
        <w:tc>
          <w:tcPr>
            <w:tcW w:w="6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(139)</w:t>
            </w:r>
          </w:p>
        </w:tc>
        <w:tc>
          <w:tcPr>
            <w:tcW w:w="14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w:t>
            </w:r>
          </w:p>
        </w:tc>
        <w:tc>
          <w:tcPr>
            <w:tcW w:w="74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(141)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600" w:type="dxa"/>
            <w:vAlign w:val="bottom"/>
            <w:gridSpan w:val="2"/>
          </w:tcPr>
          <w:p>
            <w:pPr>
              <w:spacing w:after="0"/>
              <w:rPr>
                <w:sz w:val="20"/>
                <w:szCs w:val="20"/>
                <w:color w:val="auto"/>
              </w:rPr>
            </w:pPr>
            <w:r>
              <w:rPr>
                <w:rFonts w:ascii="Arial" w:cs="Arial" w:eastAsia="Arial" w:hAnsi="Arial"/>
                <w:sz w:val="18"/>
                <w:szCs w:val="18"/>
                <w:color w:val="auto"/>
              </w:rPr>
              <w:t>Effect of foreign currency translation</w:t>
            </w: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w:t>
            </w:r>
          </w:p>
        </w:tc>
        <w:tc>
          <w:tcPr>
            <w:tcW w:w="30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Balance at September 30, 2009 (a)</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2,192</w:t>
            </w:r>
          </w:p>
        </w:tc>
        <w:tc>
          <w:tcPr>
            <w:tcW w:w="180" w:type="dxa"/>
            <w:vAlign w:val="bottom"/>
            <w:shd w:val="clear" w:color="auto" w:fill="CCEEFF"/>
          </w:tcPr>
          <w:p>
            <w:pPr>
              <w:spacing w:after="0"/>
              <w:rPr>
                <w:sz w:val="18"/>
                <w:szCs w:val="18"/>
                <w:color w:val="auto"/>
              </w:rPr>
            </w:pPr>
          </w:p>
        </w:tc>
        <w:tc>
          <w:tcPr>
            <w:tcW w:w="80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447</w:t>
            </w:r>
          </w:p>
        </w:tc>
        <w:tc>
          <w:tcPr>
            <w:tcW w:w="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w:t>
            </w:r>
          </w:p>
        </w:tc>
        <w:tc>
          <w:tcPr>
            <w:tcW w:w="180" w:type="dxa"/>
            <w:vAlign w:val="bottom"/>
            <w:shd w:val="clear" w:color="auto" w:fill="CCEEFF"/>
          </w:tcPr>
          <w:p>
            <w:pPr>
              <w:spacing w:after="0"/>
              <w:rPr>
                <w:sz w:val="18"/>
                <w:szCs w:val="18"/>
                <w:color w:val="auto"/>
              </w:rPr>
            </w:pPr>
          </w:p>
        </w:tc>
        <w:tc>
          <w:tcPr>
            <w:tcW w:w="7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2,675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746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2"/>
        </w:trPr>
        <w:tc>
          <w:tcPr>
            <w:tcW w:w="20" w:type="dxa"/>
            <w:vAlign w:val="bottom"/>
          </w:tcPr>
          <w:p>
            <w:pPr>
              <w:spacing w:after="0"/>
              <w:rPr>
                <w:sz w:val="8"/>
                <w:szCs w:val="8"/>
                <w:color w:val="auto"/>
              </w:rPr>
            </w:pPr>
          </w:p>
        </w:tc>
        <w:tc>
          <w:tcPr>
            <w:tcW w:w="1140" w:type="dxa"/>
            <w:vAlign w:val="bottom"/>
            <w:tcBorders>
              <w:bottom w:val="single" w:sz="8" w:color="auto"/>
            </w:tcBorders>
          </w:tcPr>
          <w:p>
            <w:pPr>
              <w:spacing w:after="0"/>
              <w:rPr>
                <w:sz w:val="8"/>
                <w:szCs w:val="8"/>
                <w:color w:val="auto"/>
              </w:rPr>
            </w:pPr>
          </w:p>
        </w:tc>
        <w:tc>
          <w:tcPr>
            <w:tcW w:w="7460" w:type="dxa"/>
            <w:vAlign w:val="bottom"/>
          </w:tcPr>
          <w:p>
            <w:pPr>
              <w:spacing w:after="0"/>
              <w:rPr>
                <w:sz w:val="8"/>
                <w:szCs w:val="8"/>
                <w:color w:val="auto"/>
              </w:rPr>
            </w:pPr>
          </w:p>
        </w:tc>
        <w:tc>
          <w:tcPr>
            <w:tcW w:w="500" w:type="dxa"/>
            <w:vAlign w:val="bottom"/>
          </w:tcPr>
          <w:p>
            <w:pPr>
              <w:spacing w:after="0"/>
              <w:rPr>
                <w:sz w:val="8"/>
                <w:szCs w:val="8"/>
                <w:color w:val="auto"/>
              </w:rPr>
            </w:pPr>
          </w:p>
        </w:tc>
        <w:tc>
          <w:tcPr>
            <w:tcW w:w="180" w:type="dxa"/>
            <w:vAlign w:val="bottom"/>
          </w:tcPr>
          <w:p>
            <w:pPr>
              <w:spacing w:after="0"/>
              <w:rPr>
                <w:sz w:val="8"/>
                <w:szCs w:val="8"/>
                <w:color w:val="auto"/>
              </w:rPr>
            </w:pPr>
          </w:p>
        </w:tc>
        <w:tc>
          <w:tcPr>
            <w:tcW w:w="140" w:type="dxa"/>
            <w:vAlign w:val="bottom"/>
          </w:tcPr>
          <w:p>
            <w:pPr>
              <w:spacing w:after="0"/>
              <w:rPr>
                <w:sz w:val="8"/>
                <w:szCs w:val="8"/>
                <w:color w:val="auto"/>
              </w:rPr>
            </w:pPr>
          </w:p>
        </w:tc>
        <w:tc>
          <w:tcPr>
            <w:tcW w:w="360" w:type="dxa"/>
            <w:vAlign w:val="bottom"/>
          </w:tcPr>
          <w:p>
            <w:pPr>
              <w:spacing w:after="0"/>
              <w:rPr>
                <w:sz w:val="8"/>
                <w:szCs w:val="8"/>
                <w:color w:val="auto"/>
              </w:rPr>
            </w:pPr>
          </w:p>
        </w:tc>
        <w:tc>
          <w:tcPr>
            <w:tcW w:w="300" w:type="dxa"/>
            <w:vAlign w:val="bottom"/>
          </w:tcPr>
          <w:p>
            <w:pPr>
              <w:spacing w:after="0"/>
              <w:rPr>
                <w:sz w:val="8"/>
                <w:szCs w:val="8"/>
                <w:color w:val="auto"/>
              </w:rPr>
            </w:pPr>
          </w:p>
        </w:tc>
        <w:tc>
          <w:tcPr>
            <w:tcW w:w="160" w:type="dxa"/>
            <w:vAlign w:val="bottom"/>
          </w:tcPr>
          <w:p>
            <w:pPr>
              <w:spacing w:after="0"/>
              <w:rPr>
                <w:sz w:val="8"/>
                <w:szCs w:val="8"/>
                <w:color w:val="auto"/>
              </w:rPr>
            </w:pPr>
          </w:p>
        </w:tc>
        <w:tc>
          <w:tcPr>
            <w:tcW w:w="240" w:type="dxa"/>
            <w:vAlign w:val="bottom"/>
          </w:tcPr>
          <w:p>
            <w:pPr>
              <w:spacing w:after="0"/>
              <w:rPr>
                <w:sz w:val="8"/>
                <w:szCs w:val="8"/>
                <w:color w:val="auto"/>
              </w:rPr>
            </w:pPr>
          </w:p>
        </w:tc>
        <w:tc>
          <w:tcPr>
            <w:tcW w:w="180" w:type="dxa"/>
            <w:vAlign w:val="bottom"/>
          </w:tcPr>
          <w:p>
            <w:pPr>
              <w:spacing w:after="0"/>
              <w:rPr>
                <w:sz w:val="8"/>
                <w:szCs w:val="8"/>
                <w:color w:val="auto"/>
              </w:rPr>
            </w:pPr>
          </w:p>
        </w:tc>
        <w:tc>
          <w:tcPr>
            <w:tcW w:w="140" w:type="dxa"/>
            <w:vAlign w:val="bottom"/>
          </w:tcPr>
          <w:p>
            <w:pPr>
              <w:spacing w:after="0"/>
              <w:rPr>
                <w:sz w:val="8"/>
                <w:szCs w:val="8"/>
                <w:color w:val="auto"/>
              </w:rPr>
            </w:pPr>
          </w:p>
        </w:tc>
        <w:tc>
          <w:tcPr>
            <w:tcW w:w="50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19" w:lineRule="exact"/>
        <w:rPr>
          <w:sz w:val="20"/>
          <w:szCs w:val="20"/>
          <w:color w:val="auto"/>
        </w:rPr>
      </w:pPr>
    </w:p>
    <w:p>
      <w:pPr>
        <w:ind w:left="460" w:hanging="452"/>
        <w:spacing w:after="0"/>
        <w:tabs>
          <w:tab w:leader="none" w:pos="4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remaining cash payments related to these restructuring reserves primarily relate to postemployment benefits to be paid.</w:t>
      </w:r>
    </w:p>
    <w:p>
      <w:pPr>
        <w:spacing w:after="0" w:line="171"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GMNA</w:t>
      </w:r>
    </w:p>
    <w:p>
      <w:pPr>
        <w:spacing w:after="0" w:line="171" w:lineRule="exact"/>
        <w:rPr>
          <w:sz w:val="20"/>
          <w:szCs w:val="20"/>
          <w:color w:val="auto"/>
        </w:rPr>
      </w:pPr>
    </w:p>
    <w:p>
      <w:pPr>
        <w:ind w:right="100" w:firstLine="228"/>
        <w:spacing w:after="0" w:line="298" w:lineRule="auto"/>
        <w:rPr>
          <w:sz w:val="20"/>
          <w:szCs w:val="20"/>
          <w:color w:val="auto"/>
        </w:rPr>
      </w:pPr>
      <w:r>
        <w:rPr>
          <w:rFonts w:ascii="Arial" w:cs="Arial" w:eastAsia="Arial" w:hAnsi="Arial"/>
          <w:sz w:val="16"/>
          <w:szCs w:val="16"/>
          <w:color w:val="auto"/>
        </w:rPr>
        <w:t>GMNA recorded charges, interest accretion and other, and revisions to estimates that reduced the restructuring reserves by $126 million in the period July 10, 2009 through September 30, 2009 for separation programs primarily related to the reduction of the salaried and hourly workforce severance accruals of $146 million in the period July 10, 2009 through September 30, 2009. As a result of elections subsequently made by terminating employees, such amounts were reclassified as special termination benefits and were funded from the U.S. defined benefit pension plans and other applicable retirement benefit plans.</w:t>
      </w:r>
    </w:p>
    <w:p>
      <w:pPr>
        <w:spacing w:after="0" w:line="113"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GMIO</w:t>
      </w:r>
    </w:p>
    <w:p>
      <w:pPr>
        <w:spacing w:after="0" w:line="171" w:lineRule="exact"/>
        <w:rPr>
          <w:sz w:val="20"/>
          <w:szCs w:val="20"/>
          <w:color w:val="auto"/>
        </w:rPr>
      </w:pPr>
    </w:p>
    <w:p>
      <w:pPr>
        <w:ind w:right="60" w:firstLine="228"/>
        <w:spacing w:after="0" w:line="332" w:lineRule="auto"/>
        <w:rPr>
          <w:sz w:val="20"/>
          <w:szCs w:val="20"/>
          <w:color w:val="auto"/>
        </w:rPr>
      </w:pPr>
      <w:r>
        <w:rPr>
          <w:rFonts w:ascii="Arial" w:cs="Arial" w:eastAsia="Arial" w:hAnsi="Arial"/>
          <w:sz w:val="16"/>
          <w:szCs w:val="16"/>
          <w:color w:val="auto"/>
        </w:rPr>
        <w:t>GMIO recorded charges, interest accretion and other, and revisions to estimates of $27 million in the period July 10, 2009 through September 30, 2009, which includes separation charges of $25 million related to restructuring programs in Australia for salaried and hourly employees.</w:t>
      </w:r>
    </w:p>
    <w:p>
      <w:pPr>
        <w:spacing w:after="0" w:line="85" w:lineRule="exact"/>
        <w:rPr>
          <w:sz w:val="20"/>
          <w:szCs w:val="20"/>
          <w:color w:val="auto"/>
        </w:rPr>
      </w:pPr>
    </w:p>
    <w:p>
      <w:pPr>
        <w:ind w:right="240" w:firstLine="228"/>
        <w:spacing w:after="0" w:line="268" w:lineRule="auto"/>
        <w:rPr>
          <w:sz w:val="20"/>
          <w:szCs w:val="20"/>
          <w:color w:val="auto"/>
        </w:rPr>
      </w:pPr>
      <w:r>
        <w:rPr>
          <w:rFonts w:ascii="Arial" w:cs="Arial" w:eastAsia="Arial" w:hAnsi="Arial"/>
          <w:sz w:val="18"/>
          <w:szCs w:val="18"/>
          <w:color w:val="auto"/>
        </w:rPr>
        <w:t>The following table summarizes GMNA’s restructuring reserves related to dealer wind-down agreements in the period July 10, 2009 through September 30, 2009 (dollars in millions):</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280" w:type="dxa"/>
            <w:vAlign w:val="bottom"/>
          </w:tcPr>
          <w:p>
            <w:pPr>
              <w:spacing w:after="0"/>
              <w:rPr>
                <w:sz w:val="14"/>
                <w:szCs w:val="14"/>
                <w:color w:val="auto"/>
              </w:rPr>
            </w:pPr>
          </w:p>
        </w:tc>
        <w:tc>
          <w:tcPr>
            <w:tcW w:w="2660" w:type="dxa"/>
            <w:vAlign w:val="bottom"/>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320" w:type="dxa"/>
            <w:vAlign w:val="bottom"/>
            <w:tcBorders>
              <w:bottom w:val="single" w:sz="8" w:color="auto"/>
            </w:tcBorders>
            <w:gridSpan w:val="2"/>
          </w:tcPr>
          <w:p>
            <w:pPr>
              <w:jc w:val="right"/>
              <w:ind w:right="660"/>
              <w:spacing w:after="0"/>
              <w:rPr>
                <w:sz w:val="20"/>
                <w:szCs w:val="20"/>
                <w:color w:val="auto"/>
              </w:rPr>
            </w:pPr>
            <w:r>
              <w:rPr>
                <w:rFonts w:ascii="Arial" w:cs="Arial" w:eastAsia="Arial" w:hAnsi="Arial"/>
                <w:sz w:val="14"/>
                <w:szCs w:val="14"/>
                <w:b w:val="1"/>
                <w:bCs w:val="1"/>
                <w:color w:val="auto"/>
                <w:w w:val="90"/>
              </w:rPr>
              <w:t>Successor</w:t>
            </w:r>
          </w:p>
        </w:tc>
        <w:tc>
          <w:tcPr>
            <w:tcW w:w="32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280" w:type="dxa"/>
            <w:vAlign w:val="bottom"/>
          </w:tcPr>
          <w:p>
            <w:pPr>
              <w:spacing w:after="0"/>
              <w:rPr>
                <w:sz w:val="12"/>
                <w:szCs w:val="12"/>
                <w:color w:val="auto"/>
              </w:rPr>
            </w:pPr>
          </w:p>
        </w:tc>
        <w:tc>
          <w:tcPr>
            <w:tcW w:w="2660" w:type="dxa"/>
            <w:vAlign w:val="bottom"/>
          </w:tcPr>
          <w:p>
            <w:pPr>
              <w:spacing w:after="0"/>
              <w:rPr>
                <w:sz w:val="12"/>
                <w:szCs w:val="12"/>
                <w:color w:val="auto"/>
              </w:rPr>
            </w:pPr>
          </w:p>
        </w:tc>
        <w:tc>
          <w:tcPr>
            <w:tcW w:w="42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U.S.</w:t>
            </w:r>
          </w:p>
        </w:tc>
        <w:tc>
          <w:tcPr>
            <w:tcW w:w="680" w:type="dxa"/>
            <w:vAlign w:val="bottom"/>
          </w:tcPr>
          <w:p>
            <w:pPr>
              <w:spacing w:after="0"/>
              <w:rPr>
                <w:sz w:val="12"/>
                <w:szCs w:val="12"/>
                <w:color w:val="auto"/>
              </w:rPr>
            </w:pPr>
          </w:p>
        </w:tc>
        <w:tc>
          <w:tcPr>
            <w:tcW w:w="1160" w:type="dxa"/>
            <w:vAlign w:val="bottom"/>
            <w:tcBorders>
              <w:bottom w:val="single" w:sz="8" w:color="auto"/>
            </w:tcBorders>
            <w:gridSpan w:val="2"/>
          </w:tcPr>
          <w:p>
            <w:pPr>
              <w:spacing w:after="0" w:line="142" w:lineRule="exact"/>
              <w:rPr>
                <w:sz w:val="20"/>
                <w:szCs w:val="20"/>
                <w:color w:val="auto"/>
              </w:rPr>
            </w:pPr>
            <w:r>
              <w:rPr>
                <w:rFonts w:ascii="Arial" w:cs="Arial" w:eastAsia="Arial" w:hAnsi="Arial"/>
                <w:sz w:val="14"/>
                <w:szCs w:val="14"/>
                <w:b w:val="1"/>
                <w:bCs w:val="1"/>
                <w:color w:val="auto"/>
                <w:w w:val="87"/>
              </w:rPr>
              <w:t>Canada and Mexico</w:t>
            </w:r>
          </w:p>
        </w:tc>
        <w:tc>
          <w:tcPr>
            <w:tcW w:w="3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42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Total</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280" w:type="dxa"/>
            <w:vAlign w:val="bottom"/>
            <w:shd w:val="clear" w:color="auto" w:fill="CCEEFF"/>
          </w:tcPr>
          <w:p>
            <w:pPr>
              <w:spacing w:after="0"/>
              <w:rPr>
                <w:sz w:val="20"/>
                <w:szCs w:val="20"/>
                <w:color w:val="auto"/>
              </w:rPr>
            </w:pPr>
            <w:r>
              <w:rPr>
                <w:rFonts w:ascii="Arial" w:cs="Arial" w:eastAsia="Arial" w:hAnsi="Arial"/>
                <w:sz w:val="18"/>
                <w:szCs w:val="18"/>
                <w:color w:val="auto"/>
              </w:rPr>
              <w:t>Balance at July 10, 2009</w:t>
            </w:r>
          </w:p>
        </w:tc>
        <w:tc>
          <w:tcPr>
            <w:tcW w:w="3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$ 398</w:t>
            </w:r>
          </w:p>
        </w:tc>
        <w:tc>
          <w:tcPr>
            <w:tcW w:w="6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3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118</w:t>
            </w:r>
          </w:p>
        </w:tc>
        <w:tc>
          <w:tcPr>
            <w:tcW w:w="8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$ 516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80" w:type="dxa"/>
            <w:vAlign w:val="bottom"/>
          </w:tcPr>
          <w:p>
            <w:pPr>
              <w:spacing w:after="0"/>
              <w:rPr>
                <w:sz w:val="20"/>
                <w:szCs w:val="20"/>
                <w:color w:val="auto"/>
              </w:rPr>
            </w:pPr>
            <w:r>
              <w:rPr>
                <w:rFonts w:ascii="Arial" w:cs="Arial" w:eastAsia="Arial" w:hAnsi="Arial"/>
                <w:sz w:val="18"/>
                <w:szCs w:val="18"/>
                <w:color w:val="auto"/>
              </w:rPr>
              <w:t>Additions</w:t>
            </w:r>
          </w:p>
        </w:tc>
        <w:tc>
          <w:tcPr>
            <w:tcW w:w="3080" w:type="dxa"/>
            <w:vAlign w:val="bottom"/>
            <w:gridSpan w:val="2"/>
          </w:tcPr>
          <w:p>
            <w:pPr>
              <w:jc w:val="right"/>
              <w:spacing w:after="0"/>
              <w:rPr>
                <w:sz w:val="20"/>
                <w:szCs w:val="20"/>
                <w:color w:val="auto"/>
              </w:rPr>
            </w:pPr>
            <w:r>
              <w:rPr>
                <w:rFonts w:ascii="Arial" w:cs="Arial" w:eastAsia="Arial" w:hAnsi="Arial"/>
                <w:sz w:val="18"/>
                <w:szCs w:val="18"/>
                <w:color w:val="auto"/>
              </w:rPr>
              <w:t>161</w:t>
            </w:r>
          </w:p>
        </w:tc>
        <w:tc>
          <w:tcPr>
            <w:tcW w:w="6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20" w:type="dxa"/>
            <w:vAlign w:val="bottom"/>
            <w:gridSpan w:val="2"/>
          </w:tcPr>
          <w:p>
            <w:pPr>
              <w:jc w:val="right"/>
              <w:ind w:right="360"/>
              <w:spacing w:after="0"/>
              <w:rPr>
                <w:sz w:val="20"/>
                <w:szCs w:val="20"/>
                <w:color w:val="auto"/>
              </w:rPr>
            </w:pPr>
            <w:r>
              <w:rPr>
                <w:rFonts w:ascii="Arial" w:cs="Arial" w:eastAsia="Arial" w:hAnsi="Arial"/>
                <w:sz w:val="18"/>
                <w:szCs w:val="18"/>
                <w:color w:val="auto"/>
              </w:rPr>
              <w:t>26</w:t>
            </w:r>
          </w:p>
        </w:tc>
        <w:tc>
          <w:tcPr>
            <w:tcW w:w="840" w:type="dxa"/>
            <w:vAlign w:val="bottom"/>
            <w:gridSpan w:val="3"/>
          </w:tcPr>
          <w:p>
            <w:pPr>
              <w:jc w:val="right"/>
              <w:ind w:right="100"/>
              <w:spacing w:after="0"/>
              <w:rPr>
                <w:sz w:val="20"/>
                <w:szCs w:val="20"/>
                <w:color w:val="auto"/>
              </w:rPr>
            </w:pPr>
            <w:r>
              <w:rPr>
                <w:rFonts w:ascii="Arial" w:cs="Arial" w:eastAsia="Arial" w:hAnsi="Arial"/>
                <w:sz w:val="18"/>
                <w:szCs w:val="18"/>
                <w:color w:val="auto"/>
              </w:rPr>
              <w:t>187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80" w:type="dxa"/>
            <w:vAlign w:val="bottom"/>
            <w:shd w:val="clear" w:color="auto" w:fill="CCEEFF"/>
          </w:tcPr>
          <w:p>
            <w:pPr>
              <w:spacing w:after="0"/>
              <w:rPr>
                <w:sz w:val="20"/>
                <w:szCs w:val="20"/>
                <w:color w:val="auto"/>
              </w:rPr>
            </w:pPr>
            <w:r>
              <w:rPr>
                <w:rFonts w:ascii="Arial" w:cs="Arial" w:eastAsia="Arial" w:hAnsi="Arial"/>
                <w:sz w:val="18"/>
                <w:szCs w:val="18"/>
                <w:color w:val="auto"/>
              </w:rPr>
              <w:t>Payments</w:t>
            </w:r>
          </w:p>
        </w:tc>
        <w:tc>
          <w:tcPr>
            <w:tcW w:w="3760" w:type="dxa"/>
            <w:vAlign w:val="bottom"/>
            <w:gridSpan w:val="3"/>
            <w:shd w:val="clear" w:color="auto" w:fill="CCEEFF"/>
          </w:tcPr>
          <w:p>
            <w:pPr>
              <w:jc w:val="right"/>
              <w:ind w:right="620"/>
              <w:spacing w:after="0"/>
              <w:rPr>
                <w:sz w:val="20"/>
                <w:szCs w:val="20"/>
                <w:color w:val="auto"/>
              </w:rPr>
            </w:pPr>
            <w:r>
              <w:rPr>
                <w:rFonts w:ascii="Arial" w:cs="Arial" w:eastAsia="Arial" w:hAnsi="Arial"/>
                <w:sz w:val="18"/>
                <w:szCs w:val="18"/>
                <w:color w:val="auto"/>
              </w:rPr>
              <w:t>(107)</w:t>
            </w:r>
          </w:p>
        </w:tc>
        <w:tc>
          <w:tcPr>
            <w:tcW w:w="20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(52)</w:t>
            </w:r>
          </w:p>
        </w:tc>
        <w:tc>
          <w:tcPr>
            <w:tcW w:w="84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(159)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80" w:type="dxa"/>
            <w:vAlign w:val="bottom"/>
          </w:tcPr>
          <w:p>
            <w:pPr>
              <w:spacing w:after="0"/>
              <w:rPr>
                <w:sz w:val="20"/>
                <w:szCs w:val="20"/>
                <w:color w:val="auto"/>
              </w:rPr>
            </w:pPr>
            <w:r>
              <w:rPr>
                <w:rFonts w:ascii="Arial" w:cs="Arial" w:eastAsia="Arial" w:hAnsi="Arial"/>
                <w:sz w:val="18"/>
                <w:szCs w:val="18"/>
                <w:color w:val="auto"/>
              </w:rPr>
              <w:t>Effect of foreign currency translation</w:t>
            </w:r>
          </w:p>
        </w:tc>
        <w:tc>
          <w:tcPr>
            <w:tcW w:w="2660" w:type="dxa"/>
            <w:vAlign w:val="bottom"/>
          </w:tcPr>
          <w:p>
            <w:pPr>
              <w:spacing w:after="0"/>
              <w:rPr>
                <w:sz w:val="18"/>
                <w:szCs w:val="18"/>
                <w:color w:val="auto"/>
              </w:rPr>
            </w:pPr>
          </w:p>
        </w:tc>
        <w:tc>
          <w:tcPr>
            <w:tcW w:w="1100" w:type="dxa"/>
            <w:vAlign w:val="bottom"/>
            <w:gridSpan w:val="2"/>
          </w:tcPr>
          <w:p>
            <w:pPr>
              <w:jc w:val="right"/>
              <w:ind w:right="6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320" w:type="dxa"/>
            <w:vAlign w:val="bottom"/>
            <w:gridSpan w:val="2"/>
          </w:tcPr>
          <w:p>
            <w:pPr>
              <w:jc w:val="right"/>
              <w:ind w:right="360"/>
              <w:spacing w:after="0"/>
              <w:rPr>
                <w:sz w:val="20"/>
                <w:szCs w:val="20"/>
                <w:color w:val="auto"/>
              </w:rPr>
            </w:pPr>
            <w:r>
              <w:rPr>
                <w:rFonts w:ascii="Arial" w:cs="Arial" w:eastAsia="Arial" w:hAnsi="Arial"/>
                <w:sz w:val="18"/>
                <w:szCs w:val="18"/>
                <w:color w:val="auto"/>
              </w:rPr>
              <w:t>8</w:t>
            </w:r>
          </w:p>
        </w:tc>
        <w:tc>
          <w:tcPr>
            <w:tcW w:w="840" w:type="dxa"/>
            <w:vAlign w:val="bottom"/>
            <w:gridSpan w:val="3"/>
          </w:tcPr>
          <w:p>
            <w:pPr>
              <w:jc w:val="right"/>
              <w:ind w:right="100"/>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280" w:type="dxa"/>
            <w:vAlign w:val="bottom"/>
          </w:tcPr>
          <w:p>
            <w:pPr>
              <w:spacing w:after="0"/>
              <w:rPr>
                <w:sz w:val="2"/>
                <w:szCs w:val="2"/>
                <w:color w:val="auto"/>
              </w:rPr>
            </w:pPr>
          </w:p>
        </w:tc>
        <w:tc>
          <w:tcPr>
            <w:tcW w:w="2660" w:type="dxa"/>
            <w:vAlign w:val="bottom"/>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68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320" w:type="dxa"/>
            <w:vAlign w:val="bottom"/>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280" w:type="dxa"/>
            <w:vAlign w:val="bottom"/>
            <w:shd w:val="clear" w:color="auto" w:fill="CCEEFF"/>
          </w:tcPr>
          <w:p>
            <w:pPr>
              <w:spacing w:after="0"/>
              <w:rPr>
                <w:sz w:val="20"/>
                <w:szCs w:val="20"/>
                <w:color w:val="auto"/>
              </w:rPr>
            </w:pPr>
            <w:r>
              <w:rPr>
                <w:rFonts w:ascii="Arial" w:cs="Arial" w:eastAsia="Arial" w:hAnsi="Arial"/>
                <w:sz w:val="18"/>
                <w:szCs w:val="18"/>
                <w:color w:val="auto"/>
              </w:rPr>
              <w:t>Balance at September 30, 2009</w:t>
            </w:r>
          </w:p>
        </w:tc>
        <w:tc>
          <w:tcPr>
            <w:tcW w:w="266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$ 452</w:t>
            </w:r>
          </w:p>
        </w:tc>
        <w:tc>
          <w:tcPr>
            <w:tcW w:w="6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360" w:type="dxa"/>
            <w:vAlign w:val="bottom"/>
            <w:shd w:val="clear" w:color="auto" w:fill="CCEEFF"/>
          </w:tcPr>
          <w:p>
            <w:pPr>
              <w:spacing w:after="0"/>
              <w:rPr>
                <w:sz w:val="18"/>
                <w:szCs w:val="18"/>
                <w:color w:val="auto"/>
              </w:rPr>
            </w:pPr>
          </w:p>
        </w:tc>
        <w:tc>
          <w:tcPr>
            <w:tcW w:w="8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$ 552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80" w:type="dxa"/>
            <w:vAlign w:val="bottom"/>
          </w:tcPr>
          <w:p>
            <w:pPr>
              <w:spacing w:after="0" w:line="20" w:lineRule="exact"/>
              <w:rPr>
                <w:sz w:val="1"/>
                <w:szCs w:val="1"/>
                <w:color w:val="auto"/>
              </w:rPr>
            </w:pPr>
          </w:p>
        </w:tc>
        <w:tc>
          <w:tcPr>
            <w:tcW w:w="266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right="220" w:firstLine="228"/>
        <w:spacing w:after="0" w:line="259" w:lineRule="auto"/>
        <w:rPr>
          <w:sz w:val="20"/>
          <w:szCs w:val="20"/>
          <w:color w:val="auto"/>
        </w:rPr>
      </w:pPr>
      <w:r>
        <w:rPr>
          <w:rFonts w:ascii="Arial" w:cs="Arial" w:eastAsia="Arial" w:hAnsi="Arial"/>
          <w:sz w:val="18"/>
          <w:szCs w:val="18"/>
          <w:color w:val="auto"/>
        </w:rPr>
        <w:t>Restructuring reserves related to dealer wind-down agreements in the period July 10, 2009 through September 30, 2009 increased due to additional accruals recorded for wind-down payments to Saturn dealerships related to the decision in September 2009 to wind-down the Saturn brand and dealership network in accordance with the deferred termination agreements that Saturn dealers have signed with us.</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60</w:t>
      </w:r>
    </w:p>
    <w:p>
      <w:pPr>
        <w:sectPr>
          <w:pgSz w:w="11900" w:h="16838" w:orient="portrait"/>
          <w:cols w:equalWidth="0" w:num="1">
            <w:col w:w="11420"/>
          </w:cols>
          <w:pgMar w:left="240" w:top="459" w:right="239" w:bottom="1440" w:gutter="0" w:footer="0" w:header="0"/>
        </w:sectPr>
      </w:pPr>
    </w:p>
    <w:bookmarkStart w:id="62" w:name="page63"/>
    <w:bookmarkEnd w:id="6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Old GM</w:t>
      </w:r>
    </w:p>
    <w:p>
      <w:pPr>
        <w:spacing w:after="0" w:line="177" w:lineRule="exact"/>
        <w:rPr>
          <w:sz w:val="20"/>
          <w:szCs w:val="20"/>
          <w:color w:val="auto"/>
        </w:rPr>
      </w:pPr>
    </w:p>
    <w:p>
      <w:pPr>
        <w:ind w:right="240" w:firstLine="228"/>
        <w:spacing w:after="0" w:line="332" w:lineRule="auto"/>
        <w:rPr>
          <w:sz w:val="20"/>
          <w:szCs w:val="20"/>
          <w:color w:val="auto"/>
        </w:rPr>
      </w:pPr>
      <w:r>
        <w:rPr>
          <w:rFonts w:ascii="Arial" w:cs="Arial" w:eastAsia="Arial" w:hAnsi="Arial"/>
          <w:sz w:val="16"/>
          <w:szCs w:val="16"/>
          <w:color w:val="auto"/>
        </w:rPr>
        <w:t>The following table summarizes Old GM’s restructuring reserves (excluding restructuring reserves related to dealer wind-down agreements) and charges by segment, including postemployment benefit reserves and charges in the period January 1, 2009 through July 9, 2009 (dollars in millions):</w:t>
      </w:r>
    </w:p>
    <w:p>
      <w:pPr>
        <w:spacing w:after="0" w:line="12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7360" w:type="dxa"/>
            <w:vAlign w:val="bottom"/>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260" w:type="dxa"/>
            <w:vAlign w:val="bottom"/>
            <w:tcBorders>
              <w:bottom w:val="single" w:sz="8" w:color="auto"/>
            </w:tcBorders>
            <w:gridSpan w:val="5"/>
          </w:tcPr>
          <w:p>
            <w:pPr>
              <w:jc w:val="right"/>
              <w:ind w:right="380"/>
              <w:spacing w:after="0"/>
              <w:rPr>
                <w:sz w:val="20"/>
                <w:szCs w:val="20"/>
                <w:color w:val="auto"/>
              </w:rPr>
            </w:pPr>
            <w:r>
              <w:rPr>
                <w:rFonts w:ascii="Arial" w:cs="Arial" w:eastAsia="Arial" w:hAnsi="Arial"/>
                <w:sz w:val="14"/>
                <w:szCs w:val="14"/>
                <w:b w:val="1"/>
                <w:bCs w:val="1"/>
                <w:color w:val="auto"/>
              </w:rPr>
              <w:t>Predecessor</w:t>
            </w:r>
          </w:p>
        </w:tc>
        <w:tc>
          <w:tcPr>
            <w:tcW w:w="12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7360" w:type="dxa"/>
            <w:vAlign w:val="bottom"/>
          </w:tcPr>
          <w:p>
            <w:pPr>
              <w:spacing w:after="0"/>
              <w:rPr>
                <w:sz w:val="12"/>
                <w:szCs w:val="12"/>
                <w:color w:val="auto"/>
              </w:rPr>
            </w:pPr>
          </w:p>
        </w:tc>
        <w:tc>
          <w:tcPr>
            <w:tcW w:w="560" w:type="dxa"/>
            <w:vAlign w:val="bottom"/>
          </w:tcPr>
          <w:p>
            <w:pPr>
              <w:jc w:val="right"/>
              <w:spacing w:after="0" w:line="142" w:lineRule="exact"/>
              <w:rPr>
                <w:sz w:val="20"/>
                <w:szCs w:val="20"/>
                <w:color w:val="auto"/>
              </w:rPr>
            </w:pPr>
            <w:r>
              <w:rPr>
                <w:rFonts w:ascii="Arial" w:cs="Arial" w:eastAsia="Arial" w:hAnsi="Arial"/>
                <w:sz w:val="14"/>
                <w:szCs w:val="14"/>
                <w:b w:val="1"/>
                <w:bCs w:val="1"/>
                <w:color w:val="auto"/>
              </w:rPr>
              <w:t>GMNA</w:t>
            </w: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60" w:type="dxa"/>
            <w:vAlign w:val="bottom"/>
          </w:tcPr>
          <w:p>
            <w:pPr>
              <w:ind w:left="20"/>
              <w:spacing w:after="0" w:line="142" w:lineRule="exact"/>
              <w:rPr>
                <w:sz w:val="20"/>
                <w:szCs w:val="20"/>
                <w:color w:val="auto"/>
              </w:rPr>
            </w:pPr>
            <w:r>
              <w:rPr>
                <w:rFonts w:ascii="Arial" w:cs="Arial" w:eastAsia="Arial" w:hAnsi="Arial"/>
                <w:sz w:val="14"/>
                <w:szCs w:val="14"/>
                <w:b w:val="1"/>
                <w:bCs w:val="1"/>
                <w:color w:val="auto"/>
              </w:rPr>
              <w:t>GME</w:t>
            </w:r>
          </w:p>
        </w:tc>
        <w:tc>
          <w:tcPr>
            <w:tcW w:w="320" w:type="dxa"/>
            <w:vAlign w:val="bottom"/>
          </w:tcPr>
          <w:p>
            <w:pPr>
              <w:spacing w:after="0"/>
              <w:rPr>
                <w:sz w:val="12"/>
                <w:szCs w:val="12"/>
                <w:color w:val="auto"/>
              </w:rPr>
            </w:pPr>
          </w:p>
        </w:tc>
        <w:tc>
          <w:tcPr>
            <w:tcW w:w="580" w:type="dxa"/>
            <w:vAlign w:val="bottom"/>
            <w:gridSpan w:val="3"/>
          </w:tcPr>
          <w:p>
            <w:pPr>
              <w:spacing w:after="0" w:line="142" w:lineRule="exact"/>
              <w:rPr>
                <w:sz w:val="20"/>
                <w:szCs w:val="20"/>
                <w:color w:val="auto"/>
              </w:rPr>
            </w:pPr>
            <w:r>
              <w:rPr>
                <w:rFonts w:ascii="Arial" w:cs="Arial" w:eastAsia="Arial" w:hAnsi="Arial"/>
                <w:sz w:val="14"/>
                <w:szCs w:val="14"/>
                <w:b w:val="1"/>
                <w:bCs w:val="1"/>
                <w:color w:val="auto"/>
              </w:rPr>
              <w:t>GMIO</w:t>
            </w:r>
          </w:p>
        </w:tc>
        <w:tc>
          <w:tcPr>
            <w:tcW w:w="120" w:type="dxa"/>
            <w:vAlign w:val="bottom"/>
          </w:tcPr>
          <w:p>
            <w:pPr>
              <w:spacing w:after="0"/>
              <w:rPr>
                <w:sz w:val="12"/>
                <w:szCs w:val="12"/>
                <w:color w:val="auto"/>
              </w:rPr>
            </w:pPr>
          </w:p>
        </w:tc>
        <w:tc>
          <w:tcPr>
            <w:tcW w:w="560" w:type="dxa"/>
            <w:vAlign w:val="bottom"/>
          </w:tcPr>
          <w:p>
            <w:pPr>
              <w:jc w:val="right"/>
              <w:ind w:right="72"/>
              <w:spacing w:after="0" w:line="142" w:lineRule="exact"/>
              <w:rPr>
                <w:sz w:val="20"/>
                <w:szCs w:val="20"/>
                <w:color w:val="auto"/>
              </w:rPr>
            </w:pPr>
            <w:r>
              <w:rPr>
                <w:rFonts w:ascii="Arial" w:cs="Arial" w:eastAsia="Arial" w:hAnsi="Arial"/>
                <w:sz w:val="14"/>
                <w:szCs w:val="14"/>
                <w:b w:val="1"/>
                <w:bCs w:val="1"/>
                <w:color w:val="auto"/>
              </w:rPr>
              <w:t>Total</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736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85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Balance at January 1, 2009</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$ 2,456</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84"/>
              </w:rPr>
              <w:t>$468</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4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58</w:t>
            </w:r>
          </w:p>
        </w:tc>
        <w:tc>
          <w:tcPr>
            <w:tcW w:w="7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$ 2,982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00" w:type="dxa"/>
            <w:vAlign w:val="bottom"/>
            <w:gridSpan w:val="2"/>
          </w:tcPr>
          <w:p>
            <w:pPr>
              <w:spacing w:after="0"/>
              <w:rPr>
                <w:sz w:val="20"/>
                <w:szCs w:val="20"/>
                <w:color w:val="auto"/>
              </w:rPr>
            </w:pPr>
            <w:r>
              <w:rPr>
                <w:rFonts w:ascii="Arial" w:cs="Arial" w:eastAsia="Arial" w:hAnsi="Arial"/>
                <w:sz w:val="18"/>
                <w:szCs w:val="18"/>
                <w:color w:val="auto"/>
              </w:rPr>
              <w:t>Additions</w:t>
            </w:r>
          </w:p>
        </w:tc>
        <w:tc>
          <w:tcPr>
            <w:tcW w:w="560" w:type="dxa"/>
            <w:vAlign w:val="bottom"/>
          </w:tcPr>
          <w:p>
            <w:pPr>
              <w:jc w:val="right"/>
              <w:spacing w:after="0"/>
              <w:rPr>
                <w:sz w:val="20"/>
                <w:szCs w:val="20"/>
                <w:color w:val="auto"/>
              </w:rPr>
            </w:pPr>
            <w:r>
              <w:rPr>
                <w:rFonts w:ascii="Arial" w:cs="Arial" w:eastAsia="Arial" w:hAnsi="Arial"/>
                <w:sz w:val="18"/>
                <w:szCs w:val="18"/>
                <w:color w:val="auto"/>
              </w:rPr>
              <w:t>1,835</w:t>
            </w:r>
          </w:p>
        </w:tc>
        <w:tc>
          <w:tcPr>
            <w:tcW w:w="180" w:type="dxa"/>
            <w:vAlign w:val="bottom"/>
          </w:tcPr>
          <w:p>
            <w:pPr>
              <w:spacing w:after="0"/>
              <w:rPr>
                <w:sz w:val="18"/>
                <w:szCs w:val="18"/>
                <w:color w:val="auto"/>
              </w:rPr>
            </w:pPr>
          </w:p>
        </w:tc>
        <w:tc>
          <w:tcPr>
            <w:tcW w:w="800" w:type="dxa"/>
            <w:vAlign w:val="bottom"/>
            <w:gridSpan w:val="3"/>
          </w:tcPr>
          <w:p>
            <w:pPr>
              <w:jc w:val="right"/>
              <w:ind w:right="320"/>
              <w:spacing w:after="0"/>
              <w:rPr>
                <w:sz w:val="20"/>
                <w:szCs w:val="20"/>
                <w:color w:val="auto"/>
              </w:rPr>
            </w:pPr>
            <w:r>
              <w:rPr>
                <w:rFonts w:ascii="Arial" w:cs="Arial" w:eastAsia="Arial" w:hAnsi="Arial"/>
                <w:sz w:val="18"/>
                <w:szCs w:val="18"/>
                <w:color w:val="auto"/>
              </w:rPr>
              <w:t>20</w:t>
            </w:r>
          </w:p>
        </w:tc>
        <w:tc>
          <w:tcPr>
            <w:tcW w:w="120" w:type="dxa"/>
            <w:vAlign w:val="bottom"/>
          </w:tcPr>
          <w:p>
            <w:pPr>
              <w:spacing w:after="0"/>
              <w:rPr>
                <w:sz w:val="18"/>
                <w:szCs w:val="18"/>
                <w:color w:val="auto"/>
              </w:rPr>
            </w:pPr>
          </w:p>
        </w:tc>
        <w:tc>
          <w:tcPr>
            <w:tcW w:w="460" w:type="dxa"/>
            <w:vAlign w:val="bottom"/>
            <w:gridSpan w:val="2"/>
          </w:tcPr>
          <w:p>
            <w:pPr>
              <w:jc w:val="right"/>
              <w:ind w:right="200"/>
              <w:spacing w:after="0"/>
              <w:rPr>
                <w:sz w:val="20"/>
                <w:szCs w:val="20"/>
                <w:color w:val="auto"/>
              </w:rPr>
            </w:pPr>
            <w:r>
              <w:rPr>
                <w:rFonts w:ascii="Arial" w:cs="Arial" w:eastAsia="Arial" w:hAnsi="Arial"/>
                <w:sz w:val="18"/>
                <w:szCs w:val="18"/>
                <w:color w:val="auto"/>
              </w:rPr>
              <w:t>65</w:t>
            </w:r>
          </w:p>
        </w:tc>
        <w:tc>
          <w:tcPr>
            <w:tcW w:w="780" w:type="dxa"/>
            <w:vAlign w:val="bottom"/>
            <w:gridSpan w:val="3"/>
          </w:tcPr>
          <w:p>
            <w:pPr>
              <w:jc w:val="right"/>
              <w:ind w:right="100"/>
              <w:spacing w:after="0"/>
              <w:rPr>
                <w:sz w:val="20"/>
                <w:szCs w:val="20"/>
                <w:color w:val="auto"/>
              </w:rPr>
            </w:pPr>
            <w:r>
              <w:rPr>
                <w:rFonts w:ascii="Arial" w:cs="Arial" w:eastAsia="Arial" w:hAnsi="Arial"/>
                <w:sz w:val="18"/>
                <w:szCs w:val="18"/>
                <w:color w:val="auto"/>
              </w:rPr>
              <w:t>1,920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Interest accretion and other</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180" w:type="dxa"/>
            <w:vAlign w:val="bottom"/>
            <w:shd w:val="clear" w:color="auto" w:fill="CCEEFF"/>
          </w:tcPr>
          <w:p>
            <w:pPr>
              <w:spacing w:after="0"/>
              <w:rPr>
                <w:sz w:val="18"/>
                <w:szCs w:val="18"/>
                <w:color w:val="auto"/>
              </w:rPr>
            </w:pPr>
          </w:p>
        </w:tc>
        <w:tc>
          <w:tcPr>
            <w:tcW w:w="80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11</w:t>
            </w:r>
          </w:p>
        </w:tc>
        <w:tc>
          <w:tcPr>
            <w:tcW w:w="12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7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00" w:type="dxa"/>
            <w:vAlign w:val="bottom"/>
            <w:gridSpan w:val="2"/>
          </w:tcPr>
          <w:p>
            <w:pPr>
              <w:spacing w:after="0"/>
              <w:rPr>
                <w:sz w:val="20"/>
                <w:szCs w:val="20"/>
                <w:color w:val="auto"/>
              </w:rPr>
            </w:pPr>
            <w:r>
              <w:rPr>
                <w:rFonts w:ascii="Arial" w:cs="Arial" w:eastAsia="Arial" w:hAnsi="Arial"/>
                <w:sz w:val="18"/>
                <w:szCs w:val="18"/>
                <w:color w:val="auto"/>
              </w:rPr>
              <w:t>Payments</w:t>
            </w:r>
          </w:p>
        </w:tc>
        <w:tc>
          <w:tcPr>
            <w:tcW w:w="740" w:type="dxa"/>
            <w:vAlign w:val="bottom"/>
            <w:gridSpan w:val="2"/>
          </w:tcPr>
          <w:p>
            <w:pPr>
              <w:jc w:val="right"/>
              <w:ind w:right="140"/>
              <w:spacing w:after="0"/>
              <w:rPr>
                <w:sz w:val="20"/>
                <w:szCs w:val="20"/>
                <w:color w:val="auto"/>
              </w:rPr>
            </w:pPr>
            <w:r>
              <w:rPr>
                <w:rFonts w:ascii="Arial" w:cs="Arial" w:eastAsia="Arial" w:hAnsi="Arial"/>
                <w:sz w:val="18"/>
                <w:szCs w:val="18"/>
                <w:color w:val="auto"/>
              </w:rPr>
              <w:t>(1,014)</w:t>
            </w:r>
          </w:p>
        </w:tc>
        <w:tc>
          <w:tcPr>
            <w:tcW w:w="800" w:type="dxa"/>
            <w:vAlign w:val="bottom"/>
            <w:gridSpan w:val="3"/>
          </w:tcPr>
          <w:p>
            <w:pPr>
              <w:jc w:val="right"/>
              <w:ind w:right="260"/>
              <w:spacing w:after="0"/>
              <w:rPr>
                <w:sz w:val="20"/>
                <w:szCs w:val="20"/>
                <w:color w:val="auto"/>
              </w:rPr>
            </w:pPr>
            <w:r>
              <w:rPr>
                <w:rFonts w:ascii="Arial" w:cs="Arial" w:eastAsia="Arial" w:hAnsi="Arial"/>
                <w:sz w:val="18"/>
                <w:szCs w:val="18"/>
                <w:color w:val="auto"/>
              </w:rPr>
              <w:t>(65)</w:t>
            </w:r>
          </w:p>
        </w:tc>
        <w:tc>
          <w:tcPr>
            <w:tcW w:w="120" w:type="dxa"/>
            <w:vAlign w:val="bottom"/>
          </w:tcPr>
          <w:p>
            <w:pPr>
              <w:spacing w:after="0"/>
              <w:rPr>
                <w:sz w:val="18"/>
                <w:szCs w:val="18"/>
                <w:color w:val="auto"/>
              </w:rPr>
            </w:pPr>
          </w:p>
        </w:tc>
        <w:tc>
          <w:tcPr>
            <w:tcW w:w="460" w:type="dxa"/>
            <w:vAlign w:val="bottom"/>
            <w:gridSpan w:val="2"/>
          </w:tcPr>
          <w:p>
            <w:pPr>
              <w:jc w:val="right"/>
              <w:ind w:right="140"/>
              <w:spacing w:after="0"/>
              <w:rPr>
                <w:sz w:val="20"/>
                <w:szCs w:val="20"/>
                <w:color w:val="auto"/>
              </w:rPr>
            </w:pPr>
            <w:r>
              <w:rPr>
                <w:rFonts w:ascii="Arial" w:cs="Arial" w:eastAsia="Arial" w:hAnsi="Arial"/>
                <w:sz w:val="18"/>
                <w:szCs w:val="18"/>
                <w:color w:val="auto"/>
                <w:w w:val="93"/>
              </w:rPr>
              <w:t>(91)</w:t>
            </w:r>
          </w:p>
        </w:tc>
        <w:tc>
          <w:tcPr>
            <w:tcW w:w="780" w:type="dxa"/>
            <w:vAlign w:val="bottom"/>
            <w:gridSpan w:val="3"/>
          </w:tcPr>
          <w:p>
            <w:pPr>
              <w:jc w:val="right"/>
              <w:ind w:right="40"/>
              <w:spacing w:after="0"/>
              <w:rPr>
                <w:sz w:val="20"/>
                <w:szCs w:val="20"/>
                <w:color w:val="auto"/>
              </w:rPr>
            </w:pPr>
            <w:r>
              <w:rPr>
                <w:rFonts w:ascii="Arial" w:cs="Arial" w:eastAsia="Arial" w:hAnsi="Arial"/>
                <w:sz w:val="18"/>
                <w:szCs w:val="18"/>
                <w:color w:val="auto"/>
              </w:rPr>
              <w:t>(1,170)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Revisions to estimates</w:t>
            </w: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(401)</w:t>
            </w:r>
          </w:p>
        </w:tc>
        <w:tc>
          <w:tcPr>
            <w:tcW w:w="1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9</w:t>
            </w:r>
          </w:p>
        </w:tc>
        <w:tc>
          <w:tcPr>
            <w:tcW w:w="78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(392)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00" w:type="dxa"/>
            <w:vAlign w:val="bottom"/>
            <w:gridSpan w:val="2"/>
          </w:tcPr>
          <w:p>
            <w:pPr>
              <w:spacing w:after="0"/>
              <w:rPr>
                <w:sz w:val="20"/>
                <w:szCs w:val="20"/>
                <w:color w:val="auto"/>
              </w:rPr>
            </w:pPr>
            <w:r>
              <w:rPr>
                <w:rFonts w:ascii="Arial" w:cs="Arial" w:eastAsia="Arial" w:hAnsi="Arial"/>
                <w:sz w:val="18"/>
                <w:szCs w:val="18"/>
                <w:color w:val="auto"/>
              </w:rPr>
              <w:t>Effect of foreign currency translation</w:t>
            </w:r>
          </w:p>
        </w:tc>
        <w:tc>
          <w:tcPr>
            <w:tcW w:w="560" w:type="dxa"/>
            <w:vAlign w:val="bottom"/>
          </w:tcPr>
          <w:p>
            <w:pPr>
              <w:jc w:val="right"/>
              <w:spacing w:after="0"/>
              <w:rPr>
                <w:sz w:val="20"/>
                <w:szCs w:val="20"/>
                <w:color w:val="auto"/>
              </w:rPr>
            </w:pPr>
            <w:r>
              <w:rPr>
                <w:rFonts w:ascii="Arial" w:cs="Arial" w:eastAsia="Arial" w:hAnsi="Arial"/>
                <w:sz w:val="18"/>
                <w:szCs w:val="18"/>
                <w:color w:val="auto"/>
              </w:rPr>
              <w:t>50</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gridSpan w:val="2"/>
          </w:tcPr>
          <w:p>
            <w:pPr>
              <w:jc w:val="right"/>
              <w:ind w:right="260"/>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18"/>
                <w:szCs w:val="18"/>
                <w:color w:val="auto"/>
              </w:rPr>
            </w:pPr>
          </w:p>
        </w:tc>
        <w:tc>
          <w:tcPr>
            <w:tcW w:w="460" w:type="dxa"/>
            <w:vAlign w:val="bottom"/>
            <w:gridSpan w:val="2"/>
          </w:tcPr>
          <w:p>
            <w:pPr>
              <w:jc w:val="right"/>
              <w:ind w:right="200"/>
              <w:spacing w:after="0"/>
              <w:rPr>
                <w:sz w:val="20"/>
                <w:szCs w:val="20"/>
                <w:color w:val="auto"/>
              </w:rPr>
            </w:pPr>
            <w:r>
              <w:rPr>
                <w:rFonts w:ascii="Arial" w:cs="Arial" w:eastAsia="Arial" w:hAnsi="Arial"/>
                <w:sz w:val="18"/>
                <w:szCs w:val="18"/>
                <w:color w:val="auto"/>
              </w:rPr>
              <w:t>7</w:t>
            </w:r>
          </w:p>
        </w:tc>
        <w:tc>
          <w:tcPr>
            <w:tcW w:w="780" w:type="dxa"/>
            <w:vAlign w:val="bottom"/>
            <w:gridSpan w:val="3"/>
          </w:tcPr>
          <w:p>
            <w:pPr>
              <w:jc w:val="right"/>
              <w:ind w:right="100"/>
              <w:spacing w:after="0"/>
              <w:rPr>
                <w:sz w:val="20"/>
                <w:szCs w:val="20"/>
                <w:color w:val="auto"/>
              </w:rPr>
            </w:pPr>
            <w:r>
              <w:rPr>
                <w:rFonts w:ascii="Arial" w:cs="Arial" w:eastAsia="Arial" w:hAnsi="Arial"/>
                <w:sz w:val="18"/>
                <w:szCs w:val="18"/>
                <w:color w:val="auto"/>
              </w:rPr>
              <w:t>56</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1140" w:type="dxa"/>
            <w:vAlign w:val="bottom"/>
          </w:tcPr>
          <w:p>
            <w:pPr>
              <w:spacing w:after="0"/>
              <w:rPr>
                <w:sz w:val="2"/>
                <w:szCs w:val="2"/>
                <w:color w:val="auto"/>
              </w:rPr>
            </w:pPr>
          </w:p>
        </w:tc>
        <w:tc>
          <w:tcPr>
            <w:tcW w:w="7360" w:type="dxa"/>
            <w:vAlign w:val="bottom"/>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85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Balance at July 9, 2009</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2,942</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433</w:t>
            </w:r>
          </w:p>
        </w:tc>
        <w:tc>
          <w:tcPr>
            <w:tcW w:w="12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48</w:t>
            </w:r>
          </w:p>
        </w:tc>
        <w:tc>
          <w:tcPr>
            <w:tcW w:w="7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3,423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00" w:type="dxa"/>
            <w:vAlign w:val="bottom"/>
            <w:gridSpan w:val="2"/>
          </w:tcPr>
          <w:p>
            <w:pPr>
              <w:spacing w:after="0"/>
              <w:rPr>
                <w:sz w:val="20"/>
                <w:szCs w:val="20"/>
                <w:color w:val="auto"/>
              </w:rPr>
            </w:pPr>
            <w:r>
              <w:rPr>
                <w:rFonts w:ascii="Arial" w:cs="Arial" w:eastAsia="Arial" w:hAnsi="Arial"/>
                <w:sz w:val="18"/>
                <w:szCs w:val="18"/>
                <w:color w:val="auto"/>
              </w:rPr>
              <w:t>Effect of application of fresh-start reporting</w:t>
            </w:r>
          </w:p>
        </w:tc>
        <w:tc>
          <w:tcPr>
            <w:tcW w:w="740" w:type="dxa"/>
            <w:vAlign w:val="bottom"/>
            <w:gridSpan w:val="2"/>
          </w:tcPr>
          <w:p>
            <w:pPr>
              <w:jc w:val="right"/>
              <w:ind w:right="140"/>
              <w:spacing w:after="0"/>
              <w:rPr>
                <w:sz w:val="20"/>
                <w:szCs w:val="20"/>
                <w:color w:val="auto"/>
              </w:rPr>
            </w:pPr>
            <w:r>
              <w:rPr>
                <w:rFonts w:ascii="Arial" w:cs="Arial" w:eastAsia="Arial" w:hAnsi="Arial"/>
                <w:sz w:val="18"/>
                <w:szCs w:val="18"/>
                <w:color w:val="auto"/>
              </w:rPr>
              <w:t>(37)</w:t>
            </w:r>
          </w:p>
        </w:tc>
        <w:tc>
          <w:tcPr>
            <w:tcW w:w="120" w:type="dxa"/>
            <w:vAlign w:val="bottom"/>
          </w:tcPr>
          <w:p>
            <w:pPr>
              <w:spacing w:after="0"/>
              <w:rPr>
                <w:sz w:val="18"/>
                <w:szCs w:val="18"/>
                <w:color w:val="auto"/>
              </w:rPr>
            </w:pPr>
          </w:p>
        </w:tc>
        <w:tc>
          <w:tcPr>
            <w:tcW w:w="68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4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780" w:type="dxa"/>
            <w:vAlign w:val="bottom"/>
            <w:gridSpan w:val="3"/>
          </w:tcPr>
          <w:p>
            <w:pPr>
              <w:jc w:val="right"/>
              <w:ind w:right="40"/>
              <w:spacing w:after="0"/>
              <w:rPr>
                <w:sz w:val="20"/>
                <w:szCs w:val="20"/>
                <w:color w:val="auto"/>
              </w:rPr>
            </w:pPr>
            <w:r>
              <w:rPr>
                <w:rFonts w:ascii="Arial" w:cs="Arial" w:eastAsia="Arial" w:hAnsi="Arial"/>
                <w:sz w:val="18"/>
                <w:szCs w:val="18"/>
                <w:color w:val="auto"/>
              </w:rPr>
              <w:t>(37)</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1140" w:type="dxa"/>
            <w:vAlign w:val="bottom"/>
          </w:tcPr>
          <w:p>
            <w:pPr>
              <w:spacing w:after="0"/>
              <w:rPr>
                <w:sz w:val="2"/>
                <w:szCs w:val="2"/>
                <w:color w:val="auto"/>
              </w:rPr>
            </w:pPr>
          </w:p>
        </w:tc>
        <w:tc>
          <w:tcPr>
            <w:tcW w:w="7360" w:type="dxa"/>
            <w:vAlign w:val="bottom"/>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85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Ending balance including effect of application of fresh-start reporting (a)</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$ 2,905</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u w:val="single" w:color="auto"/>
                <w:color w:val="auto"/>
                <w:w w:val="84"/>
              </w:rPr>
              <w:t>$</w:t>
            </w:r>
            <w:r>
              <w:rPr>
                <w:rFonts w:ascii="Arial" w:cs="Arial" w:eastAsia="Arial" w:hAnsi="Arial"/>
                <w:sz w:val="18"/>
                <w:szCs w:val="18"/>
                <w:color w:val="auto"/>
                <w:w w:val="84"/>
              </w:rPr>
              <w:t>433</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4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48</w:t>
            </w:r>
          </w:p>
        </w:tc>
        <w:tc>
          <w:tcPr>
            <w:tcW w:w="7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$ 3,386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736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2"/>
        </w:trPr>
        <w:tc>
          <w:tcPr>
            <w:tcW w:w="20" w:type="dxa"/>
            <w:vAlign w:val="bottom"/>
          </w:tcPr>
          <w:p>
            <w:pPr>
              <w:spacing w:after="0"/>
              <w:rPr>
                <w:sz w:val="8"/>
                <w:szCs w:val="8"/>
                <w:color w:val="auto"/>
              </w:rPr>
            </w:pPr>
          </w:p>
        </w:tc>
        <w:tc>
          <w:tcPr>
            <w:tcW w:w="1140" w:type="dxa"/>
            <w:vAlign w:val="bottom"/>
            <w:tcBorders>
              <w:bottom w:val="single" w:sz="8" w:color="auto"/>
            </w:tcBorders>
          </w:tcPr>
          <w:p>
            <w:pPr>
              <w:spacing w:after="0"/>
              <w:rPr>
                <w:sz w:val="8"/>
                <w:szCs w:val="8"/>
                <w:color w:val="auto"/>
              </w:rPr>
            </w:pPr>
          </w:p>
        </w:tc>
        <w:tc>
          <w:tcPr>
            <w:tcW w:w="7360" w:type="dxa"/>
            <w:vAlign w:val="bottom"/>
          </w:tcPr>
          <w:p>
            <w:pPr>
              <w:spacing w:after="0"/>
              <w:rPr>
                <w:sz w:val="8"/>
                <w:szCs w:val="8"/>
                <w:color w:val="auto"/>
              </w:rPr>
            </w:pPr>
          </w:p>
        </w:tc>
        <w:tc>
          <w:tcPr>
            <w:tcW w:w="560" w:type="dxa"/>
            <w:vAlign w:val="bottom"/>
          </w:tcPr>
          <w:p>
            <w:pPr>
              <w:spacing w:after="0"/>
              <w:rPr>
                <w:sz w:val="8"/>
                <w:szCs w:val="8"/>
                <w:color w:val="auto"/>
              </w:rPr>
            </w:pPr>
          </w:p>
        </w:tc>
        <w:tc>
          <w:tcPr>
            <w:tcW w:w="180" w:type="dxa"/>
            <w:vAlign w:val="bottom"/>
          </w:tcPr>
          <w:p>
            <w:pPr>
              <w:spacing w:after="0"/>
              <w:rPr>
                <w:sz w:val="8"/>
                <w:szCs w:val="8"/>
                <w:color w:val="auto"/>
              </w:rPr>
            </w:pPr>
          </w:p>
        </w:tc>
        <w:tc>
          <w:tcPr>
            <w:tcW w:w="120" w:type="dxa"/>
            <w:vAlign w:val="bottom"/>
          </w:tcPr>
          <w:p>
            <w:pPr>
              <w:spacing w:after="0"/>
              <w:rPr>
                <w:sz w:val="8"/>
                <w:szCs w:val="8"/>
                <w:color w:val="auto"/>
              </w:rPr>
            </w:pPr>
          </w:p>
        </w:tc>
        <w:tc>
          <w:tcPr>
            <w:tcW w:w="360" w:type="dxa"/>
            <w:vAlign w:val="bottom"/>
          </w:tcPr>
          <w:p>
            <w:pPr>
              <w:spacing w:after="0"/>
              <w:rPr>
                <w:sz w:val="8"/>
                <w:szCs w:val="8"/>
                <w:color w:val="auto"/>
              </w:rPr>
            </w:pPr>
          </w:p>
        </w:tc>
        <w:tc>
          <w:tcPr>
            <w:tcW w:w="320" w:type="dxa"/>
            <w:vAlign w:val="bottom"/>
          </w:tcPr>
          <w:p>
            <w:pPr>
              <w:spacing w:after="0"/>
              <w:rPr>
                <w:sz w:val="8"/>
                <w:szCs w:val="8"/>
                <w:color w:val="auto"/>
              </w:rPr>
            </w:pPr>
          </w:p>
        </w:tc>
        <w:tc>
          <w:tcPr>
            <w:tcW w:w="120" w:type="dxa"/>
            <w:vAlign w:val="bottom"/>
          </w:tcPr>
          <w:p>
            <w:pPr>
              <w:spacing w:after="0"/>
              <w:rPr>
                <w:sz w:val="8"/>
                <w:szCs w:val="8"/>
                <w:color w:val="auto"/>
              </w:rPr>
            </w:pPr>
          </w:p>
        </w:tc>
        <w:tc>
          <w:tcPr>
            <w:tcW w:w="260" w:type="dxa"/>
            <w:vAlign w:val="bottom"/>
          </w:tcPr>
          <w:p>
            <w:pPr>
              <w:spacing w:after="0"/>
              <w:rPr>
                <w:sz w:val="8"/>
                <w:szCs w:val="8"/>
                <w:color w:val="auto"/>
              </w:rPr>
            </w:pPr>
          </w:p>
        </w:tc>
        <w:tc>
          <w:tcPr>
            <w:tcW w:w="200" w:type="dxa"/>
            <w:vAlign w:val="bottom"/>
          </w:tcPr>
          <w:p>
            <w:pPr>
              <w:spacing w:after="0"/>
              <w:rPr>
                <w:sz w:val="8"/>
                <w:szCs w:val="8"/>
                <w:color w:val="auto"/>
              </w:rPr>
            </w:pPr>
          </w:p>
        </w:tc>
        <w:tc>
          <w:tcPr>
            <w:tcW w:w="120" w:type="dxa"/>
            <w:vAlign w:val="bottom"/>
          </w:tcPr>
          <w:p>
            <w:pPr>
              <w:spacing w:after="0"/>
              <w:rPr>
                <w:sz w:val="8"/>
                <w:szCs w:val="8"/>
                <w:color w:val="auto"/>
              </w:rPr>
            </w:pPr>
          </w:p>
        </w:tc>
        <w:tc>
          <w:tcPr>
            <w:tcW w:w="56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19" w:lineRule="exact"/>
        <w:rPr>
          <w:sz w:val="20"/>
          <w:szCs w:val="20"/>
          <w:color w:val="auto"/>
        </w:rPr>
      </w:pPr>
    </w:p>
    <w:p>
      <w:pPr>
        <w:ind w:left="460" w:hanging="452"/>
        <w:spacing w:after="0"/>
        <w:tabs>
          <w:tab w:leader="none" w:pos="4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remaining cash payments related to these restructuring reserves primarily relate to postemployment benefits to be paid.</w:t>
      </w:r>
    </w:p>
    <w:p>
      <w:pPr>
        <w:spacing w:after="0" w:line="171"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GMNA</w:t>
      </w:r>
    </w:p>
    <w:p>
      <w:pPr>
        <w:spacing w:after="0" w:line="171" w:lineRule="exact"/>
        <w:rPr>
          <w:sz w:val="20"/>
          <w:szCs w:val="20"/>
          <w:color w:val="auto"/>
        </w:rPr>
      </w:pPr>
    </w:p>
    <w:p>
      <w:pPr>
        <w:ind w:right="640" w:firstLine="228"/>
        <w:spacing w:after="0" w:line="268" w:lineRule="auto"/>
        <w:rPr>
          <w:sz w:val="20"/>
          <w:szCs w:val="20"/>
          <w:color w:val="auto"/>
        </w:rPr>
      </w:pPr>
      <w:r>
        <w:rPr>
          <w:rFonts w:ascii="Arial" w:cs="Arial" w:eastAsia="Arial" w:hAnsi="Arial"/>
          <w:sz w:val="18"/>
          <w:szCs w:val="18"/>
          <w:color w:val="auto"/>
        </w:rPr>
        <w:t>GMNA recorded charges, interest accretion and other, and revisions to estimates of $1.5 billion in the period January 1, 2009 through July 9, 2009 for separation programs related to the following initiatives:</w:t>
      </w:r>
    </w:p>
    <w:p>
      <w:pPr>
        <w:spacing w:after="0" w:line="172" w:lineRule="exact"/>
        <w:rPr>
          <w:sz w:val="20"/>
          <w:szCs w:val="20"/>
          <w:color w:val="auto"/>
        </w:rPr>
      </w:pPr>
    </w:p>
    <w:p>
      <w:pPr>
        <w:ind w:left="660" w:right="740" w:hanging="436"/>
        <w:spacing w:after="0" w:line="268" w:lineRule="auto"/>
        <w:tabs>
          <w:tab w:leader="none" w:pos="6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Postemployment benefit charges in the U.S. of $825 million related to 13,000 hourly employees who participated in the 2009 Special Attrition Programs;</w:t>
      </w:r>
    </w:p>
    <w:p>
      <w:pPr>
        <w:spacing w:after="0" w:line="50" w:lineRule="exact"/>
        <w:rPr>
          <w:rFonts w:ascii="Arial" w:cs="Arial" w:eastAsia="Arial" w:hAnsi="Arial"/>
          <w:sz w:val="18"/>
          <w:szCs w:val="18"/>
          <w:color w:val="auto"/>
        </w:rPr>
      </w:pPr>
    </w:p>
    <w:p>
      <w:pPr>
        <w:ind w:left="660" w:right="340" w:hanging="436"/>
        <w:spacing w:after="0" w:line="335" w:lineRule="auto"/>
        <w:tabs>
          <w:tab w:leader="none" w:pos="660" w:val="left"/>
        </w:tabs>
        <w:numPr>
          <w:ilvl w:val="0"/>
          <w:numId w:val="40"/>
        </w:numPr>
        <w:rPr>
          <w:rFonts w:ascii="Arial" w:cs="Arial" w:eastAsia="Arial" w:hAnsi="Arial"/>
          <w:sz w:val="15"/>
          <w:szCs w:val="15"/>
          <w:color w:val="auto"/>
        </w:rPr>
      </w:pPr>
      <w:r>
        <w:rPr>
          <w:rFonts w:ascii="Arial" w:cs="Arial" w:eastAsia="Arial" w:hAnsi="Arial"/>
          <w:sz w:val="15"/>
          <w:szCs w:val="15"/>
          <w:color w:val="auto"/>
        </w:rPr>
        <w:t>Supplemental Unemployment Benefit (SUB) and Transition Support Program (TSP) related charges in the U.S. of $707 million, recorded as an additional liability determined by an actuarial analysis at the implementation of the SUB and TSP and related suspension of the JOBS Program, Old GM’s job security provision in the collective bargaining agreement with the UAW to continue paying idled employees certain wages and benefits;</w:t>
      </w:r>
    </w:p>
    <w:p>
      <w:pPr>
        <w:spacing w:after="0" w:line="7" w:lineRule="exact"/>
        <w:rPr>
          <w:rFonts w:ascii="Arial" w:cs="Arial" w:eastAsia="Arial" w:hAnsi="Arial"/>
          <w:sz w:val="15"/>
          <w:szCs w:val="15"/>
          <w:color w:val="auto"/>
        </w:rPr>
      </w:pPr>
    </w:p>
    <w:p>
      <w:pPr>
        <w:ind w:left="660" w:right="280" w:hanging="436"/>
        <w:spacing w:after="0" w:line="306" w:lineRule="auto"/>
        <w:tabs>
          <w:tab w:leader="none" w:pos="660" w:val="left"/>
        </w:tabs>
        <w:numPr>
          <w:ilvl w:val="0"/>
          <w:numId w:val="40"/>
        </w:numPr>
        <w:rPr>
          <w:rFonts w:ascii="Arial" w:cs="Arial" w:eastAsia="Arial" w:hAnsi="Arial"/>
          <w:sz w:val="16"/>
          <w:szCs w:val="16"/>
          <w:color w:val="auto"/>
        </w:rPr>
      </w:pPr>
      <w:r>
        <w:rPr>
          <w:rFonts w:ascii="Arial" w:cs="Arial" w:eastAsia="Arial" w:hAnsi="Arial"/>
          <w:sz w:val="16"/>
          <w:szCs w:val="16"/>
          <w:color w:val="auto"/>
        </w:rPr>
        <w:t>Revisions to estimates of $401 million to decrease the reserve, primarily related to $335 million for the suspension of the JOBS Program and $141 million for estimated future wages and benefits due to employees who participated in the 2009 Special Attrition Programs; offset by a net increase of $86 million related to Canadian salaried workforce reductions and other restructuring initiatives in Canada;</w:t>
      </w:r>
    </w:p>
    <w:p>
      <w:pPr>
        <w:spacing w:after="0" w:line="25" w:lineRule="exact"/>
        <w:rPr>
          <w:rFonts w:ascii="Arial" w:cs="Arial" w:eastAsia="Arial" w:hAnsi="Arial"/>
          <w:sz w:val="16"/>
          <w:szCs w:val="16"/>
          <w:color w:val="auto"/>
        </w:rPr>
      </w:pPr>
    </w:p>
    <w:p>
      <w:pPr>
        <w:ind w:left="660" w:right="20" w:hanging="436"/>
        <w:spacing w:after="0" w:line="268" w:lineRule="auto"/>
        <w:tabs>
          <w:tab w:leader="none" w:pos="6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Separation charges of $250 million for a U.S. salaried severance program to allow terminated employees to receive ongoing wages and benefits for up to 12 months; and</w:t>
      </w:r>
    </w:p>
    <w:p>
      <w:pPr>
        <w:spacing w:after="0" w:line="50" w:lineRule="exact"/>
        <w:rPr>
          <w:rFonts w:ascii="Arial" w:cs="Arial" w:eastAsia="Arial" w:hAnsi="Arial"/>
          <w:sz w:val="18"/>
          <w:szCs w:val="18"/>
          <w:color w:val="auto"/>
        </w:rPr>
      </w:pPr>
    </w:p>
    <w:p>
      <w:pPr>
        <w:ind w:left="660" w:right="20" w:hanging="436"/>
        <w:spacing w:after="0" w:line="268" w:lineRule="auto"/>
        <w:tabs>
          <w:tab w:leader="none" w:pos="6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Postemployment benefit charges in Canada of $38 million related to 380 hourly employees who participated in a special attrition program at the Oshawa Facility.</w:t>
      </w:r>
    </w:p>
    <w:p>
      <w:pPr>
        <w:spacing w:after="0" w:line="132"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GME</w:t>
      </w:r>
    </w:p>
    <w:p>
      <w:pPr>
        <w:spacing w:after="0" w:line="171" w:lineRule="exact"/>
        <w:rPr>
          <w:sz w:val="20"/>
          <w:szCs w:val="20"/>
          <w:color w:val="auto"/>
        </w:rPr>
      </w:pPr>
    </w:p>
    <w:p>
      <w:pPr>
        <w:ind w:right="340" w:firstLine="228"/>
        <w:spacing w:after="0" w:line="268" w:lineRule="auto"/>
        <w:rPr>
          <w:sz w:val="20"/>
          <w:szCs w:val="20"/>
          <w:color w:val="auto"/>
        </w:rPr>
      </w:pPr>
      <w:r>
        <w:rPr>
          <w:rFonts w:ascii="Arial" w:cs="Arial" w:eastAsia="Arial" w:hAnsi="Arial"/>
          <w:sz w:val="18"/>
          <w:szCs w:val="18"/>
          <w:color w:val="auto"/>
        </w:rPr>
        <w:t>GME recorded charges, interest accretion and other, and revisions to estimates of $31 million in the period January 1, 2009 through July 9, 2009 primarily related to separation charges for early retirement programs and additional liability adjustments, primarily in Germany.</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61</w:t>
      </w:r>
    </w:p>
    <w:p>
      <w:pPr>
        <w:sectPr>
          <w:pgSz w:w="11900" w:h="16838" w:orient="portrait"/>
          <w:cols w:equalWidth="0" w:num="1">
            <w:col w:w="11420"/>
          </w:cols>
          <w:pgMar w:left="240" w:top="459" w:right="239" w:bottom="1440" w:gutter="0" w:footer="0" w:header="0"/>
        </w:sectPr>
      </w:pPr>
    </w:p>
    <w:bookmarkStart w:id="63" w:name="page64"/>
    <w:bookmarkEnd w:id="6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339"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GMIO</w:t>
      </w:r>
    </w:p>
    <w:p>
      <w:pPr>
        <w:spacing w:after="0" w:line="171" w:lineRule="exact"/>
        <w:rPr>
          <w:sz w:val="20"/>
          <w:szCs w:val="20"/>
          <w:color w:val="auto"/>
        </w:rPr>
      </w:pPr>
    </w:p>
    <w:p>
      <w:pPr>
        <w:ind w:right="720" w:firstLine="228"/>
        <w:spacing w:after="0" w:line="268" w:lineRule="auto"/>
        <w:rPr>
          <w:sz w:val="20"/>
          <w:szCs w:val="20"/>
          <w:color w:val="auto"/>
        </w:rPr>
      </w:pPr>
      <w:r>
        <w:rPr>
          <w:rFonts w:ascii="Arial" w:cs="Arial" w:eastAsia="Arial" w:hAnsi="Arial"/>
          <w:sz w:val="18"/>
          <w:szCs w:val="18"/>
          <w:color w:val="auto"/>
        </w:rPr>
        <w:t>GMIO recorded charges, interest accretion and other, and revisions to estimates of $74 million in the period January 1, 2009 through July 9, 2009 for separation programs primarily related to the following initiatives:</w:t>
      </w:r>
    </w:p>
    <w:p>
      <w:pPr>
        <w:spacing w:after="0" w:line="172" w:lineRule="exact"/>
        <w:rPr>
          <w:sz w:val="20"/>
          <w:szCs w:val="20"/>
          <w:color w:val="auto"/>
        </w:rPr>
      </w:pPr>
    </w:p>
    <w:p>
      <w:pPr>
        <w:ind w:left="660" w:right="560" w:hanging="436"/>
        <w:spacing w:after="0" w:line="268" w:lineRule="auto"/>
        <w:tabs>
          <w:tab w:leader="none" w:pos="6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Separation charges of $48 million related to voluntary and involuntary separation programs in South America affecting 3,300 salaried and hourly employees; and</w:t>
      </w:r>
    </w:p>
    <w:p>
      <w:pPr>
        <w:spacing w:after="0" w:line="50" w:lineRule="exact"/>
        <w:rPr>
          <w:rFonts w:ascii="Arial" w:cs="Arial" w:eastAsia="Arial" w:hAnsi="Arial"/>
          <w:sz w:val="18"/>
          <w:szCs w:val="18"/>
          <w:color w:val="auto"/>
        </w:rPr>
      </w:pPr>
    </w:p>
    <w:p>
      <w:pPr>
        <w:ind w:left="660" w:hanging="436"/>
        <w:spacing w:after="0"/>
        <w:tabs>
          <w:tab w:leader="none" w:pos="660" w:val="left"/>
        </w:tabs>
        <w:numPr>
          <w:ilvl w:val="0"/>
          <w:numId w:val="41"/>
        </w:numPr>
        <w:rPr>
          <w:rFonts w:ascii="Arial" w:cs="Arial" w:eastAsia="Arial" w:hAnsi="Arial"/>
          <w:sz w:val="16"/>
          <w:szCs w:val="16"/>
          <w:color w:val="auto"/>
        </w:rPr>
      </w:pPr>
      <w:r>
        <w:rPr>
          <w:rFonts w:ascii="Arial" w:cs="Arial" w:eastAsia="Arial" w:hAnsi="Arial"/>
          <w:sz w:val="16"/>
          <w:szCs w:val="16"/>
          <w:color w:val="auto"/>
        </w:rPr>
        <w:t>Separation charges in Australia of $19 million related to a facility idling. The program affects employees who left through December 2009.</w:t>
      </w:r>
    </w:p>
    <w:p>
      <w:pPr>
        <w:spacing w:after="0" w:line="194" w:lineRule="exact"/>
        <w:rPr>
          <w:sz w:val="20"/>
          <w:szCs w:val="20"/>
          <w:color w:val="auto"/>
        </w:rPr>
      </w:pPr>
    </w:p>
    <w:p>
      <w:pPr>
        <w:ind w:right="220" w:firstLine="228"/>
        <w:spacing w:after="0" w:line="268" w:lineRule="auto"/>
        <w:rPr>
          <w:sz w:val="20"/>
          <w:szCs w:val="20"/>
          <w:color w:val="auto"/>
        </w:rPr>
      </w:pPr>
      <w:r>
        <w:rPr>
          <w:rFonts w:ascii="Arial" w:cs="Arial" w:eastAsia="Arial" w:hAnsi="Arial"/>
          <w:sz w:val="18"/>
          <w:szCs w:val="18"/>
          <w:color w:val="auto"/>
        </w:rPr>
        <w:t>The following table summarizes GMNA’s restructuring reserves related to dealer wind-down agreements in the period January 1, 2009 through July 9, 2009 (dollars in millions):</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100" w:type="dxa"/>
            <w:vAlign w:val="bottom"/>
          </w:tcPr>
          <w:p>
            <w:pPr>
              <w:spacing w:after="0"/>
              <w:rPr>
                <w:sz w:val="14"/>
                <w:szCs w:val="14"/>
                <w:color w:val="auto"/>
              </w:rPr>
            </w:pPr>
          </w:p>
        </w:tc>
        <w:tc>
          <w:tcPr>
            <w:tcW w:w="412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320" w:type="dxa"/>
            <w:vAlign w:val="bottom"/>
            <w:tcBorders>
              <w:bottom w:val="single" w:sz="8" w:color="auto"/>
            </w:tcBorders>
            <w:gridSpan w:val="2"/>
          </w:tcPr>
          <w:p>
            <w:pPr>
              <w:jc w:val="right"/>
              <w:ind w:right="560"/>
              <w:spacing w:after="0"/>
              <w:rPr>
                <w:sz w:val="20"/>
                <w:szCs w:val="20"/>
                <w:color w:val="auto"/>
              </w:rPr>
            </w:pPr>
            <w:r>
              <w:rPr>
                <w:rFonts w:ascii="Arial" w:cs="Arial" w:eastAsia="Arial" w:hAnsi="Arial"/>
                <w:sz w:val="14"/>
                <w:szCs w:val="14"/>
                <w:b w:val="1"/>
                <w:bCs w:val="1"/>
                <w:color w:val="auto"/>
                <w:w w:val="87"/>
              </w:rPr>
              <w:t>Predecessor</w:t>
            </w:r>
          </w:p>
        </w:tc>
        <w:tc>
          <w:tcPr>
            <w:tcW w:w="2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100" w:type="dxa"/>
            <w:vAlign w:val="bottom"/>
          </w:tcPr>
          <w:p>
            <w:pPr>
              <w:spacing w:after="0"/>
              <w:rPr>
                <w:sz w:val="12"/>
                <w:szCs w:val="12"/>
                <w:color w:val="auto"/>
              </w:rPr>
            </w:pPr>
          </w:p>
        </w:tc>
        <w:tc>
          <w:tcPr>
            <w:tcW w:w="4120" w:type="dxa"/>
            <w:vAlign w:val="bottom"/>
          </w:tcPr>
          <w:p>
            <w:pPr>
              <w:spacing w:after="0"/>
              <w:rPr>
                <w:sz w:val="12"/>
                <w:szCs w:val="12"/>
                <w:color w:val="auto"/>
              </w:rPr>
            </w:pPr>
          </w:p>
        </w:tc>
        <w:tc>
          <w:tcPr>
            <w:tcW w:w="360" w:type="dxa"/>
            <w:vAlign w:val="bottom"/>
            <w:tcBorders>
              <w:bottom w:val="single" w:sz="8" w:color="auto"/>
            </w:tcBorders>
            <w:gridSpan w:val="2"/>
          </w:tcPr>
          <w:p>
            <w:pPr>
              <w:jc w:val="right"/>
              <w:spacing w:after="0" w:line="142" w:lineRule="exact"/>
              <w:rPr>
                <w:sz w:val="20"/>
                <w:szCs w:val="20"/>
                <w:color w:val="auto"/>
              </w:rPr>
            </w:pPr>
            <w:r>
              <w:rPr>
                <w:rFonts w:ascii="Arial" w:cs="Arial" w:eastAsia="Arial" w:hAnsi="Arial"/>
                <w:sz w:val="14"/>
                <w:szCs w:val="14"/>
                <w:b w:val="1"/>
                <w:bCs w:val="1"/>
                <w:color w:val="auto"/>
              </w:rPr>
              <w:t>U.S.</w:t>
            </w:r>
          </w:p>
        </w:tc>
        <w:tc>
          <w:tcPr>
            <w:tcW w:w="600" w:type="dxa"/>
            <w:vAlign w:val="bottom"/>
          </w:tcPr>
          <w:p>
            <w:pPr>
              <w:spacing w:after="0"/>
              <w:rPr>
                <w:sz w:val="12"/>
                <w:szCs w:val="12"/>
                <w:color w:val="auto"/>
              </w:rPr>
            </w:pPr>
          </w:p>
        </w:tc>
        <w:tc>
          <w:tcPr>
            <w:tcW w:w="1160" w:type="dxa"/>
            <w:vAlign w:val="bottom"/>
            <w:tcBorders>
              <w:bottom w:val="single" w:sz="8" w:color="auto"/>
            </w:tcBorders>
            <w:gridSpan w:val="2"/>
          </w:tcPr>
          <w:p>
            <w:pPr>
              <w:spacing w:after="0" w:line="142" w:lineRule="exact"/>
              <w:rPr>
                <w:sz w:val="20"/>
                <w:szCs w:val="20"/>
                <w:color w:val="auto"/>
              </w:rPr>
            </w:pPr>
            <w:r>
              <w:rPr>
                <w:rFonts w:ascii="Arial" w:cs="Arial" w:eastAsia="Arial" w:hAnsi="Arial"/>
                <w:sz w:val="14"/>
                <w:szCs w:val="14"/>
                <w:b w:val="1"/>
                <w:bCs w:val="1"/>
                <w:color w:val="auto"/>
                <w:w w:val="87"/>
              </w:rPr>
              <w:t>Canada and Mexico</w:t>
            </w:r>
          </w:p>
        </w:tc>
        <w:tc>
          <w:tcPr>
            <w:tcW w:w="3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380" w:type="dxa"/>
            <w:vAlign w:val="bottom"/>
            <w:tcBorders>
              <w:bottom w:val="single" w:sz="8" w:color="auto"/>
            </w:tcBorders>
            <w:gridSpan w:val="2"/>
          </w:tcPr>
          <w:p>
            <w:pPr>
              <w:jc w:val="right"/>
              <w:spacing w:after="0" w:line="142" w:lineRule="exact"/>
              <w:rPr>
                <w:sz w:val="20"/>
                <w:szCs w:val="20"/>
                <w:color w:val="auto"/>
              </w:rPr>
            </w:pPr>
            <w:r>
              <w:rPr>
                <w:rFonts w:ascii="Arial" w:cs="Arial" w:eastAsia="Arial" w:hAnsi="Arial"/>
                <w:sz w:val="14"/>
                <w:szCs w:val="14"/>
                <w:b w:val="1"/>
                <w:bCs w:val="1"/>
                <w:color w:val="auto"/>
                <w:w w:val="95"/>
              </w:rPr>
              <w:t>Total</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100" w:type="dxa"/>
            <w:vAlign w:val="bottom"/>
            <w:shd w:val="clear" w:color="auto" w:fill="CCEEFF"/>
          </w:tcPr>
          <w:p>
            <w:pPr>
              <w:spacing w:after="0"/>
              <w:rPr>
                <w:sz w:val="20"/>
                <w:szCs w:val="20"/>
                <w:color w:val="auto"/>
              </w:rPr>
            </w:pPr>
            <w:r>
              <w:rPr>
                <w:rFonts w:ascii="Arial" w:cs="Arial" w:eastAsia="Arial" w:hAnsi="Arial"/>
                <w:sz w:val="18"/>
                <w:szCs w:val="18"/>
                <w:color w:val="auto"/>
              </w:rPr>
              <w:t>Balance at January 1, 2009</w:t>
            </w:r>
          </w:p>
        </w:tc>
        <w:tc>
          <w:tcPr>
            <w:tcW w:w="4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3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tcPr>
          <w:p>
            <w:pPr>
              <w:spacing w:after="0"/>
              <w:rPr>
                <w:sz w:val="20"/>
                <w:szCs w:val="20"/>
                <w:color w:val="auto"/>
              </w:rPr>
            </w:pPr>
            <w:r>
              <w:rPr>
                <w:rFonts w:ascii="Arial" w:cs="Arial" w:eastAsia="Arial" w:hAnsi="Arial"/>
                <w:sz w:val="18"/>
                <w:szCs w:val="18"/>
                <w:color w:val="auto"/>
              </w:rPr>
              <w:t>Additions</w:t>
            </w:r>
          </w:p>
        </w:tc>
        <w:tc>
          <w:tcPr>
            <w:tcW w:w="4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gridSpan w:val="2"/>
          </w:tcPr>
          <w:p>
            <w:pPr>
              <w:jc w:val="right"/>
              <w:ind w:right="600"/>
              <w:spacing w:after="0"/>
              <w:rPr>
                <w:sz w:val="20"/>
                <w:szCs w:val="20"/>
                <w:color w:val="auto"/>
              </w:rPr>
            </w:pPr>
            <w:r>
              <w:rPr>
                <w:rFonts w:ascii="Arial" w:cs="Arial" w:eastAsia="Arial" w:hAnsi="Arial"/>
                <w:sz w:val="18"/>
                <w:szCs w:val="18"/>
                <w:color w:val="auto"/>
                <w:w w:val="86"/>
              </w:rPr>
              <w:t>398</w:t>
            </w:r>
          </w:p>
        </w:tc>
        <w:tc>
          <w:tcPr>
            <w:tcW w:w="1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120</w:t>
            </w: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gridSpan w:val="2"/>
          </w:tcPr>
          <w:p>
            <w:pPr>
              <w:jc w:val="right"/>
              <w:ind w:right="100"/>
              <w:spacing w:after="0"/>
              <w:rPr>
                <w:sz w:val="20"/>
                <w:szCs w:val="20"/>
                <w:color w:val="auto"/>
              </w:rPr>
            </w:pPr>
            <w:r>
              <w:rPr>
                <w:rFonts w:ascii="Arial" w:cs="Arial" w:eastAsia="Arial" w:hAnsi="Arial"/>
                <w:sz w:val="18"/>
                <w:szCs w:val="18"/>
                <w:color w:val="auto"/>
                <w:w w:val="86"/>
              </w:rPr>
              <w:t>518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shd w:val="clear" w:color="auto" w:fill="CCEEFF"/>
          </w:tcPr>
          <w:p>
            <w:pPr>
              <w:spacing w:after="0"/>
              <w:rPr>
                <w:sz w:val="20"/>
                <w:szCs w:val="20"/>
                <w:color w:val="auto"/>
              </w:rPr>
            </w:pPr>
            <w:r>
              <w:rPr>
                <w:rFonts w:ascii="Arial" w:cs="Arial" w:eastAsia="Arial" w:hAnsi="Arial"/>
                <w:sz w:val="18"/>
                <w:szCs w:val="18"/>
                <w:color w:val="auto"/>
              </w:rPr>
              <w:t>Payments</w:t>
            </w:r>
          </w:p>
        </w:tc>
        <w:tc>
          <w:tcPr>
            <w:tcW w:w="4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100" w:type="dxa"/>
            <w:vAlign w:val="bottom"/>
          </w:tcPr>
          <w:p>
            <w:pPr>
              <w:spacing w:after="0"/>
              <w:rPr>
                <w:sz w:val="20"/>
                <w:szCs w:val="20"/>
                <w:color w:val="auto"/>
              </w:rPr>
            </w:pPr>
            <w:r>
              <w:rPr>
                <w:rFonts w:ascii="Arial" w:cs="Arial" w:eastAsia="Arial" w:hAnsi="Arial"/>
                <w:sz w:val="18"/>
                <w:szCs w:val="18"/>
                <w:color w:val="auto"/>
              </w:rPr>
              <w:t>Effect of foreign currency translation</w:t>
            </w:r>
          </w:p>
        </w:tc>
        <w:tc>
          <w:tcPr>
            <w:tcW w:w="412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60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shd w:val="clear" w:color="auto" w:fill="CCEEFF"/>
          </w:tcPr>
          <w:p>
            <w:pPr>
              <w:spacing w:after="0"/>
              <w:rPr>
                <w:sz w:val="20"/>
                <w:szCs w:val="20"/>
                <w:color w:val="auto"/>
              </w:rPr>
            </w:pPr>
            <w:r>
              <w:rPr>
                <w:rFonts w:ascii="Arial" w:cs="Arial" w:eastAsia="Arial" w:hAnsi="Arial"/>
                <w:sz w:val="18"/>
                <w:szCs w:val="18"/>
                <w:color w:val="auto"/>
              </w:rPr>
              <w:t>Balance at July 9, 2009</w:t>
            </w:r>
          </w:p>
        </w:tc>
        <w:tc>
          <w:tcPr>
            <w:tcW w:w="420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88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w w:val="86"/>
              </w:rPr>
              <w:t>398</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118</w:t>
            </w:r>
          </w:p>
        </w:tc>
        <w:tc>
          <w:tcPr>
            <w:tcW w:w="320" w:type="dxa"/>
            <w:vAlign w:val="bottom"/>
            <w:shd w:val="clear" w:color="auto" w:fill="CCEEFF"/>
          </w:tcPr>
          <w:p>
            <w:pPr>
              <w:spacing w:after="0"/>
              <w:rPr>
                <w:sz w:val="18"/>
                <w:szCs w:val="18"/>
                <w:color w:val="auto"/>
              </w:rPr>
            </w:pP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3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6"/>
              </w:rPr>
              <w:t>516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100" w:type="dxa"/>
            <w:vAlign w:val="bottom"/>
          </w:tcPr>
          <w:p>
            <w:pPr>
              <w:spacing w:after="0" w:line="20" w:lineRule="exact"/>
              <w:rPr>
                <w:sz w:val="1"/>
                <w:szCs w:val="1"/>
                <w:color w:val="auto"/>
              </w:rPr>
            </w:pPr>
          </w:p>
        </w:tc>
        <w:tc>
          <w:tcPr>
            <w:tcW w:w="4120" w:type="dxa"/>
            <w:vAlign w:val="bottom"/>
            <w:vMerge w:val="restart"/>
          </w:tcPr>
          <w:p>
            <w:pPr>
              <w:jc w:val="right"/>
              <w:ind w:right="2352"/>
              <w:spacing w:after="0"/>
              <w:rPr>
                <w:sz w:val="20"/>
                <w:szCs w:val="20"/>
                <w:color w:val="auto"/>
              </w:rPr>
            </w:pPr>
            <w:r>
              <w:rPr>
                <w:rFonts w:ascii="Arial" w:cs="Arial" w:eastAsia="Arial" w:hAnsi="Arial"/>
                <w:sz w:val="18"/>
                <w:szCs w:val="18"/>
                <w:color w:val="auto"/>
              </w:rPr>
              <w:t>62</w:t>
            </w:r>
          </w:p>
        </w:tc>
        <w:tc>
          <w:tcPr>
            <w:tcW w:w="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7"/>
        </w:trPr>
        <w:tc>
          <w:tcPr>
            <w:tcW w:w="20" w:type="dxa"/>
            <w:vAlign w:val="bottom"/>
          </w:tcPr>
          <w:p>
            <w:pPr>
              <w:spacing w:after="0"/>
              <w:rPr>
                <w:sz w:val="24"/>
                <w:szCs w:val="24"/>
                <w:color w:val="auto"/>
              </w:rPr>
            </w:pPr>
          </w:p>
        </w:tc>
        <w:tc>
          <w:tcPr>
            <w:tcW w:w="4100" w:type="dxa"/>
            <w:vAlign w:val="bottom"/>
          </w:tcPr>
          <w:p>
            <w:pPr>
              <w:spacing w:after="0"/>
              <w:rPr>
                <w:sz w:val="24"/>
                <w:szCs w:val="24"/>
                <w:color w:val="auto"/>
              </w:rPr>
            </w:pPr>
          </w:p>
        </w:tc>
        <w:tc>
          <w:tcPr>
            <w:tcW w:w="4120" w:type="dxa"/>
            <w:vAlign w:val="bottom"/>
            <w:vMerge w:val="continue"/>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64" w:name="page65"/>
    <w:bookmarkEnd w:id="6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21. Impairments</w:t>
      </w:r>
    </w:p>
    <w:p>
      <w:pPr>
        <w:spacing w:after="0" w:line="177" w:lineRule="exact"/>
        <w:rPr>
          <w:sz w:val="20"/>
          <w:szCs w:val="20"/>
          <w:color w:val="auto"/>
        </w:rPr>
      </w:pPr>
    </w:p>
    <w:p>
      <w:pPr>
        <w:ind w:left="240"/>
        <w:spacing w:after="0"/>
        <w:rPr>
          <w:sz w:val="20"/>
          <w:szCs w:val="20"/>
          <w:color w:val="auto"/>
        </w:rPr>
      </w:pPr>
      <w:r>
        <w:rPr>
          <w:rFonts w:ascii="Arial" w:cs="Arial" w:eastAsia="Arial" w:hAnsi="Arial"/>
          <w:sz w:val="18"/>
          <w:szCs w:val="18"/>
          <w:color w:val="auto"/>
        </w:rPr>
        <w:t>The following table summarizes impairment charges (dollars in millions):</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60" w:type="dxa"/>
            <w:vAlign w:val="bottom"/>
          </w:tcPr>
          <w:p>
            <w:pPr>
              <w:spacing w:after="0"/>
              <w:rPr>
                <w:sz w:val="14"/>
                <w:szCs w:val="14"/>
                <w:color w:val="auto"/>
              </w:rPr>
            </w:pPr>
          </w:p>
        </w:tc>
        <w:tc>
          <w:tcPr>
            <w:tcW w:w="27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300" w:type="dxa"/>
            <w:vAlign w:val="bottom"/>
            <w:tcBorders>
              <w:bottom w:val="single" w:sz="8" w:color="auto"/>
            </w:tcBorders>
            <w:gridSpan w:val="2"/>
          </w:tcPr>
          <w:p>
            <w:pPr>
              <w:jc w:val="center"/>
              <w:ind w:right="420"/>
              <w:spacing w:after="0"/>
              <w:rPr>
                <w:sz w:val="20"/>
                <w:szCs w:val="20"/>
                <w:color w:val="auto"/>
              </w:rPr>
            </w:pPr>
            <w:r>
              <w:rPr>
                <w:rFonts w:ascii="Arial" w:cs="Arial" w:eastAsia="Arial" w:hAnsi="Arial"/>
                <w:sz w:val="14"/>
                <w:szCs w:val="14"/>
                <w:b w:val="1"/>
                <w:bCs w:val="1"/>
                <w:color w:val="auto"/>
                <w:w w:val="79"/>
              </w:rPr>
              <w:t>Successor</w:t>
            </w:r>
          </w:p>
        </w:tc>
        <w:tc>
          <w:tcPr>
            <w:tcW w:w="28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spacing w:after="0"/>
              <w:rPr>
                <w:sz w:val="14"/>
                <w:szCs w:val="14"/>
                <w:color w:val="auto"/>
              </w:rPr>
            </w:pPr>
          </w:p>
        </w:tc>
        <w:tc>
          <w:tcPr>
            <w:tcW w:w="660" w:type="dxa"/>
            <w:vAlign w:val="bottom"/>
            <w:tcBorders>
              <w:right w:val="single" w:sz="8" w:color="auto"/>
            </w:tcBorders>
          </w:tcPr>
          <w:p>
            <w:pPr>
              <w:spacing w:after="0"/>
              <w:rPr>
                <w:sz w:val="14"/>
                <w:szCs w:val="14"/>
                <w:color w:val="auto"/>
              </w:rPr>
            </w:pPr>
          </w:p>
        </w:tc>
        <w:tc>
          <w:tcPr>
            <w:tcW w:w="46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w w:val="80"/>
              </w:rPr>
              <w:t>Predecessor</w:t>
            </w:r>
          </w:p>
        </w:tc>
        <w:tc>
          <w:tcPr>
            <w:tcW w:w="5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1160" w:type="dxa"/>
            <w:vAlign w:val="bottom"/>
          </w:tcPr>
          <w:p>
            <w:pPr>
              <w:spacing w:after="0"/>
              <w:rPr>
                <w:sz w:val="11"/>
                <w:szCs w:val="11"/>
                <w:color w:val="auto"/>
              </w:rPr>
            </w:pPr>
          </w:p>
        </w:tc>
        <w:tc>
          <w:tcPr>
            <w:tcW w:w="27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660" w:type="dxa"/>
            <w:vAlign w:val="bottom"/>
            <w:tcBorders>
              <w:right w:val="single" w:sz="8" w:color="auto"/>
            </w:tcBorders>
          </w:tcPr>
          <w:p>
            <w:pPr>
              <w:spacing w:after="0"/>
              <w:rPr>
                <w:sz w:val="11"/>
                <w:szCs w:val="11"/>
                <w:color w:val="auto"/>
              </w:rPr>
            </w:pPr>
          </w:p>
        </w:tc>
        <w:tc>
          <w:tcPr>
            <w:tcW w:w="460" w:type="dxa"/>
            <w:vAlign w:val="bottom"/>
          </w:tcPr>
          <w:p>
            <w:pPr>
              <w:spacing w:after="0"/>
              <w:rPr>
                <w:sz w:val="11"/>
                <w:szCs w:val="11"/>
                <w:color w:val="auto"/>
              </w:rPr>
            </w:pPr>
          </w:p>
        </w:tc>
        <w:tc>
          <w:tcPr>
            <w:tcW w:w="540" w:type="dxa"/>
            <w:vAlign w:val="bottom"/>
            <w:gridSpan w:val="3"/>
          </w:tcPr>
          <w:p>
            <w:pPr>
              <w:jc w:val="center"/>
              <w:ind w:right="40"/>
              <w:spacing w:after="0" w:line="129" w:lineRule="exact"/>
              <w:rPr>
                <w:sz w:val="20"/>
                <w:szCs w:val="20"/>
                <w:color w:val="auto"/>
              </w:rPr>
            </w:pPr>
            <w:r>
              <w:rPr>
                <w:rFonts w:ascii="Arial" w:cs="Arial" w:eastAsia="Arial" w:hAnsi="Arial"/>
                <w:sz w:val="14"/>
                <w:szCs w:val="14"/>
                <w:b w:val="1"/>
                <w:bCs w:val="1"/>
                <w:color w:val="auto"/>
                <w:w w:val="87"/>
              </w:rPr>
              <w:t>July 1,</w:t>
            </w:r>
          </w:p>
        </w:tc>
        <w:tc>
          <w:tcPr>
            <w:tcW w:w="560" w:type="dxa"/>
            <w:vAlign w:val="bottom"/>
          </w:tcPr>
          <w:p>
            <w:pPr>
              <w:spacing w:after="0"/>
              <w:rPr>
                <w:sz w:val="11"/>
                <w:szCs w:val="11"/>
                <w:color w:val="auto"/>
              </w:rPr>
            </w:pPr>
          </w:p>
        </w:tc>
        <w:tc>
          <w:tcPr>
            <w:tcW w:w="660" w:type="dxa"/>
            <w:vAlign w:val="bottom"/>
            <w:gridSpan w:val="2"/>
          </w:tcPr>
          <w:p>
            <w:pPr>
              <w:jc w:val="center"/>
              <w:spacing w:after="0" w:line="129" w:lineRule="exact"/>
              <w:rPr>
                <w:sz w:val="20"/>
                <w:szCs w:val="20"/>
                <w:color w:val="auto"/>
              </w:rPr>
            </w:pPr>
            <w:r>
              <w:rPr>
                <w:rFonts w:ascii="Arial" w:cs="Arial" w:eastAsia="Arial" w:hAnsi="Arial"/>
                <w:sz w:val="14"/>
                <w:szCs w:val="14"/>
                <w:b w:val="1"/>
                <w:bCs w:val="1"/>
                <w:color w:val="auto"/>
                <w:w w:val="86"/>
              </w:rPr>
              <w:t>January 1,</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1160" w:type="dxa"/>
            <w:vAlign w:val="bottom"/>
          </w:tcPr>
          <w:p>
            <w:pPr>
              <w:spacing w:after="0"/>
              <w:rPr>
                <w:sz w:val="12"/>
                <w:szCs w:val="12"/>
                <w:color w:val="auto"/>
              </w:rPr>
            </w:pPr>
          </w:p>
        </w:tc>
        <w:tc>
          <w:tcPr>
            <w:tcW w:w="2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660" w:type="dxa"/>
            <w:vAlign w:val="bottom"/>
            <w:tcBorders>
              <w:right w:val="single" w:sz="8" w:color="auto"/>
            </w:tcBorders>
          </w:tcPr>
          <w:p>
            <w:pPr>
              <w:spacing w:after="0"/>
              <w:rPr>
                <w:sz w:val="12"/>
                <w:szCs w:val="12"/>
                <w:color w:val="auto"/>
              </w:rPr>
            </w:pPr>
          </w:p>
        </w:tc>
        <w:tc>
          <w:tcPr>
            <w:tcW w:w="4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0" w:type="dxa"/>
            <w:vAlign w:val="bottom"/>
          </w:tcPr>
          <w:p>
            <w:pPr>
              <w:jc w:val="center"/>
              <w:ind w:right="14"/>
              <w:spacing w:after="0" w:line="149" w:lineRule="exact"/>
              <w:rPr>
                <w:sz w:val="20"/>
                <w:szCs w:val="20"/>
                <w:color w:val="auto"/>
              </w:rPr>
            </w:pPr>
            <w:r>
              <w:rPr>
                <w:rFonts w:ascii="Arial" w:cs="Arial" w:eastAsia="Arial" w:hAnsi="Arial"/>
                <w:sz w:val="14"/>
                <w:szCs w:val="14"/>
                <w:b w:val="1"/>
                <w:bCs w:val="1"/>
                <w:color w:val="auto"/>
                <w:w w:val="83"/>
              </w:rPr>
              <w:t>2009</w:t>
            </w:r>
          </w:p>
        </w:tc>
        <w:tc>
          <w:tcPr>
            <w:tcW w:w="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20" w:type="dxa"/>
            <w:vAlign w:val="bottom"/>
          </w:tcPr>
          <w:p>
            <w:pPr>
              <w:jc w:val="center"/>
              <w:ind w:right="55"/>
              <w:spacing w:after="0" w:line="149" w:lineRule="exact"/>
              <w:rPr>
                <w:sz w:val="20"/>
                <w:szCs w:val="20"/>
                <w:color w:val="auto"/>
              </w:rPr>
            </w:pPr>
            <w:r>
              <w:rPr>
                <w:rFonts w:ascii="Arial" w:cs="Arial" w:eastAsia="Arial" w:hAnsi="Arial"/>
                <w:sz w:val="14"/>
                <w:szCs w:val="14"/>
                <w:b w:val="1"/>
                <w:bCs w:val="1"/>
                <w:color w:val="auto"/>
                <w:w w:val="83"/>
              </w:rPr>
              <w:t>2009</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160" w:type="dxa"/>
            <w:vAlign w:val="bottom"/>
          </w:tcPr>
          <w:p>
            <w:pPr>
              <w:spacing w:after="0"/>
              <w:rPr>
                <w:sz w:val="12"/>
                <w:szCs w:val="12"/>
                <w:color w:val="auto"/>
              </w:rPr>
            </w:pPr>
          </w:p>
        </w:tc>
        <w:tc>
          <w:tcPr>
            <w:tcW w:w="2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tcPr>
          <w:p>
            <w:pPr>
              <w:jc w:val="right"/>
              <w:ind w:right="74"/>
              <w:spacing w:after="0" w:line="149" w:lineRule="exact"/>
              <w:rPr>
                <w:sz w:val="20"/>
                <w:szCs w:val="20"/>
                <w:color w:val="auto"/>
              </w:rPr>
            </w:pPr>
            <w:r>
              <w:rPr>
                <w:rFonts w:ascii="Arial" w:cs="Arial" w:eastAsia="Arial" w:hAnsi="Arial"/>
                <w:sz w:val="14"/>
                <w:szCs w:val="14"/>
                <w:b w:val="1"/>
                <w:bCs w:val="1"/>
                <w:color w:val="auto"/>
                <w:w w:val="89"/>
              </w:rPr>
              <w:t>Three Months</w:t>
            </w:r>
          </w:p>
        </w:tc>
        <w:tc>
          <w:tcPr>
            <w:tcW w:w="5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300" w:type="dxa"/>
            <w:vAlign w:val="bottom"/>
            <w:gridSpan w:val="2"/>
          </w:tcPr>
          <w:p>
            <w:pPr>
              <w:jc w:val="center"/>
              <w:ind w:right="440"/>
              <w:spacing w:after="0" w:line="149" w:lineRule="exact"/>
              <w:rPr>
                <w:sz w:val="20"/>
                <w:szCs w:val="20"/>
                <w:color w:val="auto"/>
              </w:rPr>
            </w:pPr>
            <w:r>
              <w:rPr>
                <w:rFonts w:ascii="Arial" w:cs="Arial" w:eastAsia="Arial" w:hAnsi="Arial"/>
                <w:sz w:val="14"/>
                <w:szCs w:val="14"/>
                <w:b w:val="1"/>
                <w:bCs w:val="1"/>
                <w:color w:val="auto"/>
                <w:w w:val="88"/>
              </w:rPr>
              <w:t>Nine Months</w:t>
            </w:r>
          </w:p>
        </w:tc>
        <w:tc>
          <w:tcPr>
            <w:tcW w:w="2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60" w:type="dxa"/>
            <w:vAlign w:val="bottom"/>
            <w:tcBorders>
              <w:right w:val="single" w:sz="8" w:color="auto"/>
            </w:tcBorders>
            <w:gridSpan w:val="2"/>
          </w:tcPr>
          <w:p>
            <w:pPr>
              <w:jc w:val="center"/>
              <w:ind w:right="800"/>
              <w:spacing w:after="0" w:line="149" w:lineRule="exact"/>
              <w:rPr>
                <w:sz w:val="20"/>
                <w:szCs w:val="20"/>
                <w:color w:val="auto"/>
              </w:rPr>
            </w:pPr>
            <w:r>
              <w:rPr>
                <w:rFonts w:ascii="Arial" w:cs="Arial" w:eastAsia="Arial" w:hAnsi="Arial"/>
                <w:sz w:val="14"/>
                <w:szCs w:val="14"/>
                <w:b w:val="1"/>
                <w:bCs w:val="1"/>
                <w:color w:val="auto"/>
                <w:w w:val="85"/>
              </w:rPr>
              <w:t>July 10, 2009</w:t>
            </w:r>
          </w:p>
        </w:tc>
        <w:tc>
          <w:tcPr>
            <w:tcW w:w="460" w:type="dxa"/>
            <w:vAlign w:val="bottom"/>
          </w:tcPr>
          <w:p>
            <w:pPr>
              <w:spacing w:after="0"/>
              <w:rPr>
                <w:sz w:val="12"/>
                <w:szCs w:val="12"/>
                <w:color w:val="auto"/>
              </w:rPr>
            </w:pPr>
          </w:p>
        </w:tc>
        <w:tc>
          <w:tcPr>
            <w:tcW w:w="540" w:type="dxa"/>
            <w:vAlign w:val="bottom"/>
            <w:gridSpan w:val="3"/>
          </w:tcPr>
          <w:p>
            <w:pPr>
              <w:jc w:val="center"/>
              <w:spacing w:after="0" w:line="149" w:lineRule="exact"/>
              <w:rPr>
                <w:sz w:val="20"/>
                <w:szCs w:val="20"/>
                <w:color w:val="auto"/>
              </w:rPr>
            </w:pPr>
            <w:r>
              <w:rPr>
                <w:rFonts w:ascii="Arial" w:cs="Arial" w:eastAsia="Arial" w:hAnsi="Arial"/>
                <w:sz w:val="14"/>
                <w:szCs w:val="14"/>
                <w:b w:val="1"/>
                <w:bCs w:val="1"/>
                <w:color w:val="auto"/>
                <w:w w:val="87"/>
              </w:rPr>
              <w:t>Through</w:t>
            </w:r>
          </w:p>
        </w:tc>
        <w:tc>
          <w:tcPr>
            <w:tcW w:w="560" w:type="dxa"/>
            <w:vAlign w:val="bottom"/>
          </w:tcPr>
          <w:p>
            <w:pPr>
              <w:spacing w:after="0"/>
              <w:rPr>
                <w:sz w:val="12"/>
                <w:szCs w:val="12"/>
                <w:color w:val="auto"/>
              </w:rPr>
            </w:pPr>
          </w:p>
        </w:tc>
        <w:tc>
          <w:tcPr>
            <w:tcW w:w="760" w:type="dxa"/>
            <w:vAlign w:val="bottom"/>
            <w:gridSpan w:val="3"/>
          </w:tcPr>
          <w:p>
            <w:pPr>
              <w:jc w:val="center"/>
              <w:ind w:right="100"/>
              <w:spacing w:after="0" w:line="149" w:lineRule="exact"/>
              <w:rPr>
                <w:sz w:val="20"/>
                <w:szCs w:val="20"/>
                <w:color w:val="auto"/>
              </w:rPr>
            </w:pPr>
            <w:r>
              <w:rPr>
                <w:rFonts w:ascii="Arial" w:cs="Arial" w:eastAsia="Arial" w:hAnsi="Arial"/>
                <w:sz w:val="14"/>
                <w:szCs w:val="14"/>
                <w:b w:val="1"/>
                <w:bCs w:val="1"/>
                <w:color w:val="auto"/>
                <w:w w:val="87"/>
              </w:rPr>
              <w:t>Through</w:t>
            </w:r>
          </w:p>
        </w:tc>
        <w:tc>
          <w:tcPr>
            <w:tcW w:w="0" w:type="dxa"/>
            <w:vAlign w:val="bottom"/>
          </w:tcPr>
          <w:p>
            <w:pPr>
              <w:spacing w:after="0"/>
              <w:rPr>
                <w:sz w:val="1"/>
                <w:szCs w:val="1"/>
                <w:color w:val="auto"/>
              </w:rPr>
            </w:pPr>
          </w:p>
        </w:tc>
      </w:tr>
      <w:tr>
        <w:trPr>
          <w:trHeight w:val="149"/>
        </w:trPr>
        <w:tc>
          <w:tcPr>
            <w:tcW w:w="1160" w:type="dxa"/>
            <w:vAlign w:val="bottom"/>
          </w:tcPr>
          <w:p>
            <w:pPr>
              <w:spacing w:after="0"/>
              <w:rPr>
                <w:sz w:val="12"/>
                <w:szCs w:val="12"/>
                <w:color w:val="auto"/>
              </w:rPr>
            </w:pPr>
          </w:p>
        </w:tc>
        <w:tc>
          <w:tcPr>
            <w:tcW w:w="2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tcPr>
          <w:p>
            <w:pPr>
              <w:jc w:val="right"/>
              <w:ind w:right="294"/>
              <w:spacing w:after="0" w:line="149" w:lineRule="exact"/>
              <w:rPr>
                <w:sz w:val="20"/>
                <w:szCs w:val="20"/>
                <w:color w:val="auto"/>
              </w:rPr>
            </w:pPr>
            <w:r>
              <w:rPr>
                <w:rFonts w:ascii="Arial" w:cs="Arial" w:eastAsia="Arial" w:hAnsi="Arial"/>
                <w:sz w:val="14"/>
                <w:szCs w:val="14"/>
                <w:b w:val="1"/>
                <w:bCs w:val="1"/>
                <w:color w:val="auto"/>
              </w:rPr>
              <w:t>Ended</w:t>
            </w:r>
          </w:p>
        </w:tc>
        <w:tc>
          <w:tcPr>
            <w:tcW w:w="5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300" w:type="dxa"/>
            <w:vAlign w:val="bottom"/>
            <w:gridSpan w:val="2"/>
          </w:tcPr>
          <w:p>
            <w:pPr>
              <w:jc w:val="center"/>
              <w:ind w:right="440"/>
              <w:spacing w:after="0" w:line="149" w:lineRule="exact"/>
              <w:rPr>
                <w:sz w:val="20"/>
                <w:szCs w:val="20"/>
                <w:color w:val="auto"/>
              </w:rPr>
            </w:pPr>
            <w:r>
              <w:rPr>
                <w:rFonts w:ascii="Arial" w:cs="Arial" w:eastAsia="Arial" w:hAnsi="Arial"/>
                <w:sz w:val="14"/>
                <w:szCs w:val="14"/>
                <w:b w:val="1"/>
                <w:bCs w:val="1"/>
                <w:color w:val="auto"/>
                <w:w w:val="88"/>
              </w:rPr>
              <w:t>Ended</w:t>
            </w:r>
          </w:p>
        </w:tc>
        <w:tc>
          <w:tcPr>
            <w:tcW w:w="2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60" w:type="dxa"/>
            <w:vAlign w:val="bottom"/>
            <w:tcBorders>
              <w:right w:val="single" w:sz="8" w:color="auto"/>
            </w:tcBorders>
            <w:gridSpan w:val="2"/>
          </w:tcPr>
          <w:p>
            <w:pPr>
              <w:jc w:val="center"/>
              <w:ind w:right="800"/>
              <w:spacing w:after="0" w:line="149" w:lineRule="exact"/>
              <w:rPr>
                <w:sz w:val="20"/>
                <w:szCs w:val="20"/>
                <w:color w:val="auto"/>
              </w:rPr>
            </w:pPr>
            <w:r>
              <w:rPr>
                <w:rFonts w:ascii="Arial" w:cs="Arial" w:eastAsia="Arial" w:hAnsi="Arial"/>
                <w:sz w:val="14"/>
                <w:szCs w:val="14"/>
                <w:b w:val="1"/>
                <w:bCs w:val="1"/>
                <w:color w:val="auto"/>
                <w:w w:val="87"/>
              </w:rPr>
              <w:t>Through</w:t>
            </w:r>
          </w:p>
        </w:tc>
        <w:tc>
          <w:tcPr>
            <w:tcW w:w="460" w:type="dxa"/>
            <w:vAlign w:val="bottom"/>
          </w:tcPr>
          <w:p>
            <w:pPr>
              <w:spacing w:after="0"/>
              <w:rPr>
                <w:sz w:val="12"/>
                <w:szCs w:val="12"/>
                <w:color w:val="auto"/>
              </w:rPr>
            </w:pPr>
          </w:p>
        </w:tc>
        <w:tc>
          <w:tcPr>
            <w:tcW w:w="540" w:type="dxa"/>
            <w:vAlign w:val="bottom"/>
            <w:gridSpan w:val="3"/>
          </w:tcPr>
          <w:p>
            <w:pPr>
              <w:jc w:val="center"/>
              <w:spacing w:after="0" w:line="149" w:lineRule="exact"/>
              <w:rPr>
                <w:sz w:val="20"/>
                <w:szCs w:val="20"/>
                <w:color w:val="auto"/>
              </w:rPr>
            </w:pPr>
            <w:r>
              <w:rPr>
                <w:rFonts w:ascii="Arial" w:cs="Arial" w:eastAsia="Arial" w:hAnsi="Arial"/>
                <w:sz w:val="14"/>
                <w:szCs w:val="14"/>
                <w:b w:val="1"/>
                <w:bCs w:val="1"/>
                <w:color w:val="auto"/>
                <w:w w:val="87"/>
              </w:rPr>
              <w:t>July 9,</w:t>
            </w:r>
          </w:p>
        </w:tc>
        <w:tc>
          <w:tcPr>
            <w:tcW w:w="5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87"/>
              </w:rPr>
              <w:t>July 9,</w:t>
            </w:r>
          </w:p>
        </w:tc>
        <w:tc>
          <w:tcPr>
            <w:tcW w:w="0" w:type="dxa"/>
            <w:vAlign w:val="bottom"/>
          </w:tcPr>
          <w:p>
            <w:pPr>
              <w:spacing w:after="0"/>
              <w:rPr>
                <w:sz w:val="1"/>
                <w:szCs w:val="1"/>
                <w:color w:val="auto"/>
              </w:rPr>
            </w:pPr>
          </w:p>
        </w:tc>
      </w:tr>
      <w:tr>
        <w:trPr>
          <w:trHeight w:val="161"/>
        </w:trPr>
        <w:tc>
          <w:tcPr>
            <w:tcW w:w="1160" w:type="dxa"/>
            <w:vAlign w:val="bottom"/>
          </w:tcPr>
          <w:p>
            <w:pPr>
              <w:spacing w:after="0"/>
              <w:rPr>
                <w:sz w:val="14"/>
                <w:szCs w:val="14"/>
                <w:color w:val="auto"/>
              </w:rPr>
            </w:pPr>
          </w:p>
        </w:tc>
        <w:tc>
          <w:tcPr>
            <w:tcW w:w="2720" w:type="dxa"/>
            <w:vAlign w:val="bottom"/>
          </w:tcPr>
          <w:p>
            <w:pPr>
              <w:spacing w:after="0"/>
              <w:rPr>
                <w:sz w:val="14"/>
                <w:szCs w:val="14"/>
                <w:color w:val="auto"/>
              </w:rPr>
            </w:pPr>
          </w:p>
        </w:tc>
        <w:tc>
          <w:tcPr>
            <w:tcW w:w="1120" w:type="dxa"/>
            <w:vAlign w:val="bottom"/>
            <w:gridSpan w:val="2"/>
          </w:tcPr>
          <w:p>
            <w:pPr>
              <w:spacing w:after="0"/>
              <w:rPr>
                <w:sz w:val="20"/>
                <w:szCs w:val="20"/>
                <w:color w:val="auto"/>
              </w:rPr>
            </w:pPr>
            <w:r>
              <w:rPr>
                <w:rFonts w:ascii="Arial" w:cs="Arial" w:eastAsia="Arial" w:hAnsi="Arial"/>
                <w:sz w:val="14"/>
                <w:szCs w:val="14"/>
                <w:b w:val="1"/>
                <w:bCs w:val="1"/>
                <w:color w:val="auto"/>
                <w:w w:val="84"/>
              </w:rPr>
              <w:t>September 30, 2010</w:t>
            </w:r>
          </w:p>
        </w:tc>
        <w:tc>
          <w:tcPr>
            <w:tcW w:w="580" w:type="dxa"/>
            <w:vAlign w:val="bottom"/>
          </w:tcPr>
          <w:p>
            <w:pPr>
              <w:spacing w:after="0"/>
              <w:rPr>
                <w:sz w:val="14"/>
                <w:szCs w:val="14"/>
                <w:color w:val="auto"/>
              </w:rPr>
            </w:pPr>
          </w:p>
        </w:tc>
        <w:tc>
          <w:tcPr>
            <w:tcW w:w="1440" w:type="dxa"/>
            <w:vAlign w:val="bottom"/>
            <w:gridSpan w:val="3"/>
          </w:tcPr>
          <w:p>
            <w:pPr>
              <w:jc w:val="center"/>
              <w:ind w:right="300"/>
              <w:spacing w:after="0"/>
              <w:rPr>
                <w:sz w:val="20"/>
                <w:szCs w:val="20"/>
                <w:color w:val="auto"/>
              </w:rPr>
            </w:pPr>
            <w:r>
              <w:rPr>
                <w:rFonts w:ascii="Arial" w:cs="Arial" w:eastAsia="Arial" w:hAnsi="Arial"/>
                <w:sz w:val="14"/>
                <w:szCs w:val="14"/>
                <w:b w:val="1"/>
                <w:bCs w:val="1"/>
                <w:color w:val="auto"/>
                <w:w w:val="87"/>
              </w:rPr>
              <w:t>September 30, 2010</w:t>
            </w:r>
          </w:p>
        </w:tc>
        <w:tc>
          <w:tcPr>
            <w:tcW w:w="280" w:type="dxa"/>
            <w:vAlign w:val="bottom"/>
          </w:tcPr>
          <w:p>
            <w:pPr>
              <w:spacing w:after="0"/>
              <w:rPr>
                <w:sz w:val="14"/>
                <w:szCs w:val="14"/>
                <w:color w:val="auto"/>
              </w:rPr>
            </w:pPr>
          </w:p>
        </w:tc>
        <w:tc>
          <w:tcPr>
            <w:tcW w:w="1800" w:type="dxa"/>
            <w:vAlign w:val="bottom"/>
            <w:tcBorders>
              <w:right w:val="single" w:sz="8" w:color="auto"/>
            </w:tcBorders>
            <w:gridSpan w:val="3"/>
          </w:tcPr>
          <w:p>
            <w:pPr>
              <w:spacing w:after="0"/>
              <w:rPr>
                <w:sz w:val="20"/>
                <w:szCs w:val="20"/>
                <w:color w:val="auto"/>
              </w:rPr>
            </w:pPr>
            <w:r>
              <w:rPr>
                <w:rFonts w:ascii="Arial" w:cs="Arial" w:eastAsia="Arial" w:hAnsi="Arial"/>
                <w:sz w:val="14"/>
                <w:szCs w:val="14"/>
                <w:b w:val="1"/>
                <w:bCs w:val="1"/>
                <w:color w:val="auto"/>
              </w:rPr>
              <w:t>September 30, 2009</w:t>
            </w:r>
          </w:p>
        </w:tc>
        <w:tc>
          <w:tcPr>
            <w:tcW w:w="4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0" w:type="dxa"/>
            <w:vAlign w:val="bottom"/>
          </w:tcPr>
          <w:p>
            <w:pPr>
              <w:jc w:val="center"/>
              <w:ind w:right="14"/>
              <w:spacing w:after="0"/>
              <w:rPr>
                <w:sz w:val="20"/>
                <w:szCs w:val="20"/>
                <w:color w:val="auto"/>
              </w:rPr>
            </w:pPr>
            <w:r>
              <w:rPr>
                <w:rFonts w:ascii="Arial" w:cs="Arial" w:eastAsia="Arial" w:hAnsi="Arial"/>
                <w:sz w:val="14"/>
                <w:szCs w:val="14"/>
                <w:b w:val="1"/>
                <w:bCs w:val="1"/>
                <w:color w:val="auto"/>
                <w:w w:val="83"/>
              </w:rPr>
              <w:t>2009</w:t>
            </w:r>
          </w:p>
        </w:tc>
        <w:tc>
          <w:tcPr>
            <w:tcW w:w="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20" w:type="dxa"/>
            <w:vAlign w:val="bottom"/>
          </w:tcPr>
          <w:p>
            <w:pPr>
              <w:jc w:val="center"/>
              <w:ind w:right="55"/>
              <w:spacing w:after="0"/>
              <w:rPr>
                <w:sz w:val="20"/>
                <w:szCs w:val="20"/>
                <w:color w:val="auto"/>
              </w:rPr>
            </w:pPr>
            <w:r>
              <w:rPr>
                <w:rFonts w:ascii="Arial" w:cs="Arial" w:eastAsia="Arial" w:hAnsi="Arial"/>
                <w:sz w:val="14"/>
                <w:szCs w:val="14"/>
                <w:b w:val="1"/>
                <w:bCs w:val="1"/>
                <w:color w:val="auto"/>
                <w:w w:val="83"/>
              </w:rPr>
              <w:t>2009</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388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GMNA</w:t>
            </w:r>
          </w:p>
        </w:tc>
        <w:tc>
          <w:tcPr>
            <w:tcW w:w="12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660" w:type="dxa"/>
            <w:vAlign w:val="bottom"/>
            <w:tcBorders>
              <w:right w:val="single" w:sz="8" w:color="auto"/>
            </w:tcBorders>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80" w:type="dxa"/>
            <w:vAlign w:val="bottom"/>
            <w:gridSpan w:val="2"/>
          </w:tcPr>
          <w:p>
            <w:pPr>
              <w:ind w:left="220"/>
              <w:spacing w:after="0"/>
              <w:rPr>
                <w:sz w:val="20"/>
                <w:szCs w:val="20"/>
                <w:color w:val="auto"/>
              </w:rPr>
            </w:pPr>
            <w:r>
              <w:rPr>
                <w:rFonts w:ascii="Arial" w:cs="Arial" w:eastAsia="Arial" w:hAnsi="Arial"/>
                <w:sz w:val="18"/>
                <w:szCs w:val="18"/>
                <w:color w:val="auto"/>
              </w:rPr>
              <w:t>Intangible assets</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0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42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1660" w:type="dxa"/>
            <w:vAlign w:val="bottom"/>
            <w:tcBorders>
              <w:right w:val="single" w:sz="8" w:color="auto"/>
            </w:tcBorders>
            <w:gridSpan w:val="2"/>
          </w:tcPr>
          <w:p>
            <w:pPr>
              <w:jc w:val="right"/>
              <w:ind w:right="660"/>
              <w:spacing w:after="0"/>
              <w:rPr>
                <w:sz w:val="20"/>
                <w:szCs w:val="20"/>
                <w:color w:val="auto"/>
              </w:rPr>
            </w:pPr>
            <w:r>
              <w:rPr>
                <w:rFonts w:ascii="Arial" w:cs="Arial" w:eastAsia="Arial" w:hAnsi="Arial"/>
                <w:sz w:val="18"/>
                <w:szCs w:val="18"/>
                <w:color w:val="auto"/>
              </w:rPr>
              <w:t>21</w:t>
            </w:r>
          </w:p>
        </w:tc>
        <w:tc>
          <w:tcPr>
            <w:tcW w:w="46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4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88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Product-specific tooling assets</w:t>
            </w: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140</w:t>
            </w:r>
          </w:p>
        </w:tc>
        <w:tc>
          <w:tcPr>
            <w:tcW w:w="5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188</w:t>
            </w: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60" w:type="dxa"/>
            <w:vAlign w:val="bottom"/>
            <w:tcBorders>
              <w:right w:val="single" w:sz="8" w:color="auto"/>
            </w:tcBorders>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80" w:type="dxa"/>
            <w:vAlign w:val="bottom"/>
            <w:gridSpan w:val="2"/>
          </w:tcPr>
          <w:p>
            <w:pPr>
              <w:ind w:left="220"/>
              <w:spacing w:after="0"/>
              <w:rPr>
                <w:sz w:val="20"/>
                <w:szCs w:val="20"/>
                <w:color w:val="auto"/>
              </w:rPr>
            </w:pPr>
            <w:r>
              <w:rPr>
                <w:rFonts w:ascii="Arial" w:cs="Arial" w:eastAsia="Arial" w:hAnsi="Arial"/>
                <w:sz w:val="18"/>
                <w:szCs w:val="18"/>
                <w:color w:val="auto"/>
              </w:rPr>
              <w:t>Cancelled powertrain programs</w:t>
            </w:r>
          </w:p>
        </w:tc>
        <w:tc>
          <w:tcPr>
            <w:tcW w:w="1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60" w:type="dxa"/>
            <w:vAlign w:val="bottom"/>
            <w:tcBorders>
              <w:right w:val="single" w:sz="8" w:color="auto"/>
            </w:tcBorders>
            <w:gridSpan w:val="2"/>
          </w:tcPr>
          <w:p>
            <w:pPr>
              <w:jc w:val="right"/>
              <w:ind w:right="660"/>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5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42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8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Equity and cost method investments</w:t>
            </w: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60" w:type="dxa"/>
            <w:vAlign w:val="bottom"/>
            <w:tcBorders>
              <w:right w:val="single" w:sz="8" w:color="auto"/>
            </w:tcBorders>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80" w:type="dxa"/>
            <w:vAlign w:val="bottom"/>
            <w:gridSpan w:val="2"/>
          </w:tcPr>
          <w:p>
            <w:pPr>
              <w:ind w:left="220"/>
              <w:spacing w:after="0"/>
              <w:rPr>
                <w:sz w:val="20"/>
                <w:szCs w:val="20"/>
                <w:color w:val="auto"/>
              </w:rPr>
            </w:pPr>
            <w:r>
              <w:rPr>
                <w:rFonts w:ascii="Arial" w:cs="Arial" w:eastAsia="Arial" w:hAnsi="Arial"/>
                <w:sz w:val="18"/>
                <w:szCs w:val="18"/>
                <w:color w:val="auto"/>
              </w:rPr>
              <w:t>Vehicles leased to rental car companies</w:t>
            </w:r>
          </w:p>
        </w:tc>
        <w:tc>
          <w:tcPr>
            <w:tcW w:w="1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60" w:type="dxa"/>
            <w:vAlign w:val="bottom"/>
            <w:tcBorders>
              <w:right w:val="single" w:sz="8" w:color="auto"/>
            </w:tcBorders>
            <w:gridSpan w:val="2"/>
          </w:tcPr>
          <w:p>
            <w:pPr>
              <w:jc w:val="right"/>
              <w:ind w:right="660"/>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5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11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1160" w:type="dxa"/>
            <w:vAlign w:val="bottom"/>
          </w:tcPr>
          <w:p>
            <w:pPr>
              <w:spacing w:after="0"/>
              <w:rPr>
                <w:sz w:val="2"/>
                <w:szCs w:val="2"/>
                <w:color w:val="auto"/>
              </w:rPr>
            </w:pPr>
          </w:p>
        </w:tc>
        <w:tc>
          <w:tcPr>
            <w:tcW w:w="27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5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660" w:type="dxa"/>
            <w:vAlign w:val="bottom"/>
            <w:tcBorders>
              <w:right w:val="single" w:sz="8" w:color="auto"/>
            </w:tcBorders>
          </w:tcPr>
          <w:p>
            <w:pPr>
              <w:spacing w:after="0"/>
              <w:rPr>
                <w:sz w:val="2"/>
                <w:szCs w:val="2"/>
                <w:color w:val="auto"/>
              </w:rPr>
            </w:pPr>
          </w:p>
        </w:tc>
        <w:tc>
          <w:tcPr>
            <w:tcW w:w="4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388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Total GMNA impairment charges</w:t>
            </w: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140</w:t>
            </w:r>
          </w:p>
        </w:tc>
        <w:tc>
          <w:tcPr>
            <w:tcW w:w="5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188</w:t>
            </w: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60" w:type="dxa"/>
            <w:vAlign w:val="bottom"/>
            <w:tcBorders>
              <w:right w:val="single" w:sz="8" w:color="auto"/>
            </w:tcBorders>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21</w:t>
            </w:r>
          </w:p>
        </w:tc>
        <w:tc>
          <w:tcPr>
            <w:tcW w:w="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80" w:type="dxa"/>
            <w:vAlign w:val="bottom"/>
            <w:gridSpan w:val="2"/>
          </w:tcPr>
          <w:p>
            <w:pPr>
              <w:spacing w:after="0"/>
              <w:rPr>
                <w:sz w:val="20"/>
                <w:szCs w:val="20"/>
                <w:color w:val="auto"/>
              </w:rPr>
            </w:pPr>
            <w:r>
              <w:rPr>
                <w:rFonts w:ascii="Arial" w:cs="Arial" w:eastAsia="Arial" w:hAnsi="Arial"/>
                <w:sz w:val="18"/>
                <w:szCs w:val="18"/>
                <w:b w:val="1"/>
                <w:bCs w:val="1"/>
                <w:color w:val="auto"/>
              </w:rPr>
              <w:t>GMIO</w:t>
            </w: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660" w:type="dxa"/>
            <w:vAlign w:val="bottom"/>
            <w:tcBorders>
              <w:right w:val="single" w:sz="8" w:color="auto"/>
            </w:tcBorders>
          </w:tcPr>
          <w:p>
            <w:pPr>
              <w:spacing w:after="0"/>
              <w:rPr>
                <w:sz w:val="18"/>
                <w:szCs w:val="18"/>
                <w:color w:val="auto"/>
              </w:rPr>
            </w:pP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8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Product-specific tooling assets</w:t>
            </w: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5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6</w:t>
            </w: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60" w:type="dxa"/>
            <w:vAlign w:val="bottom"/>
            <w:tcBorders>
              <w:right w:val="single" w:sz="8" w:color="auto"/>
            </w:tcBorders>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1</w:t>
            </w:r>
          </w:p>
        </w:tc>
        <w:tc>
          <w:tcPr>
            <w:tcW w:w="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80" w:type="dxa"/>
            <w:vAlign w:val="bottom"/>
            <w:gridSpan w:val="2"/>
          </w:tcPr>
          <w:p>
            <w:pPr>
              <w:ind w:left="220"/>
              <w:spacing w:after="0"/>
              <w:rPr>
                <w:sz w:val="20"/>
                <w:szCs w:val="20"/>
                <w:color w:val="auto"/>
              </w:rPr>
            </w:pPr>
            <w:r>
              <w:rPr>
                <w:rFonts w:ascii="Arial" w:cs="Arial" w:eastAsia="Arial" w:hAnsi="Arial"/>
                <w:sz w:val="18"/>
                <w:szCs w:val="18"/>
                <w:color w:val="auto"/>
              </w:rPr>
              <w:t>Other long-lived assets</w:t>
            </w:r>
          </w:p>
        </w:tc>
        <w:tc>
          <w:tcPr>
            <w:tcW w:w="1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60" w:type="dxa"/>
            <w:vAlign w:val="bottom"/>
            <w:tcBorders>
              <w:right w:val="single" w:sz="8" w:color="auto"/>
            </w:tcBorders>
            <w:gridSpan w:val="2"/>
          </w:tcPr>
          <w:p>
            <w:pPr>
              <w:jc w:val="right"/>
              <w:ind w:right="660"/>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5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1160" w:type="dxa"/>
            <w:vAlign w:val="bottom"/>
          </w:tcPr>
          <w:p>
            <w:pPr>
              <w:spacing w:after="0"/>
              <w:rPr>
                <w:sz w:val="2"/>
                <w:szCs w:val="2"/>
                <w:color w:val="auto"/>
              </w:rPr>
            </w:pPr>
          </w:p>
        </w:tc>
        <w:tc>
          <w:tcPr>
            <w:tcW w:w="27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5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660" w:type="dxa"/>
            <w:vAlign w:val="bottom"/>
            <w:tcBorders>
              <w:right w:val="single" w:sz="8" w:color="auto"/>
            </w:tcBorders>
          </w:tcPr>
          <w:p>
            <w:pPr>
              <w:spacing w:after="0"/>
              <w:rPr>
                <w:sz w:val="2"/>
                <w:szCs w:val="2"/>
                <w:color w:val="auto"/>
              </w:rPr>
            </w:pPr>
          </w:p>
        </w:tc>
        <w:tc>
          <w:tcPr>
            <w:tcW w:w="4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388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Total GMIO impairment charges</w:t>
            </w: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5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6</w:t>
            </w: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60" w:type="dxa"/>
            <w:vAlign w:val="bottom"/>
            <w:tcBorders>
              <w:right w:val="single" w:sz="8" w:color="auto"/>
            </w:tcBorders>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1</w:t>
            </w:r>
          </w:p>
        </w:tc>
        <w:tc>
          <w:tcPr>
            <w:tcW w:w="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80" w:type="dxa"/>
            <w:vAlign w:val="bottom"/>
            <w:gridSpan w:val="2"/>
          </w:tcPr>
          <w:p>
            <w:pPr>
              <w:spacing w:after="0"/>
              <w:rPr>
                <w:sz w:val="20"/>
                <w:szCs w:val="20"/>
                <w:color w:val="auto"/>
              </w:rPr>
            </w:pPr>
            <w:r>
              <w:rPr>
                <w:rFonts w:ascii="Arial" w:cs="Arial" w:eastAsia="Arial" w:hAnsi="Arial"/>
                <w:sz w:val="18"/>
                <w:szCs w:val="18"/>
                <w:b w:val="1"/>
                <w:bCs w:val="1"/>
                <w:color w:val="auto"/>
              </w:rPr>
              <w:t>GME</w:t>
            </w: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660" w:type="dxa"/>
            <w:vAlign w:val="bottom"/>
            <w:tcBorders>
              <w:right w:val="single" w:sz="8" w:color="auto"/>
            </w:tcBorders>
          </w:tcPr>
          <w:p>
            <w:pPr>
              <w:spacing w:after="0"/>
              <w:rPr>
                <w:sz w:val="18"/>
                <w:szCs w:val="18"/>
                <w:color w:val="auto"/>
              </w:rPr>
            </w:pP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8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Product-specific tooling assets</w:t>
            </w: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60" w:type="dxa"/>
            <w:vAlign w:val="bottom"/>
            <w:tcBorders>
              <w:right w:val="single" w:sz="8" w:color="auto"/>
            </w:tcBorders>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80" w:type="dxa"/>
            <w:vAlign w:val="bottom"/>
            <w:gridSpan w:val="2"/>
          </w:tcPr>
          <w:p>
            <w:pPr>
              <w:ind w:left="220"/>
              <w:spacing w:after="0"/>
              <w:rPr>
                <w:sz w:val="20"/>
                <w:szCs w:val="20"/>
                <w:color w:val="auto"/>
              </w:rPr>
            </w:pPr>
            <w:r>
              <w:rPr>
                <w:rFonts w:ascii="Arial" w:cs="Arial" w:eastAsia="Arial" w:hAnsi="Arial"/>
                <w:sz w:val="18"/>
                <w:szCs w:val="18"/>
                <w:color w:val="auto"/>
              </w:rPr>
              <w:t>Vehicles leased to rental car companies</w:t>
            </w:r>
          </w:p>
        </w:tc>
        <w:tc>
          <w:tcPr>
            <w:tcW w:w="1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17</w:t>
            </w:r>
          </w:p>
        </w:tc>
        <w:tc>
          <w:tcPr>
            <w:tcW w:w="5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gridSpan w:val="2"/>
          </w:tcPr>
          <w:p>
            <w:pPr>
              <w:jc w:val="right"/>
              <w:ind w:right="300"/>
              <w:spacing w:after="0"/>
              <w:rPr>
                <w:sz w:val="20"/>
                <w:szCs w:val="20"/>
                <w:color w:val="auto"/>
              </w:rPr>
            </w:pPr>
            <w:r>
              <w:rPr>
                <w:rFonts w:ascii="Arial" w:cs="Arial" w:eastAsia="Arial" w:hAnsi="Arial"/>
                <w:sz w:val="18"/>
                <w:szCs w:val="18"/>
                <w:color w:val="auto"/>
              </w:rPr>
              <w:t>32</w:t>
            </w: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60" w:type="dxa"/>
            <w:vAlign w:val="bottom"/>
            <w:tcBorders>
              <w:right w:val="single" w:sz="8" w:color="auto"/>
            </w:tcBorders>
            <w:gridSpan w:val="2"/>
          </w:tcPr>
          <w:p>
            <w:pPr>
              <w:jc w:val="right"/>
              <w:ind w:right="660"/>
              <w:spacing w:after="0"/>
              <w:rPr>
                <w:sz w:val="20"/>
                <w:szCs w:val="20"/>
                <w:color w:val="auto"/>
              </w:rPr>
            </w:pPr>
            <w:r>
              <w:rPr>
                <w:rFonts w:ascii="Arial" w:cs="Arial" w:eastAsia="Arial" w:hAnsi="Arial"/>
                <w:sz w:val="18"/>
                <w:szCs w:val="18"/>
                <w:color w:val="auto"/>
              </w:rPr>
              <w:t>12</w:t>
            </w: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0" w:type="dxa"/>
            <w:vAlign w:val="bottom"/>
            <w:gridSpan w:val="2"/>
          </w:tcPr>
          <w:p>
            <w:pPr>
              <w:jc w:val="right"/>
              <w:ind w:right="20"/>
              <w:spacing w:after="0"/>
              <w:rPr>
                <w:sz w:val="20"/>
                <w:szCs w:val="20"/>
                <w:color w:val="auto"/>
              </w:rPr>
            </w:pPr>
            <w:r>
              <w:rPr>
                <w:rFonts w:ascii="Arial" w:cs="Arial" w:eastAsia="Arial" w:hAnsi="Arial"/>
                <w:sz w:val="18"/>
                <w:szCs w:val="18"/>
                <w:color w:val="auto"/>
              </w:rPr>
              <w:t>1</w:t>
            </w:r>
          </w:p>
        </w:tc>
        <w:tc>
          <w:tcPr>
            <w:tcW w:w="5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36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1160" w:type="dxa"/>
            <w:vAlign w:val="bottom"/>
          </w:tcPr>
          <w:p>
            <w:pPr>
              <w:spacing w:after="0"/>
              <w:rPr>
                <w:sz w:val="2"/>
                <w:szCs w:val="2"/>
                <w:color w:val="auto"/>
              </w:rPr>
            </w:pPr>
          </w:p>
        </w:tc>
        <w:tc>
          <w:tcPr>
            <w:tcW w:w="27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5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660" w:type="dxa"/>
            <w:vAlign w:val="bottom"/>
            <w:tcBorders>
              <w:right w:val="single" w:sz="8" w:color="auto"/>
            </w:tcBorders>
          </w:tcPr>
          <w:p>
            <w:pPr>
              <w:spacing w:after="0"/>
              <w:rPr>
                <w:sz w:val="2"/>
                <w:szCs w:val="2"/>
                <w:color w:val="auto"/>
              </w:rPr>
            </w:pPr>
          </w:p>
        </w:tc>
        <w:tc>
          <w:tcPr>
            <w:tcW w:w="4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388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Total GME impairment charges</w:t>
            </w: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5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32</w:t>
            </w: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60" w:type="dxa"/>
            <w:vAlign w:val="bottom"/>
            <w:tcBorders>
              <w:right w:val="single" w:sz="8" w:color="auto"/>
            </w:tcBorders>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12</w:t>
            </w:r>
          </w:p>
        </w:tc>
        <w:tc>
          <w:tcPr>
            <w:tcW w:w="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w:t>
            </w:r>
          </w:p>
        </w:tc>
        <w:tc>
          <w:tcPr>
            <w:tcW w:w="5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80" w:type="dxa"/>
            <w:vAlign w:val="bottom"/>
            <w:gridSpan w:val="2"/>
          </w:tcPr>
          <w:p>
            <w:pPr>
              <w:spacing w:after="0"/>
              <w:rPr>
                <w:sz w:val="20"/>
                <w:szCs w:val="20"/>
                <w:color w:val="auto"/>
              </w:rPr>
            </w:pPr>
            <w:r>
              <w:rPr>
                <w:rFonts w:ascii="Arial" w:cs="Arial" w:eastAsia="Arial" w:hAnsi="Arial"/>
                <w:sz w:val="18"/>
                <w:szCs w:val="18"/>
                <w:b w:val="1"/>
                <w:bCs w:val="1"/>
                <w:color w:val="auto"/>
              </w:rPr>
              <w:t>Corporate</w:t>
            </w: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660" w:type="dxa"/>
            <w:vAlign w:val="bottom"/>
            <w:tcBorders>
              <w:right w:val="single" w:sz="8" w:color="auto"/>
            </w:tcBorders>
          </w:tcPr>
          <w:p>
            <w:pPr>
              <w:spacing w:after="0"/>
              <w:rPr>
                <w:sz w:val="18"/>
                <w:szCs w:val="18"/>
                <w:color w:val="auto"/>
              </w:rPr>
            </w:pP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388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Other than temporary impairment charges</w:t>
            </w: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660" w:type="dxa"/>
            <w:vAlign w:val="bottom"/>
            <w:tcBorders>
              <w:right w:val="single" w:sz="8" w:color="auto"/>
            </w:tcBorders>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388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on debt and equity securities (a)</w:t>
            </w:r>
          </w:p>
        </w:tc>
        <w:tc>
          <w:tcPr>
            <w:tcW w:w="1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660" w:type="dxa"/>
            <w:vAlign w:val="bottom"/>
            <w:tcBorders>
              <w:right w:val="single" w:sz="8" w:color="auto"/>
            </w:tcBorders>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3880" w:type="dxa"/>
            <w:vAlign w:val="bottom"/>
            <w:gridSpan w:val="2"/>
          </w:tcPr>
          <w:p>
            <w:pPr>
              <w:ind w:left="220"/>
              <w:spacing w:after="0"/>
              <w:rPr>
                <w:sz w:val="20"/>
                <w:szCs w:val="20"/>
                <w:color w:val="auto"/>
              </w:rPr>
            </w:pPr>
            <w:r>
              <w:rPr>
                <w:rFonts w:ascii="Arial" w:cs="Arial" w:eastAsia="Arial" w:hAnsi="Arial"/>
                <w:sz w:val="18"/>
                <w:szCs w:val="18"/>
                <w:color w:val="auto"/>
              </w:rPr>
              <w:t>Automotive retail leases</w:t>
            </w:r>
          </w:p>
        </w:tc>
        <w:tc>
          <w:tcPr>
            <w:tcW w:w="1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60" w:type="dxa"/>
            <w:vAlign w:val="bottom"/>
            <w:tcBorders>
              <w:right w:val="single" w:sz="8" w:color="auto"/>
            </w:tcBorders>
            <w:gridSpan w:val="2"/>
          </w:tcPr>
          <w:p>
            <w:pPr>
              <w:jc w:val="right"/>
              <w:ind w:right="660"/>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5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16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1160" w:type="dxa"/>
            <w:vAlign w:val="bottom"/>
          </w:tcPr>
          <w:p>
            <w:pPr>
              <w:spacing w:after="0"/>
              <w:rPr>
                <w:sz w:val="2"/>
                <w:szCs w:val="2"/>
                <w:color w:val="auto"/>
              </w:rPr>
            </w:pPr>
          </w:p>
        </w:tc>
        <w:tc>
          <w:tcPr>
            <w:tcW w:w="27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5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660" w:type="dxa"/>
            <w:vAlign w:val="bottom"/>
            <w:tcBorders>
              <w:right w:val="single" w:sz="8" w:color="auto"/>
            </w:tcBorders>
          </w:tcPr>
          <w:p>
            <w:pPr>
              <w:spacing w:after="0"/>
              <w:rPr>
                <w:sz w:val="2"/>
                <w:szCs w:val="2"/>
                <w:color w:val="auto"/>
              </w:rPr>
            </w:pPr>
          </w:p>
        </w:tc>
        <w:tc>
          <w:tcPr>
            <w:tcW w:w="4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388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Total Corporate impairment charges</w:t>
            </w: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60" w:type="dxa"/>
            <w:vAlign w:val="bottom"/>
            <w:tcBorders>
              <w:right w:val="single" w:sz="8" w:color="auto"/>
            </w:tcBorders>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880" w:type="dxa"/>
            <w:vAlign w:val="bottom"/>
            <w:gridSpan w:val="2"/>
            <w:vMerge w:val="restart"/>
          </w:tcPr>
          <w:p>
            <w:pPr>
              <w:spacing w:after="0"/>
              <w:rPr>
                <w:sz w:val="20"/>
                <w:szCs w:val="20"/>
                <w:color w:val="auto"/>
              </w:rPr>
            </w:pPr>
            <w:r>
              <w:rPr>
                <w:rFonts w:ascii="Arial" w:cs="Arial" w:eastAsia="Arial" w:hAnsi="Arial"/>
                <w:sz w:val="18"/>
                <w:szCs w:val="18"/>
                <w:color w:val="auto"/>
              </w:rPr>
              <w:t>Total impairment charges</w:t>
            </w:r>
          </w:p>
        </w:tc>
        <w:tc>
          <w:tcPr>
            <w:tcW w:w="12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660" w:type="dxa"/>
            <w:vAlign w:val="bottom"/>
            <w:tcBorders>
              <w:right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3880" w:type="dxa"/>
            <w:vAlign w:val="bottom"/>
            <w:gridSpan w:val="2"/>
            <w:vMerge w:val="continue"/>
          </w:tcPr>
          <w:p>
            <w:pPr>
              <w:spacing w:after="0"/>
              <w:rPr>
                <w:sz w:val="19"/>
                <w:szCs w:val="19"/>
                <w:color w:val="auto"/>
              </w:rPr>
            </w:pP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163</w:t>
            </w:r>
          </w:p>
        </w:tc>
        <w:tc>
          <w:tcPr>
            <w:tcW w:w="58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gridSpan w:val="2"/>
          </w:tcPr>
          <w:p>
            <w:pPr>
              <w:jc w:val="right"/>
              <w:ind w:right="300"/>
              <w:spacing w:after="0"/>
              <w:rPr>
                <w:sz w:val="20"/>
                <w:szCs w:val="20"/>
                <w:color w:val="auto"/>
              </w:rPr>
            </w:pPr>
            <w:r>
              <w:rPr>
                <w:rFonts w:ascii="Arial" w:cs="Arial" w:eastAsia="Arial" w:hAnsi="Arial"/>
                <w:sz w:val="18"/>
                <w:szCs w:val="18"/>
                <w:color w:val="auto"/>
              </w:rPr>
              <w:t>226</w:t>
            </w:r>
          </w:p>
        </w:tc>
        <w:tc>
          <w:tcPr>
            <w:tcW w:w="42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1660" w:type="dxa"/>
            <w:vAlign w:val="bottom"/>
            <w:tcBorders>
              <w:right w:val="single" w:sz="8" w:color="auto"/>
            </w:tcBorders>
            <w:gridSpan w:val="2"/>
          </w:tcPr>
          <w:p>
            <w:pPr>
              <w:jc w:val="right"/>
              <w:ind w:right="660"/>
              <w:spacing w:after="0"/>
              <w:rPr>
                <w:sz w:val="20"/>
                <w:szCs w:val="20"/>
                <w:color w:val="auto"/>
              </w:rPr>
            </w:pPr>
            <w:r>
              <w:rPr>
                <w:rFonts w:ascii="Arial" w:cs="Arial" w:eastAsia="Arial" w:hAnsi="Arial"/>
                <w:sz w:val="18"/>
                <w:szCs w:val="18"/>
                <w:color w:val="auto"/>
              </w:rPr>
              <w:t>34</w:t>
            </w:r>
          </w:p>
        </w:tc>
        <w:tc>
          <w:tcPr>
            <w:tcW w:w="46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420" w:type="dxa"/>
            <w:vAlign w:val="bottom"/>
            <w:gridSpan w:val="2"/>
          </w:tcPr>
          <w:p>
            <w:pPr>
              <w:jc w:val="right"/>
              <w:ind w:right="20"/>
              <w:spacing w:after="0"/>
              <w:rPr>
                <w:sz w:val="20"/>
                <w:szCs w:val="20"/>
                <w:color w:val="auto"/>
              </w:rPr>
            </w:pPr>
            <w:r>
              <w:rPr>
                <w:rFonts w:ascii="Arial" w:cs="Arial" w:eastAsia="Arial" w:hAnsi="Arial"/>
                <w:sz w:val="18"/>
                <w:szCs w:val="18"/>
                <w:color w:val="auto"/>
              </w:rPr>
              <w:t>1</w:t>
            </w: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20" w:type="dxa"/>
            <w:vAlign w:val="bottom"/>
          </w:tcPr>
          <w:p>
            <w:pPr>
              <w:jc w:val="right"/>
              <w:spacing w:after="0"/>
              <w:rPr>
                <w:sz w:val="20"/>
                <w:szCs w:val="20"/>
                <w:color w:val="auto"/>
              </w:rPr>
            </w:pPr>
            <w:r>
              <w:rPr>
                <w:rFonts w:ascii="Arial" w:cs="Arial" w:eastAsia="Arial" w:hAnsi="Arial"/>
                <w:sz w:val="18"/>
                <w:szCs w:val="18"/>
                <w:color w:val="auto"/>
              </w:rPr>
              <w:t>668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27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right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3"/>
        </w:trPr>
        <w:tc>
          <w:tcPr>
            <w:tcW w:w="1160" w:type="dxa"/>
            <w:vAlign w:val="bottom"/>
            <w:tcBorders>
              <w:bottom w:val="single" w:sz="8" w:color="auto"/>
            </w:tcBorders>
          </w:tcPr>
          <w:p>
            <w:pPr>
              <w:spacing w:after="0"/>
              <w:rPr>
                <w:sz w:val="8"/>
                <w:szCs w:val="8"/>
                <w:color w:val="auto"/>
              </w:rPr>
            </w:pPr>
          </w:p>
        </w:tc>
        <w:tc>
          <w:tcPr>
            <w:tcW w:w="272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00" w:type="dxa"/>
            <w:vAlign w:val="bottom"/>
          </w:tcPr>
          <w:p>
            <w:pPr>
              <w:spacing w:after="0"/>
              <w:rPr>
                <w:sz w:val="8"/>
                <w:szCs w:val="8"/>
                <w:color w:val="auto"/>
              </w:rPr>
            </w:pPr>
          </w:p>
        </w:tc>
        <w:tc>
          <w:tcPr>
            <w:tcW w:w="58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00" w:type="dxa"/>
            <w:vAlign w:val="bottom"/>
          </w:tcPr>
          <w:p>
            <w:pPr>
              <w:spacing w:after="0"/>
              <w:rPr>
                <w:sz w:val="8"/>
                <w:szCs w:val="8"/>
                <w:color w:val="auto"/>
              </w:rPr>
            </w:pPr>
          </w:p>
        </w:tc>
        <w:tc>
          <w:tcPr>
            <w:tcW w:w="300" w:type="dxa"/>
            <w:vAlign w:val="bottom"/>
          </w:tcPr>
          <w:p>
            <w:pPr>
              <w:spacing w:after="0"/>
              <w:rPr>
                <w:sz w:val="8"/>
                <w:szCs w:val="8"/>
                <w:color w:val="auto"/>
              </w:rPr>
            </w:pPr>
          </w:p>
        </w:tc>
        <w:tc>
          <w:tcPr>
            <w:tcW w:w="28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00" w:type="dxa"/>
            <w:vAlign w:val="bottom"/>
          </w:tcPr>
          <w:p>
            <w:pPr>
              <w:spacing w:after="0"/>
              <w:rPr>
                <w:sz w:val="8"/>
                <w:szCs w:val="8"/>
                <w:color w:val="auto"/>
              </w:rPr>
            </w:pPr>
          </w:p>
        </w:tc>
        <w:tc>
          <w:tcPr>
            <w:tcW w:w="660" w:type="dxa"/>
            <w:vAlign w:val="bottom"/>
          </w:tcPr>
          <w:p>
            <w:pPr>
              <w:spacing w:after="0"/>
              <w:rPr>
                <w:sz w:val="8"/>
                <w:szCs w:val="8"/>
                <w:color w:val="auto"/>
              </w:rPr>
            </w:pPr>
          </w:p>
        </w:tc>
        <w:tc>
          <w:tcPr>
            <w:tcW w:w="460" w:type="dxa"/>
            <w:vAlign w:val="bottom"/>
          </w:tcPr>
          <w:p>
            <w:pPr>
              <w:spacing w:after="0"/>
              <w:rPr>
                <w:sz w:val="8"/>
                <w:szCs w:val="8"/>
                <w:color w:val="auto"/>
              </w:rPr>
            </w:pPr>
          </w:p>
        </w:tc>
        <w:tc>
          <w:tcPr>
            <w:tcW w:w="120" w:type="dxa"/>
            <w:vAlign w:val="bottom"/>
          </w:tcPr>
          <w:p>
            <w:pPr>
              <w:spacing w:after="0"/>
              <w:rPr>
                <w:sz w:val="8"/>
                <w:szCs w:val="8"/>
                <w:color w:val="auto"/>
              </w:rPr>
            </w:pPr>
          </w:p>
        </w:tc>
        <w:tc>
          <w:tcPr>
            <w:tcW w:w="400" w:type="dxa"/>
            <w:vAlign w:val="bottom"/>
          </w:tcPr>
          <w:p>
            <w:pPr>
              <w:spacing w:after="0"/>
              <w:rPr>
                <w:sz w:val="8"/>
                <w:szCs w:val="8"/>
                <w:color w:val="auto"/>
              </w:rPr>
            </w:pPr>
          </w:p>
        </w:tc>
        <w:tc>
          <w:tcPr>
            <w:tcW w:w="20" w:type="dxa"/>
            <w:vAlign w:val="bottom"/>
          </w:tcPr>
          <w:p>
            <w:pPr>
              <w:spacing w:after="0"/>
              <w:rPr>
                <w:sz w:val="8"/>
                <w:szCs w:val="8"/>
                <w:color w:val="auto"/>
              </w:rPr>
            </w:pPr>
          </w:p>
        </w:tc>
        <w:tc>
          <w:tcPr>
            <w:tcW w:w="560" w:type="dxa"/>
            <w:vAlign w:val="bottom"/>
          </w:tcPr>
          <w:p>
            <w:pPr>
              <w:spacing w:after="0"/>
              <w:rPr>
                <w:sz w:val="8"/>
                <w:szCs w:val="8"/>
                <w:color w:val="auto"/>
              </w:rPr>
            </w:pPr>
          </w:p>
        </w:tc>
        <w:tc>
          <w:tcPr>
            <w:tcW w:w="140" w:type="dxa"/>
            <w:vAlign w:val="bottom"/>
          </w:tcPr>
          <w:p>
            <w:pPr>
              <w:spacing w:after="0"/>
              <w:rPr>
                <w:sz w:val="8"/>
                <w:szCs w:val="8"/>
                <w:color w:val="auto"/>
              </w:rPr>
            </w:pPr>
          </w:p>
        </w:tc>
        <w:tc>
          <w:tcPr>
            <w:tcW w:w="5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19" w:lineRule="exact"/>
        <w:rPr>
          <w:sz w:val="20"/>
          <w:szCs w:val="20"/>
          <w:color w:val="auto"/>
        </w:rPr>
      </w:pPr>
    </w:p>
    <w:p>
      <w:pPr>
        <w:ind w:left="460" w:right="20" w:hanging="452"/>
        <w:spacing w:after="0" w:line="332" w:lineRule="auto"/>
        <w:tabs>
          <w:tab w:leader="none" w:pos="460" w:val="left"/>
        </w:tabs>
        <w:numPr>
          <w:ilvl w:val="0"/>
          <w:numId w:val="42"/>
        </w:numPr>
        <w:rPr>
          <w:rFonts w:ascii="Arial" w:cs="Arial" w:eastAsia="Arial" w:hAnsi="Arial"/>
          <w:sz w:val="16"/>
          <w:szCs w:val="16"/>
          <w:color w:val="auto"/>
        </w:rPr>
      </w:pPr>
      <w:r>
        <w:rPr>
          <w:rFonts w:ascii="Arial" w:cs="Arial" w:eastAsia="Arial" w:hAnsi="Arial"/>
          <w:sz w:val="16"/>
          <w:szCs w:val="16"/>
          <w:color w:val="auto"/>
        </w:rPr>
        <w:t>Refer to Note 5 and Note 19 for additional information on marketable securities and financial instruments measured at fair value on a recurring basis. Other than temporary impairment charges on debt and equity securities were recorded in Interest income and other non-operating income, net.</w:t>
      </w:r>
    </w:p>
    <w:p>
      <w:pPr>
        <w:spacing w:after="0" w:line="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63</w:t>
      </w:r>
    </w:p>
    <w:p>
      <w:pPr>
        <w:sectPr>
          <w:pgSz w:w="11900" w:h="16838" w:orient="portrait"/>
          <w:cols w:equalWidth="0" w:num="1">
            <w:col w:w="11420"/>
          </w:cols>
          <w:pgMar w:left="240" w:top="459" w:right="239" w:bottom="1440" w:gutter="0" w:footer="0" w:header="0"/>
        </w:sectPr>
      </w:pPr>
    </w:p>
    <w:bookmarkStart w:id="65" w:name="page66"/>
    <w:bookmarkEnd w:id="6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339" w:lineRule="exact"/>
        <w:rPr>
          <w:sz w:val="20"/>
          <w:szCs w:val="20"/>
          <w:color w:val="auto"/>
        </w:rPr>
      </w:pPr>
    </w:p>
    <w:p>
      <w:pPr>
        <w:ind w:right="260" w:firstLine="228"/>
        <w:spacing w:after="0" w:line="268" w:lineRule="auto"/>
        <w:rPr>
          <w:sz w:val="20"/>
          <w:szCs w:val="20"/>
          <w:color w:val="auto"/>
        </w:rPr>
      </w:pPr>
      <w:r>
        <w:rPr>
          <w:rFonts w:ascii="Arial" w:cs="Arial" w:eastAsia="Arial" w:hAnsi="Arial"/>
          <w:sz w:val="18"/>
          <w:szCs w:val="18"/>
          <w:color w:val="auto"/>
        </w:rPr>
        <w:t>The following tables summarize assets measured at fair value (all of which utilized Level 3 inputs) on a nonrecurring basis subsequent to initial recognition (dollars in millions):</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GM</w:t>
      </w:r>
    </w:p>
    <w:p>
      <w:pPr>
        <w:spacing w:after="0" w:line="177"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Three and Nine Months Ended September 30, 2010</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50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2000" w:type="dxa"/>
            <w:vAlign w:val="bottom"/>
            <w:tcBorders>
              <w:bottom w:val="single" w:sz="8" w:color="auto"/>
            </w:tcBorders>
            <w:gridSpan w:val="4"/>
          </w:tcPr>
          <w:p>
            <w:pPr>
              <w:jc w:val="center"/>
              <w:ind w:right="160"/>
              <w:spacing w:after="0"/>
              <w:rPr>
                <w:sz w:val="20"/>
                <w:szCs w:val="20"/>
                <w:color w:val="auto"/>
              </w:rPr>
            </w:pPr>
            <w:r>
              <w:rPr>
                <w:rFonts w:ascii="Arial" w:cs="Arial" w:eastAsia="Arial" w:hAnsi="Arial"/>
                <w:sz w:val="14"/>
                <w:szCs w:val="14"/>
                <w:b w:val="1"/>
                <w:bCs w:val="1"/>
                <w:color w:val="auto"/>
                <w:w w:val="79"/>
              </w:rPr>
              <w:t>Successor</w:t>
            </w:r>
          </w:p>
        </w:tc>
        <w:tc>
          <w:tcPr>
            <w:tcW w:w="8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5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2880" w:type="dxa"/>
            <w:vAlign w:val="bottom"/>
            <w:tcBorders>
              <w:bottom w:val="single" w:sz="8" w:color="auto"/>
            </w:tcBorders>
            <w:gridSpan w:val="5"/>
          </w:tcPr>
          <w:p>
            <w:pPr>
              <w:jc w:val="center"/>
              <w:ind w:left="626"/>
              <w:spacing w:after="0" w:line="142" w:lineRule="exact"/>
              <w:rPr>
                <w:sz w:val="20"/>
                <w:szCs w:val="20"/>
                <w:color w:val="auto"/>
              </w:rPr>
            </w:pPr>
            <w:r>
              <w:rPr>
                <w:rFonts w:ascii="Arial" w:cs="Arial" w:eastAsia="Arial" w:hAnsi="Arial"/>
                <w:sz w:val="14"/>
                <w:szCs w:val="14"/>
                <w:b w:val="1"/>
                <w:bCs w:val="1"/>
                <w:color w:val="auto"/>
                <w:w w:val="87"/>
              </w:rPr>
              <w:t>Fair Value Measurements Using</w:t>
            </w:r>
          </w:p>
        </w:tc>
        <w:tc>
          <w:tcPr>
            <w:tcW w:w="8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spacing w:after="0"/>
              <w:rPr>
                <w:sz w:val="12"/>
                <w:szCs w:val="12"/>
                <w:color w:val="auto"/>
              </w:rPr>
            </w:pPr>
          </w:p>
        </w:tc>
        <w:tc>
          <w:tcPr>
            <w:tcW w:w="3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940" w:type="dxa"/>
            <w:vAlign w:val="bottom"/>
            <w:gridSpan w:val="3"/>
            <w:vMerge w:val="restart"/>
          </w:tcPr>
          <w:p>
            <w:pPr>
              <w:jc w:val="center"/>
              <w:ind w:right="100"/>
              <w:spacing w:after="0"/>
              <w:rPr>
                <w:sz w:val="20"/>
                <w:szCs w:val="20"/>
                <w:color w:val="auto"/>
              </w:rPr>
            </w:pPr>
            <w:r>
              <w:rPr>
                <w:rFonts w:ascii="Arial" w:cs="Arial" w:eastAsia="Arial" w:hAnsi="Arial"/>
                <w:sz w:val="14"/>
                <w:szCs w:val="14"/>
                <w:b w:val="1"/>
                <w:bCs w:val="1"/>
                <w:color w:val="auto"/>
                <w:w w:val="87"/>
              </w:rPr>
              <w:t>Three Months</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45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80" w:type="dxa"/>
            <w:vAlign w:val="bottom"/>
            <w:gridSpan w:val="2"/>
          </w:tcPr>
          <w:p>
            <w:pPr>
              <w:jc w:val="center"/>
              <w:spacing w:after="0" w:line="129" w:lineRule="exact"/>
              <w:rPr>
                <w:sz w:val="20"/>
                <w:szCs w:val="20"/>
                <w:color w:val="auto"/>
              </w:rPr>
            </w:pPr>
            <w:r>
              <w:rPr>
                <w:rFonts w:ascii="Arial" w:cs="Arial" w:eastAsia="Arial" w:hAnsi="Arial"/>
                <w:sz w:val="14"/>
                <w:szCs w:val="14"/>
                <w:b w:val="1"/>
                <w:bCs w:val="1"/>
                <w:color w:val="auto"/>
                <w:w w:val="86"/>
              </w:rPr>
              <w:t>Quoted Prices in</w:t>
            </w:r>
          </w:p>
        </w:tc>
        <w:tc>
          <w:tcPr>
            <w:tcW w:w="660" w:type="dxa"/>
            <w:vAlign w:val="bottom"/>
          </w:tcPr>
          <w:p>
            <w:pPr>
              <w:spacing w:after="0"/>
              <w:rPr>
                <w:sz w:val="11"/>
                <w:szCs w:val="11"/>
                <w:color w:val="auto"/>
              </w:rPr>
            </w:pPr>
          </w:p>
        </w:tc>
        <w:tc>
          <w:tcPr>
            <w:tcW w:w="1340" w:type="dxa"/>
            <w:vAlign w:val="bottom"/>
            <w:gridSpan w:val="3"/>
          </w:tcPr>
          <w:p>
            <w:pPr>
              <w:jc w:val="center"/>
              <w:ind w:right="680"/>
              <w:spacing w:after="0" w:line="129" w:lineRule="exact"/>
              <w:rPr>
                <w:sz w:val="20"/>
                <w:szCs w:val="20"/>
                <w:color w:val="auto"/>
              </w:rPr>
            </w:pPr>
            <w:r>
              <w:rPr>
                <w:rFonts w:ascii="Arial" w:cs="Arial" w:eastAsia="Arial" w:hAnsi="Arial"/>
                <w:sz w:val="14"/>
                <w:szCs w:val="14"/>
                <w:b w:val="1"/>
                <w:bCs w:val="1"/>
                <w:color w:val="auto"/>
                <w:w w:val="86"/>
              </w:rPr>
              <w:t>Significant</w:t>
            </w:r>
          </w:p>
        </w:tc>
        <w:tc>
          <w:tcPr>
            <w:tcW w:w="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940" w:type="dxa"/>
            <w:vAlign w:val="bottom"/>
            <w:gridSpan w:val="3"/>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500" w:type="dxa"/>
            <w:vAlign w:val="bottom"/>
          </w:tcPr>
          <w:p>
            <w:pPr>
              <w:spacing w:after="0"/>
              <w:rPr>
                <w:sz w:val="12"/>
                <w:szCs w:val="12"/>
                <w:color w:val="auto"/>
              </w:rPr>
            </w:pPr>
          </w:p>
        </w:tc>
        <w:tc>
          <w:tcPr>
            <w:tcW w:w="82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w w:val="87"/>
              </w:rPr>
              <w:t>Three Months</w:t>
            </w:r>
          </w:p>
        </w:tc>
        <w:tc>
          <w:tcPr>
            <w:tcW w:w="680" w:type="dxa"/>
            <w:vAlign w:val="bottom"/>
          </w:tcPr>
          <w:p>
            <w:pPr>
              <w:spacing w:after="0"/>
              <w:rPr>
                <w:sz w:val="12"/>
                <w:szCs w:val="12"/>
                <w:color w:val="auto"/>
              </w:rPr>
            </w:pPr>
          </w:p>
        </w:tc>
        <w:tc>
          <w:tcPr>
            <w:tcW w:w="98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9"/>
              </w:rPr>
              <w:t>Active Markets</w:t>
            </w: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20" w:type="dxa"/>
            <w:vAlign w:val="bottom"/>
            <w:gridSpan w:val="2"/>
          </w:tcPr>
          <w:p>
            <w:pPr>
              <w:jc w:val="center"/>
              <w:ind w:right="800"/>
              <w:spacing w:after="0" w:line="149" w:lineRule="exact"/>
              <w:rPr>
                <w:sz w:val="20"/>
                <w:szCs w:val="20"/>
                <w:color w:val="auto"/>
              </w:rPr>
            </w:pPr>
            <w:r>
              <w:rPr>
                <w:rFonts w:ascii="Arial" w:cs="Arial" w:eastAsia="Arial" w:hAnsi="Arial"/>
                <w:sz w:val="14"/>
                <w:szCs w:val="14"/>
                <w:b w:val="1"/>
                <w:bCs w:val="1"/>
                <w:color w:val="auto"/>
                <w:w w:val="90"/>
              </w:rPr>
              <w:t>Other</w:t>
            </w:r>
          </w:p>
        </w:tc>
        <w:tc>
          <w:tcPr>
            <w:tcW w:w="80" w:type="dxa"/>
            <w:vAlign w:val="bottom"/>
          </w:tcPr>
          <w:p>
            <w:pPr>
              <w:spacing w:after="0"/>
              <w:rPr>
                <w:sz w:val="12"/>
                <w:szCs w:val="12"/>
                <w:color w:val="auto"/>
              </w:rPr>
            </w:pPr>
          </w:p>
        </w:tc>
        <w:tc>
          <w:tcPr>
            <w:tcW w:w="1060" w:type="dxa"/>
            <w:vAlign w:val="bottom"/>
            <w:gridSpan w:val="2"/>
          </w:tcPr>
          <w:p>
            <w:pPr>
              <w:jc w:val="center"/>
              <w:ind w:right="420"/>
              <w:spacing w:after="0" w:line="149" w:lineRule="exact"/>
              <w:rPr>
                <w:sz w:val="20"/>
                <w:szCs w:val="20"/>
                <w:color w:val="auto"/>
              </w:rPr>
            </w:pPr>
            <w:r>
              <w:rPr>
                <w:rFonts w:ascii="Arial" w:cs="Arial" w:eastAsia="Arial" w:hAnsi="Arial"/>
                <w:sz w:val="14"/>
                <w:szCs w:val="14"/>
                <w:b w:val="1"/>
                <w:bCs w:val="1"/>
                <w:color w:val="auto"/>
                <w:w w:val="89"/>
              </w:rPr>
              <w:t>Significant</w:t>
            </w:r>
          </w:p>
        </w:tc>
        <w:tc>
          <w:tcPr>
            <w:tcW w:w="3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8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84"/>
              </w:rPr>
              <w:t>Ended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5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jc w:val="right"/>
              <w:ind w:right="142"/>
              <w:spacing w:after="0" w:line="149" w:lineRule="exact"/>
              <w:rPr>
                <w:sz w:val="20"/>
                <w:szCs w:val="20"/>
                <w:color w:val="auto"/>
              </w:rPr>
            </w:pPr>
            <w:r>
              <w:rPr>
                <w:rFonts w:ascii="Arial" w:cs="Arial" w:eastAsia="Arial" w:hAnsi="Arial"/>
                <w:sz w:val="14"/>
                <w:szCs w:val="14"/>
                <w:b w:val="1"/>
                <w:bCs w:val="1"/>
                <w:color w:val="auto"/>
              </w:rPr>
              <w:t>Ended</w:t>
            </w: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tcPr>
          <w:p>
            <w:pPr>
              <w:jc w:val="center"/>
              <w:ind w:right="46"/>
              <w:spacing w:after="0" w:line="149" w:lineRule="exact"/>
              <w:rPr>
                <w:sz w:val="20"/>
                <w:szCs w:val="20"/>
                <w:color w:val="auto"/>
              </w:rPr>
            </w:pPr>
            <w:r>
              <w:rPr>
                <w:rFonts w:ascii="Arial" w:cs="Arial" w:eastAsia="Arial" w:hAnsi="Arial"/>
                <w:sz w:val="14"/>
                <w:szCs w:val="14"/>
                <w:b w:val="1"/>
                <w:bCs w:val="1"/>
                <w:color w:val="auto"/>
                <w:w w:val="90"/>
              </w:rPr>
              <w:t>for Identical</w:t>
            </w:r>
          </w:p>
        </w:tc>
        <w:tc>
          <w:tcPr>
            <w:tcW w:w="660" w:type="dxa"/>
            <w:vAlign w:val="bottom"/>
          </w:tcPr>
          <w:p>
            <w:pPr>
              <w:spacing w:after="0"/>
              <w:rPr>
                <w:sz w:val="12"/>
                <w:szCs w:val="12"/>
                <w:color w:val="auto"/>
              </w:rPr>
            </w:pPr>
          </w:p>
        </w:tc>
        <w:tc>
          <w:tcPr>
            <w:tcW w:w="1340" w:type="dxa"/>
            <w:vAlign w:val="bottom"/>
            <w:gridSpan w:val="3"/>
          </w:tcPr>
          <w:p>
            <w:pPr>
              <w:jc w:val="center"/>
              <w:ind w:right="680"/>
              <w:spacing w:after="0" w:line="149" w:lineRule="exact"/>
              <w:rPr>
                <w:sz w:val="20"/>
                <w:szCs w:val="20"/>
                <w:color w:val="auto"/>
              </w:rPr>
            </w:pPr>
            <w:r>
              <w:rPr>
                <w:rFonts w:ascii="Arial" w:cs="Arial" w:eastAsia="Arial" w:hAnsi="Arial"/>
                <w:sz w:val="14"/>
                <w:szCs w:val="14"/>
                <w:b w:val="1"/>
                <w:bCs w:val="1"/>
                <w:color w:val="auto"/>
                <w:w w:val="86"/>
              </w:rPr>
              <w:t>Observable</w:t>
            </w:r>
          </w:p>
        </w:tc>
        <w:tc>
          <w:tcPr>
            <w:tcW w:w="1140" w:type="dxa"/>
            <w:vAlign w:val="bottom"/>
            <w:gridSpan w:val="3"/>
          </w:tcPr>
          <w:p>
            <w:pPr>
              <w:jc w:val="center"/>
              <w:ind w:right="340"/>
              <w:spacing w:after="0" w:line="149" w:lineRule="exact"/>
              <w:rPr>
                <w:sz w:val="20"/>
                <w:szCs w:val="20"/>
                <w:color w:val="auto"/>
              </w:rPr>
            </w:pPr>
            <w:r>
              <w:rPr>
                <w:rFonts w:ascii="Arial" w:cs="Arial" w:eastAsia="Arial" w:hAnsi="Arial"/>
                <w:sz w:val="14"/>
                <w:szCs w:val="14"/>
                <w:b w:val="1"/>
                <w:bCs w:val="1"/>
                <w:color w:val="auto"/>
                <w:w w:val="86"/>
              </w:rPr>
              <w:t>Unobservable</w:t>
            </w:r>
          </w:p>
        </w:tc>
        <w:tc>
          <w:tcPr>
            <w:tcW w:w="340" w:type="dxa"/>
            <w:vAlign w:val="bottom"/>
          </w:tcPr>
          <w:p>
            <w:pPr>
              <w:spacing w:after="0"/>
              <w:rPr>
                <w:sz w:val="12"/>
                <w:szCs w:val="12"/>
                <w:color w:val="auto"/>
              </w:rPr>
            </w:pPr>
          </w:p>
        </w:tc>
        <w:tc>
          <w:tcPr>
            <w:tcW w:w="940" w:type="dxa"/>
            <w:vAlign w:val="bottom"/>
            <w:gridSpan w:val="3"/>
          </w:tcPr>
          <w:p>
            <w:pPr>
              <w:jc w:val="center"/>
              <w:ind w:right="100"/>
              <w:spacing w:after="0" w:line="149" w:lineRule="exact"/>
              <w:rPr>
                <w:sz w:val="20"/>
                <w:szCs w:val="20"/>
                <w:color w:val="auto"/>
              </w:rPr>
            </w:pPr>
            <w:r>
              <w:rPr>
                <w:rFonts w:ascii="Arial" w:cs="Arial" w:eastAsia="Arial" w:hAnsi="Arial"/>
                <w:sz w:val="14"/>
                <w:szCs w:val="14"/>
                <w:b w:val="1"/>
                <w:bCs w:val="1"/>
                <w:color w:val="auto"/>
                <w:w w:val="87"/>
              </w:rPr>
              <w:t>September 30,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500" w:type="dxa"/>
            <w:vAlign w:val="bottom"/>
          </w:tcPr>
          <w:p>
            <w:pPr>
              <w:spacing w:after="0"/>
              <w:rPr>
                <w:sz w:val="12"/>
                <w:szCs w:val="12"/>
                <w:color w:val="auto"/>
              </w:rPr>
            </w:pPr>
          </w:p>
        </w:tc>
        <w:tc>
          <w:tcPr>
            <w:tcW w:w="82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w w:val="83"/>
              </w:rPr>
              <w:t>September 30,</w:t>
            </w: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tcPr>
          <w:p>
            <w:pPr>
              <w:jc w:val="center"/>
              <w:ind w:right="46"/>
              <w:spacing w:after="0" w:line="149" w:lineRule="exact"/>
              <w:rPr>
                <w:sz w:val="20"/>
                <w:szCs w:val="20"/>
                <w:color w:val="auto"/>
              </w:rPr>
            </w:pPr>
            <w:r>
              <w:rPr>
                <w:rFonts w:ascii="Arial" w:cs="Arial" w:eastAsia="Arial" w:hAnsi="Arial"/>
                <w:sz w:val="14"/>
                <w:szCs w:val="14"/>
                <w:b w:val="1"/>
                <w:bCs w:val="1"/>
                <w:color w:val="auto"/>
                <w:w w:val="78"/>
              </w:rPr>
              <w:t>Assets</w:t>
            </w: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20" w:type="dxa"/>
            <w:vAlign w:val="bottom"/>
            <w:gridSpan w:val="2"/>
          </w:tcPr>
          <w:p>
            <w:pPr>
              <w:jc w:val="center"/>
              <w:ind w:right="800"/>
              <w:spacing w:after="0" w:line="149" w:lineRule="exact"/>
              <w:rPr>
                <w:sz w:val="20"/>
                <w:szCs w:val="20"/>
                <w:color w:val="auto"/>
              </w:rPr>
            </w:pPr>
            <w:r>
              <w:rPr>
                <w:rFonts w:ascii="Arial" w:cs="Arial" w:eastAsia="Arial" w:hAnsi="Arial"/>
                <w:sz w:val="14"/>
                <w:szCs w:val="14"/>
                <w:b w:val="1"/>
                <w:bCs w:val="1"/>
                <w:color w:val="auto"/>
                <w:w w:val="90"/>
              </w:rPr>
              <w:t>Inputs</w:t>
            </w:r>
          </w:p>
        </w:tc>
        <w:tc>
          <w:tcPr>
            <w:tcW w:w="80" w:type="dxa"/>
            <w:vAlign w:val="bottom"/>
          </w:tcPr>
          <w:p>
            <w:pPr>
              <w:spacing w:after="0"/>
              <w:rPr>
                <w:sz w:val="12"/>
                <w:szCs w:val="12"/>
                <w:color w:val="auto"/>
              </w:rPr>
            </w:pPr>
          </w:p>
        </w:tc>
        <w:tc>
          <w:tcPr>
            <w:tcW w:w="1060" w:type="dxa"/>
            <w:vAlign w:val="bottom"/>
            <w:gridSpan w:val="2"/>
          </w:tcPr>
          <w:p>
            <w:pPr>
              <w:jc w:val="center"/>
              <w:ind w:right="420"/>
              <w:spacing w:after="0" w:line="149" w:lineRule="exact"/>
              <w:rPr>
                <w:sz w:val="20"/>
                <w:szCs w:val="20"/>
                <w:color w:val="auto"/>
              </w:rPr>
            </w:pPr>
            <w:r>
              <w:rPr>
                <w:rFonts w:ascii="Arial" w:cs="Arial" w:eastAsia="Arial" w:hAnsi="Arial"/>
                <w:sz w:val="14"/>
                <w:szCs w:val="14"/>
                <w:b w:val="1"/>
                <w:bCs w:val="1"/>
                <w:color w:val="auto"/>
                <w:w w:val="85"/>
              </w:rPr>
              <w:t>Inputs</w:t>
            </w:r>
          </w:p>
        </w:tc>
        <w:tc>
          <w:tcPr>
            <w:tcW w:w="3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80" w:type="dxa"/>
            <w:vAlign w:val="bottom"/>
          </w:tcPr>
          <w:p>
            <w:pPr>
              <w:jc w:val="center"/>
              <w:ind w:right="80"/>
              <w:spacing w:after="0" w:line="149" w:lineRule="exact"/>
              <w:rPr>
                <w:sz w:val="20"/>
                <w:szCs w:val="20"/>
                <w:color w:val="auto"/>
              </w:rPr>
            </w:pPr>
            <w:r>
              <w:rPr>
                <w:rFonts w:ascii="Arial" w:cs="Arial" w:eastAsia="Arial" w:hAnsi="Arial"/>
                <w:sz w:val="14"/>
                <w:szCs w:val="14"/>
                <w:b w:val="1"/>
                <w:bCs w:val="1"/>
                <w:color w:val="auto"/>
                <w:w w:val="89"/>
              </w:rPr>
              <w:t>2010</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450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ind w:right="102"/>
              <w:spacing w:after="0"/>
              <w:rPr>
                <w:sz w:val="20"/>
                <w:szCs w:val="20"/>
                <w:color w:val="auto"/>
              </w:rPr>
            </w:pPr>
            <w:r>
              <w:rPr>
                <w:rFonts w:ascii="Arial" w:cs="Arial" w:eastAsia="Arial" w:hAnsi="Arial"/>
                <w:sz w:val="14"/>
                <w:szCs w:val="14"/>
                <w:b w:val="1"/>
                <w:bCs w:val="1"/>
                <w:color w:val="auto"/>
                <w:w w:val="91"/>
              </w:rPr>
              <w:t>2010 (a)</w:t>
            </w:r>
          </w:p>
        </w:tc>
        <w:tc>
          <w:tcPr>
            <w:tcW w:w="6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center"/>
              <w:ind w:right="26"/>
              <w:spacing w:after="0"/>
              <w:rPr>
                <w:sz w:val="20"/>
                <w:szCs w:val="20"/>
                <w:color w:val="auto"/>
              </w:rPr>
            </w:pPr>
            <w:r>
              <w:rPr>
                <w:rFonts w:ascii="Arial" w:cs="Arial" w:eastAsia="Arial" w:hAnsi="Arial"/>
                <w:sz w:val="14"/>
                <w:szCs w:val="14"/>
                <w:b w:val="1"/>
                <w:bCs w:val="1"/>
                <w:color w:val="auto"/>
                <w:w w:val="87"/>
              </w:rPr>
              <w:t>(Level 1)</w:t>
            </w:r>
          </w:p>
        </w:tc>
        <w:tc>
          <w:tcPr>
            <w:tcW w:w="660" w:type="dxa"/>
            <w:vAlign w:val="bottom"/>
          </w:tcPr>
          <w:p>
            <w:pPr>
              <w:spacing w:after="0"/>
              <w:rPr>
                <w:sz w:val="14"/>
                <w:szCs w:val="14"/>
                <w:color w:val="auto"/>
              </w:rPr>
            </w:pPr>
          </w:p>
        </w:tc>
        <w:tc>
          <w:tcPr>
            <w:tcW w:w="66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87"/>
              </w:rPr>
              <w:t>(Level 2)</w:t>
            </w:r>
          </w:p>
        </w:tc>
        <w:tc>
          <w:tcPr>
            <w:tcW w:w="68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center"/>
              <w:ind w:right="4"/>
              <w:spacing w:after="0"/>
              <w:rPr>
                <w:sz w:val="20"/>
                <w:szCs w:val="20"/>
                <w:color w:val="auto"/>
              </w:rPr>
            </w:pPr>
            <w:r>
              <w:rPr>
                <w:rFonts w:ascii="Arial" w:cs="Arial" w:eastAsia="Arial" w:hAnsi="Arial"/>
                <w:sz w:val="14"/>
                <w:szCs w:val="14"/>
                <w:b w:val="1"/>
                <w:bCs w:val="1"/>
                <w:color w:val="auto"/>
                <w:w w:val="91"/>
              </w:rPr>
              <w:t>(Level 3)</w:t>
            </w:r>
          </w:p>
        </w:tc>
        <w:tc>
          <w:tcPr>
            <w:tcW w:w="3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4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84"/>
              </w:rPr>
              <w:t>Total Losses</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500" w:type="dxa"/>
            <w:vAlign w:val="bottom"/>
            <w:shd w:val="clear" w:color="auto" w:fill="CCEEFF"/>
          </w:tcPr>
          <w:p>
            <w:pPr>
              <w:spacing w:after="0"/>
              <w:rPr>
                <w:sz w:val="20"/>
                <w:szCs w:val="20"/>
                <w:color w:val="auto"/>
              </w:rPr>
            </w:pPr>
            <w:r>
              <w:rPr>
                <w:rFonts w:ascii="Arial" w:cs="Arial" w:eastAsia="Arial" w:hAnsi="Arial"/>
                <w:sz w:val="18"/>
                <w:szCs w:val="18"/>
                <w:color w:val="auto"/>
              </w:rPr>
              <w:t>Product-specific tooling assets</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ind w:left="700"/>
              <w:spacing w:after="0"/>
              <w:rPr>
                <w:sz w:val="20"/>
                <w:szCs w:val="20"/>
                <w:color w:val="auto"/>
              </w:rPr>
            </w:pPr>
            <w:r>
              <w:rPr>
                <w:rFonts w:ascii="Arial" w:cs="Arial" w:eastAsia="Arial" w:hAnsi="Arial"/>
                <w:sz w:val="18"/>
                <w:szCs w:val="18"/>
                <w:color w:val="auto"/>
                <w:w w:val="88"/>
              </w:rPr>
              <w:t>—</w:t>
            </w: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(146)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00" w:type="dxa"/>
            <w:vAlign w:val="bottom"/>
          </w:tcPr>
          <w:p>
            <w:pPr>
              <w:spacing w:after="0"/>
              <w:rPr>
                <w:sz w:val="20"/>
                <w:szCs w:val="20"/>
                <w:color w:val="auto"/>
              </w:rPr>
            </w:pPr>
            <w:r>
              <w:rPr>
                <w:rFonts w:ascii="Arial" w:cs="Arial" w:eastAsia="Arial" w:hAnsi="Arial"/>
                <w:sz w:val="18"/>
                <w:szCs w:val="18"/>
                <w:color w:val="auto"/>
              </w:rPr>
              <w:t>Vehicles leased to rental car companies</w:t>
            </w: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614</w:t>
            </w: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80" w:type="dxa"/>
            <w:vAlign w:val="bottom"/>
          </w:tcPr>
          <w:p>
            <w:pPr>
              <w:ind w:left="700"/>
              <w:spacing w:after="0"/>
              <w:rPr>
                <w:sz w:val="20"/>
                <w:szCs w:val="20"/>
                <w:color w:val="auto"/>
              </w:rPr>
            </w:pPr>
            <w:r>
              <w:rPr>
                <w:rFonts w:ascii="Arial" w:cs="Arial" w:eastAsia="Arial" w:hAnsi="Arial"/>
                <w:sz w:val="18"/>
                <w:szCs w:val="18"/>
                <w:color w:val="auto"/>
                <w:w w:val="88"/>
              </w:rPr>
              <w:t>—</w:t>
            </w: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20" w:type="dxa"/>
            <w:vAlign w:val="bottom"/>
            <w:gridSpan w:val="2"/>
          </w:tcPr>
          <w:p>
            <w:pPr>
              <w:ind w:left="380"/>
              <w:spacing w:after="0"/>
              <w:rPr>
                <w:sz w:val="20"/>
                <w:szCs w:val="20"/>
                <w:color w:val="auto"/>
              </w:rPr>
            </w:pPr>
            <w:r>
              <w:rPr>
                <w:rFonts w:ascii="Arial" w:cs="Arial" w:eastAsia="Arial" w:hAnsi="Arial"/>
                <w:sz w:val="18"/>
                <w:szCs w:val="18"/>
                <w:color w:val="auto"/>
              </w:rPr>
              <w:t>—</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gridSpan w:val="2"/>
          </w:tcPr>
          <w:p>
            <w:pPr>
              <w:jc w:val="right"/>
              <w:ind w:right="340"/>
              <w:spacing w:after="0"/>
              <w:rPr>
                <w:sz w:val="20"/>
                <w:szCs w:val="20"/>
                <w:color w:val="auto"/>
              </w:rPr>
            </w:pPr>
            <w:r>
              <w:rPr>
                <w:rFonts w:ascii="Arial" w:cs="Arial" w:eastAsia="Arial" w:hAnsi="Arial"/>
                <w:sz w:val="18"/>
                <w:szCs w:val="18"/>
                <w:color w:val="auto"/>
              </w:rPr>
              <w:t>614</w:t>
            </w: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gridSpan w:val="2"/>
          </w:tcPr>
          <w:p>
            <w:pPr>
              <w:jc w:val="right"/>
              <w:ind w:right="40"/>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500" w:type="dxa"/>
            <w:vAlign w:val="bottom"/>
          </w:tcPr>
          <w:p>
            <w:pPr>
              <w:spacing w:after="0"/>
              <w:rPr>
                <w:sz w:val="2"/>
                <w:szCs w:val="2"/>
                <w:color w:val="auto"/>
              </w:rPr>
            </w:pPr>
          </w:p>
        </w:tc>
        <w:tc>
          <w:tcPr>
            <w:tcW w:w="140" w:type="dxa"/>
            <w:vAlign w:val="bottom"/>
          </w:tcPr>
          <w:p>
            <w:pPr>
              <w:spacing w:after="0"/>
              <w:rPr>
                <w:sz w:val="2"/>
                <w:szCs w:val="2"/>
                <w:color w:val="auto"/>
              </w:rPr>
            </w:pPr>
          </w:p>
        </w:tc>
        <w:tc>
          <w:tcPr>
            <w:tcW w:w="68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88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540" w:type="dxa"/>
            <w:vAlign w:val="bottom"/>
          </w:tcPr>
          <w:p>
            <w:pPr>
              <w:spacing w:after="0"/>
              <w:rPr>
                <w:sz w:val="2"/>
                <w:szCs w:val="2"/>
                <w:color w:val="auto"/>
              </w:rPr>
            </w:pPr>
          </w:p>
        </w:tc>
        <w:tc>
          <w:tcPr>
            <w:tcW w:w="680" w:type="dxa"/>
            <w:vAlign w:val="bottom"/>
          </w:tcPr>
          <w:p>
            <w:pPr>
              <w:spacing w:after="0"/>
              <w:rPr>
                <w:sz w:val="2"/>
                <w:szCs w:val="2"/>
                <w:color w:val="auto"/>
              </w:rPr>
            </w:pPr>
          </w:p>
        </w:tc>
        <w:tc>
          <w:tcPr>
            <w:tcW w:w="80" w:type="dxa"/>
            <w:vAlign w:val="bottom"/>
          </w:tcPr>
          <w:p>
            <w:pPr>
              <w:spacing w:after="0"/>
              <w:rPr>
                <w:sz w:val="2"/>
                <w:szCs w:val="2"/>
                <w:color w:val="auto"/>
              </w:rPr>
            </w:pPr>
          </w:p>
        </w:tc>
        <w:tc>
          <w:tcPr>
            <w:tcW w:w="720" w:type="dxa"/>
            <w:vAlign w:val="bottom"/>
          </w:tcPr>
          <w:p>
            <w:pPr>
              <w:spacing w:after="0"/>
              <w:rPr>
                <w:sz w:val="2"/>
                <w:szCs w:val="2"/>
                <w:color w:val="auto"/>
              </w:rPr>
            </w:pPr>
          </w:p>
        </w:tc>
        <w:tc>
          <w:tcPr>
            <w:tcW w:w="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50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(163)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5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86" w:lineRule="exact"/>
        <w:rPr>
          <w:sz w:val="20"/>
          <w:szCs w:val="20"/>
          <w:color w:val="auto"/>
        </w:rPr>
      </w:pPr>
    </w:p>
    <w:p>
      <w:pPr>
        <w:ind w:left="460" w:hanging="452"/>
        <w:spacing w:after="0"/>
        <w:tabs>
          <w:tab w:leader="none" w:pos="460" w:val="left"/>
        </w:tabs>
        <w:numPr>
          <w:ilvl w:val="0"/>
          <w:numId w:val="43"/>
        </w:numPr>
        <w:rPr>
          <w:rFonts w:ascii="Arial" w:cs="Arial" w:eastAsia="Arial" w:hAnsi="Arial"/>
          <w:sz w:val="18"/>
          <w:szCs w:val="18"/>
          <w:color w:val="auto"/>
        </w:rPr>
      </w:pPr>
      <w:r>
        <w:rPr>
          <w:rFonts w:ascii="Arial" w:cs="Arial" w:eastAsia="Arial" w:hAnsi="Arial"/>
          <w:sz w:val="18"/>
          <w:szCs w:val="18"/>
          <w:color w:val="auto"/>
        </w:rPr>
        <w:t>Amounts represent the fair value measure during the period.</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8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560" w:type="dxa"/>
            <w:vAlign w:val="bottom"/>
            <w:tcBorders>
              <w:bottom w:val="single" w:sz="8" w:color="auto"/>
            </w:tcBorders>
            <w:gridSpan w:val="4"/>
          </w:tcPr>
          <w:p>
            <w:pPr>
              <w:jc w:val="center"/>
              <w:ind w:right="460"/>
              <w:spacing w:after="0"/>
              <w:rPr>
                <w:sz w:val="20"/>
                <w:szCs w:val="20"/>
                <w:color w:val="auto"/>
              </w:rPr>
            </w:pPr>
            <w:r>
              <w:rPr>
                <w:rFonts w:ascii="Arial" w:cs="Arial" w:eastAsia="Arial" w:hAnsi="Arial"/>
                <w:sz w:val="14"/>
                <w:szCs w:val="14"/>
                <w:b w:val="1"/>
                <w:bCs w:val="1"/>
                <w:color w:val="auto"/>
                <w:w w:val="81"/>
              </w:rPr>
              <w:t>Successor</w:t>
            </w:r>
          </w:p>
        </w:tc>
        <w:tc>
          <w:tcPr>
            <w:tcW w:w="8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82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2700" w:type="dxa"/>
            <w:vAlign w:val="bottom"/>
            <w:tcBorders>
              <w:bottom w:val="single" w:sz="8" w:color="auto"/>
            </w:tcBorders>
            <w:gridSpan w:val="6"/>
          </w:tcPr>
          <w:p>
            <w:pPr>
              <w:jc w:val="center"/>
              <w:ind w:left="606"/>
              <w:spacing w:after="0" w:line="142" w:lineRule="exact"/>
              <w:rPr>
                <w:sz w:val="20"/>
                <w:szCs w:val="20"/>
                <w:color w:val="auto"/>
              </w:rPr>
            </w:pPr>
            <w:r>
              <w:rPr>
                <w:rFonts w:ascii="Arial" w:cs="Arial" w:eastAsia="Arial" w:hAnsi="Arial"/>
                <w:sz w:val="14"/>
                <w:szCs w:val="14"/>
                <w:b w:val="1"/>
                <w:bCs w:val="1"/>
                <w:color w:val="auto"/>
                <w:w w:val="87"/>
              </w:rPr>
              <w:t>Fair Value Measurements Using</w:t>
            </w:r>
          </w:p>
        </w:tc>
        <w:tc>
          <w:tcPr>
            <w:tcW w:w="8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spacing w:after="0"/>
              <w:rPr>
                <w:sz w:val="12"/>
                <w:szCs w:val="12"/>
                <w:color w:val="auto"/>
              </w:rPr>
            </w:pPr>
          </w:p>
        </w:tc>
        <w:tc>
          <w:tcPr>
            <w:tcW w:w="3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40" w:type="dxa"/>
            <w:vAlign w:val="bottom"/>
            <w:gridSpan w:val="3"/>
            <w:vMerge w:val="restart"/>
          </w:tcPr>
          <w:p>
            <w:pPr>
              <w:jc w:val="center"/>
              <w:ind w:right="100"/>
              <w:spacing w:after="0"/>
              <w:rPr>
                <w:sz w:val="20"/>
                <w:szCs w:val="20"/>
                <w:color w:val="auto"/>
              </w:rPr>
            </w:pPr>
            <w:r>
              <w:rPr>
                <w:rFonts w:ascii="Arial" w:cs="Arial" w:eastAsia="Arial" w:hAnsi="Arial"/>
                <w:sz w:val="14"/>
                <w:szCs w:val="14"/>
                <w:b w:val="1"/>
                <w:bCs w:val="1"/>
                <w:color w:val="auto"/>
                <w:w w:val="90"/>
              </w:rPr>
              <w:t>Nine Months</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38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240" w:type="dxa"/>
            <w:vAlign w:val="bottom"/>
            <w:gridSpan w:val="3"/>
          </w:tcPr>
          <w:p>
            <w:pPr>
              <w:jc w:val="center"/>
              <w:ind w:right="280"/>
              <w:spacing w:after="0" w:line="129" w:lineRule="exact"/>
              <w:rPr>
                <w:sz w:val="20"/>
                <w:szCs w:val="20"/>
                <w:color w:val="auto"/>
              </w:rPr>
            </w:pPr>
            <w:r>
              <w:rPr>
                <w:rFonts w:ascii="Arial" w:cs="Arial" w:eastAsia="Arial" w:hAnsi="Arial"/>
                <w:sz w:val="14"/>
                <w:szCs w:val="14"/>
                <w:b w:val="1"/>
                <w:bCs w:val="1"/>
                <w:color w:val="auto"/>
                <w:w w:val="86"/>
              </w:rPr>
              <w:t>Quoted Prices in</w:t>
            </w:r>
          </w:p>
        </w:tc>
        <w:tc>
          <w:tcPr>
            <w:tcW w:w="300" w:type="dxa"/>
            <w:vAlign w:val="bottom"/>
          </w:tcPr>
          <w:p>
            <w:pPr>
              <w:spacing w:after="0"/>
              <w:rPr>
                <w:sz w:val="11"/>
                <w:szCs w:val="11"/>
                <w:color w:val="auto"/>
              </w:rPr>
            </w:pPr>
          </w:p>
        </w:tc>
        <w:tc>
          <w:tcPr>
            <w:tcW w:w="1260" w:type="dxa"/>
            <w:vAlign w:val="bottom"/>
            <w:gridSpan w:val="3"/>
          </w:tcPr>
          <w:p>
            <w:pPr>
              <w:jc w:val="center"/>
              <w:ind w:right="580"/>
              <w:spacing w:after="0" w:line="129" w:lineRule="exact"/>
              <w:rPr>
                <w:sz w:val="20"/>
                <w:szCs w:val="20"/>
                <w:color w:val="auto"/>
              </w:rPr>
            </w:pPr>
            <w:r>
              <w:rPr>
                <w:rFonts w:ascii="Arial" w:cs="Arial" w:eastAsia="Arial" w:hAnsi="Arial"/>
                <w:sz w:val="14"/>
                <w:szCs w:val="14"/>
                <w:b w:val="1"/>
                <w:bCs w:val="1"/>
                <w:color w:val="auto"/>
                <w:w w:val="89"/>
              </w:rPr>
              <w:t>Significant</w:t>
            </w:r>
          </w:p>
        </w:tc>
        <w:tc>
          <w:tcPr>
            <w:tcW w:w="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940" w:type="dxa"/>
            <w:vAlign w:val="bottom"/>
            <w:gridSpan w:val="3"/>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82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400" w:type="dxa"/>
            <w:vAlign w:val="bottom"/>
            <w:gridSpan w:val="3"/>
          </w:tcPr>
          <w:p>
            <w:pPr>
              <w:jc w:val="center"/>
              <w:ind w:right="600"/>
              <w:spacing w:after="0" w:line="149" w:lineRule="exact"/>
              <w:rPr>
                <w:sz w:val="20"/>
                <w:szCs w:val="20"/>
                <w:color w:val="auto"/>
              </w:rPr>
            </w:pPr>
            <w:r>
              <w:rPr>
                <w:rFonts w:ascii="Arial" w:cs="Arial" w:eastAsia="Arial" w:hAnsi="Arial"/>
                <w:sz w:val="14"/>
                <w:szCs w:val="14"/>
                <w:b w:val="1"/>
                <w:bCs w:val="1"/>
                <w:color w:val="auto"/>
                <w:w w:val="90"/>
              </w:rPr>
              <w:t>Nine Months</w:t>
            </w:r>
          </w:p>
        </w:tc>
        <w:tc>
          <w:tcPr>
            <w:tcW w:w="1240" w:type="dxa"/>
            <w:vAlign w:val="bottom"/>
            <w:gridSpan w:val="3"/>
          </w:tcPr>
          <w:p>
            <w:pPr>
              <w:jc w:val="center"/>
              <w:ind w:right="280"/>
              <w:spacing w:after="0" w:line="149" w:lineRule="exact"/>
              <w:rPr>
                <w:sz w:val="20"/>
                <w:szCs w:val="20"/>
                <w:color w:val="auto"/>
              </w:rPr>
            </w:pPr>
            <w:r>
              <w:rPr>
                <w:rFonts w:ascii="Arial" w:cs="Arial" w:eastAsia="Arial" w:hAnsi="Arial"/>
                <w:sz w:val="14"/>
                <w:szCs w:val="14"/>
                <w:b w:val="1"/>
                <w:bCs w:val="1"/>
                <w:color w:val="auto"/>
                <w:w w:val="89"/>
              </w:rPr>
              <w:t>Active Markets</w:t>
            </w:r>
          </w:p>
        </w:tc>
        <w:tc>
          <w:tcPr>
            <w:tcW w:w="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40" w:type="dxa"/>
            <w:vAlign w:val="bottom"/>
            <w:gridSpan w:val="2"/>
          </w:tcPr>
          <w:p>
            <w:pPr>
              <w:jc w:val="center"/>
              <w:ind w:right="700"/>
              <w:spacing w:after="0" w:line="149" w:lineRule="exact"/>
              <w:rPr>
                <w:sz w:val="20"/>
                <w:szCs w:val="20"/>
                <w:color w:val="auto"/>
              </w:rPr>
            </w:pPr>
            <w:r>
              <w:rPr>
                <w:rFonts w:ascii="Arial" w:cs="Arial" w:eastAsia="Arial" w:hAnsi="Arial"/>
                <w:sz w:val="14"/>
                <w:szCs w:val="14"/>
                <w:b w:val="1"/>
                <w:bCs w:val="1"/>
                <w:color w:val="auto"/>
                <w:w w:val="96"/>
              </w:rPr>
              <w:t>Other</w:t>
            </w:r>
          </w:p>
        </w:tc>
        <w:tc>
          <w:tcPr>
            <w:tcW w:w="80" w:type="dxa"/>
            <w:vAlign w:val="bottom"/>
          </w:tcPr>
          <w:p>
            <w:pPr>
              <w:spacing w:after="0"/>
              <w:rPr>
                <w:sz w:val="12"/>
                <w:szCs w:val="12"/>
                <w:color w:val="auto"/>
              </w:rPr>
            </w:pPr>
          </w:p>
        </w:tc>
        <w:tc>
          <w:tcPr>
            <w:tcW w:w="1000" w:type="dxa"/>
            <w:vAlign w:val="bottom"/>
            <w:gridSpan w:val="2"/>
          </w:tcPr>
          <w:p>
            <w:pPr>
              <w:jc w:val="center"/>
              <w:ind w:right="380"/>
              <w:spacing w:after="0" w:line="149" w:lineRule="exact"/>
              <w:rPr>
                <w:sz w:val="20"/>
                <w:szCs w:val="20"/>
                <w:color w:val="auto"/>
              </w:rPr>
            </w:pPr>
            <w:r>
              <w:rPr>
                <w:rFonts w:ascii="Arial" w:cs="Arial" w:eastAsia="Arial" w:hAnsi="Arial"/>
                <w:sz w:val="14"/>
                <w:szCs w:val="14"/>
                <w:b w:val="1"/>
                <w:bCs w:val="1"/>
                <w:color w:val="auto"/>
                <w:w w:val="86"/>
              </w:rPr>
              <w:t>Significant</w:t>
            </w:r>
          </w:p>
        </w:tc>
        <w:tc>
          <w:tcPr>
            <w:tcW w:w="2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8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84"/>
              </w:rPr>
              <w:t>Ended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82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80" w:type="dxa"/>
            <w:vAlign w:val="bottom"/>
            <w:gridSpan w:val="2"/>
          </w:tcPr>
          <w:p>
            <w:pPr>
              <w:jc w:val="center"/>
              <w:ind w:right="700"/>
              <w:spacing w:after="0" w:line="149" w:lineRule="exact"/>
              <w:rPr>
                <w:sz w:val="20"/>
                <w:szCs w:val="20"/>
                <w:color w:val="auto"/>
              </w:rPr>
            </w:pPr>
            <w:r>
              <w:rPr>
                <w:rFonts w:ascii="Arial" w:cs="Arial" w:eastAsia="Arial" w:hAnsi="Arial"/>
                <w:sz w:val="14"/>
                <w:szCs w:val="14"/>
                <w:b w:val="1"/>
                <w:bCs w:val="1"/>
                <w:color w:val="auto"/>
                <w:w w:val="88"/>
              </w:rPr>
              <w:t>Ended</w:t>
            </w:r>
          </w:p>
        </w:tc>
        <w:tc>
          <w:tcPr>
            <w:tcW w:w="100" w:type="dxa"/>
            <w:vAlign w:val="bottom"/>
          </w:tcPr>
          <w:p>
            <w:pPr>
              <w:spacing w:after="0"/>
              <w:rPr>
                <w:sz w:val="12"/>
                <w:szCs w:val="12"/>
                <w:color w:val="auto"/>
              </w:rPr>
            </w:pPr>
          </w:p>
        </w:tc>
        <w:tc>
          <w:tcPr>
            <w:tcW w:w="1140" w:type="dxa"/>
            <w:vAlign w:val="bottom"/>
            <w:gridSpan w:val="2"/>
          </w:tcPr>
          <w:p>
            <w:pPr>
              <w:jc w:val="center"/>
              <w:ind w:right="380"/>
              <w:spacing w:after="0" w:line="149" w:lineRule="exact"/>
              <w:rPr>
                <w:sz w:val="20"/>
                <w:szCs w:val="20"/>
                <w:color w:val="auto"/>
              </w:rPr>
            </w:pPr>
            <w:r>
              <w:rPr>
                <w:rFonts w:ascii="Arial" w:cs="Arial" w:eastAsia="Arial" w:hAnsi="Arial"/>
                <w:sz w:val="14"/>
                <w:szCs w:val="14"/>
                <w:b w:val="1"/>
                <w:bCs w:val="1"/>
                <w:color w:val="auto"/>
                <w:w w:val="90"/>
              </w:rPr>
              <w:t>for Identical</w:t>
            </w:r>
          </w:p>
        </w:tc>
        <w:tc>
          <w:tcPr>
            <w:tcW w:w="300" w:type="dxa"/>
            <w:vAlign w:val="bottom"/>
          </w:tcPr>
          <w:p>
            <w:pPr>
              <w:spacing w:after="0"/>
              <w:rPr>
                <w:sz w:val="12"/>
                <w:szCs w:val="12"/>
                <w:color w:val="auto"/>
              </w:rPr>
            </w:pPr>
          </w:p>
        </w:tc>
        <w:tc>
          <w:tcPr>
            <w:tcW w:w="1260" w:type="dxa"/>
            <w:vAlign w:val="bottom"/>
            <w:gridSpan w:val="3"/>
          </w:tcPr>
          <w:p>
            <w:pPr>
              <w:jc w:val="center"/>
              <w:ind w:right="600"/>
              <w:spacing w:after="0" w:line="149" w:lineRule="exact"/>
              <w:rPr>
                <w:sz w:val="20"/>
                <w:szCs w:val="20"/>
                <w:color w:val="auto"/>
              </w:rPr>
            </w:pPr>
            <w:r>
              <w:rPr>
                <w:rFonts w:ascii="Arial" w:cs="Arial" w:eastAsia="Arial" w:hAnsi="Arial"/>
                <w:sz w:val="14"/>
                <w:szCs w:val="14"/>
                <w:b w:val="1"/>
                <w:bCs w:val="1"/>
                <w:color w:val="auto"/>
                <w:w w:val="86"/>
              </w:rPr>
              <w:t>Observable</w:t>
            </w:r>
          </w:p>
        </w:tc>
        <w:tc>
          <w:tcPr>
            <w:tcW w:w="1080" w:type="dxa"/>
            <w:vAlign w:val="bottom"/>
            <w:gridSpan w:val="3"/>
          </w:tcPr>
          <w:p>
            <w:pPr>
              <w:jc w:val="center"/>
              <w:ind w:right="300"/>
              <w:spacing w:after="0" w:line="149" w:lineRule="exact"/>
              <w:rPr>
                <w:sz w:val="20"/>
                <w:szCs w:val="20"/>
                <w:color w:val="auto"/>
              </w:rPr>
            </w:pPr>
            <w:r>
              <w:rPr>
                <w:rFonts w:ascii="Arial" w:cs="Arial" w:eastAsia="Arial" w:hAnsi="Arial"/>
                <w:sz w:val="14"/>
                <w:szCs w:val="14"/>
                <w:b w:val="1"/>
                <w:bCs w:val="1"/>
                <w:color w:val="auto"/>
                <w:w w:val="84"/>
              </w:rPr>
              <w:t>Unobservable</w:t>
            </w:r>
          </w:p>
        </w:tc>
        <w:tc>
          <w:tcPr>
            <w:tcW w:w="280" w:type="dxa"/>
            <w:vAlign w:val="bottom"/>
          </w:tcPr>
          <w:p>
            <w:pPr>
              <w:spacing w:after="0"/>
              <w:rPr>
                <w:sz w:val="12"/>
                <w:szCs w:val="12"/>
                <w:color w:val="auto"/>
              </w:rPr>
            </w:pPr>
          </w:p>
        </w:tc>
        <w:tc>
          <w:tcPr>
            <w:tcW w:w="940" w:type="dxa"/>
            <w:vAlign w:val="bottom"/>
            <w:gridSpan w:val="3"/>
          </w:tcPr>
          <w:p>
            <w:pPr>
              <w:jc w:val="center"/>
              <w:ind w:right="100"/>
              <w:spacing w:after="0" w:line="149" w:lineRule="exact"/>
              <w:rPr>
                <w:sz w:val="20"/>
                <w:szCs w:val="20"/>
                <w:color w:val="auto"/>
              </w:rPr>
            </w:pPr>
            <w:r>
              <w:rPr>
                <w:rFonts w:ascii="Arial" w:cs="Arial" w:eastAsia="Arial" w:hAnsi="Arial"/>
                <w:sz w:val="14"/>
                <w:szCs w:val="14"/>
                <w:b w:val="1"/>
                <w:bCs w:val="1"/>
                <w:color w:val="auto"/>
                <w:w w:val="87"/>
              </w:rPr>
              <w:t>September 30,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82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400" w:type="dxa"/>
            <w:vAlign w:val="bottom"/>
            <w:gridSpan w:val="3"/>
          </w:tcPr>
          <w:p>
            <w:pPr>
              <w:jc w:val="center"/>
              <w:ind w:right="580"/>
              <w:spacing w:after="0" w:line="149" w:lineRule="exact"/>
              <w:rPr>
                <w:sz w:val="20"/>
                <w:szCs w:val="20"/>
                <w:color w:val="auto"/>
              </w:rPr>
            </w:pPr>
            <w:r>
              <w:rPr>
                <w:rFonts w:ascii="Arial" w:cs="Arial" w:eastAsia="Arial" w:hAnsi="Arial"/>
                <w:sz w:val="14"/>
                <w:szCs w:val="14"/>
                <w:b w:val="1"/>
                <w:bCs w:val="1"/>
                <w:color w:val="auto"/>
                <w:w w:val="85"/>
              </w:rPr>
              <w:t>September 30,</w:t>
            </w:r>
          </w:p>
        </w:tc>
        <w:tc>
          <w:tcPr>
            <w:tcW w:w="100" w:type="dxa"/>
            <w:vAlign w:val="bottom"/>
          </w:tcPr>
          <w:p>
            <w:pPr>
              <w:spacing w:after="0"/>
              <w:rPr>
                <w:sz w:val="12"/>
                <w:szCs w:val="12"/>
                <w:color w:val="auto"/>
              </w:rPr>
            </w:pPr>
          </w:p>
        </w:tc>
        <w:tc>
          <w:tcPr>
            <w:tcW w:w="1140" w:type="dxa"/>
            <w:vAlign w:val="bottom"/>
            <w:gridSpan w:val="2"/>
          </w:tcPr>
          <w:p>
            <w:pPr>
              <w:jc w:val="center"/>
              <w:ind w:right="380"/>
              <w:spacing w:after="0" w:line="149" w:lineRule="exact"/>
              <w:rPr>
                <w:sz w:val="20"/>
                <w:szCs w:val="20"/>
                <w:color w:val="auto"/>
              </w:rPr>
            </w:pPr>
            <w:r>
              <w:rPr>
                <w:rFonts w:ascii="Arial" w:cs="Arial" w:eastAsia="Arial" w:hAnsi="Arial"/>
                <w:sz w:val="14"/>
                <w:szCs w:val="14"/>
                <w:b w:val="1"/>
                <w:bCs w:val="1"/>
                <w:color w:val="auto"/>
                <w:w w:val="78"/>
              </w:rPr>
              <w:t>Assets</w:t>
            </w:r>
          </w:p>
        </w:tc>
        <w:tc>
          <w:tcPr>
            <w:tcW w:w="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40" w:type="dxa"/>
            <w:vAlign w:val="bottom"/>
            <w:gridSpan w:val="2"/>
          </w:tcPr>
          <w:p>
            <w:pPr>
              <w:jc w:val="center"/>
              <w:ind w:right="700"/>
              <w:spacing w:after="0" w:line="149" w:lineRule="exact"/>
              <w:rPr>
                <w:sz w:val="20"/>
                <w:szCs w:val="20"/>
                <w:color w:val="auto"/>
              </w:rPr>
            </w:pPr>
            <w:r>
              <w:rPr>
                <w:rFonts w:ascii="Arial" w:cs="Arial" w:eastAsia="Arial" w:hAnsi="Arial"/>
                <w:sz w:val="14"/>
                <w:szCs w:val="14"/>
                <w:b w:val="1"/>
                <w:bCs w:val="1"/>
                <w:color w:val="auto"/>
                <w:w w:val="85"/>
              </w:rPr>
              <w:t>Inputs</w:t>
            </w:r>
          </w:p>
        </w:tc>
        <w:tc>
          <w:tcPr>
            <w:tcW w:w="80" w:type="dxa"/>
            <w:vAlign w:val="bottom"/>
          </w:tcPr>
          <w:p>
            <w:pPr>
              <w:spacing w:after="0"/>
              <w:rPr>
                <w:sz w:val="12"/>
                <w:szCs w:val="12"/>
                <w:color w:val="auto"/>
              </w:rPr>
            </w:pPr>
          </w:p>
        </w:tc>
        <w:tc>
          <w:tcPr>
            <w:tcW w:w="1000" w:type="dxa"/>
            <w:vAlign w:val="bottom"/>
            <w:gridSpan w:val="2"/>
          </w:tcPr>
          <w:p>
            <w:pPr>
              <w:jc w:val="center"/>
              <w:ind w:right="380"/>
              <w:spacing w:after="0" w:line="149" w:lineRule="exact"/>
              <w:rPr>
                <w:sz w:val="20"/>
                <w:szCs w:val="20"/>
                <w:color w:val="auto"/>
              </w:rPr>
            </w:pPr>
            <w:r>
              <w:rPr>
                <w:rFonts w:ascii="Arial" w:cs="Arial" w:eastAsia="Arial" w:hAnsi="Arial"/>
                <w:sz w:val="14"/>
                <w:szCs w:val="14"/>
                <w:b w:val="1"/>
                <w:bCs w:val="1"/>
                <w:color w:val="auto"/>
                <w:w w:val="90"/>
              </w:rPr>
              <w:t>Inputs</w:t>
            </w:r>
          </w:p>
        </w:tc>
        <w:tc>
          <w:tcPr>
            <w:tcW w:w="2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80" w:type="dxa"/>
            <w:vAlign w:val="bottom"/>
          </w:tcPr>
          <w:p>
            <w:pPr>
              <w:jc w:val="center"/>
              <w:ind w:right="80"/>
              <w:spacing w:after="0" w:line="149" w:lineRule="exact"/>
              <w:rPr>
                <w:sz w:val="20"/>
                <w:szCs w:val="20"/>
                <w:color w:val="auto"/>
              </w:rPr>
            </w:pPr>
            <w:r>
              <w:rPr>
                <w:rFonts w:ascii="Arial" w:cs="Arial" w:eastAsia="Arial" w:hAnsi="Arial"/>
                <w:sz w:val="14"/>
                <w:szCs w:val="14"/>
                <w:b w:val="1"/>
                <w:bCs w:val="1"/>
                <w:color w:val="auto"/>
                <w:w w:val="89"/>
              </w:rPr>
              <w:t>2010</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38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center"/>
              <w:ind w:right="42"/>
              <w:spacing w:after="0"/>
              <w:rPr>
                <w:sz w:val="20"/>
                <w:szCs w:val="20"/>
                <w:color w:val="auto"/>
              </w:rPr>
            </w:pPr>
            <w:r>
              <w:rPr>
                <w:rFonts w:ascii="Arial" w:cs="Arial" w:eastAsia="Arial" w:hAnsi="Arial"/>
                <w:sz w:val="14"/>
                <w:szCs w:val="14"/>
                <w:b w:val="1"/>
                <w:bCs w:val="1"/>
                <w:color w:val="auto"/>
                <w:w w:val="88"/>
              </w:rPr>
              <w:t>2010 (a)</w:t>
            </w:r>
          </w:p>
        </w:tc>
        <w:tc>
          <w:tcPr>
            <w:tcW w:w="5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center"/>
              <w:ind w:right="26"/>
              <w:spacing w:after="0"/>
              <w:rPr>
                <w:sz w:val="20"/>
                <w:szCs w:val="20"/>
                <w:color w:val="auto"/>
              </w:rPr>
            </w:pPr>
            <w:r>
              <w:rPr>
                <w:rFonts w:ascii="Arial" w:cs="Arial" w:eastAsia="Arial" w:hAnsi="Arial"/>
                <w:sz w:val="14"/>
                <w:szCs w:val="14"/>
                <w:b w:val="1"/>
                <w:bCs w:val="1"/>
                <w:color w:val="auto"/>
                <w:w w:val="91"/>
              </w:rPr>
              <w:t>(Level 1)</w:t>
            </w:r>
          </w:p>
        </w:tc>
        <w:tc>
          <w:tcPr>
            <w:tcW w:w="2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6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91"/>
              </w:rPr>
              <w:t>(Level 2)</w:t>
            </w:r>
          </w:p>
        </w:tc>
        <w:tc>
          <w:tcPr>
            <w:tcW w:w="60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center"/>
              <w:ind w:right="4"/>
              <w:spacing w:after="0"/>
              <w:rPr>
                <w:sz w:val="20"/>
                <w:szCs w:val="20"/>
                <w:color w:val="auto"/>
              </w:rPr>
            </w:pPr>
            <w:r>
              <w:rPr>
                <w:rFonts w:ascii="Arial" w:cs="Arial" w:eastAsia="Arial" w:hAnsi="Arial"/>
                <w:sz w:val="14"/>
                <w:szCs w:val="14"/>
                <w:b w:val="1"/>
                <w:bCs w:val="1"/>
                <w:color w:val="auto"/>
                <w:w w:val="87"/>
              </w:rPr>
              <w:t>(Level 3)</w:t>
            </w:r>
          </w:p>
        </w:tc>
        <w:tc>
          <w:tcPr>
            <w:tcW w:w="3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4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84"/>
              </w:rPr>
              <w:t>Total Losses</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820" w:type="dxa"/>
            <w:vAlign w:val="bottom"/>
            <w:shd w:val="clear" w:color="auto" w:fill="CCEEFF"/>
          </w:tcPr>
          <w:p>
            <w:pPr>
              <w:spacing w:after="0"/>
              <w:rPr>
                <w:sz w:val="20"/>
                <w:szCs w:val="20"/>
                <w:color w:val="auto"/>
              </w:rPr>
            </w:pPr>
            <w:r>
              <w:rPr>
                <w:rFonts w:ascii="Arial" w:cs="Arial" w:eastAsia="Arial" w:hAnsi="Arial"/>
                <w:sz w:val="18"/>
                <w:szCs w:val="18"/>
                <w:color w:val="auto"/>
              </w:rPr>
              <w:t>Product-specific tooling assets</w:t>
            </w:r>
          </w:p>
        </w:tc>
        <w:tc>
          <w:tcPr>
            <w:tcW w:w="1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8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gridSpan w:val="2"/>
            <w:shd w:val="clear" w:color="auto" w:fill="CCEEFF"/>
          </w:tcPr>
          <w:p>
            <w:pPr>
              <w:ind w:left="700"/>
              <w:spacing w:after="0"/>
              <w:rPr>
                <w:sz w:val="20"/>
                <w:szCs w:val="20"/>
                <w:color w:val="auto"/>
              </w:rPr>
            </w:pPr>
            <w:r>
              <w:rPr>
                <w:rFonts w:ascii="Arial" w:cs="Arial" w:eastAsia="Arial" w:hAnsi="Arial"/>
                <w:sz w:val="18"/>
                <w:szCs w:val="18"/>
                <w:color w:val="auto"/>
              </w:rPr>
              <w:t>—</w:t>
            </w: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(194)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20" w:type="dxa"/>
            <w:vAlign w:val="bottom"/>
          </w:tcPr>
          <w:p>
            <w:pPr>
              <w:spacing w:after="0"/>
              <w:rPr>
                <w:sz w:val="20"/>
                <w:szCs w:val="20"/>
                <w:color w:val="auto"/>
              </w:rPr>
            </w:pPr>
            <w:r>
              <w:rPr>
                <w:rFonts w:ascii="Arial" w:cs="Arial" w:eastAsia="Arial" w:hAnsi="Arial"/>
                <w:sz w:val="18"/>
                <w:szCs w:val="18"/>
                <w:color w:val="auto"/>
              </w:rPr>
              <w:t>Vehicles leased to rental car companies</w:t>
            </w:r>
          </w:p>
        </w:tc>
        <w:tc>
          <w:tcPr>
            <w:tcW w:w="1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537-614</w:t>
            </w:r>
          </w:p>
        </w:tc>
        <w:tc>
          <w:tcPr>
            <w:tcW w:w="58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gridSpan w:val="2"/>
          </w:tcPr>
          <w:p>
            <w:pPr>
              <w:ind w:left="700"/>
              <w:spacing w:after="0"/>
              <w:rPr>
                <w:sz w:val="20"/>
                <w:szCs w:val="20"/>
                <w:color w:val="auto"/>
              </w:rPr>
            </w:pPr>
            <w:r>
              <w:rPr>
                <w:rFonts w:ascii="Arial" w:cs="Arial" w:eastAsia="Arial" w:hAnsi="Arial"/>
                <w:sz w:val="18"/>
                <w:szCs w:val="18"/>
                <w:color w:val="auto"/>
              </w:rPr>
              <w:t>—</w:t>
            </w:r>
          </w:p>
        </w:tc>
        <w:tc>
          <w:tcPr>
            <w:tcW w:w="4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40" w:type="dxa"/>
            <w:vAlign w:val="bottom"/>
            <w:gridSpan w:val="2"/>
          </w:tcPr>
          <w:p>
            <w:pPr>
              <w:ind w:left="380"/>
              <w:spacing w:after="0"/>
              <w:rPr>
                <w:sz w:val="20"/>
                <w:szCs w:val="20"/>
                <w:color w:val="auto"/>
              </w:rPr>
            </w:pPr>
            <w:r>
              <w:rPr>
                <w:rFonts w:ascii="Arial" w:cs="Arial" w:eastAsia="Arial" w:hAnsi="Arial"/>
                <w:sz w:val="18"/>
                <w:szCs w:val="18"/>
                <w:color w:val="auto"/>
              </w:rPr>
              <w:t>—</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gridSpan w:val="2"/>
          </w:tcPr>
          <w:p>
            <w:pPr>
              <w:jc w:val="right"/>
              <w:ind w:right="300"/>
              <w:spacing w:after="0"/>
              <w:rPr>
                <w:sz w:val="20"/>
                <w:szCs w:val="20"/>
                <w:color w:val="auto"/>
              </w:rPr>
            </w:pPr>
            <w:r>
              <w:rPr>
                <w:rFonts w:ascii="Arial" w:cs="Arial" w:eastAsia="Arial" w:hAnsi="Arial"/>
                <w:sz w:val="18"/>
                <w:szCs w:val="18"/>
                <w:color w:val="auto"/>
              </w:rPr>
              <w:t>537-614</w:t>
            </w: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gridSpan w:val="2"/>
          </w:tcPr>
          <w:p>
            <w:pPr>
              <w:jc w:val="right"/>
              <w:ind w:right="40"/>
              <w:spacing w:after="0"/>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38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7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860" w:type="dxa"/>
            <w:vAlign w:val="bottom"/>
          </w:tcPr>
          <w:p>
            <w:pPr>
              <w:spacing w:after="0"/>
              <w:rPr>
                <w:sz w:val="2"/>
                <w:szCs w:val="2"/>
                <w:color w:val="auto"/>
              </w:rPr>
            </w:pPr>
          </w:p>
        </w:tc>
        <w:tc>
          <w:tcPr>
            <w:tcW w:w="2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540" w:type="dxa"/>
            <w:vAlign w:val="bottom"/>
          </w:tcPr>
          <w:p>
            <w:pPr>
              <w:spacing w:after="0"/>
              <w:rPr>
                <w:sz w:val="2"/>
                <w:szCs w:val="2"/>
                <w:color w:val="auto"/>
              </w:rPr>
            </w:pPr>
          </w:p>
        </w:tc>
        <w:tc>
          <w:tcPr>
            <w:tcW w:w="600" w:type="dxa"/>
            <w:vAlign w:val="bottom"/>
          </w:tcPr>
          <w:p>
            <w:pPr>
              <w:spacing w:after="0"/>
              <w:rPr>
                <w:sz w:val="2"/>
                <w:szCs w:val="2"/>
                <w:color w:val="auto"/>
              </w:rPr>
            </w:pPr>
          </w:p>
        </w:tc>
        <w:tc>
          <w:tcPr>
            <w:tcW w:w="80" w:type="dxa"/>
            <w:vAlign w:val="bottom"/>
          </w:tcPr>
          <w:p>
            <w:pPr>
              <w:spacing w:after="0"/>
              <w:rPr>
                <w:sz w:val="2"/>
                <w:szCs w:val="2"/>
                <w:color w:val="auto"/>
              </w:rPr>
            </w:pPr>
          </w:p>
        </w:tc>
        <w:tc>
          <w:tcPr>
            <w:tcW w:w="700" w:type="dxa"/>
            <w:vAlign w:val="bottom"/>
          </w:tcPr>
          <w:p>
            <w:pPr>
              <w:spacing w:after="0"/>
              <w:rPr>
                <w:sz w:val="2"/>
                <w:szCs w:val="2"/>
                <w:color w:val="auto"/>
              </w:rPr>
            </w:pPr>
          </w:p>
        </w:tc>
        <w:tc>
          <w:tcPr>
            <w:tcW w:w="3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382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10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(226)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8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86" w:lineRule="exact"/>
        <w:rPr>
          <w:sz w:val="20"/>
          <w:szCs w:val="20"/>
          <w:color w:val="auto"/>
        </w:rPr>
      </w:pPr>
    </w:p>
    <w:p>
      <w:pPr>
        <w:ind w:left="460" w:hanging="452"/>
        <w:spacing w:after="0"/>
        <w:tabs>
          <w:tab w:leader="none" w:pos="460" w:val="left"/>
        </w:tabs>
        <w:numPr>
          <w:ilvl w:val="0"/>
          <w:numId w:val="44"/>
        </w:numPr>
        <w:rPr>
          <w:rFonts w:ascii="Arial" w:cs="Arial" w:eastAsia="Arial" w:hAnsi="Arial"/>
          <w:sz w:val="18"/>
          <w:szCs w:val="18"/>
          <w:color w:val="auto"/>
        </w:rPr>
      </w:pPr>
      <w:r>
        <w:rPr>
          <w:rFonts w:ascii="Arial" w:cs="Arial" w:eastAsia="Arial" w:hAnsi="Arial"/>
          <w:sz w:val="18"/>
          <w:szCs w:val="18"/>
          <w:color w:val="auto"/>
        </w:rPr>
        <w:t>Amounts represent the fair value measure (or range of measures) during the period.</w:t>
      </w:r>
    </w:p>
    <w:p>
      <w:pPr>
        <w:spacing w:after="0" w:line="171"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GMNA</w:t>
      </w:r>
    </w:p>
    <w:p>
      <w:pPr>
        <w:spacing w:after="0" w:line="171" w:lineRule="exact"/>
        <w:rPr>
          <w:sz w:val="20"/>
          <w:szCs w:val="20"/>
          <w:color w:val="auto"/>
        </w:rPr>
      </w:pPr>
    </w:p>
    <w:p>
      <w:pPr>
        <w:ind w:right="60" w:firstLine="228"/>
        <w:spacing w:after="0" w:line="259" w:lineRule="auto"/>
        <w:rPr>
          <w:sz w:val="20"/>
          <w:szCs w:val="20"/>
          <w:color w:val="auto"/>
        </w:rPr>
      </w:pPr>
      <w:r>
        <w:rPr>
          <w:rFonts w:ascii="Arial" w:cs="Arial" w:eastAsia="Arial" w:hAnsi="Arial"/>
          <w:sz w:val="18"/>
          <w:szCs w:val="18"/>
          <w:color w:val="auto"/>
        </w:rPr>
        <w:t>Product-specific tooling assets were adjusted to their fair value at the time of impairment, resulting in impairment charges of $140 million and $188 million in the three and nine months ended September 30, 2010. Fair value measurements utilized projected cash flows, discounted at a rate commensurate with the perceived business risks related to the assets involved.</w:t>
      </w:r>
    </w:p>
    <w:p>
      <w:pPr>
        <w:spacing w:after="0" w:line="140"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GME</w:t>
      </w:r>
    </w:p>
    <w:p>
      <w:pPr>
        <w:spacing w:after="0" w:line="171" w:lineRule="exact"/>
        <w:rPr>
          <w:sz w:val="20"/>
          <w:szCs w:val="20"/>
          <w:color w:val="auto"/>
        </w:rPr>
      </w:pPr>
    </w:p>
    <w:p>
      <w:pPr>
        <w:ind w:right="360" w:firstLine="228"/>
        <w:spacing w:after="0" w:line="332" w:lineRule="auto"/>
        <w:rPr>
          <w:sz w:val="20"/>
          <w:szCs w:val="20"/>
          <w:color w:val="auto"/>
        </w:rPr>
      </w:pPr>
      <w:r>
        <w:rPr>
          <w:rFonts w:ascii="Arial" w:cs="Arial" w:eastAsia="Arial" w:hAnsi="Arial"/>
          <w:sz w:val="16"/>
          <w:szCs w:val="16"/>
          <w:color w:val="auto"/>
        </w:rPr>
        <w:t>Vehicles leased to rental car companies were adjusted to their fair value at the time of impairment, resulting in impairment charges of $17 million and $32 million in the three and nine months ended September 30, 2010. Fair value measurements utilized projected cash flows from vehicle sales at auction.</w:t>
      </w:r>
    </w:p>
    <w:p>
      <w:pPr>
        <w:spacing w:after="0" w:line="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64</w:t>
      </w:r>
    </w:p>
    <w:p>
      <w:pPr>
        <w:sectPr>
          <w:pgSz w:w="11900" w:h="16838" w:orient="portrait"/>
          <w:cols w:equalWidth="0" w:num="1">
            <w:col w:w="11420"/>
          </w:cols>
          <w:pgMar w:left="240" w:top="459" w:right="239" w:bottom="1440" w:gutter="0" w:footer="0" w:header="0"/>
        </w:sectPr>
      </w:pPr>
    </w:p>
    <w:bookmarkStart w:id="66" w:name="page67"/>
    <w:bookmarkEnd w:id="6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339"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July 10, 2009 Through September 30, 2009</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60" w:type="dxa"/>
            <w:vAlign w:val="bottom"/>
          </w:tcPr>
          <w:p>
            <w:pPr>
              <w:spacing w:after="0"/>
              <w:rPr>
                <w:sz w:val="14"/>
                <w:szCs w:val="14"/>
                <w:color w:val="auto"/>
              </w:rPr>
            </w:pPr>
          </w:p>
        </w:tc>
        <w:tc>
          <w:tcPr>
            <w:tcW w:w="348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spacing w:after="0"/>
              <w:rPr>
                <w:sz w:val="14"/>
                <w:szCs w:val="14"/>
                <w:color w:val="auto"/>
              </w:rPr>
            </w:pPr>
          </w:p>
        </w:tc>
        <w:tc>
          <w:tcPr>
            <w:tcW w:w="2040" w:type="dxa"/>
            <w:vAlign w:val="bottom"/>
            <w:tcBorders>
              <w:bottom w:val="single" w:sz="8" w:color="auto"/>
            </w:tcBorders>
            <w:gridSpan w:val="4"/>
          </w:tcPr>
          <w:p>
            <w:pPr>
              <w:ind w:left="580"/>
              <w:spacing w:after="0"/>
              <w:rPr>
                <w:sz w:val="20"/>
                <w:szCs w:val="20"/>
                <w:color w:val="auto"/>
              </w:rPr>
            </w:pPr>
            <w:r>
              <w:rPr>
                <w:rFonts w:ascii="Arial" w:cs="Arial" w:eastAsia="Arial" w:hAnsi="Arial"/>
                <w:sz w:val="14"/>
                <w:szCs w:val="14"/>
                <w:b w:val="1"/>
                <w:bCs w:val="1"/>
                <w:color w:val="auto"/>
              </w:rPr>
              <w:t>Successor</w:t>
            </w:r>
          </w:p>
        </w:tc>
        <w:tc>
          <w:tcPr>
            <w:tcW w:w="10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1160" w:type="dxa"/>
            <w:vAlign w:val="bottom"/>
          </w:tcPr>
          <w:p>
            <w:pPr>
              <w:spacing w:after="0"/>
              <w:rPr>
                <w:sz w:val="12"/>
                <w:szCs w:val="12"/>
                <w:color w:val="auto"/>
              </w:rPr>
            </w:pPr>
          </w:p>
        </w:tc>
        <w:tc>
          <w:tcPr>
            <w:tcW w:w="34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tcPr>
          <w:p>
            <w:pPr>
              <w:spacing w:after="0"/>
              <w:rPr>
                <w:sz w:val="12"/>
                <w:szCs w:val="12"/>
                <w:color w:val="auto"/>
              </w:rPr>
            </w:pPr>
          </w:p>
        </w:tc>
        <w:tc>
          <w:tcPr>
            <w:tcW w:w="2040" w:type="dxa"/>
            <w:vAlign w:val="bottom"/>
            <w:tcBorders>
              <w:bottom w:val="single" w:sz="8" w:color="auto"/>
            </w:tcBorders>
            <w:gridSpan w:val="4"/>
          </w:tcPr>
          <w:p>
            <w:pPr>
              <w:ind w:left="20"/>
              <w:spacing w:after="0" w:line="142" w:lineRule="exact"/>
              <w:rPr>
                <w:sz w:val="20"/>
                <w:szCs w:val="20"/>
                <w:color w:val="auto"/>
              </w:rPr>
            </w:pPr>
            <w:r>
              <w:rPr>
                <w:rFonts w:ascii="Arial" w:cs="Arial" w:eastAsia="Arial" w:hAnsi="Arial"/>
                <w:sz w:val="14"/>
                <w:szCs w:val="14"/>
                <w:b w:val="1"/>
                <w:bCs w:val="1"/>
                <w:color w:val="auto"/>
                <w:w w:val="94"/>
              </w:rPr>
              <w:t>Fair Value Measurements Using</w:t>
            </w:r>
          </w:p>
        </w:tc>
        <w:tc>
          <w:tcPr>
            <w:tcW w:w="10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spacing w:after="0"/>
              <w:rPr>
                <w:sz w:val="12"/>
                <w:szCs w:val="12"/>
                <w:color w:val="auto"/>
              </w:rPr>
            </w:pPr>
          </w:p>
        </w:tc>
        <w:tc>
          <w:tcPr>
            <w:tcW w:w="7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gridSpan w:val="2"/>
            <w:vMerge w:val="restart"/>
          </w:tcPr>
          <w:p>
            <w:pPr>
              <w:jc w:val="center"/>
              <w:ind w:right="200"/>
              <w:spacing w:after="0"/>
              <w:rPr>
                <w:sz w:val="20"/>
                <w:szCs w:val="20"/>
                <w:color w:val="auto"/>
              </w:rPr>
            </w:pPr>
            <w:r>
              <w:rPr>
                <w:rFonts w:ascii="Arial" w:cs="Arial" w:eastAsia="Arial" w:hAnsi="Arial"/>
                <w:sz w:val="14"/>
                <w:szCs w:val="14"/>
                <w:b w:val="1"/>
                <w:bCs w:val="1"/>
                <w:color w:val="auto"/>
                <w:w w:val="85"/>
              </w:rPr>
              <w:t>July 10,</w:t>
            </w:r>
          </w:p>
        </w:tc>
        <w:tc>
          <w:tcPr>
            <w:tcW w:w="0" w:type="dxa"/>
            <w:vAlign w:val="bottom"/>
          </w:tcPr>
          <w:p>
            <w:pPr>
              <w:spacing w:after="0"/>
              <w:rPr>
                <w:sz w:val="1"/>
                <w:szCs w:val="1"/>
                <w:color w:val="auto"/>
              </w:rPr>
            </w:pPr>
          </w:p>
        </w:tc>
      </w:tr>
      <w:tr>
        <w:trPr>
          <w:trHeight w:val="129"/>
        </w:trPr>
        <w:tc>
          <w:tcPr>
            <w:tcW w:w="1160" w:type="dxa"/>
            <w:vAlign w:val="bottom"/>
          </w:tcPr>
          <w:p>
            <w:pPr>
              <w:spacing w:after="0"/>
              <w:rPr>
                <w:sz w:val="11"/>
                <w:szCs w:val="11"/>
                <w:color w:val="auto"/>
              </w:rPr>
            </w:pPr>
          </w:p>
        </w:tc>
        <w:tc>
          <w:tcPr>
            <w:tcW w:w="34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gridSpan w:val="2"/>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1160" w:type="dxa"/>
            <w:vAlign w:val="bottom"/>
          </w:tcPr>
          <w:p>
            <w:pPr>
              <w:spacing w:after="0"/>
              <w:rPr>
                <w:sz w:val="12"/>
                <w:szCs w:val="12"/>
                <w:color w:val="auto"/>
              </w:rPr>
            </w:pPr>
          </w:p>
        </w:tc>
        <w:tc>
          <w:tcPr>
            <w:tcW w:w="34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jc w:val="center"/>
              <w:ind w:right="24"/>
              <w:spacing w:after="0" w:line="149" w:lineRule="exact"/>
              <w:rPr>
                <w:sz w:val="20"/>
                <w:szCs w:val="20"/>
                <w:color w:val="auto"/>
              </w:rPr>
            </w:pPr>
            <w:r>
              <w:rPr>
                <w:rFonts w:ascii="Arial" w:cs="Arial" w:eastAsia="Arial" w:hAnsi="Arial"/>
                <w:sz w:val="14"/>
                <w:szCs w:val="14"/>
                <w:b w:val="1"/>
                <w:bCs w:val="1"/>
                <w:color w:val="auto"/>
                <w:w w:val="89"/>
              </w:rPr>
              <w:t>2009</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160" w:type="dxa"/>
            <w:vAlign w:val="bottom"/>
          </w:tcPr>
          <w:p>
            <w:pPr>
              <w:spacing w:after="0"/>
              <w:rPr>
                <w:sz w:val="12"/>
                <w:szCs w:val="12"/>
                <w:color w:val="auto"/>
              </w:rPr>
            </w:pPr>
          </w:p>
        </w:tc>
        <w:tc>
          <w:tcPr>
            <w:tcW w:w="34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760" w:type="dxa"/>
            <w:vAlign w:val="bottom"/>
            <w:gridSpan w:val="3"/>
          </w:tcPr>
          <w:p>
            <w:pPr>
              <w:jc w:val="center"/>
              <w:ind w:right="120"/>
              <w:spacing w:after="0" w:line="149" w:lineRule="exact"/>
              <w:rPr>
                <w:sz w:val="20"/>
                <w:szCs w:val="20"/>
                <w:color w:val="auto"/>
              </w:rPr>
            </w:pPr>
            <w:r>
              <w:rPr>
                <w:rFonts w:ascii="Arial" w:cs="Arial" w:eastAsia="Arial" w:hAnsi="Arial"/>
                <w:sz w:val="14"/>
                <w:szCs w:val="14"/>
                <w:b w:val="1"/>
                <w:bCs w:val="1"/>
                <w:color w:val="auto"/>
                <w:w w:val="91"/>
              </w:rPr>
              <w:t>Through</w:t>
            </w:r>
          </w:p>
        </w:tc>
        <w:tc>
          <w:tcPr>
            <w:tcW w:w="0" w:type="dxa"/>
            <w:vAlign w:val="bottom"/>
          </w:tcPr>
          <w:p>
            <w:pPr>
              <w:spacing w:after="0"/>
              <w:rPr>
                <w:sz w:val="1"/>
                <w:szCs w:val="1"/>
                <w:color w:val="auto"/>
              </w:rPr>
            </w:pPr>
          </w:p>
        </w:tc>
      </w:tr>
      <w:tr>
        <w:trPr>
          <w:trHeight w:val="149"/>
        </w:trPr>
        <w:tc>
          <w:tcPr>
            <w:tcW w:w="1160" w:type="dxa"/>
            <w:vAlign w:val="bottom"/>
          </w:tcPr>
          <w:p>
            <w:pPr>
              <w:spacing w:after="0"/>
              <w:rPr>
                <w:sz w:val="12"/>
                <w:szCs w:val="12"/>
                <w:color w:val="auto"/>
              </w:rPr>
            </w:pPr>
          </w:p>
        </w:tc>
        <w:tc>
          <w:tcPr>
            <w:tcW w:w="34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96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w w:val="84"/>
              </w:rPr>
              <w:t>Quoted Prices in</w:t>
            </w:r>
          </w:p>
        </w:tc>
        <w:tc>
          <w:tcPr>
            <w:tcW w:w="700" w:type="dxa"/>
            <w:vAlign w:val="bottom"/>
          </w:tcPr>
          <w:p>
            <w:pPr>
              <w:spacing w:after="0"/>
              <w:rPr>
                <w:sz w:val="12"/>
                <w:szCs w:val="12"/>
                <w:color w:val="auto"/>
              </w:rPr>
            </w:pPr>
          </w:p>
        </w:tc>
        <w:tc>
          <w:tcPr>
            <w:tcW w:w="1340" w:type="dxa"/>
            <w:vAlign w:val="bottom"/>
            <w:gridSpan w:val="3"/>
          </w:tcPr>
          <w:p>
            <w:pPr>
              <w:ind w:left="20"/>
              <w:spacing w:after="0" w:line="149" w:lineRule="exact"/>
              <w:rPr>
                <w:sz w:val="20"/>
                <w:szCs w:val="20"/>
                <w:color w:val="auto"/>
              </w:rPr>
            </w:pPr>
            <w:r>
              <w:rPr>
                <w:rFonts w:ascii="Arial" w:cs="Arial" w:eastAsia="Arial" w:hAnsi="Arial"/>
                <w:sz w:val="14"/>
                <w:szCs w:val="14"/>
                <w:b w:val="1"/>
                <w:bCs w:val="1"/>
                <w:color w:val="auto"/>
              </w:rPr>
              <w:t>Significant</w:t>
            </w: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760" w:type="dxa"/>
            <w:vAlign w:val="bottom"/>
            <w:gridSpan w:val="3"/>
          </w:tcPr>
          <w:p>
            <w:pPr>
              <w:jc w:val="center"/>
              <w:ind w:right="140"/>
              <w:spacing w:after="0" w:line="149" w:lineRule="exact"/>
              <w:rPr>
                <w:sz w:val="20"/>
                <w:szCs w:val="20"/>
                <w:color w:val="auto"/>
              </w:rPr>
            </w:pPr>
            <w:r>
              <w:rPr>
                <w:rFonts w:ascii="Arial" w:cs="Arial" w:eastAsia="Arial" w:hAnsi="Arial"/>
                <w:sz w:val="14"/>
                <w:szCs w:val="14"/>
                <w:b w:val="1"/>
                <w:bCs w:val="1"/>
                <w:color w:val="auto"/>
                <w:w w:val="85"/>
              </w:rPr>
              <w:t>September</w:t>
            </w:r>
          </w:p>
        </w:tc>
        <w:tc>
          <w:tcPr>
            <w:tcW w:w="0" w:type="dxa"/>
            <w:vAlign w:val="bottom"/>
          </w:tcPr>
          <w:p>
            <w:pPr>
              <w:spacing w:after="0"/>
              <w:rPr>
                <w:sz w:val="1"/>
                <w:szCs w:val="1"/>
                <w:color w:val="auto"/>
              </w:rPr>
            </w:pPr>
          </w:p>
        </w:tc>
      </w:tr>
      <w:tr>
        <w:trPr>
          <w:trHeight w:val="149"/>
        </w:trPr>
        <w:tc>
          <w:tcPr>
            <w:tcW w:w="1160" w:type="dxa"/>
            <w:vAlign w:val="bottom"/>
          </w:tcPr>
          <w:p>
            <w:pPr>
              <w:spacing w:after="0"/>
              <w:rPr>
                <w:sz w:val="12"/>
                <w:szCs w:val="12"/>
                <w:color w:val="auto"/>
              </w:rPr>
            </w:pPr>
          </w:p>
        </w:tc>
        <w:tc>
          <w:tcPr>
            <w:tcW w:w="34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96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9"/>
              </w:rPr>
              <w:t>Active Markets</w:t>
            </w: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40" w:type="dxa"/>
            <w:vAlign w:val="bottom"/>
            <w:gridSpan w:val="2"/>
          </w:tcPr>
          <w:p>
            <w:pPr>
              <w:jc w:val="center"/>
              <w:ind w:right="780"/>
              <w:spacing w:after="0" w:line="149" w:lineRule="exact"/>
              <w:rPr>
                <w:sz w:val="20"/>
                <w:szCs w:val="20"/>
                <w:color w:val="auto"/>
              </w:rPr>
            </w:pPr>
            <w:r>
              <w:rPr>
                <w:rFonts w:ascii="Arial" w:cs="Arial" w:eastAsia="Arial" w:hAnsi="Arial"/>
                <w:sz w:val="14"/>
                <w:szCs w:val="14"/>
                <w:b w:val="1"/>
                <w:bCs w:val="1"/>
                <w:color w:val="auto"/>
                <w:w w:val="90"/>
              </w:rPr>
              <w:t>Other</w:t>
            </w:r>
          </w:p>
        </w:tc>
        <w:tc>
          <w:tcPr>
            <w:tcW w:w="100" w:type="dxa"/>
            <w:vAlign w:val="bottom"/>
          </w:tcPr>
          <w:p>
            <w:pPr>
              <w:spacing w:after="0"/>
              <w:rPr>
                <w:sz w:val="12"/>
                <w:szCs w:val="12"/>
                <w:color w:val="auto"/>
              </w:rPr>
            </w:pPr>
          </w:p>
        </w:tc>
        <w:tc>
          <w:tcPr>
            <w:tcW w:w="1400" w:type="dxa"/>
            <w:vAlign w:val="bottom"/>
            <w:gridSpan w:val="2"/>
          </w:tcPr>
          <w:p>
            <w:pPr>
              <w:jc w:val="center"/>
              <w:ind w:right="780"/>
              <w:spacing w:after="0" w:line="149" w:lineRule="exact"/>
              <w:rPr>
                <w:sz w:val="20"/>
                <w:szCs w:val="20"/>
                <w:color w:val="auto"/>
              </w:rPr>
            </w:pPr>
            <w:r>
              <w:rPr>
                <w:rFonts w:ascii="Arial" w:cs="Arial" w:eastAsia="Arial" w:hAnsi="Arial"/>
                <w:sz w:val="14"/>
                <w:szCs w:val="14"/>
                <w:b w:val="1"/>
                <w:bCs w:val="1"/>
                <w:color w:val="auto"/>
                <w:w w:val="86"/>
              </w:rPr>
              <w:t>Significant</w:t>
            </w:r>
          </w:p>
        </w:tc>
        <w:tc>
          <w:tcPr>
            <w:tcW w:w="80" w:type="dxa"/>
            <w:vAlign w:val="bottom"/>
          </w:tcPr>
          <w:p>
            <w:pPr>
              <w:spacing w:after="0"/>
              <w:rPr>
                <w:sz w:val="12"/>
                <w:szCs w:val="12"/>
                <w:color w:val="auto"/>
              </w:rPr>
            </w:pPr>
          </w:p>
        </w:tc>
        <w:tc>
          <w:tcPr>
            <w:tcW w:w="580" w:type="dxa"/>
            <w:vAlign w:val="bottom"/>
          </w:tcPr>
          <w:p>
            <w:pPr>
              <w:jc w:val="center"/>
              <w:ind w:right="24"/>
              <w:spacing w:after="0" w:line="149" w:lineRule="exact"/>
              <w:rPr>
                <w:sz w:val="20"/>
                <w:szCs w:val="20"/>
                <w:color w:val="auto"/>
              </w:rPr>
            </w:pPr>
            <w:r>
              <w:rPr>
                <w:rFonts w:ascii="Arial" w:cs="Arial" w:eastAsia="Arial" w:hAnsi="Arial"/>
                <w:sz w:val="14"/>
                <w:szCs w:val="14"/>
                <w:b w:val="1"/>
                <w:bCs w:val="1"/>
                <w:color w:val="auto"/>
                <w:w w:val="81"/>
              </w:rPr>
              <w:t>30,</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160" w:type="dxa"/>
            <w:vAlign w:val="bottom"/>
          </w:tcPr>
          <w:p>
            <w:pPr>
              <w:spacing w:after="0"/>
              <w:rPr>
                <w:sz w:val="12"/>
                <w:szCs w:val="12"/>
                <w:color w:val="auto"/>
              </w:rPr>
            </w:pPr>
          </w:p>
        </w:tc>
        <w:tc>
          <w:tcPr>
            <w:tcW w:w="3480" w:type="dxa"/>
            <w:vAlign w:val="bottom"/>
          </w:tcPr>
          <w:p>
            <w:pPr>
              <w:spacing w:after="0"/>
              <w:rPr>
                <w:sz w:val="12"/>
                <w:szCs w:val="12"/>
                <w:color w:val="auto"/>
              </w:rPr>
            </w:pPr>
          </w:p>
        </w:tc>
        <w:tc>
          <w:tcPr>
            <w:tcW w:w="1520" w:type="dxa"/>
            <w:vAlign w:val="bottom"/>
            <w:gridSpan w:val="3"/>
          </w:tcPr>
          <w:p>
            <w:pPr>
              <w:ind w:left="20"/>
              <w:spacing w:after="0" w:line="149" w:lineRule="exact"/>
              <w:rPr>
                <w:sz w:val="20"/>
                <w:szCs w:val="20"/>
                <w:color w:val="auto"/>
              </w:rPr>
            </w:pPr>
            <w:r>
              <w:rPr>
                <w:rFonts w:ascii="Arial" w:cs="Arial" w:eastAsia="Arial" w:hAnsi="Arial"/>
                <w:sz w:val="14"/>
                <w:szCs w:val="14"/>
                <w:b w:val="1"/>
                <w:bCs w:val="1"/>
                <w:color w:val="auto"/>
              </w:rPr>
              <w:t>Period Ended</w:t>
            </w:r>
          </w:p>
        </w:tc>
        <w:tc>
          <w:tcPr>
            <w:tcW w:w="100" w:type="dxa"/>
            <w:vAlign w:val="bottom"/>
          </w:tcPr>
          <w:p>
            <w:pPr>
              <w:spacing w:after="0"/>
              <w:rPr>
                <w:sz w:val="12"/>
                <w:szCs w:val="12"/>
                <w:color w:val="auto"/>
              </w:rPr>
            </w:pPr>
          </w:p>
        </w:tc>
        <w:tc>
          <w:tcPr>
            <w:tcW w:w="860" w:type="dxa"/>
            <w:vAlign w:val="bottom"/>
          </w:tcPr>
          <w:p>
            <w:pPr>
              <w:jc w:val="center"/>
              <w:ind w:right="22"/>
              <w:spacing w:after="0" w:line="149" w:lineRule="exact"/>
              <w:rPr>
                <w:sz w:val="20"/>
                <w:szCs w:val="20"/>
                <w:color w:val="auto"/>
              </w:rPr>
            </w:pPr>
            <w:r>
              <w:rPr>
                <w:rFonts w:ascii="Arial" w:cs="Arial" w:eastAsia="Arial" w:hAnsi="Arial"/>
                <w:sz w:val="14"/>
                <w:szCs w:val="14"/>
                <w:b w:val="1"/>
                <w:bCs w:val="1"/>
                <w:color w:val="auto"/>
                <w:w w:val="90"/>
              </w:rPr>
              <w:t>for Identical</w:t>
            </w:r>
          </w:p>
        </w:tc>
        <w:tc>
          <w:tcPr>
            <w:tcW w:w="700" w:type="dxa"/>
            <w:vAlign w:val="bottom"/>
          </w:tcPr>
          <w:p>
            <w:pPr>
              <w:spacing w:after="0"/>
              <w:rPr>
                <w:sz w:val="12"/>
                <w:szCs w:val="12"/>
                <w:color w:val="auto"/>
              </w:rPr>
            </w:pPr>
          </w:p>
        </w:tc>
        <w:tc>
          <w:tcPr>
            <w:tcW w:w="134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Observable</w:t>
            </w:r>
          </w:p>
        </w:tc>
        <w:tc>
          <w:tcPr>
            <w:tcW w:w="150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Unobservable</w:t>
            </w:r>
          </w:p>
        </w:tc>
        <w:tc>
          <w:tcPr>
            <w:tcW w:w="80" w:type="dxa"/>
            <w:vAlign w:val="bottom"/>
          </w:tcPr>
          <w:p>
            <w:pPr>
              <w:spacing w:after="0"/>
              <w:rPr>
                <w:sz w:val="12"/>
                <w:szCs w:val="12"/>
                <w:color w:val="auto"/>
              </w:rPr>
            </w:pPr>
          </w:p>
        </w:tc>
        <w:tc>
          <w:tcPr>
            <w:tcW w:w="580" w:type="dxa"/>
            <w:vAlign w:val="bottom"/>
          </w:tcPr>
          <w:p>
            <w:pPr>
              <w:jc w:val="center"/>
              <w:ind w:right="24"/>
              <w:spacing w:after="0" w:line="149" w:lineRule="exact"/>
              <w:rPr>
                <w:sz w:val="20"/>
                <w:szCs w:val="20"/>
                <w:color w:val="auto"/>
              </w:rPr>
            </w:pPr>
            <w:r>
              <w:rPr>
                <w:rFonts w:ascii="Arial" w:cs="Arial" w:eastAsia="Arial" w:hAnsi="Arial"/>
                <w:sz w:val="14"/>
                <w:szCs w:val="14"/>
                <w:b w:val="1"/>
                <w:bCs w:val="1"/>
                <w:color w:val="auto"/>
                <w:w w:val="89"/>
              </w:rPr>
              <w:t>2009</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160" w:type="dxa"/>
            <w:vAlign w:val="bottom"/>
          </w:tcPr>
          <w:p>
            <w:pPr>
              <w:spacing w:after="0"/>
              <w:rPr>
                <w:sz w:val="12"/>
                <w:szCs w:val="12"/>
                <w:color w:val="auto"/>
              </w:rPr>
            </w:pPr>
          </w:p>
        </w:tc>
        <w:tc>
          <w:tcPr>
            <w:tcW w:w="3480" w:type="dxa"/>
            <w:vAlign w:val="bottom"/>
          </w:tcPr>
          <w:p>
            <w:pPr>
              <w:spacing w:after="0"/>
              <w:rPr>
                <w:sz w:val="12"/>
                <w:szCs w:val="12"/>
                <w:color w:val="auto"/>
              </w:rPr>
            </w:pPr>
          </w:p>
        </w:tc>
        <w:tc>
          <w:tcPr>
            <w:tcW w:w="152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September 30,</w:t>
            </w:r>
          </w:p>
        </w:tc>
        <w:tc>
          <w:tcPr>
            <w:tcW w:w="100" w:type="dxa"/>
            <w:vAlign w:val="bottom"/>
          </w:tcPr>
          <w:p>
            <w:pPr>
              <w:spacing w:after="0"/>
              <w:rPr>
                <w:sz w:val="12"/>
                <w:szCs w:val="12"/>
                <w:color w:val="auto"/>
              </w:rPr>
            </w:pPr>
          </w:p>
        </w:tc>
        <w:tc>
          <w:tcPr>
            <w:tcW w:w="860" w:type="dxa"/>
            <w:vAlign w:val="bottom"/>
          </w:tcPr>
          <w:p>
            <w:pPr>
              <w:jc w:val="center"/>
              <w:ind w:right="22"/>
              <w:spacing w:after="0" w:line="149" w:lineRule="exact"/>
              <w:rPr>
                <w:sz w:val="20"/>
                <w:szCs w:val="20"/>
                <w:color w:val="auto"/>
              </w:rPr>
            </w:pPr>
            <w:r>
              <w:rPr>
                <w:rFonts w:ascii="Arial" w:cs="Arial" w:eastAsia="Arial" w:hAnsi="Arial"/>
                <w:sz w:val="14"/>
                <w:szCs w:val="14"/>
                <w:b w:val="1"/>
                <w:bCs w:val="1"/>
                <w:color w:val="auto"/>
                <w:w w:val="78"/>
              </w:rPr>
              <w:t>Assets</w:t>
            </w: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40" w:type="dxa"/>
            <w:vAlign w:val="bottom"/>
            <w:gridSpan w:val="2"/>
          </w:tcPr>
          <w:p>
            <w:pPr>
              <w:jc w:val="center"/>
              <w:ind w:right="780"/>
              <w:spacing w:after="0" w:line="149" w:lineRule="exact"/>
              <w:rPr>
                <w:sz w:val="20"/>
                <w:szCs w:val="20"/>
                <w:color w:val="auto"/>
              </w:rPr>
            </w:pPr>
            <w:r>
              <w:rPr>
                <w:rFonts w:ascii="Arial" w:cs="Arial" w:eastAsia="Arial" w:hAnsi="Arial"/>
                <w:sz w:val="14"/>
                <w:szCs w:val="14"/>
                <w:b w:val="1"/>
                <w:bCs w:val="1"/>
                <w:color w:val="auto"/>
                <w:w w:val="90"/>
              </w:rPr>
              <w:t>Inputs</w:t>
            </w:r>
          </w:p>
        </w:tc>
        <w:tc>
          <w:tcPr>
            <w:tcW w:w="100" w:type="dxa"/>
            <w:vAlign w:val="bottom"/>
          </w:tcPr>
          <w:p>
            <w:pPr>
              <w:spacing w:after="0"/>
              <w:rPr>
                <w:sz w:val="12"/>
                <w:szCs w:val="12"/>
                <w:color w:val="auto"/>
              </w:rPr>
            </w:pPr>
          </w:p>
        </w:tc>
        <w:tc>
          <w:tcPr>
            <w:tcW w:w="1400" w:type="dxa"/>
            <w:vAlign w:val="bottom"/>
            <w:gridSpan w:val="2"/>
          </w:tcPr>
          <w:p>
            <w:pPr>
              <w:jc w:val="center"/>
              <w:ind w:right="780"/>
              <w:spacing w:after="0" w:line="149" w:lineRule="exact"/>
              <w:rPr>
                <w:sz w:val="20"/>
                <w:szCs w:val="20"/>
                <w:color w:val="auto"/>
              </w:rPr>
            </w:pPr>
            <w:r>
              <w:rPr>
                <w:rFonts w:ascii="Arial" w:cs="Arial" w:eastAsia="Arial" w:hAnsi="Arial"/>
                <w:sz w:val="14"/>
                <w:szCs w:val="14"/>
                <w:b w:val="1"/>
                <w:bCs w:val="1"/>
                <w:color w:val="auto"/>
                <w:w w:val="90"/>
              </w:rPr>
              <w:t>Inputs</w:t>
            </w:r>
          </w:p>
        </w:tc>
        <w:tc>
          <w:tcPr>
            <w:tcW w:w="80" w:type="dxa"/>
            <w:vAlign w:val="bottom"/>
          </w:tcPr>
          <w:p>
            <w:pPr>
              <w:spacing w:after="0"/>
              <w:rPr>
                <w:sz w:val="12"/>
                <w:szCs w:val="12"/>
                <w:color w:val="auto"/>
              </w:rPr>
            </w:pPr>
          </w:p>
        </w:tc>
        <w:tc>
          <w:tcPr>
            <w:tcW w:w="68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83"/>
              </w:rPr>
              <w:t>Total</w:t>
            </w:r>
          </w:p>
        </w:tc>
        <w:tc>
          <w:tcPr>
            <w:tcW w:w="0" w:type="dxa"/>
            <w:vAlign w:val="bottom"/>
          </w:tcPr>
          <w:p>
            <w:pPr>
              <w:spacing w:after="0"/>
              <w:rPr>
                <w:sz w:val="1"/>
                <w:szCs w:val="1"/>
                <w:color w:val="auto"/>
              </w:rPr>
            </w:pPr>
          </w:p>
        </w:tc>
      </w:tr>
      <w:tr>
        <w:trPr>
          <w:trHeight w:val="161"/>
        </w:trPr>
        <w:tc>
          <w:tcPr>
            <w:tcW w:w="1160" w:type="dxa"/>
            <w:vAlign w:val="bottom"/>
          </w:tcPr>
          <w:p>
            <w:pPr>
              <w:spacing w:after="0"/>
              <w:rPr>
                <w:sz w:val="14"/>
                <w:szCs w:val="14"/>
                <w:color w:val="auto"/>
              </w:rPr>
            </w:pPr>
          </w:p>
        </w:tc>
        <w:tc>
          <w:tcPr>
            <w:tcW w:w="348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2009 (a)</w:t>
            </w:r>
          </w:p>
        </w:tc>
        <w:tc>
          <w:tcPr>
            <w:tcW w:w="7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center"/>
              <w:ind w:right="22"/>
              <w:spacing w:after="0"/>
              <w:rPr>
                <w:sz w:val="20"/>
                <w:szCs w:val="20"/>
                <w:color w:val="auto"/>
              </w:rPr>
            </w:pPr>
            <w:r>
              <w:rPr>
                <w:rFonts w:ascii="Arial" w:cs="Arial" w:eastAsia="Arial" w:hAnsi="Arial"/>
                <w:sz w:val="14"/>
                <w:szCs w:val="14"/>
                <w:b w:val="1"/>
                <w:bCs w:val="1"/>
                <w:color w:val="auto"/>
                <w:w w:val="91"/>
              </w:rPr>
              <w:t>(Level 1)</w:t>
            </w:r>
          </w:p>
        </w:tc>
        <w:tc>
          <w:tcPr>
            <w:tcW w:w="700" w:type="dxa"/>
            <w:vAlign w:val="bottom"/>
          </w:tcPr>
          <w:p>
            <w:pPr>
              <w:spacing w:after="0"/>
              <w:rPr>
                <w:sz w:val="14"/>
                <w:szCs w:val="14"/>
                <w:color w:val="auto"/>
              </w:rPr>
            </w:pPr>
          </w:p>
        </w:tc>
        <w:tc>
          <w:tcPr>
            <w:tcW w:w="66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87"/>
              </w:rPr>
              <w:t>(Level 2)</w:t>
            </w:r>
          </w:p>
        </w:tc>
        <w:tc>
          <w:tcPr>
            <w:tcW w:w="6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center"/>
              <w:ind w:right="22"/>
              <w:spacing w:after="0"/>
              <w:rPr>
                <w:sz w:val="20"/>
                <w:szCs w:val="20"/>
                <w:color w:val="auto"/>
              </w:rPr>
            </w:pPr>
            <w:r>
              <w:rPr>
                <w:rFonts w:ascii="Arial" w:cs="Arial" w:eastAsia="Arial" w:hAnsi="Arial"/>
                <w:sz w:val="14"/>
                <w:szCs w:val="14"/>
                <w:b w:val="1"/>
                <w:bCs w:val="1"/>
                <w:color w:val="auto"/>
                <w:w w:val="91"/>
              </w:rPr>
              <w:t>(Level 3)</w:t>
            </w:r>
          </w:p>
        </w:tc>
        <w:tc>
          <w:tcPr>
            <w:tcW w:w="70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center"/>
              <w:ind w:right="24"/>
              <w:spacing w:after="0"/>
              <w:rPr>
                <w:sz w:val="20"/>
                <w:szCs w:val="20"/>
                <w:color w:val="auto"/>
              </w:rPr>
            </w:pPr>
            <w:r>
              <w:rPr>
                <w:rFonts w:ascii="Arial" w:cs="Arial" w:eastAsia="Arial" w:hAnsi="Arial"/>
                <w:sz w:val="14"/>
                <w:szCs w:val="14"/>
                <w:b w:val="1"/>
                <w:bCs w:val="1"/>
                <w:color w:val="auto"/>
                <w:w w:val="74"/>
              </w:rPr>
              <w:t>Losses</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46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Product-specific tooling assets</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38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CEEFF"/>
          </w:tcPr>
          <w:p>
            <w:pPr>
              <w:ind w:left="680"/>
              <w:spacing w:after="0"/>
              <w:rPr>
                <w:sz w:val="20"/>
                <w:szCs w:val="20"/>
                <w:color w:val="auto"/>
              </w:rPr>
            </w:pPr>
            <w:r>
              <w:rPr>
                <w:rFonts w:ascii="Arial" w:cs="Arial" w:eastAsia="Arial" w:hAnsi="Arial"/>
                <w:sz w:val="18"/>
                <w:szCs w:val="18"/>
                <w:color w:val="auto"/>
                <w:w w:val="88"/>
              </w:rPr>
              <w:t>—</w:t>
            </w:r>
          </w:p>
        </w:tc>
        <w:tc>
          <w:tcPr>
            <w:tcW w:w="800" w:type="dxa"/>
            <w:vAlign w:val="bottom"/>
            <w:gridSpan w:val="2"/>
            <w:shd w:val="clear" w:color="auto" w:fill="CCEEFF"/>
          </w:tcPr>
          <w:p>
            <w:pPr>
              <w:ind w:left="700"/>
              <w:spacing w:after="0"/>
              <w:rPr>
                <w:sz w:val="20"/>
                <w:szCs w:val="20"/>
                <w:color w:val="auto"/>
              </w:rPr>
            </w:pPr>
            <w:r>
              <w:rPr>
                <w:rFonts w:ascii="Arial" w:cs="Arial" w:eastAsia="Arial" w:hAnsi="Arial"/>
                <w:sz w:val="18"/>
                <w:szCs w:val="18"/>
                <w:color w:val="auto"/>
                <w:w w:val="79"/>
              </w:rPr>
              <w:t>$</w:t>
            </w:r>
          </w:p>
        </w:tc>
        <w:tc>
          <w:tcPr>
            <w:tcW w:w="124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140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6"/>
        </w:trPr>
        <w:tc>
          <w:tcPr>
            <w:tcW w:w="4640" w:type="dxa"/>
            <w:vAlign w:val="bottom"/>
            <w:gridSpan w:val="2"/>
          </w:tcPr>
          <w:p>
            <w:pPr>
              <w:spacing w:after="0"/>
              <w:rPr>
                <w:sz w:val="20"/>
                <w:szCs w:val="20"/>
                <w:color w:val="auto"/>
              </w:rPr>
            </w:pPr>
            <w:r>
              <w:rPr>
                <w:rFonts w:ascii="Arial" w:cs="Arial" w:eastAsia="Arial" w:hAnsi="Arial"/>
                <w:sz w:val="18"/>
                <w:szCs w:val="18"/>
                <w:color w:val="auto"/>
              </w:rPr>
              <w:t>Vehicles leased to rental car companies</w:t>
            </w: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1380" w:type="dxa"/>
            <w:vAlign w:val="bottom"/>
            <w:gridSpan w:val="2"/>
          </w:tcPr>
          <w:p>
            <w:pPr>
              <w:jc w:val="right"/>
              <w:ind w:right="700"/>
              <w:spacing w:after="0"/>
              <w:rPr>
                <w:sz w:val="20"/>
                <w:szCs w:val="20"/>
                <w:color w:val="auto"/>
              </w:rPr>
            </w:pPr>
            <w:r>
              <w:rPr>
                <w:rFonts w:ascii="Arial" w:cs="Arial" w:eastAsia="Arial" w:hAnsi="Arial"/>
                <w:sz w:val="18"/>
                <w:szCs w:val="18"/>
                <w:color w:val="auto"/>
              </w:rPr>
              <w:t>543</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860" w:type="dxa"/>
            <w:vAlign w:val="bottom"/>
          </w:tcPr>
          <w:p>
            <w:pPr>
              <w:ind w:left="680"/>
              <w:spacing w:after="0"/>
              <w:rPr>
                <w:sz w:val="20"/>
                <w:szCs w:val="20"/>
                <w:color w:val="auto"/>
              </w:rPr>
            </w:pPr>
            <w:r>
              <w:rPr>
                <w:rFonts w:ascii="Arial" w:cs="Arial" w:eastAsia="Arial" w:hAnsi="Arial"/>
                <w:sz w:val="18"/>
                <w:szCs w:val="18"/>
                <w:color w:val="auto"/>
                <w:w w:val="88"/>
              </w:rPr>
              <w:t>—</w:t>
            </w:r>
          </w:p>
        </w:tc>
        <w:tc>
          <w:tcPr>
            <w:tcW w:w="800" w:type="dxa"/>
            <w:vAlign w:val="bottom"/>
            <w:gridSpan w:val="2"/>
          </w:tcPr>
          <w:p>
            <w:pPr>
              <w:ind w:left="700"/>
              <w:spacing w:after="0"/>
              <w:rPr>
                <w:sz w:val="20"/>
                <w:szCs w:val="20"/>
                <w:color w:val="auto"/>
              </w:rPr>
            </w:pPr>
            <w:r>
              <w:rPr>
                <w:rFonts w:ascii="Arial" w:cs="Arial" w:eastAsia="Arial" w:hAnsi="Arial"/>
                <w:sz w:val="18"/>
                <w:szCs w:val="18"/>
                <w:color w:val="auto"/>
                <w:w w:val="79"/>
              </w:rPr>
              <w:t>$</w:t>
            </w:r>
          </w:p>
        </w:tc>
        <w:tc>
          <w:tcPr>
            <w:tcW w:w="1240" w:type="dxa"/>
            <w:vAlign w:val="bottom"/>
            <w:gridSpan w:val="2"/>
          </w:tcPr>
          <w:p>
            <w:pPr>
              <w:ind w:left="3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1400" w:type="dxa"/>
            <w:vAlign w:val="bottom"/>
            <w:gridSpan w:val="2"/>
          </w:tcPr>
          <w:p>
            <w:pPr>
              <w:jc w:val="right"/>
              <w:ind w:right="700"/>
              <w:spacing w:after="0"/>
              <w:rPr>
                <w:sz w:val="20"/>
                <w:szCs w:val="20"/>
                <w:color w:val="auto"/>
              </w:rPr>
            </w:pPr>
            <w:r>
              <w:rPr>
                <w:rFonts w:ascii="Arial" w:cs="Arial" w:eastAsia="Arial" w:hAnsi="Arial"/>
                <w:sz w:val="18"/>
                <w:szCs w:val="18"/>
                <w:color w:val="auto"/>
              </w:rPr>
              <w:t>543</w:t>
            </w:r>
          </w:p>
        </w:tc>
        <w:tc>
          <w:tcPr>
            <w:tcW w:w="80" w:type="dxa"/>
            <w:vAlign w:val="bottom"/>
          </w:tcPr>
          <w:p>
            <w:pPr>
              <w:spacing w:after="0"/>
              <w:rPr>
                <w:sz w:val="18"/>
                <w:szCs w:val="18"/>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16"/>
        </w:trPr>
        <w:tc>
          <w:tcPr>
            <w:tcW w:w="46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Intangible assets</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38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CEEFF"/>
          </w:tcPr>
          <w:p>
            <w:pPr>
              <w:ind w:left="680"/>
              <w:spacing w:after="0"/>
              <w:rPr>
                <w:sz w:val="20"/>
                <w:szCs w:val="20"/>
                <w:color w:val="auto"/>
              </w:rPr>
            </w:pPr>
            <w:r>
              <w:rPr>
                <w:rFonts w:ascii="Arial" w:cs="Arial" w:eastAsia="Arial" w:hAnsi="Arial"/>
                <w:sz w:val="18"/>
                <w:szCs w:val="18"/>
                <w:color w:val="auto"/>
                <w:w w:val="88"/>
              </w:rPr>
              <w:t>—</w:t>
            </w:r>
          </w:p>
        </w:tc>
        <w:tc>
          <w:tcPr>
            <w:tcW w:w="800" w:type="dxa"/>
            <w:vAlign w:val="bottom"/>
            <w:gridSpan w:val="2"/>
            <w:shd w:val="clear" w:color="auto" w:fill="CCEEFF"/>
          </w:tcPr>
          <w:p>
            <w:pPr>
              <w:ind w:left="700"/>
              <w:spacing w:after="0"/>
              <w:rPr>
                <w:sz w:val="20"/>
                <w:szCs w:val="20"/>
                <w:color w:val="auto"/>
              </w:rPr>
            </w:pPr>
            <w:r>
              <w:rPr>
                <w:rFonts w:ascii="Arial" w:cs="Arial" w:eastAsia="Arial" w:hAnsi="Arial"/>
                <w:sz w:val="18"/>
                <w:szCs w:val="18"/>
                <w:color w:val="auto"/>
                <w:w w:val="79"/>
              </w:rPr>
              <w:t>$</w:t>
            </w:r>
          </w:p>
        </w:tc>
        <w:tc>
          <w:tcPr>
            <w:tcW w:w="124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140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0"/>
        </w:trPr>
        <w:tc>
          <w:tcPr>
            <w:tcW w:w="4640" w:type="dxa"/>
            <w:vAlign w:val="bottom"/>
            <w:gridSpan w:val="2"/>
            <w:vMerge w:val="restart"/>
          </w:tcPr>
          <w:p>
            <w:pPr>
              <w:spacing w:after="0"/>
              <w:rPr>
                <w:sz w:val="20"/>
                <w:szCs w:val="20"/>
                <w:color w:val="auto"/>
              </w:rPr>
            </w:pPr>
            <w:r>
              <w:rPr>
                <w:rFonts w:ascii="Arial" w:cs="Arial" w:eastAsia="Arial" w:hAnsi="Arial"/>
                <w:sz w:val="18"/>
                <w:szCs w:val="18"/>
                <w:color w:val="auto"/>
              </w:rPr>
              <w:t>Total</w:t>
            </w:r>
          </w:p>
        </w:tc>
        <w:tc>
          <w:tcPr>
            <w:tcW w:w="1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4640" w:type="dxa"/>
            <w:vAlign w:val="bottom"/>
            <w:gridSpan w:val="2"/>
            <w:vMerge w:val="continue"/>
          </w:tcPr>
          <w:p>
            <w:pPr>
              <w:spacing w:after="0"/>
              <w:rPr>
                <w:sz w:val="19"/>
                <w:szCs w:val="19"/>
                <w:color w:val="auto"/>
              </w:rPr>
            </w:pPr>
          </w:p>
        </w:tc>
        <w:tc>
          <w:tcPr>
            <w:tcW w:w="1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34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3"/>
        </w:trPr>
        <w:tc>
          <w:tcPr>
            <w:tcW w:w="1160" w:type="dxa"/>
            <w:vAlign w:val="bottom"/>
            <w:tcBorders>
              <w:bottom w:val="single" w:sz="8" w:color="auto"/>
            </w:tcBorders>
          </w:tcPr>
          <w:p>
            <w:pPr>
              <w:spacing w:after="0"/>
              <w:rPr>
                <w:sz w:val="8"/>
                <w:szCs w:val="8"/>
                <w:color w:val="auto"/>
              </w:rPr>
            </w:pPr>
          </w:p>
        </w:tc>
        <w:tc>
          <w:tcPr>
            <w:tcW w:w="3480" w:type="dxa"/>
            <w:vAlign w:val="bottom"/>
          </w:tcPr>
          <w:p>
            <w:pPr>
              <w:spacing w:after="0"/>
              <w:rPr>
                <w:sz w:val="8"/>
                <w:szCs w:val="8"/>
                <w:color w:val="auto"/>
              </w:rPr>
            </w:pPr>
          </w:p>
        </w:tc>
        <w:tc>
          <w:tcPr>
            <w:tcW w:w="140" w:type="dxa"/>
            <w:vAlign w:val="bottom"/>
          </w:tcPr>
          <w:p>
            <w:pPr>
              <w:spacing w:after="0"/>
              <w:rPr>
                <w:sz w:val="8"/>
                <w:szCs w:val="8"/>
                <w:color w:val="auto"/>
              </w:rPr>
            </w:pPr>
          </w:p>
        </w:tc>
        <w:tc>
          <w:tcPr>
            <w:tcW w:w="680" w:type="dxa"/>
            <w:vAlign w:val="bottom"/>
          </w:tcPr>
          <w:p>
            <w:pPr>
              <w:spacing w:after="0"/>
              <w:rPr>
                <w:sz w:val="8"/>
                <w:szCs w:val="8"/>
                <w:color w:val="auto"/>
              </w:rPr>
            </w:pPr>
          </w:p>
        </w:tc>
        <w:tc>
          <w:tcPr>
            <w:tcW w:w="700" w:type="dxa"/>
            <w:vAlign w:val="bottom"/>
          </w:tcPr>
          <w:p>
            <w:pPr>
              <w:spacing w:after="0"/>
              <w:rPr>
                <w:sz w:val="8"/>
                <w:szCs w:val="8"/>
                <w:color w:val="auto"/>
              </w:rPr>
            </w:pPr>
          </w:p>
        </w:tc>
        <w:tc>
          <w:tcPr>
            <w:tcW w:w="100" w:type="dxa"/>
            <w:vAlign w:val="bottom"/>
          </w:tcPr>
          <w:p>
            <w:pPr>
              <w:spacing w:after="0"/>
              <w:rPr>
                <w:sz w:val="8"/>
                <w:szCs w:val="8"/>
                <w:color w:val="auto"/>
              </w:rPr>
            </w:pPr>
          </w:p>
        </w:tc>
        <w:tc>
          <w:tcPr>
            <w:tcW w:w="860" w:type="dxa"/>
            <w:vAlign w:val="bottom"/>
          </w:tcPr>
          <w:p>
            <w:pPr>
              <w:spacing w:after="0"/>
              <w:rPr>
                <w:sz w:val="8"/>
                <w:szCs w:val="8"/>
                <w:color w:val="auto"/>
              </w:rPr>
            </w:pPr>
          </w:p>
        </w:tc>
        <w:tc>
          <w:tcPr>
            <w:tcW w:w="7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68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700" w:type="dxa"/>
            <w:vAlign w:val="bottom"/>
          </w:tcPr>
          <w:p>
            <w:pPr>
              <w:spacing w:after="0"/>
              <w:rPr>
                <w:sz w:val="8"/>
                <w:szCs w:val="8"/>
                <w:color w:val="auto"/>
              </w:rPr>
            </w:pPr>
          </w:p>
        </w:tc>
        <w:tc>
          <w:tcPr>
            <w:tcW w:w="80" w:type="dxa"/>
            <w:vAlign w:val="bottom"/>
          </w:tcPr>
          <w:p>
            <w:pPr>
              <w:spacing w:after="0"/>
              <w:rPr>
                <w:sz w:val="8"/>
                <w:szCs w:val="8"/>
                <w:color w:val="auto"/>
              </w:rPr>
            </w:pPr>
          </w:p>
        </w:tc>
        <w:tc>
          <w:tcPr>
            <w:tcW w:w="58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19" w:lineRule="exact"/>
        <w:rPr>
          <w:sz w:val="20"/>
          <w:szCs w:val="20"/>
          <w:color w:val="auto"/>
        </w:rPr>
      </w:pPr>
    </w:p>
    <w:p>
      <w:pPr>
        <w:ind w:left="460" w:hanging="452"/>
        <w:spacing w:after="0"/>
        <w:tabs>
          <w:tab w:leader="none" w:pos="460" w:val="left"/>
        </w:tabs>
        <w:numPr>
          <w:ilvl w:val="0"/>
          <w:numId w:val="45"/>
        </w:numPr>
        <w:rPr>
          <w:rFonts w:ascii="Arial" w:cs="Arial" w:eastAsia="Arial" w:hAnsi="Arial"/>
          <w:sz w:val="18"/>
          <w:szCs w:val="18"/>
          <w:color w:val="auto"/>
        </w:rPr>
      </w:pPr>
      <w:r>
        <w:rPr>
          <w:rFonts w:ascii="Arial" w:cs="Arial" w:eastAsia="Arial" w:hAnsi="Arial"/>
          <w:sz w:val="18"/>
          <w:szCs w:val="18"/>
          <w:color w:val="auto"/>
        </w:rPr>
        <w:t>Amounts represent the fair value measure during the period.</w:t>
      </w:r>
    </w:p>
    <w:p>
      <w:pPr>
        <w:spacing w:after="0" w:line="171"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GMNA</w:t>
      </w:r>
    </w:p>
    <w:p>
      <w:pPr>
        <w:spacing w:after="0" w:line="171" w:lineRule="exact"/>
        <w:rPr>
          <w:sz w:val="20"/>
          <w:szCs w:val="20"/>
          <w:color w:val="auto"/>
        </w:rPr>
      </w:pPr>
    </w:p>
    <w:p>
      <w:pPr>
        <w:ind w:right="140" w:firstLine="228"/>
        <w:spacing w:after="0" w:line="259" w:lineRule="auto"/>
        <w:rPr>
          <w:sz w:val="20"/>
          <w:szCs w:val="20"/>
          <w:color w:val="auto"/>
        </w:rPr>
      </w:pPr>
      <w:r>
        <w:rPr>
          <w:rFonts w:ascii="Arial" w:cs="Arial" w:eastAsia="Arial" w:hAnsi="Arial"/>
          <w:sz w:val="18"/>
          <w:szCs w:val="18"/>
          <w:color w:val="auto"/>
        </w:rPr>
        <w:t>Intangible assets related to product-specific technology were adjusted to their fair value, resulting in impairment charges of $21 million in the period July 10, 2009 through September 30, 2009. Fair value measurements utilized projected cash flows, discounted at a rate commensurate with the perceived business risks related to the technology.</w:t>
      </w:r>
    </w:p>
    <w:p>
      <w:pPr>
        <w:spacing w:after="0" w:line="140"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GME</w:t>
      </w:r>
    </w:p>
    <w:p>
      <w:pPr>
        <w:spacing w:after="0" w:line="171" w:lineRule="exact"/>
        <w:rPr>
          <w:sz w:val="20"/>
          <w:szCs w:val="20"/>
          <w:color w:val="auto"/>
        </w:rPr>
      </w:pPr>
    </w:p>
    <w:p>
      <w:pPr>
        <w:ind w:right="40" w:firstLine="228"/>
        <w:spacing w:after="0" w:line="332" w:lineRule="auto"/>
        <w:rPr>
          <w:sz w:val="20"/>
          <w:szCs w:val="20"/>
          <w:color w:val="auto"/>
        </w:rPr>
      </w:pPr>
      <w:r>
        <w:rPr>
          <w:rFonts w:ascii="Arial" w:cs="Arial" w:eastAsia="Arial" w:hAnsi="Arial"/>
          <w:sz w:val="16"/>
          <w:szCs w:val="16"/>
          <w:color w:val="auto"/>
        </w:rPr>
        <w:t>Vehicles leased to rental car companies were adjusted to their fair value at the time of impairment, resulting in impairment charges of $12 million in the period July 10, 2009 through September 30, 2009. Fair value measurements utilized projected cash flows from vehicle sales at auctions.</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Old GM</w:t>
      </w:r>
    </w:p>
    <w:p>
      <w:pPr>
        <w:spacing w:after="0" w:line="177"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January 1, 2009 Through July 9, 2009</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31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660" w:type="dxa"/>
            <w:vAlign w:val="bottom"/>
            <w:tcBorders>
              <w:bottom w:val="single" w:sz="8" w:color="auto"/>
            </w:tcBorders>
            <w:gridSpan w:val="4"/>
          </w:tcPr>
          <w:p>
            <w:pPr>
              <w:ind w:left="220"/>
              <w:spacing w:after="0"/>
              <w:rPr>
                <w:sz w:val="20"/>
                <w:szCs w:val="20"/>
                <w:color w:val="auto"/>
              </w:rPr>
            </w:pPr>
            <w:r>
              <w:rPr>
                <w:rFonts w:ascii="Arial" w:cs="Arial" w:eastAsia="Arial" w:hAnsi="Arial"/>
                <w:sz w:val="14"/>
                <w:szCs w:val="14"/>
                <w:b w:val="1"/>
                <w:bCs w:val="1"/>
                <w:color w:val="auto"/>
              </w:rPr>
              <w:t>Predecessor</w:t>
            </w:r>
          </w:p>
        </w:tc>
        <w:tc>
          <w:tcPr>
            <w:tcW w:w="10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3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2740" w:type="dxa"/>
            <w:vAlign w:val="bottom"/>
            <w:tcBorders>
              <w:bottom w:val="single" w:sz="8" w:color="auto"/>
            </w:tcBorders>
            <w:gridSpan w:val="6"/>
          </w:tcPr>
          <w:p>
            <w:pPr>
              <w:ind w:left="840"/>
              <w:spacing w:after="0" w:line="142" w:lineRule="exact"/>
              <w:rPr>
                <w:sz w:val="20"/>
                <w:szCs w:val="20"/>
                <w:color w:val="auto"/>
              </w:rPr>
            </w:pPr>
            <w:r>
              <w:rPr>
                <w:rFonts w:ascii="Arial" w:cs="Arial" w:eastAsia="Arial" w:hAnsi="Arial"/>
                <w:sz w:val="14"/>
                <w:szCs w:val="14"/>
                <w:b w:val="1"/>
                <w:bCs w:val="1"/>
                <w:color w:val="auto"/>
                <w:w w:val="88"/>
              </w:rPr>
              <w:t>Fair Value Measurements Using</w:t>
            </w:r>
          </w:p>
        </w:tc>
        <w:tc>
          <w:tcPr>
            <w:tcW w:w="10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spacing w:after="0"/>
              <w:rPr>
                <w:sz w:val="12"/>
                <w:szCs w:val="12"/>
                <w:color w:val="auto"/>
              </w:rPr>
            </w:pPr>
          </w:p>
        </w:tc>
        <w:tc>
          <w:tcPr>
            <w:tcW w:w="620" w:type="dxa"/>
            <w:vAlign w:val="bottom"/>
          </w:tcPr>
          <w:p>
            <w:pPr>
              <w:spacing w:after="0"/>
              <w:rPr>
                <w:sz w:val="12"/>
                <w:szCs w:val="12"/>
                <w:color w:val="auto"/>
              </w:rPr>
            </w:pPr>
          </w:p>
        </w:tc>
        <w:tc>
          <w:tcPr>
            <w:tcW w:w="76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January 1,</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3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gridSpan w:val="3"/>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3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jc w:val="center"/>
              <w:ind w:right="41"/>
              <w:spacing w:after="0" w:line="149" w:lineRule="exact"/>
              <w:rPr>
                <w:sz w:val="20"/>
                <w:szCs w:val="20"/>
                <w:color w:val="auto"/>
              </w:rPr>
            </w:pPr>
            <w:r>
              <w:rPr>
                <w:rFonts w:ascii="Arial" w:cs="Arial" w:eastAsia="Arial" w:hAnsi="Arial"/>
                <w:sz w:val="14"/>
                <w:szCs w:val="14"/>
                <w:b w:val="1"/>
                <w:bCs w:val="1"/>
                <w:color w:val="auto"/>
                <w:w w:val="89"/>
              </w:rPr>
              <w:t>2009</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3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200" w:type="dxa"/>
            <w:vAlign w:val="bottom"/>
            <w:gridSpan w:val="3"/>
          </w:tcPr>
          <w:p>
            <w:pPr>
              <w:ind w:left="20"/>
              <w:spacing w:after="0" w:line="149" w:lineRule="exact"/>
              <w:rPr>
                <w:sz w:val="20"/>
                <w:szCs w:val="20"/>
                <w:color w:val="auto"/>
              </w:rPr>
            </w:pPr>
            <w:r>
              <w:rPr>
                <w:rFonts w:ascii="Arial" w:cs="Arial" w:eastAsia="Arial" w:hAnsi="Arial"/>
                <w:sz w:val="14"/>
                <w:szCs w:val="14"/>
                <w:b w:val="1"/>
                <w:bCs w:val="1"/>
                <w:color w:val="auto"/>
              </w:rPr>
              <w:t>Quoted Prices in</w:t>
            </w:r>
          </w:p>
        </w:tc>
        <w:tc>
          <w:tcPr>
            <w:tcW w:w="380" w:type="dxa"/>
            <w:vAlign w:val="bottom"/>
          </w:tcPr>
          <w:p>
            <w:pPr>
              <w:spacing w:after="0"/>
              <w:rPr>
                <w:sz w:val="12"/>
                <w:szCs w:val="12"/>
                <w:color w:val="auto"/>
              </w:rPr>
            </w:pPr>
          </w:p>
        </w:tc>
        <w:tc>
          <w:tcPr>
            <w:tcW w:w="1280" w:type="dxa"/>
            <w:vAlign w:val="bottom"/>
            <w:gridSpan w:val="3"/>
          </w:tcPr>
          <w:p>
            <w:pPr>
              <w:ind w:left="20"/>
              <w:spacing w:after="0" w:line="149" w:lineRule="exact"/>
              <w:rPr>
                <w:sz w:val="20"/>
                <w:szCs w:val="20"/>
                <w:color w:val="auto"/>
              </w:rPr>
            </w:pPr>
            <w:r>
              <w:rPr>
                <w:rFonts w:ascii="Arial" w:cs="Arial" w:eastAsia="Arial" w:hAnsi="Arial"/>
                <w:sz w:val="14"/>
                <w:szCs w:val="14"/>
                <w:b w:val="1"/>
                <w:bCs w:val="1"/>
                <w:color w:val="auto"/>
              </w:rPr>
              <w:t>Significant</w:t>
            </w: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760" w:type="dxa"/>
            <w:vAlign w:val="bottom"/>
            <w:gridSpan w:val="3"/>
          </w:tcPr>
          <w:p>
            <w:pPr>
              <w:jc w:val="center"/>
              <w:ind w:right="120"/>
              <w:spacing w:after="0" w:line="149" w:lineRule="exact"/>
              <w:rPr>
                <w:sz w:val="20"/>
                <w:szCs w:val="20"/>
                <w:color w:val="auto"/>
              </w:rPr>
            </w:pPr>
            <w:r>
              <w:rPr>
                <w:rFonts w:ascii="Arial" w:cs="Arial" w:eastAsia="Arial" w:hAnsi="Arial"/>
                <w:sz w:val="14"/>
                <w:szCs w:val="14"/>
                <w:b w:val="1"/>
                <w:bCs w:val="1"/>
                <w:color w:val="auto"/>
                <w:w w:val="91"/>
              </w:rPr>
              <w:t>Through</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3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200" w:type="dxa"/>
            <w:vAlign w:val="bottom"/>
            <w:gridSpan w:val="3"/>
          </w:tcPr>
          <w:p>
            <w:pPr>
              <w:jc w:val="center"/>
              <w:ind w:right="220"/>
              <w:spacing w:after="0" w:line="149" w:lineRule="exact"/>
              <w:rPr>
                <w:sz w:val="20"/>
                <w:szCs w:val="20"/>
                <w:color w:val="auto"/>
              </w:rPr>
            </w:pPr>
            <w:r>
              <w:rPr>
                <w:rFonts w:ascii="Arial" w:cs="Arial" w:eastAsia="Arial" w:hAnsi="Arial"/>
                <w:sz w:val="14"/>
                <w:szCs w:val="14"/>
                <w:b w:val="1"/>
                <w:bCs w:val="1"/>
                <w:color w:val="auto"/>
                <w:w w:val="91"/>
              </w:rPr>
              <w:t>Active Markets</w:t>
            </w:r>
          </w:p>
        </w:tc>
        <w:tc>
          <w:tcPr>
            <w:tcW w:w="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60" w:type="dxa"/>
            <w:vAlign w:val="bottom"/>
            <w:gridSpan w:val="2"/>
          </w:tcPr>
          <w:p>
            <w:pPr>
              <w:jc w:val="center"/>
              <w:ind w:right="720"/>
              <w:spacing w:after="0" w:line="149" w:lineRule="exact"/>
              <w:rPr>
                <w:sz w:val="20"/>
                <w:szCs w:val="20"/>
                <w:color w:val="auto"/>
              </w:rPr>
            </w:pPr>
            <w:r>
              <w:rPr>
                <w:rFonts w:ascii="Arial" w:cs="Arial" w:eastAsia="Arial" w:hAnsi="Arial"/>
                <w:sz w:val="14"/>
                <w:szCs w:val="14"/>
                <w:b w:val="1"/>
                <w:bCs w:val="1"/>
                <w:color w:val="auto"/>
                <w:w w:val="96"/>
              </w:rPr>
              <w:t>Other</w:t>
            </w:r>
          </w:p>
        </w:tc>
        <w:tc>
          <w:tcPr>
            <w:tcW w:w="100" w:type="dxa"/>
            <w:vAlign w:val="bottom"/>
          </w:tcPr>
          <w:p>
            <w:pPr>
              <w:spacing w:after="0"/>
              <w:rPr>
                <w:sz w:val="12"/>
                <w:szCs w:val="12"/>
                <w:color w:val="auto"/>
              </w:rPr>
            </w:pPr>
          </w:p>
        </w:tc>
        <w:tc>
          <w:tcPr>
            <w:tcW w:w="800" w:type="dxa"/>
            <w:vAlign w:val="bottom"/>
          </w:tcPr>
          <w:p>
            <w:pPr>
              <w:jc w:val="center"/>
              <w:ind w:right="19"/>
              <w:spacing w:after="0" w:line="149" w:lineRule="exact"/>
              <w:rPr>
                <w:sz w:val="20"/>
                <w:szCs w:val="20"/>
                <w:color w:val="auto"/>
              </w:rPr>
            </w:pPr>
            <w:r>
              <w:rPr>
                <w:rFonts w:ascii="Arial" w:cs="Arial" w:eastAsia="Arial" w:hAnsi="Arial"/>
                <w:sz w:val="14"/>
                <w:szCs w:val="14"/>
                <w:b w:val="1"/>
                <w:bCs w:val="1"/>
                <w:color w:val="auto"/>
                <w:w w:val="86"/>
              </w:rPr>
              <w:t>Significant</w:t>
            </w: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1"/>
              </w:rPr>
              <w:t>July 9,</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3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500" w:type="dxa"/>
            <w:vAlign w:val="bottom"/>
            <w:gridSpan w:val="3"/>
          </w:tcPr>
          <w:p>
            <w:pPr>
              <w:jc w:val="center"/>
              <w:ind w:right="580"/>
              <w:spacing w:after="0" w:line="149" w:lineRule="exact"/>
              <w:rPr>
                <w:sz w:val="20"/>
                <w:szCs w:val="20"/>
                <w:color w:val="auto"/>
              </w:rPr>
            </w:pPr>
            <w:r>
              <w:rPr>
                <w:rFonts w:ascii="Arial" w:cs="Arial" w:eastAsia="Arial" w:hAnsi="Arial"/>
                <w:sz w:val="14"/>
                <w:szCs w:val="14"/>
                <w:b w:val="1"/>
                <w:bCs w:val="1"/>
                <w:color w:val="auto"/>
                <w:w w:val="88"/>
              </w:rPr>
              <w:t>Period Ended</w:t>
            </w:r>
          </w:p>
        </w:tc>
        <w:tc>
          <w:tcPr>
            <w:tcW w:w="120" w:type="dxa"/>
            <w:vAlign w:val="bottom"/>
          </w:tcPr>
          <w:p>
            <w:pPr>
              <w:spacing w:after="0"/>
              <w:rPr>
                <w:sz w:val="12"/>
                <w:szCs w:val="12"/>
                <w:color w:val="auto"/>
              </w:rPr>
            </w:pPr>
          </w:p>
        </w:tc>
        <w:tc>
          <w:tcPr>
            <w:tcW w:w="108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0"/>
              </w:rPr>
              <w:t>for Identical</w:t>
            </w:r>
          </w:p>
        </w:tc>
        <w:tc>
          <w:tcPr>
            <w:tcW w:w="380" w:type="dxa"/>
            <w:vAlign w:val="bottom"/>
          </w:tcPr>
          <w:p>
            <w:pPr>
              <w:spacing w:after="0"/>
              <w:rPr>
                <w:sz w:val="12"/>
                <w:szCs w:val="12"/>
                <w:color w:val="auto"/>
              </w:rPr>
            </w:pPr>
          </w:p>
        </w:tc>
        <w:tc>
          <w:tcPr>
            <w:tcW w:w="128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Observable</w:t>
            </w:r>
          </w:p>
        </w:tc>
        <w:tc>
          <w:tcPr>
            <w:tcW w:w="90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4"/>
              </w:rPr>
              <w:t>Unobservable</w:t>
            </w: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jc w:val="center"/>
              <w:ind w:right="41"/>
              <w:spacing w:after="0" w:line="149" w:lineRule="exact"/>
              <w:rPr>
                <w:sz w:val="20"/>
                <w:szCs w:val="20"/>
                <w:color w:val="auto"/>
              </w:rPr>
            </w:pPr>
            <w:r>
              <w:rPr>
                <w:rFonts w:ascii="Arial" w:cs="Arial" w:eastAsia="Arial" w:hAnsi="Arial"/>
                <w:sz w:val="14"/>
                <w:szCs w:val="14"/>
                <w:b w:val="1"/>
                <w:bCs w:val="1"/>
                <w:color w:val="auto"/>
                <w:w w:val="89"/>
              </w:rPr>
              <w:t>2009</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3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0" w:type="dxa"/>
            <w:vAlign w:val="bottom"/>
            <w:gridSpan w:val="2"/>
          </w:tcPr>
          <w:p>
            <w:pPr>
              <w:jc w:val="center"/>
              <w:ind w:right="700"/>
              <w:spacing w:after="0" w:line="149" w:lineRule="exact"/>
              <w:rPr>
                <w:sz w:val="20"/>
                <w:szCs w:val="20"/>
                <w:color w:val="auto"/>
              </w:rPr>
            </w:pPr>
            <w:r>
              <w:rPr>
                <w:rFonts w:ascii="Arial" w:cs="Arial" w:eastAsia="Arial" w:hAnsi="Arial"/>
                <w:sz w:val="14"/>
                <w:szCs w:val="14"/>
                <w:b w:val="1"/>
                <w:bCs w:val="1"/>
                <w:color w:val="auto"/>
                <w:w w:val="87"/>
              </w:rPr>
              <w:t>July 9,</w:t>
            </w:r>
          </w:p>
        </w:tc>
        <w:tc>
          <w:tcPr>
            <w:tcW w:w="120" w:type="dxa"/>
            <w:vAlign w:val="bottom"/>
          </w:tcPr>
          <w:p>
            <w:pPr>
              <w:spacing w:after="0"/>
              <w:rPr>
                <w:sz w:val="12"/>
                <w:szCs w:val="12"/>
                <w:color w:val="auto"/>
              </w:rPr>
            </w:pPr>
          </w:p>
        </w:tc>
        <w:tc>
          <w:tcPr>
            <w:tcW w:w="108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78"/>
              </w:rPr>
              <w:t>Assets</w:t>
            </w:r>
          </w:p>
        </w:tc>
        <w:tc>
          <w:tcPr>
            <w:tcW w:w="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60" w:type="dxa"/>
            <w:vAlign w:val="bottom"/>
            <w:gridSpan w:val="2"/>
          </w:tcPr>
          <w:p>
            <w:pPr>
              <w:jc w:val="center"/>
              <w:ind w:right="720"/>
              <w:spacing w:after="0" w:line="149" w:lineRule="exact"/>
              <w:rPr>
                <w:sz w:val="20"/>
                <w:szCs w:val="20"/>
                <w:color w:val="auto"/>
              </w:rPr>
            </w:pPr>
            <w:r>
              <w:rPr>
                <w:rFonts w:ascii="Arial" w:cs="Arial" w:eastAsia="Arial" w:hAnsi="Arial"/>
                <w:sz w:val="14"/>
                <w:szCs w:val="14"/>
                <w:b w:val="1"/>
                <w:bCs w:val="1"/>
                <w:color w:val="auto"/>
                <w:w w:val="85"/>
              </w:rPr>
              <w:t>Inputs</w:t>
            </w:r>
          </w:p>
        </w:tc>
        <w:tc>
          <w:tcPr>
            <w:tcW w:w="100" w:type="dxa"/>
            <w:vAlign w:val="bottom"/>
          </w:tcPr>
          <w:p>
            <w:pPr>
              <w:spacing w:after="0"/>
              <w:rPr>
                <w:sz w:val="12"/>
                <w:szCs w:val="12"/>
                <w:color w:val="auto"/>
              </w:rPr>
            </w:pPr>
          </w:p>
        </w:tc>
        <w:tc>
          <w:tcPr>
            <w:tcW w:w="800" w:type="dxa"/>
            <w:vAlign w:val="bottom"/>
          </w:tcPr>
          <w:p>
            <w:pPr>
              <w:jc w:val="center"/>
              <w:ind w:right="19"/>
              <w:spacing w:after="0" w:line="149" w:lineRule="exact"/>
              <w:rPr>
                <w:sz w:val="20"/>
                <w:szCs w:val="20"/>
                <w:color w:val="auto"/>
              </w:rPr>
            </w:pPr>
            <w:r>
              <w:rPr>
                <w:rFonts w:ascii="Arial" w:cs="Arial" w:eastAsia="Arial" w:hAnsi="Arial"/>
                <w:sz w:val="14"/>
                <w:szCs w:val="14"/>
                <w:b w:val="1"/>
                <w:bCs w:val="1"/>
                <w:color w:val="auto"/>
                <w:w w:val="90"/>
              </w:rPr>
              <w:t>Inputs</w:t>
            </w: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83"/>
              </w:rPr>
              <w:t>Total</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31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8"/>
              </w:rPr>
              <w:t>2009 (a)</w:t>
            </w:r>
          </w:p>
        </w:tc>
        <w:tc>
          <w:tcPr>
            <w:tcW w:w="58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center"/>
              <w:ind w:right="40"/>
              <w:spacing w:after="0"/>
              <w:rPr>
                <w:sz w:val="20"/>
                <w:szCs w:val="20"/>
                <w:color w:val="auto"/>
              </w:rPr>
            </w:pPr>
            <w:r>
              <w:rPr>
                <w:rFonts w:ascii="Arial" w:cs="Arial" w:eastAsia="Arial" w:hAnsi="Arial"/>
                <w:sz w:val="14"/>
                <w:szCs w:val="14"/>
                <w:b w:val="1"/>
                <w:bCs w:val="1"/>
                <w:color w:val="auto"/>
                <w:w w:val="87"/>
              </w:rPr>
              <w:t>(Level 1)</w:t>
            </w:r>
          </w:p>
        </w:tc>
        <w:tc>
          <w:tcPr>
            <w:tcW w:w="2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66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91"/>
              </w:rPr>
              <w:t>(Level 2)</w:t>
            </w:r>
          </w:p>
        </w:tc>
        <w:tc>
          <w:tcPr>
            <w:tcW w:w="6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center"/>
              <w:ind w:right="19"/>
              <w:spacing w:after="0"/>
              <w:rPr>
                <w:sz w:val="20"/>
                <w:szCs w:val="20"/>
                <w:color w:val="auto"/>
              </w:rPr>
            </w:pPr>
            <w:r>
              <w:rPr>
                <w:rFonts w:ascii="Arial" w:cs="Arial" w:eastAsia="Arial" w:hAnsi="Arial"/>
                <w:sz w:val="14"/>
                <w:szCs w:val="14"/>
                <w:b w:val="1"/>
                <w:bCs w:val="1"/>
                <w:color w:val="auto"/>
                <w:w w:val="87"/>
              </w:rPr>
              <w:t>(Level 3)</w:t>
            </w:r>
          </w:p>
        </w:tc>
        <w:tc>
          <w:tcPr>
            <w:tcW w:w="6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jc w:val="center"/>
              <w:ind w:right="41"/>
              <w:spacing w:after="0"/>
              <w:rPr>
                <w:sz w:val="20"/>
                <w:szCs w:val="20"/>
                <w:color w:val="auto"/>
              </w:rPr>
            </w:pPr>
            <w:r>
              <w:rPr>
                <w:rFonts w:ascii="Arial" w:cs="Arial" w:eastAsia="Arial" w:hAnsi="Arial"/>
                <w:sz w:val="14"/>
                <w:szCs w:val="14"/>
                <w:b w:val="1"/>
                <w:bCs w:val="1"/>
                <w:color w:val="auto"/>
                <w:w w:val="74"/>
              </w:rPr>
              <w:t>Losses</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2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Product-specific tooling assets</w:t>
            </w: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0-85</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1080" w:type="dxa"/>
            <w:vAlign w:val="bottom"/>
            <w:gridSpan w:val="2"/>
            <w:shd w:val="clear" w:color="auto" w:fill="CCEEFF"/>
          </w:tcPr>
          <w:p>
            <w:pPr>
              <w:ind w:left="680"/>
              <w:spacing w:after="0"/>
              <w:rPr>
                <w:sz w:val="20"/>
                <w:szCs w:val="20"/>
                <w:color w:val="auto"/>
              </w:rPr>
            </w:pPr>
            <w:r>
              <w:rPr>
                <w:rFonts w:ascii="Arial" w:cs="Arial" w:eastAsia="Arial" w:hAnsi="Arial"/>
                <w:sz w:val="18"/>
                <w:szCs w:val="18"/>
                <w:color w:val="auto"/>
              </w:rPr>
              <w:t>—</w:t>
            </w:r>
          </w:p>
        </w:tc>
        <w:tc>
          <w:tcPr>
            <w:tcW w:w="50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w w:val="99"/>
              </w:rPr>
              <w:t>$</w:t>
            </w:r>
          </w:p>
        </w:tc>
        <w:tc>
          <w:tcPr>
            <w:tcW w:w="116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0-85</w:t>
            </w:r>
          </w:p>
        </w:tc>
        <w:tc>
          <w:tcPr>
            <w:tcW w:w="720" w:type="dxa"/>
            <w:vAlign w:val="bottom"/>
            <w:gridSpan w:val="2"/>
            <w:shd w:val="clear" w:color="auto" w:fill="CCEEFF"/>
          </w:tcPr>
          <w:p>
            <w:pPr>
              <w:ind w:left="620"/>
              <w:spacing w:after="0"/>
              <w:rPr>
                <w:sz w:val="20"/>
                <w:szCs w:val="20"/>
                <w:color w:val="auto"/>
              </w:rPr>
            </w:pPr>
            <w:r>
              <w:rPr>
                <w:rFonts w:ascii="Arial" w:cs="Arial" w:eastAsia="Arial" w:hAnsi="Arial"/>
                <w:sz w:val="18"/>
                <w:szCs w:val="18"/>
                <w:color w:val="auto"/>
                <w:w w:val="79"/>
              </w:rPr>
              <w:t>$</w:t>
            </w: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(522)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40" w:type="dxa"/>
            <w:vAlign w:val="bottom"/>
            <w:gridSpan w:val="2"/>
          </w:tcPr>
          <w:p>
            <w:pPr>
              <w:spacing w:after="0"/>
              <w:rPr>
                <w:sz w:val="20"/>
                <w:szCs w:val="20"/>
                <w:color w:val="auto"/>
              </w:rPr>
            </w:pPr>
            <w:r>
              <w:rPr>
                <w:rFonts w:ascii="Arial" w:cs="Arial" w:eastAsia="Arial" w:hAnsi="Arial"/>
                <w:sz w:val="18"/>
                <w:szCs w:val="18"/>
                <w:color w:val="auto"/>
              </w:rPr>
              <w:t>Cancelled powertrain programs</w:t>
            </w: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400" w:type="dxa"/>
            <w:vAlign w:val="bottom"/>
            <w:gridSpan w:val="2"/>
          </w:tcPr>
          <w:p>
            <w:pPr>
              <w:jc w:val="right"/>
              <w:ind w:right="5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1080" w:type="dxa"/>
            <w:vAlign w:val="bottom"/>
            <w:gridSpan w:val="2"/>
          </w:tcPr>
          <w:p>
            <w:pPr>
              <w:ind w:left="680"/>
              <w:spacing w:after="0"/>
              <w:rPr>
                <w:sz w:val="20"/>
                <w:szCs w:val="20"/>
                <w:color w:val="auto"/>
              </w:rPr>
            </w:pPr>
            <w:r>
              <w:rPr>
                <w:rFonts w:ascii="Arial" w:cs="Arial" w:eastAsia="Arial" w:hAnsi="Arial"/>
                <w:sz w:val="18"/>
                <w:szCs w:val="18"/>
                <w:color w:val="auto"/>
              </w:rPr>
              <w:t>—</w:t>
            </w:r>
          </w:p>
        </w:tc>
        <w:tc>
          <w:tcPr>
            <w:tcW w:w="500" w:type="dxa"/>
            <w:vAlign w:val="bottom"/>
            <w:gridSpan w:val="2"/>
          </w:tcPr>
          <w:p>
            <w:pPr>
              <w:ind w:left="380"/>
              <w:spacing w:after="0"/>
              <w:rPr>
                <w:sz w:val="20"/>
                <w:szCs w:val="20"/>
                <w:color w:val="auto"/>
              </w:rPr>
            </w:pPr>
            <w:r>
              <w:rPr>
                <w:rFonts w:ascii="Arial" w:cs="Arial" w:eastAsia="Arial" w:hAnsi="Arial"/>
                <w:sz w:val="18"/>
                <w:szCs w:val="18"/>
                <w:color w:val="auto"/>
                <w:w w:val="99"/>
              </w:rPr>
              <w:t>$</w:t>
            </w:r>
          </w:p>
        </w:tc>
        <w:tc>
          <w:tcPr>
            <w:tcW w:w="1160" w:type="dxa"/>
            <w:vAlign w:val="bottom"/>
            <w:gridSpan w:val="2"/>
          </w:tcPr>
          <w:p>
            <w:pPr>
              <w:ind w:left="380"/>
              <w:spacing w:after="0"/>
              <w:rPr>
                <w:sz w:val="20"/>
                <w:szCs w:val="20"/>
                <w:color w:val="auto"/>
              </w:rPr>
            </w:pPr>
            <w:r>
              <w:rPr>
                <w:rFonts w:ascii="Arial" w:cs="Arial" w:eastAsia="Arial" w:hAnsi="Arial"/>
                <w:sz w:val="18"/>
                <w:szCs w:val="18"/>
                <w:color w:val="auto"/>
              </w:rPr>
              <w:t>—</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c>
          <w:tcPr>
            <w:tcW w:w="720" w:type="dxa"/>
            <w:vAlign w:val="bottom"/>
            <w:gridSpan w:val="2"/>
          </w:tcPr>
          <w:p>
            <w:pPr>
              <w:ind w:left="620"/>
              <w:spacing w:after="0"/>
              <w:rPr>
                <w:sz w:val="20"/>
                <w:szCs w:val="20"/>
                <w:color w:val="auto"/>
              </w:rPr>
            </w:pPr>
            <w:r>
              <w:rPr>
                <w:rFonts w:ascii="Arial" w:cs="Arial" w:eastAsia="Arial" w:hAnsi="Arial"/>
                <w:sz w:val="18"/>
                <w:szCs w:val="18"/>
                <w:color w:val="auto"/>
                <w:w w:val="79"/>
              </w:rPr>
              <w:t>$</w:t>
            </w:r>
          </w:p>
        </w:tc>
        <w:tc>
          <w:tcPr>
            <w:tcW w:w="660" w:type="dxa"/>
            <w:vAlign w:val="bottom"/>
            <w:gridSpan w:val="2"/>
          </w:tcPr>
          <w:p>
            <w:pPr>
              <w:jc w:val="right"/>
              <w:ind w:right="40"/>
              <w:spacing w:after="0"/>
              <w:rPr>
                <w:sz w:val="20"/>
                <w:szCs w:val="20"/>
                <w:color w:val="auto"/>
              </w:rPr>
            </w:pPr>
            <w:r>
              <w:rPr>
                <w:rFonts w:ascii="Arial" w:cs="Arial" w:eastAsia="Arial" w:hAnsi="Arial"/>
                <w:sz w:val="18"/>
                <w:szCs w:val="18"/>
                <w:color w:val="auto"/>
              </w:rPr>
              <w:t>(42)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 long-lived assets</w:t>
            </w: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1080" w:type="dxa"/>
            <w:vAlign w:val="bottom"/>
            <w:gridSpan w:val="2"/>
            <w:shd w:val="clear" w:color="auto" w:fill="CCEEFF"/>
          </w:tcPr>
          <w:p>
            <w:pPr>
              <w:ind w:left="680"/>
              <w:spacing w:after="0"/>
              <w:rPr>
                <w:sz w:val="20"/>
                <w:szCs w:val="20"/>
                <w:color w:val="auto"/>
              </w:rPr>
            </w:pPr>
            <w:r>
              <w:rPr>
                <w:rFonts w:ascii="Arial" w:cs="Arial" w:eastAsia="Arial" w:hAnsi="Arial"/>
                <w:sz w:val="18"/>
                <w:szCs w:val="18"/>
                <w:color w:val="auto"/>
              </w:rPr>
              <w:t>—</w:t>
            </w:r>
          </w:p>
        </w:tc>
        <w:tc>
          <w:tcPr>
            <w:tcW w:w="50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w w:val="99"/>
              </w:rPr>
              <w:t>$</w:t>
            </w:r>
          </w:p>
        </w:tc>
        <w:tc>
          <w:tcPr>
            <w:tcW w:w="116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ind w:left="620"/>
              <w:spacing w:after="0"/>
              <w:rPr>
                <w:sz w:val="20"/>
                <w:szCs w:val="20"/>
                <w:color w:val="auto"/>
              </w:rPr>
            </w:pPr>
            <w:r>
              <w:rPr>
                <w:rFonts w:ascii="Arial" w:cs="Arial" w:eastAsia="Arial" w:hAnsi="Arial"/>
                <w:sz w:val="18"/>
                <w:szCs w:val="18"/>
                <w:color w:val="auto"/>
                <w:w w:val="79"/>
              </w:rPr>
              <w:t>$</w:t>
            </w: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4240" w:type="dxa"/>
            <w:vAlign w:val="bottom"/>
            <w:gridSpan w:val="2"/>
          </w:tcPr>
          <w:p>
            <w:pPr>
              <w:spacing w:after="0"/>
              <w:rPr>
                <w:sz w:val="20"/>
                <w:szCs w:val="20"/>
                <w:color w:val="auto"/>
              </w:rPr>
            </w:pPr>
            <w:r>
              <w:rPr>
                <w:rFonts w:ascii="Arial" w:cs="Arial" w:eastAsia="Arial" w:hAnsi="Arial"/>
                <w:sz w:val="18"/>
                <w:szCs w:val="18"/>
                <w:color w:val="auto"/>
              </w:rPr>
              <w:t>Equity and cost method investments (other than Ally</w:t>
            </w: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240" w:type="dxa"/>
            <w:vAlign w:val="bottom"/>
            <w:gridSpan w:val="2"/>
          </w:tcPr>
          <w:p>
            <w:pPr>
              <w:ind w:left="200"/>
              <w:spacing w:after="0"/>
              <w:rPr>
                <w:sz w:val="20"/>
                <w:szCs w:val="20"/>
                <w:color w:val="auto"/>
              </w:rPr>
            </w:pPr>
            <w:r>
              <w:rPr>
                <w:rFonts w:ascii="Arial" w:cs="Arial" w:eastAsia="Arial" w:hAnsi="Arial"/>
                <w:sz w:val="18"/>
                <w:szCs w:val="18"/>
                <w:color w:val="auto"/>
              </w:rPr>
              <w:t>Financial)</w:t>
            </w: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400" w:type="dxa"/>
            <w:vAlign w:val="bottom"/>
            <w:gridSpan w:val="2"/>
          </w:tcPr>
          <w:p>
            <w:pPr>
              <w:jc w:val="right"/>
              <w:ind w:right="5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1080" w:type="dxa"/>
            <w:vAlign w:val="bottom"/>
            <w:gridSpan w:val="2"/>
          </w:tcPr>
          <w:p>
            <w:pPr>
              <w:ind w:left="680"/>
              <w:spacing w:after="0"/>
              <w:rPr>
                <w:sz w:val="20"/>
                <w:szCs w:val="20"/>
                <w:color w:val="auto"/>
              </w:rPr>
            </w:pPr>
            <w:r>
              <w:rPr>
                <w:rFonts w:ascii="Arial" w:cs="Arial" w:eastAsia="Arial" w:hAnsi="Arial"/>
                <w:sz w:val="18"/>
                <w:szCs w:val="18"/>
                <w:color w:val="auto"/>
              </w:rPr>
              <w:t>—</w:t>
            </w:r>
          </w:p>
        </w:tc>
        <w:tc>
          <w:tcPr>
            <w:tcW w:w="500" w:type="dxa"/>
            <w:vAlign w:val="bottom"/>
            <w:gridSpan w:val="2"/>
          </w:tcPr>
          <w:p>
            <w:pPr>
              <w:ind w:left="380"/>
              <w:spacing w:after="0"/>
              <w:rPr>
                <w:sz w:val="20"/>
                <w:szCs w:val="20"/>
                <w:color w:val="auto"/>
              </w:rPr>
            </w:pPr>
            <w:r>
              <w:rPr>
                <w:rFonts w:ascii="Arial" w:cs="Arial" w:eastAsia="Arial" w:hAnsi="Arial"/>
                <w:sz w:val="18"/>
                <w:szCs w:val="18"/>
                <w:color w:val="auto"/>
                <w:w w:val="99"/>
              </w:rPr>
              <w:t>$</w:t>
            </w:r>
          </w:p>
        </w:tc>
        <w:tc>
          <w:tcPr>
            <w:tcW w:w="1160" w:type="dxa"/>
            <w:vAlign w:val="bottom"/>
            <w:gridSpan w:val="2"/>
          </w:tcPr>
          <w:p>
            <w:pPr>
              <w:ind w:left="380"/>
              <w:spacing w:after="0"/>
              <w:rPr>
                <w:sz w:val="20"/>
                <w:szCs w:val="20"/>
                <w:color w:val="auto"/>
              </w:rPr>
            </w:pPr>
            <w:r>
              <w:rPr>
                <w:rFonts w:ascii="Arial" w:cs="Arial" w:eastAsia="Arial" w:hAnsi="Arial"/>
                <w:sz w:val="18"/>
                <w:szCs w:val="18"/>
                <w:color w:val="auto"/>
              </w:rPr>
              <w:t>—</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c>
          <w:tcPr>
            <w:tcW w:w="720" w:type="dxa"/>
            <w:vAlign w:val="bottom"/>
            <w:gridSpan w:val="2"/>
          </w:tcPr>
          <w:p>
            <w:pPr>
              <w:ind w:left="620"/>
              <w:spacing w:after="0"/>
              <w:rPr>
                <w:sz w:val="20"/>
                <w:szCs w:val="20"/>
                <w:color w:val="auto"/>
              </w:rPr>
            </w:pPr>
            <w:r>
              <w:rPr>
                <w:rFonts w:ascii="Arial" w:cs="Arial" w:eastAsia="Arial" w:hAnsi="Arial"/>
                <w:sz w:val="18"/>
                <w:szCs w:val="18"/>
                <w:color w:val="auto"/>
                <w:w w:val="79"/>
              </w:rPr>
              <w:t>$</w:t>
            </w:r>
          </w:p>
        </w:tc>
        <w:tc>
          <w:tcPr>
            <w:tcW w:w="660" w:type="dxa"/>
            <w:vAlign w:val="bottom"/>
            <w:gridSpan w:val="2"/>
          </w:tcPr>
          <w:p>
            <w:pPr>
              <w:jc w:val="right"/>
              <w:ind w:right="40"/>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42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Vehicles leased to rental car companies</w:t>
            </w: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w w:val="87"/>
              </w:rPr>
              <w:t>539 - 2,057</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1080" w:type="dxa"/>
            <w:vAlign w:val="bottom"/>
            <w:gridSpan w:val="2"/>
            <w:shd w:val="clear" w:color="auto" w:fill="CCEEFF"/>
          </w:tcPr>
          <w:p>
            <w:pPr>
              <w:ind w:left="680"/>
              <w:spacing w:after="0"/>
              <w:rPr>
                <w:sz w:val="20"/>
                <w:szCs w:val="20"/>
                <w:color w:val="auto"/>
              </w:rPr>
            </w:pPr>
            <w:r>
              <w:rPr>
                <w:rFonts w:ascii="Arial" w:cs="Arial" w:eastAsia="Arial" w:hAnsi="Arial"/>
                <w:sz w:val="18"/>
                <w:szCs w:val="18"/>
                <w:color w:val="auto"/>
              </w:rPr>
              <w:t>—</w:t>
            </w:r>
          </w:p>
        </w:tc>
        <w:tc>
          <w:tcPr>
            <w:tcW w:w="50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w w:val="99"/>
              </w:rPr>
              <w:t>$</w:t>
            </w:r>
          </w:p>
        </w:tc>
        <w:tc>
          <w:tcPr>
            <w:tcW w:w="116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5"/>
              </w:rPr>
              <w:t>539 - 2,057</w:t>
            </w:r>
          </w:p>
        </w:tc>
        <w:tc>
          <w:tcPr>
            <w:tcW w:w="720" w:type="dxa"/>
            <w:vAlign w:val="bottom"/>
            <w:gridSpan w:val="2"/>
            <w:shd w:val="clear" w:color="auto" w:fill="CCEEFF"/>
          </w:tcPr>
          <w:p>
            <w:pPr>
              <w:ind w:left="620"/>
              <w:spacing w:after="0"/>
              <w:rPr>
                <w:sz w:val="20"/>
                <w:szCs w:val="20"/>
                <w:color w:val="auto"/>
              </w:rPr>
            </w:pPr>
            <w:r>
              <w:rPr>
                <w:rFonts w:ascii="Arial" w:cs="Arial" w:eastAsia="Arial" w:hAnsi="Arial"/>
                <w:sz w:val="18"/>
                <w:szCs w:val="18"/>
                <w:color w:val="auto"/>
                <w:w w:val="79"/>
              </w:rPr>
              <w:t>$</w:t>
            </w: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40" w:type="dxa"/>
            <w:vAlign w:val="bottom"/>
            <w:gridSpan w:val="2"/>
          </w:tcPr>
          <w:p>
            <w:pPr>
              <w:spacing w:after="0"/>
              <w:rPr>
                <w:sz w:val="20"/>
                <w:szCs w:val="20"/>
                <w:color w:val="auto"/>
              </w:rPr>
            </w:pPr>
            <w:r>
              <w:rPr>
                <w:rFonts w:ascii="Arial" w:cs="Arial" w:eastAsia="Arial" w:hAnsi="Arial"/>
                <w:sz w:val="18"/>
                <w:szCs w:val="18"/>
                <w:color w:val="auto"/>
              </w:rPr>
              <w:t>Automotive retail leases</w:t>
            </w: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400" w:type="dxa"/>
            <w:vAlign w:val="bottom"/>
            <w:gridSpan w:val="2"/>
          </w:tcPr>
          <w:p>
            <w:pPr>
              <w:jc w:val="right"/>
              <w:ind w:right="580"/>
              <w:spacing w:after="0"/>
              <w:rPr>
                <w:sz w:val="20"/>
                <w:szCs w:val="20"/>
                <w:color w:val="auto"/>
              </w:rPr>
            </w:pPr>
            <w:r>
              <w:rPr>
                <w:rFonts w:ascii="Arial" w:cs="Arial" w:eastAsia="Arial" w:hAnsi="Arial"/>
                <w:sz w:val="18"/>
                <w:szCs w:val="18"/>
                <w:color w:val="auto"/>
              </w:rPr>
              <w:t>1,519</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1080" w:type="dxa"/>
            <w:vAlign w:val="bottom"/>
            <w:gridSpan w:val="2"/>
          </w:tcPr>
          <w:p>
            <w:pPr>
              <w:ind w:left="680"/>
              <w:spacing w:after="0"/>
              <w:rPr>
                <w:sz w:val="20"/>
                <w:szCs w:val="20"/>
                <w:color w:val="auto"/>
              </w:rPr>
            </w:pPr>
            <w:r>
              <w:rPr>
                <w:rFonts w:ascii="Arial" w:cs="Arial" w:eastAsia="Arial" w:hAnsi="Arial"/>
                <w:sz w:val="18"/>
                <w:szCs w:val="18"/>
                <w:color w:val="auto"/>
              </w:rPr>
              <w:t>—</w:t>
            </w:r>
          </w:p>
        </w:tc>
        <w:tc>
          <w:tcPr>
            <w:tcW w:w="500" w:type="dxa"/>
            <w:vAlign w:val="bottom"/>
            <w:gridSpan w:val="2"/>
          </w:tcPr>
          <w:p>
            <w:pPr>
              <w:ind w:left="380"/>
              <w:spacing w:after="0"/>
              <w:rPr>
                <w:sz w:val="20"/>
                <w:szCs w:val="20"/>
                <w:color w:val="auto"/>
              </w:rPr>
            </w:pPr>
            <w:r>
              <w:rPr>
                <w:rFonts w:ascii="Arial" w:cs="Arial" w:eastAsia="Arial" w:hAnsi="Arial"/>
                <w:sz w:val="18"/>
                <w:szCs w:val="18"/>
                <w:color w:val="auto"/>
                <w:w w:val="99"/>
              </w:rPr>
              <w:t>$</w:t>
            </w:r>
          </w:p>
        </w:tc>
        <w:tc>
          <w:tcPr>
            <w:tcW w:w="1160" w:type="dxa"/>
            <w:vAlign w:val="bottom"/>
            <w:gridSpan w:val="2"/>
          </w:tcPr>
          <w:p>
            <w:pPr>
              <w:ind w:left="380"/>
              <w:spacing w:after="0"/>
              <w:rPr>
                <w:sz w:val="20"/>
                <w:szCs w:val="20"/>
                <w:color w:val="auto"/>
              </w:rPr>
            </w:pPr>
            <w:r>
              <w:rPr>
                <w:rFonts w:ascii="Arial" w:cs="Arial" w:eastAsia="Arial" w:hAnsi="Arial"/>
                <w:sz w:val="18"/>
                <w:szCs w:val="18"/>
                <w:color w:val="auto"/>
              </w:rPr>
              <w:t>—</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1,519</w:t>
            </w:r>
          </w:p>
        </w:tc>
        <w:tc>
          <w:tcPr>
            <w:tcW w:w="720" w:type="dxa"/>
            <w:vAlign w:val="bottom"/>
            <w:gridSpan w:val="2"/>
          </w:tcPr>
          <w:p>
            <w:pPr>
              <w:ind w:left="620"/>
              <w:spacing w:after="0"/>
              <w:rPr>
                <w:sz w:val="20"/>
                <w:szCs w:val="20"/>
                <w:color w:val="auto"/>
              </w:rPr>
            </w:pPr>
            <w:r>
              <w:rPr>
                <w:rFonts w:ascii="Arial" w:cs="Arial" w:eastAsia="Arial" w:hAnsi="Arial"/>
                <w:sz w:val="18"/>
                <w:szCs w:val="18"/>
                <w:color w:val="auto"/>
                <w:w w:val="79"/>
              </w:rPr>
              <w:t>$</w:t>
            </w:r>
          </w:p>
        </w:tc>
        <w:tc>
          <w:tcPr>
            <w:tcW w:w="660" w:type="dxa"/>
            <w:vAlign w:val="bottom"/>
            <w:gridSpan w:val="2"/>
          </w:tcPr>
          <w:p>
            <w:pPr>
              <w:jc w:val="right"/>
              <w:ind w:right="40"/>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1140" w:type="dxa"/>
            <w:vAlign w:val="bottom"/>
          </w:tcPr>
          <w:p>
            <w:pPr>
              <w:spacing w:after="0"/>
              <w:rPr>
                <w:sz w:val="2"/>
                <w:szCs w:val="2"/>
                <w:color w:val="auto"/>
              </w:rPr>
            </w:pPr>
          </w:p>
        </w:tc>
        <w:tc>
          <w:tcPr>
            <w:tcW w:w="3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20" w:type="dxa"/>
            <w:vAlign w:val="bottom"/>
          </w:tcPr>
          <w:p>
            <w:pPr>
              <w:spacing w:after="0"/>
              <w:rPr>
                <w:sz w:val="2"/>
                <w:szCs w:val="2"/>
                <w:color w:val="auto"/>
              </w:rPr>
            </w:pPr>
          </w:p>
        </w:tc>
        <w:tc>
          <w:tcPr>
            <w:tcW w:w="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860" w:type="dxa"/>
            <w:vAlign w:val="bottom"/>
          </w:tcPr>
          <w:p>
            <w:pPr>
              <w:spacing w:after="0"/>
              <w:rPr>
                <w:sz w:val="2"/>
                <w:szCs w:val="2"/>
                <w:color w:val="auto"/>
              </w:rPr>
            </w:pPr>
          </w:p>
        </w:tc>
        <w:tc>
          <w:tcPr>
            <w:tcW w:w="2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54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2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w:t>
            </w: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ind w:left="620"/>
              <w:spacing w:after="0"/>
              <w:rPr>
                <w:sz w:val="20"/>
                <w:szCs w:val="20"/>
                <w:color w:val="auto"/>
              </w:rPr>
            </w:pPr>
            <w:r>
              <w:rPr>
                <w:rFonts w:ascii="Arial" w:cs="Arial" w:eastAsia="Arial" w:hAnsi="Arial"/>
                <w:sz w:val="18"/>
                <w:szCs w:val="18"/>
                <w:color w:val="auto"/>
                <w:w w:val="79"/>
              </w:rPr>
              <w:t>$</w:t>
            </w: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(657)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31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2"/>
        </w:trPr>
        <w:tc>
          <w:tcPr>
            <w:tcW w:w="20" w:type="dxa"/>
            <w:vAlign w:val="bottom"/>
          </w:tcPr>
          <w:p>
            <w:pPr>
              <w:spacing w:after="0"/>
              <w:rPr>
                <w:sz w:val="8"/>
                <w:szCs w:val="8"/>
                <w:color w:val="auto"/>
              </w:rPr>
            </w:pPr>
          </w:p>
        </w:tc>
        <w:tc>
          <w:tcPr>
            <w:tcW w:w="1140" w:type="dxa"/>
            <w:vAlign w:val="bottom"/>
            <w:tcBorders>
              <w:bottom w:val="single" w:sz="8" w:color="auto"/>
            </w:tcBorders>
          </w:tcPr>
          <w:p>
            <w:pPr>
              <w:spacing w:after="0"/>
              <w:rPr>
                <w:sz w:val="8"/>
                <w:szCs w:val="8"/>
                <w:color w:val="auto"/>
              </w:rPr>
            </w:pPr>
          </w:p>
        </w:tc>
        <w:tc>
          <w:tcPr>
            <w:tcW w:w="3100" w:type="dxa"/>
            <w:vAlign w:val="bottom"/>
          </w:tcPr>
          <w:p>
            <w:pPr>
              <w:spacing w:after="0"/>
              <w:rPr>
                <w:sz w:val="8"/>
                <w:szCs w:val="8"/>
                <w:color w:val="auto"/>
              </w:rPr>
            </w:pPr>
          </w:p>
        </w:tc>
        <w:tc>
          <w:tcPr>
            <w:tcW w:w="520" w:type="dxa"/>
            <w:vAlign w:val="bottom"/>
          </w:tcPr>
          <w:p>
            <w:pPr>
              <w:spacing w:after="0"/>
              <w:rPr>
                <w:sz w:val="8"/>
                <w:szCs w:val="8"/>
                <w:color w:val="auto"/>
              </w:rPr>
            </w:pPr>
          </w:p>
        </w:tc>
        <w:tc>
          <w:tcPr>
            <w:tcW w:w="100" w:type="dxa"/>
            <w:vAlign w:val="bottom"/>
          </w:tcPr>
          <w:p>
            <w:pPr>
              <w:spacing w:after="0"/>
              <w:rPr>
                <w:sz w:val="8"/>
                <w:szCs w:val="8"/>
                <w:color w:val="auto"/>
              </w:rPr>
            </w:pPr>
          </w:p>
        </w:tc>
        <w:tc>
          <w:tcPr>
            <w:tcW w:w="820" w:type="dxa"/>
            <w:vAlign w:val="bottom"/>
          </w:tcPr>
          <w:p>
            <w:pPr>
              <w:spacing w:after="0"/>
              <w:rPr>
                <w:sz w:val="8"/>
                <w:szCs w:val="8"/>
                <w:color w:val="auto"/>
              </w:rPr>
            </w:pPr>
          </w:p>
        </w:tc>
        <w:tc>
          <w:tcPr>
            <w:tcW w:w="580" w:type="dxa"/>
            <w:vAlign w:val="bottom"/>
          </w:tcPr>
          <w:p>
            <w:pPr>
              <w:spacing w:after="0"/>
              <w:rPr>
                <w:sz w:val="8"/>
                <w:szCs w:val="8"/>
                <w:color w:val="auto"/>
              </w:rPr>
            </w:pPr>
          </w:p>
        </w:tc>
        <w:tc>
          <w:tcPr>
            <w:tcW w:w="120" w:type="dxa"/>
            <w:vAlign w:val="bottom"/>
          </w:tcPr>
          <w:p>
            <w:pPr>
              <w:spacing w:after="0"/>
              <w:rPr>
                <w:sz w:val="8"/>
                <w:szCs w:val="8"/>
                <w:color w:val="auto"/>
              </w:rPr>
            </w:pPr>
          </w:p>
        </w:tc>
        <w:tc>
          <w:tcPr>
            <w:tcW w:w="860" w:type="dxa"/>
            <w:vAlign w:val="bottom"/>
          </w:tcPr>
          <w:p>
            <w:pPr>
              <w:spacing w:after="0"/>
              <w:rPr>
                <w:sz w:val="8"/>
                <w:szCs w:val="8"/>
                <w:color w:val="auto"/>
              </w:rPr>
            </w:pPr>
          </w:p>
        </w:tc>
        <w:tc>
          <w:tcPr>
            <w:tcW w:w="220" w:type="dxa"/>
            <w:vAlign w:val="bottom"/>
          </w:tcPr>
          <w:p>
            <w:pPr>
              <w:spacing w:after="0"/>
              <w:rPr>
                <w:sz w:val="8"/>
                <w:szCs w:val="8"/>
                <w:color w:val="auto"/>
              </w:rPr>
            </w:pPr>
          </w:p>
        </w:tc>
        <w:tc>
          <w:tcPr>
            <w:tcW w:w="380" w:type="dxa"/>
            <w:vAlign w:val="bottom"/>
          </w:tcPr>
          <w:p>
            <w:pPr>
              <w:spacing w:after="0"/>
              <w:rPr>
                <w:sz w:val="8"/>
                <w:szCs w:val="8"/>
                <w:color w:val="auto"/>
              </w:rPr>
            </w:pPr>
          </w:p>
        </w:tc>
        <w:tc>
          <w:tcPr>
            <w:tcW w:w="120" w:type="dxa"/>
            <w:vAlign w:val="bottom"/>
          </w:tcPr>
          <w:p>
            <w:pPr>
              <w:spacing w:after="0"/>
              <w:rPr>
                <w:sz w:val="8"/>
                <w:szCs w:val="8"/>
                <w:color w:val="auto"/>
              </w:rPr>
            </w:pPr>
          </w:p>
        </w:tc>
        <w:tc>
          <w:tcPr>
            <w:tcW w:w="540" w:type="dxa"/>
            <w:vAlign w:val="bottom"/>
          </w:tcPr>
          <w:p>
            <w:pPr>
              <w:spacing w:after="0"/>
              <w:rPr>
                <w:sz w:val="8"/>
                <w:szCs w:val="8"/>
                <w:color w:val="auto"/>
              </w:rPr>
            </w:pPr>
          </w:p>
        </w:tc>
        <w:tc>
          <w:tcPr>
            <w:tcW w:w="62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0" w:type="dxa"/>
            <w:vAlign w:val="bottom"/>
          </w:tcPr>
          <w:p>
            <w:pPr>
              <w:spacing w:after="0"/>
              <w:rPr>
                <w:sz w:val="8"/>
                <w:szCs w:val="8"/>
                <w:color w:val="auto"/>
              </w:rPr>
            </w:pPr>
          </w:p>
        </w:tc>
        <w:tc>
          <w:tcPr>
            <w:tcW w:w="6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19" w:lineRule="exact"/>
        <w:rPr>
          <w:sz w:val="20"/>
          <w:szCs w:val="20"/>
          <w:color w:val="auto"/>
        </w:rPr>
      </w:pPr>
    </w:p>
    <w:p>
      <w:pPr>
        <w:ind w:left="5620" w:right="5120" w:hanging="5612"/>
        <w:spacing w:after="0" w:line="408" w:lineRule="auto"/>
        <w:tabs>
          <w:tab w:leader="none" w:pos="448" w:val="left"/>
        </w:tabs>
        <w:numPr>
          <w:ilvl w:val="0"/>
          <w:numId w:val="46"/>
        </w:numPr>
        <w:rPr>
          <w:rFonts w:ascii="Arial" w:cs="Arial" w:eastAsia="Arial" w:hAnsi="Arial"/>
          <w:sz w:val="15"/>
          <w:szCs w:val="15"/>
          <w:color w:val="auto"/>
        </w:rPr>
      </w:pPr>
      <w:r>
        <w:rPr>
          <w:rFonts w:ascii="Arial" w:cs="Arial" w:eastAsia="Arial" w:hAnsi="Arial"/>
          <w:sz w:val="15"/>
          <w:szCs w:val="15"/>
          <w:color w:val="auto"/>
        </w:rPr>
        <w:t>Amounts represent the fair value measure (or range of measures) during the period. 65</w:t>
      </w:r>
    </w:p>
    <w:p>
      <w:pPr>
        <w:sectPr>
          <w:pgSz w:w="11900" w:h="16838" w:orient="portrait"/>
          <w:cols w:equalWidth="0" w:num="1">
            <w:col w:w="11420"/>
          </w:cols>
          <w:pgMar w:left="240" w:top="459" w:right="239" w:bottom="1440" w:gutter="0" w:footer="0" w:header="0"/>
        </w:sectPr>
      </w:pPr>
    </w:p>
    <w:bookmarkStart w:id="67" w:name="page68"/>
    <w:bookmarkEnd w:id="6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17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339"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GMNA</w:t>
      </w:r>
    </w:p>
    <w:p>
      <w:pPr>
        <w:spacing w:after="0" w:line="171" w:lineRule="exact"/>
        <w:rPr>
          <w:sz w:val="20"/>
          <w:szCs w:val="20"/>
          <w:color w:val="auto"/>
        </w:rPr>
      </w:pPr>
    </w:p>
    <w:p>
      <w:pPr>
        <w:ind w:firstLine="228"/>
        <w:spacing w:after="0" w:line="259" w:lineRule="auto"/>
        <w:rPr>
          <w:sz w:val="20"/>
          <w:szCs w:val="20"/>
          <w:color w:val="auto"/>
        </w:rPr>
      </w:pPr>
      <w:r>
        <w:rPr>
          <w:rFonts w:ascii="Arial" w:cs="Arial" w:eastAsia="Arial" w:hAnsi="Arial"/>
          <w:sz w:val="18"/>
          <w:szCs w:val="18"/>
          <w:color w:val="auto"/>
        </w:rPr>
        <w:t>Product-specific tooling assets were adjusted to their fair value at the time of impairment, resulting in impairment charges of $278 million in the period January 1, 2009 through July 9, 2009. Fair value measurements utilized projected cash flows, discounted at a rate commensurate with the perceived business risks related to the assets involved.</w:t>
      </w:r>
    </w:p>
    <w:p>
      <w:pPr>
        <w:spacing w:after="0" w:line="140" w:lineRule="exact"/>
        <w:rPr>
          <w:sz w:val="20"/>
          <w:szCs w:val="20"/>
          <w:color w:val="auto"/>
        </w:rPr>
      </w:pPr>
    </w:p>
    <w:p>
      <w:pPr>
        <w:ind w:right="560" w:firstLine="228"/>
        <w:spacing w:after="0" w:line="268" w:lineRule="auto"/>
        <w:rPr>
          <w:sz w:val="20"/>
          <w:szCs w:val="20"/>
          <w:color w:val="auto"/>
        </w:rPr>
      </w:pPr>
      <w:r>
        <w:rPr>
          <w:rFonts w:ascii="Arial" w:cs="Arial" w:eastAsia="Arial" w:hAnsi="Arial"/>
          <w:sz w:val="18"/>
          <w:szCs w:val="18"/>
          <w:color w:val="auto"/>
        </w:rPr>
        <w:t>Cancelled powertrain programs were adjusted to their fair value at the time of impairment, resulting in impairment charges of $42 million in the period January 1, 2009 through July 9, 2009. Fair value measurements utilized discounted projected cash flows.</w:t>
      </w:r>
    </w:p>
    <w:p>
      <w:pPr>
        <w:spacing w:after="0" w:line="132" w:lineRule="exact"/>
        <w:rPr>
          <w:sz w:val="20"/>
          <w:szCs w:val="20"/>
          <w:color w:val="auto"/>
        </w:rPr>
      </w:pPr>
    </w:p>
    <w:p>
      <w:pPr>
        <w:ind w:right="140" w:firstLine="228"/>
        <w:spacing w:after="0" w:line="256" w:lineRule="auto"/>
        <w:rPr>
          <w:sz w:val="20"/>
          <w:szCs w:val="20"/>
          <w:color w:val="auto"/>
        </w:rPr>
      </w:pPr>
      <w:r>
        <w:rPr>
          <w:rFonts w:ascii="Arial" w:cs="Arial" w:eastAsia="Arial" w:hAnsi="Arial"/>
          <w:sz w:val="18"/>
          <w:szCs w:val="18"/>
          <w:color w:val="auto"/>
        </w:rPr>
        <w:t>CAMI Automotive Inc. (CAMI), at the time an equity method investee, was adjusted to its fair value, resulting in an impairment charge of $28 million in the three months ended March 31, 2009. The fair value measurement utilized projected cash flows, discounted at a rate commensurate with the perceived business risks related to the investee. In March 2009 Old GM determined that due to changes in contractual arrangements, CAMI became a VIE and Old GM was the primary beneficiary, and therefore CAMI was consolidated.</w:t>
      </w:r>
    </w:p>
    <w:p>
      <w:pPr>
        <w:spacing w:after="0" w:line="143" w:lineRule="exact"/>
        <w:rPr>
          <w:sz w:val="20"/>
          <w:szCs w:val="20"/>
          <w:color w:val="auto"/>
        </w:rPr>
      </w:pPr>
    </w:p>
    <w:p>
      <w:pPr>
        <w:ind w:right="20" w:firstLine="228"/>
        <w:spacing w:after="0" w:line="268" w:lineRule="auto"/>
        <w:rPr>
          <w:sz w:val="20"/>
          <w:szCs w:val="20"/>
          <w:color w:val="auto"/>
        </w:rPr>
      </w:pPr>
      <w:r>
        <w:rPr>
          <w:rFonts w:ascii="Arial" w:cs="Arial" w:eastAsia="Arial" w:hAnsi="Arial"/>
          <w:sz w:val="18"/>
          <w:szCs w:val="18"/>
          <w:color w:val="auto"/>
        </w:rPr>
        <w:t>Vehicles leased to rental car companies were adjusted to their fair value at the time of impairment, resulting in impairment charges of $11 million in the period January 1, 2009 through July 9, 2009. Fair value measurements utilized projected cash flows from vehicle sales at auction.</w:t>
      </w:r>
    </w:p>
    <w:p>
      <w:pPr>
        <w:spacing w:after="0" w:line="132"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GME</w:t>
      </w:r>
    </w:p>
    <w:p>
      <w:pPr>
        <w:spacing w:after="0" w:line="171" w:lineRule="exact"/>
        <w:rPr>
          <w:sz w:val="20"/>
          <w:szCs w:val="20"/>
          <w:color w:val="auto"/>
        </w:rPr>
      </w:pPr>
    </w:p>
    <w:p>
      <w:pPr>
        <w:ind w:firstLine="228"/>
        <w:spacing w:after="0" w:line="259" w:lineRule="auto"/>
        <w:rPr>
          <w:sz w:val="20"/>
          <w:szCs w:val="20"/>
          <w:color w:val="auto"/>
        </w:rPr>
      </w:pPr>
      <w:r>
        <w:rPr>
          <w:rFonts w:ascii="Arial" w:cs="Arial" w:eastAsia="Arial" w:hAnsi="Arial"/>
          <w:sz w:val="18"/>
          <w:szCs w:val="18"/>
          <w:color w:val="auto"/>
        </w:rPr>
        <w:t>Product-specific tooling assets were adjusted to their fair value at the time of impairments, resulting in impairment charges of $237 million in the period January 1, 2009 through July 9, 2009. Fair value measurements utilized projected cash flows, discounted at a rate commensurate with the perceived business risks related to the assets involved.</w:t>
      </w:r>
    </w:p>
    <w:p>
      <w:pPr>
        <w:spacing w:after="0" w:line="140" w:lineRule="exact"/>
        <w:rPr>
          <w:sz w:val="20"/>
          <w:szCs w:val="20"/>
          <w:color w:val="auto"/>
        </w:rPr>
      </w:pPr>
    </w:p>
    <w:p>
      <w:pPr>
        <w:ind w:right="240" w:firstLine="228"/>
        <w:spacing w:after="0" w:line="259" w:lineRule="auto"/>
        <w:rPr>
          <w:sz w:val="20"/>
          <w:szCs w:val="20"/>
          <w:color w:val="auto"/>
        </w:rPr>
      </w:pPr>
      <w:r>
        <w:rPr>
          <w:rFonts w:ascii="Arial" w:cs="Arial" w:eastAsia="Arial" w:hAnsi="Arial"/>
          <w:sz w:val="18"/>
          <w:szCs w:val="18"/>
          <w:color w:val="auto"/>
        </w:rPr>
        <w:t>Vehicles leased to rental car companies were adjusted to their fair value at the time of impairment, resulting in impairment charges of $1 million and $36 million in the periods July 1, 2009 through July 9, 2009 and January 1, 2009 through July 9, 2009. Fair value measurements utilized projected cash flows from vehicles sales at auctions.</w:t>
      </w:r>
    </w:p>
    <w:p>
      <w:pPr>
        <w:spacing w:after="0" w:line="140"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GMIO</w:t>
      </w:r>
    </w:p>
    <w:p>
      <w:pPr>
        <w:spacing w:after="0" w:line="171" w:lineRule="exact"/>
        <w:rPr>
          <w:sz w:val="20"/>
          <w:szCs w:val="20"/>
          <w:color w:val="auto"/>
        </w:rPr>
      </w:pPr>
    </w:p>
    <w:p>
      <w:pPr>
        <w:ind w:left="240"/>
        <w:spacing w:after="0"/>
        <w:rPr>
          <w:sz w:val="20"/>
          <w:szCs w:val="20"/>
          <w:color w:val="auto"/>
        </w:rPr>
      </w:pPr>
      <w:r>
        <w:rPr>
          <w:rFonts w:ascii="Arial" w:cs="Arial" w:eastAsia="Arial" w:hAnsi="Arial"/>
          <w:sz w:val="16"/>
          <w:szCs w:val="16"/>
          <w:color w:val="auto"/>
        </w:rPr>
        <w:t>Product-specific tooling assets were adjusted to their fair value at the time of impairments, resulting in impairment charges of $7 million in the period</w:t>
      </w:r>
    </w:p>
    <w:p>
      <w:pPr>
        <w:spacing w:after="0" w:line="38" w:lineRule="exact"/>
        <w:rPr>
          <w:sz w:val="20"/>
          <w:szCs w:val="20"/>
          <w:color w:val="auto"/>
        </w:rPr>
      </w:pPr>
    </w:p>
    <w:p>
      <w:pPr>
        <w:spacing w:after="0"/>
        <w:rPr>
          <w:sz w:val="20"/>
          <w:szCs w:val="20"/>
          <w:color w:val="auto"/>
        </w:rPr>
      </w:pPr>
      <w:r>
        <w:rPr>
          <w:rFonts w:ascii="Arial" w:cs="Arial" w:eastAsia="Arial" w:hAnsi="Arial"/>
          <w:sz w:val="15"/>
          <w:szCs w:val="15"/>
          <w:color w:val="auto"/>
        </w:rPr>
        <w:t>January 1, 2009 through July 9, 2009. Fair value measurements utilized projected cash flows, discounted at a rate commensurate with the perceived business risks</w:t>
      </w:r>
    </w:p>
    <w:p>
      <w:pPr>
        <w:spacing w:after="0" w:line="44" w:lineRule="exact"/>
        <w:rPr>
          <w:sz w:val="20"/>
          <w:szCs w:val="20"/>
          <w:color w:val="auto"/>
        </w:rPr>
      </w:pPr>
    </w:p>
    <w:p>
      <w:pPr>
        <w:spacing w:after="0"/>
        <w:rPr>
          <w:sz w:val="20"/>
          <w:szCs w:val="20"/>
          <w:color w:val="auto"/>
        </w:rPr>
      </w:pPr>
      <w:r>
        <w:rPr>
          <w:rFonts w:ascii="Arial" w:cs="Arial" w:eastAsia="Arial" w:hAnsi="Arial"/>
          <w:sz w:val="18"/>
          <w:szCs w:val="18"/>
          <w:color w:val="auto"/>
        </w:rPr>
        <w:t>related to the assets involved.</w:t>
      </w:r>
    </w:p>
    <w:p>
      <w:pPr>
        <w:spacing w:after="0" w:line="165"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Corporate</w:t>
      </w:r>
    </w:p>
    <w:p>
      <w:pPr>
        <w:spacing w:after="0" w:line="171" w:lineRule="exact"/>
        <w:rPr>
          <w:sz w:val="20"/>
          <w:szCs w:val="20"/>
          <w:color w:val="auto"/>
        </w:rPr>
      </w:pPr>
    </w:p>
    <w:p>
      <w:pPr>
        <w:ind w:right="300" w:firstLine="228"/>
        <w:spacing w:after="0" w:line="332" w:lineRule="auto"/>
        <w:rPr>
          <w:sz w:val="20"/>
          <w:szCs w:val="20"/>
          <w:color w:val="auto"/>
        </w:rPr>
      </w:pPr>
      <w:r>
        <w:rPr>
          <w:rFonts w:ascii="Arial" w:cs="Arial" w:eastAsia="Arial" w:hAnsi="Arial"/>
          <w:sz w:val="16"/>
          <w:szCs w:val="16"/>
          <w:color w:val="auto"/>
        </w:rPr>
        <w:t>Automotive retail leases were adjusted to their fair value at the time of impairment, resulting in impairment charges of $16 million in the period January 1, 2009 through July 9, 2009. Fair value measurements utilized discounted projected cash flows from lease payments and anticipated future auction proceeds.</w:t>
      </w:r>
    </w:p>
    <w:p>
      <w:pPr>
        <w:spacing w:after="0" w:line="7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66</w:t>
      </w:r>
    </w:p>
    <w:p>
      <w:pPr>
        <w:sectPr>
          <w:pgSz w:w="11900" w:h="16838" w:orient="portrait"/>
          <w:cols w:equalWidth="0" w:num="1">
            <w:col w:w="11400"/>
          </w:cols>
          <w:pgMar w:left="240" w:top="459" w:right="259" w:bottom="1440" w:gutter="0" w:footer="0" w:header="0"/>
        </w:sectPr>
      </w:pPr>
    </w:p>
    <w:bookmarkStart w:id="68" w:name="page69"/>
    <w:bookmarkEnd w:id="6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 Cancellations</w:t>
      </w:r>
    </w:p>
    <w:p>
      <w:pPr>
        <w:spacing w:after="0" w:line="177" w:lineRule="exact"/>
        <w:rPr>
          <w:sz w:val="20"/>
          <w:szCs w:val="20"/>
          <w:color w:val="auto"/>
        </w:rPr>
      </w:pPr>
    </w:p>
    <w:p>
      <w:pPr>
        <w:ind w:left="240"/>
        <w:spacing w:after="0"/>
        <w:rPr>
          <w:sz w:val="20"/>
          <w:szCs w:val="20"/>
          <w:color w:val="auto"/>
        </w:rPr>
      </w:pPr>
      <w:r>
        <w:rPr>
          <w:rFonts w:ascii="Arial" w:cs="Arial" w:eastAsia="Arial" w:hAnsi="Arial"/>
          <w:sz w:val="16"/>
          <w:szCs w:val="16"/>
          <w:color w:val="auto"/>
        </w:rPr>
        <w:t>The following table summarizes net contract cancellation charges primarily related to the cancellation of product programs (dollars in millions):</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60" w:type="dxa"/>
            <w:vAlign w:val="bottom"/>
          </w:tcPr>
          <w:p>
            <w:pPr>
              <w:spacing w:after="0"/>
              <w:rPr>
                <w:sz w:val="14"/>
                <w:szCs w:val="14"/>
                <w:color w:val="auto"/>
              </w:rPr>
            </w:pPr>
          </w:p>
        </w:tc>
        <w:tc>
          <w:tcPr>
            <w:tcW w:w="27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300" w:type="dxa"/>
            <w:vAlign w:val="bottom"/>
            <w:tcBorders>
              <w:bottom w:val="single" w:sz="8" w:color="auto"/>
            </w:tcBorders>
            <w:gridSpan w:val="2"/>
          </w:tcPr>
          <w:p>
            <w:pPr>
              <w:jc w:val="center"/>
              <w:ind w:right="420"/>
              <w:spacing w:after="0"/>
              <w:rPr>
                <w:sz w:val="20"/>
                <w:szCs w:val="20"/>
                <w:color w:val="auto"/>
              </w:rPr>
            </w:pPr>
            <w:r>
              <w:rPr>
                <w:rFonts w:ascii="Arial" w:cs="Arial" w:eastAsia="Arial" w:hAnsi="Arial"/>
                <w:sz w:val="14"/>
                <w:szCs w:val="14"/>
                <w:b w:val="1"/>
                <w:bCs w:val="1"/>
                <w:color w:val="auto"/>
                <w:w w:val="79"/>
              </w:rPr>
              <w:t>Successor</w:t>
            </w:r>
          </w:p>
        </w:tc>
        <w:tc>
          <w:tcPr>
            <w:tcW w:w="28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spacing w:after="0"/>
              <w:rPr>
                <w:sz w:val="14"/>
                <w:szCs w:val="14"/>
                <w:color w:val="auto"/>
              </w:rPr>
            </w:pPr>
          </w:p>
        </w:tc>
        <w:tc>
          <w:tcPr>
            <w:tcW w:w="660" w:type="dxa"/>
            <w:vAlign w:val="bottom"/>
            <w:tcBorders>
              <w:right w:val="single" w:sz="8" w:color="auto"/>
            </w:tcBorders>
          </w:tcPr>
          <w:p>
            <w:pPr>
              <w:spacing w:after="0"/>
              <w:rPr>
                <w:sz w:val="14"/>
                <w:szCs w:val="14"/>
                <w:color w:val="auto"/>
              </w:rPr>
            </w:pPr>
          </w:p>
        </w:tc>
        <w:tc>
          <w:tcPr>
            <w:tcW w:w="46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w w:val="80"/>
              </w:rPr>
              <w:t>Predecessor</w:t>
            </w:r>
          </w:p>
        </w:tc>
        <w:tc>
          <w:tcPr>
            <w:tcW w:w="5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1160" w:type="dxa"/>
            <w:vAlign w:val="bottom"/>
          </w:tcPr>
          <w:p>
            <w:pPr>
              <w:spacing w:after="0"/>
              <w:rPr>
                <w:sz w:val="11"/>
                <w:szCs w:val="11"/>
                <w:color w:val="auto"/>
              </w:rPr>
            </w:pPr>
          </w:p>
        </w:tc>
        <w:tc>
          <w:tcPr>
            <w:tcW w:w="27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660" w:type="dxa"/>
            <w:vAlign w:val="bottom"/>
            <w:tcBorders>
              <w:right w:val="single" w:sz="8" w:color="auto"/>
            </w:tcBorders>
          </w:tcPr>
          <w:p>
            <w:pPr>
              <w:spacing w:after="0"/>
              <w:rPr>
                <w:sz w:val="11"/>
                <w:szCs w:val="11"/>
                <w:color w:val="auto"/>
              </w:rPr>
            </w:pPr>
          </w:p>
        </w:tc>
        <w:tc>
          <w:tcPr>
            <w:tcW w:w="460" w:type="dxa"/>
            <w:vAlign w:val="bottom"/>
          </w:tcPr>
          <w:p>
            <w:pPr>
              <w:spacing w:after="0"/>
              <w:rPr>
                <w:sz w:val="11"/>
                <w:szCs w:val="11"/>
                <w:color w:val="auto"/>
              </w:rPr>
            </w:pPr>
          </w:p>
        </w:tc>
        <w:tc>
          <w:tcPr>
            <w:tcW w:w="540" w:type="dxa"/>
            <w:vAlign w:val="bottom"/>
            <w:gridSpan w:val="3"/>
          </w:tcPr>
          <w:p>
            <w:pPr>
              <w:jc w:val="center"/>
              <w:ind w:right="40"/>
              <w:spacing w:after="0" w:line="129" w:lineRule="exact"/>
              <w:rPr>
                <w:sz w:val="20"/>
                <w:szCs w:val="20"/>
                <w:color w:val="auto"/>
              </w:rPr>
            </w:pPr>
            <w:r>
              <w:rPr>
                <w:rFonts w:ascii="Arial" w:cs="Arial" w:eastAsia="Arial" w:hAnsi="Arial"/>
                <w:sz w:val="14"/>
                <w:szCs w:val="14"/>
                <w:b w:val="1"/>
                <w:bCs w:val="1"/>
                <w:color w:val="auto"/>
                <w:w w:val="87"/>
              </w:rPr>
              <w:t>July 1,</w:t>
            </w:r>
          </w:p>
        </w:tc>
        <w:tc>
          <w:tcPr>
            <w:tcW w:w="560" w:type="dxa"/>
            <w:vAlign w:val="bottom"/>
          </w:tcPr>
          <w:p>
            <w:pPr>
              <w:spacing w:after="0"/>
              <w:rPr>
                <w:sz w:val="11"/>
                <w:szCs w:val="11"/>
                <w:color w:val="auto"/>
              </w:rPr>
            </w:pPr>
          </w:p>
        </w:tc>
        <w:tc>
          <w:tcPr>
            <w:tcW w:w="660" w:type="dxa"/>
            <w:vAlign w:val="bottom"/>
            <w:gridSpan w:val="2"/>
          </w:tcPr>
          <w:p>
            <w:pPr>
              <w:jc w:val="center"/>
              <w:spacing w:after="0" w:line="129" w:lineRule="exact"/>
              <w:rPr>
                <w:sz w:val="20"/>
                <w:szCs w:val="20"/>
                <w:color w:val="auto"/>
              </w:rPr>
            </w:pPr>
            <w:r>
              <w:rPr>
                <w:rFonts w:ascii="Arial" w:cs="Arial" w:eastAsia="Arial" w:hAnsi="Arial"/>
                <w:sz w:val="14"/>
                <w:szCs w:val="14"/>
                <w:b w:val="1"/>
                <w:bCs w:val="1"/>
                <w:color w:val="auto"/>
                <w:w w:val="86"/>
              </w:rPr>
              <w:t>January 1,</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1160" w:type="dxa"/>
            <w:vAlign w:val="bottom"/>
          </w:tcPr>
          <w:p>
            <w:pPr>
              <w:spacing w:after="0"/>
              <w:rPr>
                <w:sz w:val="12"/>
                <w:szCs w:val="12"/>
                <w:color w:val="auto"/>
              </w:rPr>
            </w:pPr>
          </w:p>
        </w:tc>
        <w:tc>
          <w:tcPr>
            <w:tcW w:w="2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660" w:type="dxa"/>
            <w:vAlign w:val="bottom"/>
            <w:tcBorders>
              <w:right w:val="single" w:sz="8" w:color="auto"/>
            </w:tcBorders>
          </w:tcPr>
          <w:p>
            <w:pPr>
              <w:spacing w:after="0"/>
              <w:rPr>
                <w:sz w:val="12"/>
                <w:szCs w:val="12"/>
                <w:color w:val="auto"/>
              </w:rPr>
            </w:pPr>
          </w:p>
        </w:tc>
        <w:tc>
          <w:tcPr>
            <w:tcW w:w="4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0" w:type="dxa"/>
            <w:vAlign w:val="bottom"/>
          </w:tcPr>
          <w:p>
            <w:pPr>
              <w:jc w:val="center"/>
              <w:ind w:right="19"/>
              <w:spacing w:after="0" w:line="149" w:lineRule="exact"/>
              <w:rPr>
                <w:sz w:val="20"/>
                <w:szCs w:val="20"/>
                <w:color w:val="auto"/>
              </w:rPr>
            </w:pPr>
            <w:r>
              <w:rPr>
                <w:rFonts w:ascii="Arial" w:cs="Arial" w:eastAsia="Arial" w:hAnsi="Arial"/>
                <w:sz w:val="14"/>
                <w:szCs w:val="14"/>
                <w:b w:val="1"/>
                <w:bCs w:val="1"/>
                <w:color w:val="auto"/>
                <w:w w:val="83"/>
              </w:rPr>
              <w:t>2009</w:t>
            </w:r>
          </w:p>
        </w:tc>
        <w:tc>
          <w:tcPr>
            <w:tcW w:w="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20" w:type="dxa"/>
            <w:vAlign w:val="bottom"/>
          </w:tcPr>
          <w:p>
            <w:pPr>
              <w:jc w:val="center"/>
              <w:ind w:right="61"/>
              <w:spacing w:after="0" w:line="149" w:lineRule="exact"/>
              <w:rPr>
                <w:sz w:val="20"/>
                <w:szCs w:val="20"/>
                <w:color w:val="auto"/>
              </w:rPr>
            </w:pPr>
            <w:r>
              <w:rPr>
                <w:rFonts w:ascii="Arial" w:cs="Arial" w:eastAsia="Arial" w:hAnsi="Arial"/>
                <w:sz w:val="14"/>
                <w:szCs w:val="14"/>
                <w:b w:val="1"/>
                <w:bCs w:val="1"/>
                <w:color w:val="auto"/>
                <w:w w:val="83"/>
              </w:rPr>
              <w:t>2009</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160" w:type="dxa"/>
            <w:vAlign w:val="bottom"/>
          </w:tcPr>
          <w:p>
            <w:pPr>
              <w:spacing w:after="0"/>
              <w:rPr>
                <w:sz w:val="12"/>
                <w:szCs w:val="12"/>
                <w:color w:val="auto"/>
              </w:rPr>
            </w:pPr>
          </w:p>
        </w:tc>
        <w:tc>
          <w:tcPr>
            <w:tcW w:w="2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20" w:type="dxa"/>
            <w:vAlign w:val="bottom"/>
            <w:gridSpan w:val="2"/>
          </w:tcPr>
          <w:p>
            <w:pPr>
              <w:jc w:val="right"/>
              <w:ind w:right="480"/>
              <w:spacing w:after="0" w:line="149" w:lineRule="exact"/>
              <w:rPr>
                <w:sz w:val="20"/>
                <w:szCs w:val="20"/>
                <w:color w:val="auto"/>
              </w:rPr>
            </w:pPr>
            <w:r>
              <w:rPr>
                <w:rFonts w:ascii="Arial" w:cs="Arial" w:eastAsia="Arial" w:hAnsi="Arial"/>
                <w:sz w:val="14"/>
                <w:szCs w:val="14"/>
                <w:b w:val="1"/>
                <w:bCs w:val="1"/>
                <w:color w:val="auto"/>
                <w:w w:val="89"/>
              </w:rPr>
              <w:t>Three Months</w:t>
            </w:r>
          </w:p>
        </w:tc>
        <w:tc>
          <w:tcPr>
            <w:tcW w:w="2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300" w:type="dxa"/>
            <w:vAlign w:val="bottom"/>
            <w:gridSpan w:val="2"/>
          </w:tcPr>
          <w:p>
            <w:pPr>
              <w:jc w:val="center"/>
              <w:ind w:right="440"/>
              <w:spacing w:after="0" w:line="149" w:lineRule="exact"/>
              <w:rPr>
                <w:sz w:val="20"/>
                <w:szCs w:val="20"/>
                <w:color w:val="auto"/>
              </w:rPr>
            </w:pPr>
            <w:r>
              <w:rPr>
                <w:rFonts w:ascii="Arial" w:cs="Arial" w:eastAsia="Arial" w:hAnsi="Arial"/>
                <w:sz w:val="14"/>
                <w:szCs w:val="14"/>
                <w:b w:val="1"/>
                <w:bCs w:val="1"/>
                <w:color w:val="auto"/>
                <w:w w:val="88"/>
              </w:rPr>
              <w:t>Nine Months</w:t>
            </w:r>
          </w:p>
        </w:tc>
        <w:tc>
          <w:tcPr>
            <w:tcW w:w="2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60" w:type="dxa"/>
            <w:vAlign w:val="bottom"/>
            <w:tcBorders>
              <w:right w:val="single" w:sz="8" w:color="auto"/>
            </w:tcBorders>
            <w:gridSpan w:val="2"/>
          </w:tcPr>
          <w:p>
            <w:pPr>
              <w:jc w:val="center"/>
              <w:ind w:right="800"/>
              <w:spacing w:after="0" w:line="149" w:lineRule="exact"/>
              <w:rPr>
                <w:sz w:val="20"/>
                <w:szCs w:val="20"/>
                <w:color w:val="auto"/>
              </w:rPr>
            </w:pPr>
            <w:r>
              <w:rPr>
                <w:rFonts w:ascii="Arial" w:cs="Arial" w:eastAsia="Arial" w:hAnsi="Arial"/>
                <w:sz w:val="14"/>
                <w:szCs w:val="14"/>
                <w:b w:val="1"/>
                <w:bCs w:val="1"/>
                <w:color w:val="auto"/>
                <w:w w:val="85"/>
              </w:rPr>
              <w:t>July 10, 2009</w:t>
            </w:r>
          </w:p>
        </w:tc>
        <w:tc>
          <w:tcPr>
            <w:tcW w:w="460" w:type="dxa"/>
            <w:vAlign w:val="bottom"/>
          </w:tcPr>
          <w:p>
            <w:pPr>
              <w:spacing w:after="0"/>
              <w:rPr>
                <w:sz w:val="12"/>
                <w:szCs w:val="12"/>
                <w:color w:val="auto"/>
              </w:rPr>
            </w:pPr>
          </w:p>
        </w:tc>
        <w:tc>
          <w:tcPr>
            <w:tcW w:w="540" w:type="dxa"/>
            <w:vAlign w:val="bottom"/>
            <w:gridSpan w:val="3"/>
          </w:tcPr>
          <w:p>
            <w:pPr>
              <w:jc w:val="right"/>
              <w:ind w:right="20"/>
              <w:spacing w:after="0" w:line="149" w:lineRule="exact"/>
              <w:rPr>
                <w:sz w:val="20"/>
                <w:szCs w:val="20"/>
                <w:color w:val="auto"/>
              </w:rPr>
            </w:pPr>
            <w:r>
              <w:rPr>
                <w:rFonts w:ascii="Arial" w:cs="Arial" w:eastAsia="Arial" w:hAnsi="Arial"/>
                <w:sz w:val="14"/>
                <w:szCs w:val="14"/>
                <w:b w:val="1"/>
                <w:bCs w:val="1"/>
                <w:color w:val="auto"/>
                <w:w w:val="87"/>
              </w:rPr>
              <w:t>Through</w:t>
            </w:r>
          </w:p>
        </w:tc>
        <w:tc>
          <w:tcPr>
            <w:tcW w:w="560" w:type="dxa"/>
            <w:vAlign w:val="bottom"/>
          </w:tcPr>
          <w:p>
            <w:pPr>
              <w:spacing w:after="0"/>
              <w:rPr>
                <w:sz w:val="12"/>
                <w:szCs w:val="12"/>
                <w:color w:val="auto"/>
              </w:rPr>
            </w:pPr>
          </w:p>
        </w:tc>
        <w:tc>
          <w:tcPr>
            <w:tcW w:w="760" w:type="dxa"/>
            <w:vAlign w:val="bottom"/>
            <w:gridSpan w:val="3"/>
          </w:tcPr>
          <w:p>
            <w:pPr>
              <w:jc w:val="center"/>
              <w:ind w:right="100"/>
              <w:spacing w:after="0" w:line="149" w:lineRule="exact"/>
              <w:rPr>
                <w:sz w:val="20"/>
                <w:szCs w:val="20"/>
                <w:color w:val="auto"/>
              </w:rPr>
            </w:pPr>
            <w:r>
              <w:rPr>
                <w:rFonts w:ascii="Arial" w:cs="Arial" w:eastAsia="Arial" w:hAnsi="Arial"/>
                <w:sz w:val="14"/>
                <w:szCs w:val="14"/>
                <w:b w:val="1"/>
                <w:bCs w:val="1"/>
                <w:color w:val="auto"/>
                <w:w w:val="87"/>
              </w:rPr>
              <w:t>Through</w:t>
            </w:r>
          </w:p>
        </w:tc>
        <w:tc>
          <w:tcPr>
            <w:tcW w:w="0" w:type="dxa"/>
            <w:vAlign w:val="bottom"/>
          </w:tcPr>
          <w:p>
            <w:pPr>
              <w:spacing w:after="0"/>
              <w:rPr>
                <w:sz w:val="1"/>
                <w:szCs w:val="1"/>
                <w:color w:val="auto"/>
              </w:rPr>
            </w:pPr>
          </w:p>
        </w:tc>
      </w:tr>
      <w:tr>
        <w:trPr>
          <w:trHeight w:val="149"/>
        </w:trPr>
        <w:tc>
          <w:tcPr>
            <w:tcW w:w="1160" w:type="dxa"/>
            <w:vAlign w:val="bottom"/>
          </w:tcPr>
          <w:p>
            <w:pPr>
              <w:spacing w:after="0"/>
              <w:rPr>
                <w:sz w:val="12"/>
                <w:szCs w:val="12"/>
                <w:color w:val="auto"/>
              </w:rPr>
            </w:pPr>
          </w:p>
        </w:tc>
        <w:tc>
          <w:tcPr>
            <w:tcW w:w="2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20" w:type="dxa"/>
            <w:vAlign w:val="bottom"/>
            <w:gridSpan w:val="2"/>
          </w:tcPr>
          <w:p>
            <w:pPr>
              <w:jc w:val="right"/>
              <w:ind w:right="700"/>
              <w:spacing w:after="0" w:line="149" w:lineRule="exact"/>
              <w:rPr>
                <w:sz w:val="20"/>
                <w:szCs w:val="20"/>
                <w:color w:val="auto"/>
              </w:rPr>
            </w:pPr>
            <w:r>
              <w:rPr>
                <w:rFonts w:ascii="Arial" w:cs="Arial" w:eastAsia="Arial" w:hAnsi="Arial"/>
                <w:sz w:val="14"/>
                <w:szCs w:val="14"/>
                <w:b w:val="1"/>
                <w:bCs w:val="1"/>
                <w:color w:val="auto"/>
              </w:rPr>
              <w:t>Ended</w:t>
            </w:r>
          </w:p>
        </w:tc>
        <w:tc>
          <w:tcPr>
            <w:tcW w:w="2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300" w:type="dxa"/>
            <w:vAlign w:val="bottom"/>
            <w:gridSpan w:val="2"/>
          </w:tcPr>
          <w:p>
            <w:pPr>
              <w:jc w:val="center"/>
              <w:ind w:right="440"/>
              <w:spacing w:after="0" w:line="149" w:lineRule="exact"/>
              <w:rPr>
                <w:sz w:val="20"/>
                <w:szCs w:val="20"/>
                <w:color w:val="auto"/>
              </w:rPr>
            </w:pPr>
            <w:r>
              <w:rPr>
                <w:rFonts w:ascii="Arial" w:cs="Arial" w:eastAsia="Arial" w:hAnsi="Arial"/>
                <w:sz w:val="14"/>
                <w:szCs w:val="14"/>
                <w:b w:val="1"/>
                <w:bCs w:val="1"/>
                <w:color w:val="auto"/>
                <w:w w:val="88"/>
              </w:rPr>
              <w:t>Ended</w:t>
            </w:r>
          </w:p>
        </w:tc>
        <w:tc>
          <w:tcPr>
            <w:tcW w:w="2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60" w:type="dxa"/>
            <w:vAlign w:val="bottom"/>
            <w:tcBorders>
              <w:right w:val="single" w:sz="8" w:color="auto"/>
            </w:tcBorders>
            <w:gridSpan w:val="2"/>
          </w:tcPr>
          <w:p>
            <w:pPr>
              <w:jc w:val="center"/>
              <w:ind w:right="800"/>
              <w:spacing w:after="0" w:line="149" w:lineRule="exact"/>
              <w:rPr>
                <w:sz w:val="20"/>
                <w:szCs w:val="20"/>
                <w:color w:val="auto"/>
              </w:rPr>
            </w:pPr>
            <w:r>
              <w:rPr>
                <w:rFonts w:ascii="Arial" w:cs="Arial" w:eastAsia="Arial" w:hAnsi="Arial"/>
                <w:sz w:val="14"/>
                <w:szCs w:val="14"/>
                <w:b w:val="1"/>
                <w:bCs w:val="1"/>
                <w:color w:val="auto"/>
                <w:w w:val="87"/>
              </w:rPr>
              <w:t>Through</w:t>
            </w:r>
          </w:p>
        </w:tc>
        <w:tc>
          <w:tcPr>
            <w:tcW w:w="460" w:type="dxa"/>
            <w:vAlign w:val="bottom"/>
          </w:tcPr>
          <w:p>
            <w:pPr>
              <w:spacing w:after="0"/>
              <w:rPr>
                <w:sz w:val="12"/>
                <w:szCs w:val="12"/>
                <w:color w:val="auto"/>
              </w:rPr>
            </w:pPr>
          </w:p>
        </w:tc>
        <w:tc>
          <w:tcPr>
            <w:tcW w:w="540" w:type="dxa"/>
            <w:vAlign w:val="bottom"/>
            <w:gridSpan w:val="3"/>
          </w:tcPr>
          <w:p>
            <w:pPr>
              <w:jc w:val="center"/>
              <w:spacing w:after="0" w:line="149" w:lineRule="exact"/>
              <w:rPr>
                <w:sz w:val="20"/>
                <w:szCs w:val="20"/>
                <w:color w:val="auto"/>
              </w:rPr>
            </w:pPr>
            <w:r>
              <w:rPr>
                <w:rFonts w:ascii="Arial" w:cs="Arial" w:eastAsia="Arial" w:hAnsi="Arial"/>
                <w:sz w:val="14"/>
                <w:szCs w:val="14"/>
                <w:b w:val="1"/>
                <w:bCs w:val="1"/>
                <w:color w:val="auto"/>
                <w:w w:val="87"/>
              </w:rPr>
              <w:t>July 9,</w:t>
            </w:r>
          </w:p>
        </w:tc>
        <w:tc>
          <w:tcPr>
            <w:tcW w:w="5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87"/>
              </w:rPr>
              <w:t>July 9,</w:t>
            </w:r>
          </w:p>
        </w:tc>
        <w:tc>
          <w:tcPr>
            <w:tcW w:w="0" w:type="dxa"/>
            <w:vAlign w:val="bottom"/>
          </w:tcPr>
          <w:p>
            <w:pPr>
              <w:spacing w:after="0"/>
              <w:rPr>
                <w:sz w:val="1"/>
                <w:szCs w:val="1"/>
                <w:color w:val="auto"/>
              </w:rPr>
            </w:pPr>
          </w:p>
        </w:tc>
      </w:tr>
      <w:tr>
        <w:trPr>
          <w:trHeight w:val="161"/>
        </w:trPr>
        <w:tc>
          <w:tcPr>
            <w:tcW w:w="1160" w:type="dxa"/>
            <w:vAlign w:val="bottom"/>
          </w:tcPr>
          <w:p>
            <w:pPr>
              <w:spacing w:after="0"/>
              <w:rPr>
                <w:sz w:val="14"/>
                <w:szCs w:val="14"/>
                <w:color w:val="auto"/>
              </w:rPr>
            </w:pPr>
          </w:p>
        </w:tc>
        <w:tc>
          <w:tcPr>
            <w:tcW w:w="2720" w:type="dxa"/>
            <w:vAlign w:val="bottom"/>
          </w:tcPr>
          <w:p>
            <w:pPr>
              <w:spacing w:after="0"/>
              <w:rPr>
                <w:sz w:val="14"/>
                <w:szCs w:val="14"/>
                <w:color w:val="auto"/>
              </w:rPr>
            </w:pPr>
          </w:p>
        </w:tc>
        <w:tc>
          <w:tcPr>
            <w:tcW w:w="1440" w:type="dxa"/>
            <w:vAlign w:val="bottom"/>
            <w:gridSpan w:val="3"/>
          </w:tcPr>
          <w:p>
            <w:pPr>
              <w:spacing w:after="0"/>
              <w:rPr>
                <w:sz w:val="20"/>
                <w:szCs w:val="20"/>
                <w:color w:val="auto"/>
              </w:rPr>
            </w:pPr>
            <w:r>
              <w:rPr>
                <w:rFonts w:ascii="Arial" w:cs="Arial" w:eastAsia="Arial" w:hAnsi="Arial"/>
                <w:sz w:val="14"/>
                <w:szCs w:val="14"/>
                <w:b w:val="1"/>
                <w:bCs w:val="1"/>
                <w:color w:val="auto"/>
              </w:rPr>
              <w:t>September 30, 2010</w:t>
            </w:r>
          </w:p>
        </w:tc>
        <w:tc>
          <w:tcPr>
            <w:tcW w:w="260" w:type="dxa"/>
            <w:vAlign w:val="bottom"/>
          </w:tcPr>
          <w:p>
            <w:pPr>
              <w:spacing w:after="0"/>
              <w:rPr>
                <w:sz w:val="14"/>
                <w:szCs w:val="14"/>
                <w:color w:val="auto"/>
              </w:rPr>
            </w:pPr>
          </w:p>
        </w:tc>
        <w:tc>
          <w:tcPr>
            <w:tcW w:w="1440" w:type="dxa"/>
            <w:vAlign w:val="bottom"/>
            <w:gridSpan w:val="3"/>
          </w:tcPr>
          <w:p>
            <w:pPr>
              <w:jc w:val="center"/>
              <w:ind w:right="300"/>
              <w:spacing w:after="0"/>
              <w:rPr>
                <w:sz w:val="20"/>
                <w:szCs w:val="20"/>
                <w:color w:val="auto"/>
              </w:rPr>
            </w:pPr>
            <w:r>
              <w:rPr>
                <w:rFonts w:ascii="Arial" w:cs="Arial" w:eastAsia="Arial" w:hAnsi="Arial"/>
                <w:sz w:val="14"/>
                <w:szCs w:val="14"/>
                <w:b w:val="1"/>
                <w:bCs w:val="1"/>
                <w:color w:val="auto"/>
                <w:w w:val="87"/>
              </w:rPr>
              <w:t>September 30, 2010</w:t>
            </w:r>
          </w:p>
        </w:tc>
        <w:tc>
          <w:tcPr>
            <w:tcW w:w="280" w:type="dxa"/>
            <w:vAlign w:val="bottom"/>
          </w:tcPr>
          <w:p>
            <w:pPr>
              <w:spacing w:after="0"/>
              <w:rPr>
                <w:sz w:val="14"/>
                <w:szCs w:val="14"/>
                <w:color w:val="auto"/>
              </w:rPr>
            </w:pPr>
          </w:p>
        </w:tc>
        <w:tc>
          <w:tcPr>
            <w:tcW w:w="1800" w:type="dxa"/>
            <w:vAlign w:val="bottom"/>
            <w:tcBorders>
              <w:right w:val="single" w:sz="8" w:color="auto"/>
            </w:tcBorders>
            <w:gridSpan w:val="3"/>
          </w:tcPr>
          <w:p>
            <w:pPr>
              <w:jc w:val="right"/>
              <w:ind w:right="660"/>
              <w:spacing w:after="0"/>
              <w:rPr>
                <w:sz w:val="20"/>
                <w:szCs w:val="20"/>
                <w:color w:val="auto"/>
              </w:rPr>
            </w:pPr>
            <w:r>
              <w:rPr>
                <w:rFonts w:ascii="Arial" w:cs="Arial" w:eastAsia="Arial" w:hAnsi="Arial"/>
                <w:sz w:val="14"/>
                <w:szCs w:val="14"/>
                <w:b w:val="1"/>
                <w:bCs w:val="1"/>
                <w:color w:val="auto"/>
                <w:w w:val="85"/>
              </w:rPr>
              <w:t>September 30, 2009</w:t>
            </w:r>
          </w:p>
        </w:tc>
        <w:tc>
          <w:tcPr>
            <w:tcW w:w="4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0" w:type="dxa"/>
            <w:vAlign w:val="bottom"/>
          </w:tcPr>
          <w:p>
            <w:pPr>
              <w:jc w:val="center"/>
              <w:ind w:right="19"/>
              <w:spacing w:after="0"/>
              <w:rPr>
                <w:sz w:val="20"/>
                <w:szCs w:val="20"/>
                <w:color w:val="auto"/>
              </w:rPr>
            </w:pPr>
            <w:r>
              <w:rPr>
                <w:rFonts w:ascii="Arial" w:cs="Arial" w:eastAsia="Arial" w:hAnsi="Arial"/>
                <w:sz w:val="14"/>
                <w:szCs w:val="14"/>
                <w:b w:val="1"/>
                <w:bCs w:val="1"/>
                <w:color w:val="auto"/>
                <w:w w:val="83"/>
              </w:rPr>
              <w:t>2009</w:t>
            </w:r>
          </w:p>
        </w:tc>
        <w:tc>
          <w:tcPr>
            <w:tcW w:w="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20" w:type="dxa"/>
            <w:vAlign w:val="bottom"/>
          </w:tcPr>
          <w:p>
            <w:pPr>
              <w:jc w:val="center"/>
              <w:ind w:right="61"/>
              <w:spacing w:after="0"/>
              <w:rPr>
                <w:sz w:val="20"/>
                <w:szCs w:val="20"/>
                <w:color w:val="auto"/>
              </w:rPr>
            </w:pPr>
            <w:r>
              <w:rPr>
                <w:rFonts w:ascii="Arial" w:cs="Arial" w:eastAsia="Arial" w:hAnsi="Arial"/>
                <w:sz w:val="14"/>
                <w:szCs w:val="14"/>
                <w:b w:val="1"/>
                <w:bCs w:val="1"/>
                <w:color w:val="auto"/>
                <w:w w:val="83"/>
              </w:rPr>
              <w:t>2009</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27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660" w:type="dxa"/>
            <w:vAlign w:val="bottom"/>
            <w:tcBorders>
              <w:right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8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GMNA (a)</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13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(5)</w:t>
            </w: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31</w:t>
            </w: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60" w:type="dxa"/>
            <w:vAlign w:val="bottom"/>
            <w:tcBorders>
              <w:right w:val="single" w:sz="8" w:color="auto"/>
            </w:tcBorders>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77</w:t>
            </w:r>
          </w:p>
        </w:tc>
        <w:tc>
          <w:tcPr>
            <w:tcW w:w="46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80" w:type="dxa"/>
            <w:vAlign w:val="bottom"/>
            <w:gridSpan w:val="2"/>
          </w:tcPr>
          <w:p>
            <w:pPr>
              <w:spacing w:after="0"/>
              <w:rPr>
                <w:sz w:val="20"/>
                <w:szCs w:val="20"/>
                <w:color w:val="auto"/>
              </w:rPr>
            </w:pPr>
            <w:r>
              <w:rPr>
                <w:rFonts w:ascii="Arial" w:cs="Arial" w:eastAsia="Arial" w:hAnsi="Arial"/>
                <w:sz w:val="18"/>
                <w:szCs w:val="18"/>
                <w:color w:val="auto"/>
              </w:rPr>
              <w:t>GMIO</w:t>
            </w:r>
          </w:p>
        </w:tc>
        <w:tc>
          <w:tcPr>
            <w:tcW w:w="120" w:type="dxa"/>
            <w:vAlign w:val="bottom"/>
          </w:tcPr>
          <w:p>
            <w:pPr>
              <w:spacing w:after="0"/>
              <w:rPr>
                <w:sz w:val="18"/>
                <w:szCs w:val="18"/>
                <w:color w:val="auto"/>
              </w:rPr>
            </w:pPr>
          </w:p>
        </w:tc>
        <w:tc>
          <w:tcPr>
            <w:tcW w:w="132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60" w:type="dxa"/>
            <w:vAlign w:val="bottom"/>
            <w:tcBorders>
              <w:right w:val="single" w:sz="8" w:color="auto"/>
            </w:tcBorders>
            <w:gridSpan w:val="2"/>
          </w:tcPr>
          <w:p>
            <w:pPr>
              <w:jc w:val="right"/>
              <w:ind w:right="660"/>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5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GME</w:t>
            </w:r>
          </w:p>
        </w:tc>
        <w:tc>
          <w:tcPr>
            <w:tcW w:w="1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3</w:t>
            </w: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3</w:t>
            </w: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60" w:type="dxa"/>
            <w:vAlign w:val="bottom"/>
            <w:tcBorders>
              <w:right w:val="single" w:sz="8" w:color="auto"/>
            </w:tcBorders>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880" w:type="dxa"/>
            <w:vAlign w:val="bottom"/>
            <w:gridSpan w:val="2"/>
            <w:vMerge w:val="restart"/>
          </w:tcPr>
          <w:p>
            <w:pPr>
              <w:spacing w:after="0"/>
              <w:rPr>
                <w:sz w:val="20"/>
                <w:szCs w:val="20"/>
                <w:color w:val="auto"/>
              </w:rPr>
            </w:pPr>
            <w:r>
              <w:rPr>
                <w:rFonts w:ascii="Arial" w:cs="Arial" w:eastAsia="Arial" w:hAnsi="Arial"/>
                <w:sz w:val="18"/>
                <w:szCs w:val="18"/>
                <w:color w:val="auto"/>
              </w:rPr>
              <w:t>Total contract cancellations</w:t>
            </w:r>
          </w:p>
        </w:tc>
        <w:tc>
          <w:tcPr>
            <w:tcW w:w="12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660" w:type="dxa"/>
            <w:vAlign w:val="bottom"/>
            <w:tcBorders>
              <w:right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3880" w:type="dxa"/>
            <w:vAlign w:val="bottom"/>
            <w:gridSpan w:val="2"/>
            <w:vMerge w:val="continue"/>
          </w:tcPr>
          <w:p>
            <w:pPr>
              <w:spacing w:after="0"/>
              <w:rPr>
                <w:sz w:val="19"/>
                <w:szCs w:val="19"/>
                <w:color w:val="auto"/>
              </w:rPr>
            </w:pP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1320" w:type="dxa"/>
            <w:vAlign w:val="bottom"/>
            <w:gridSpan w:val="2"/>
          </w:tcPr>
          <w:p>
            <w:pPr>
              <w:jc w:val="right"/>
              <w:ind w:right="260"/>
              <w:spacing w:after="0"/>
              <w:rPr>
                <w:sz w:val="20"/>
                <w:szCs w:val="20"/>
                <w:color w:val="auto"/>
              </w:rPr>
            </w:pPr>
            <w:r>
              <w:rPr>
                <w:rFonts w:ascii="Arial" w:cs="Arial" w:eastAsia="Arial" w:hAnsi="Arial"/>
                <w:sz w:val="18"/>
                <w:szCs w:val="18"/>
                <w:color w:val="auto"/>
              </w:rPr>
              <w:t>(2)</w:t>
            </w:r>
          </w:p>
        </w:tc>
        <w:tc>
          <w:tcPr>
            <w:tcW w:w="4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00" w:type="dxa"/>
            <w:vAlign w:val="bottom"/>
            <w:gridSpan w:val="2"/>
          </w:tcPr>
          <w:p>
            <w:pPr>
              <w:jc w:val="right"/>
              <w:ind w:right="300"/>
              <w:spacing w:after="0"/>
              <w:rPr>
                <w:sz w:val="20"/>
                <w:szCs w:val="20"/>
                <w:color w:val="auto"/>
              </w:rPr>
            </w:pPr>
            <w:r>
              <w:rPr>
                <w:rFonts w:ascii="Arial" w:cs="Arial" w:eastAsia="Arial" w:hAnsi="Arial"/>
                <w:sz w:val="18"/>
                <w:szCs w:val="18"/>
                <w:color w:val="auto"/>
              </w:rPr>
              <w:t>34</w:t>
            </w:r>
          </w:p>
        </w:tc>
        <w:tc>
          <w:tcPr>
            <w:tcW w:w="4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660" w:type="dxa"/>
            <w:vAlign w:val="bottom"/>
            <w:tcBorders>
              <w:right w:val="single" w:sz="8" w:color="auto"/>
            </w:tcBorders>
            <w:gridSpan w:val="2"/>
          </w:tcPr>
          <w:p>
            <w:pPr>
              <w:jc w:val="right"/>
              <w:ind w:right="660"/>
              <w:spacing w:after="0"/>
              <w:rPr>
                <w:sz w:val="20"/>
                <w:szCs w:val="20"/>
                <w:color w:val="auto"/>
              </w:rPr>
            </w:pPr>
            <w:r>
              <w:rPr>
                <w:rFonts w:ascii="Arial" w:cs="Arial" w:eastAsia="Arial" w:hAnsi="Arial"/>
                <w:sz w:val="18"/>
                <w:szCs w:val="18"/>
                <w:color w:val="auto"/>
              </w:rPr>
              <w:t>77</w:t>
            </w:r>
          </w:p>
        </w:tc>
        <w:tc>
          <w:tcPr>
            <w:tcW w:w="46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4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20" w:type="dxa"/>
            <w:vAlign w:val="bottom"/>
          </w:tcPr>
          <w:p>
            <w:pPr>
              <w:jc w:val="right"/>
              <w:spacing w:after="0"/>
              <w:rPr>
                <w:sz w:val="20"/>
                <w:szCs w:val="20"/>
                <w:color w:val="auto"/>
              </w:rPr>
            </w:pPr>
            <w:r>
              <w:rPr>
                <w:rFonts w:ascii="Arial" w:cs="Arial" w:eastAsia="Arial" w:hAnsi="Arial"/>
                <w:sz w:val="18"/>
                <w:szCs w:val="18"/>
                <w:color w:val="auto"/>
              </w:rPr>
              <w:t>177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27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right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3"/>
        </w:trPr>
        <w:tc>
          <w:tcPr>
            <w:tcW w:w="1160" w:type="dxa"/>
            <w:vAlign w:val="bottom"/>
            <w:tcBorders>
              <w:bottom w:val="single" w:sz="8" w:color="auto"/>
            </w:tcBorders>
          </w:tcPr>
          <w:p>
            <w:pPr>
              <w:spacing w:after="0"/>
              <w:rPr>
                <w:sz w:val="8"/>
                <w:szCs w:val="8"/>
                <w:color w:val="auto"/>
              </w:rPr>
            </w:pPr>
          </w:p>
        </w:tc>
        <w:tc>
          <w:tcPr>
            <w:tcW w:w="272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00" w:type="dxa"/>
            <w:vAlign w:val="bottom"/>
          </w:tcPr>
          <w:p>
            <w:pPr>
              <w:spacing w:after="0"/>
              <w:rPr>
                <w:sz w:val="8"/>
                <w:szCs w:val="8"/>
                <w:color w:val="auto"/>
              </w:rPr>
            </w:pPr>
          </w:p>
        </w:tc>
        <w:tc>
          <w:tcPr>
            <w:tcW w:w="320" w:type="dxa"/>
            <w:vAlign w:val="bottom"/>
          </w:tcPr>
          <w:p>
            <w:pPr>
              <w:spacing w:after="0"/>
              <w:rPr>
                <w:sz w:val="8"/>
                <w:szCs w:val="8"/>
                <w:color w:val="auto"/>
              </w:rPr>
            </w:pPr>
          </w:p>
        </w:tc>
        <w:tc>
          <w:tcPr>
            <w:tcW w:w="26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00" w:type="dxa"/>
            <w:vAlign w:val="bottom"/>
          </w:tcPr>
          <w:p>
            <w:pPr>
              <w:spacing w:after="0"/>
              <w:rPr>
                <w:sz w:val="8"/>
                <w:szCs w:val="8"/>
                <w:color w:val="auto"/>
              </w:rPr>
            </w:pPr>
          </w:p>
        </w:tc>
        <w:tc>
          <w:tcPr>
            <w:tcW w:w="300" w:type="dxa"/>
            <w:vAlign w:val="bottom"/>
          </w:tcPr>
          <w:p>
            <w:pPr>
              <w:spacing w:after="0"/>
              <w:rPr>
                <w:sz w:val="8"/>
                <w:szCs w:val="8"/>
                <w:color w:val="auto"/>
              </w:rPr>
            </w:pPr>
          </w:p>
        </w:tc>
        <w:tc>
          <w:tcPr>
            <w:tcW w:w="28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00" w:type="dxa"/>
            <w:vAlign w:val="bottom"/>
          </w:tcPr>
          <w:p>
            <w:pPr>
              <w:spacing w:after="0"/>
              <w:rPr>
                <w:sz w:val="8"/>
                <w:szCs w:val="8"/>
                <w:color w:val="auto"/>
              </w:rPr>
            </w:pPr>
          </w:p>
        </w:tc>
        <w:tc>
          <w:tcPr>
            <w:tcW w:w="660" w:type="dxa"/>
            <w:vAlign w:val="bottom"/>
          </w:tcPr>
          <w:p>
            <w:pPr>
              <w:spacing w:after="0"/>
              <w:rPr>
                <w:sz w:val="8"/>
                <w:szCs w:val="8"/>
                <w:color w:val="auto"/>
              </w:rPr>
            </w:pPr>
          </w:p>
        </w:tc>
        <w:tc>
          <w:tcPr>
            <w:tcW w:w="460" w:type="dxa"/>
            <w:vAlign w:val="bottom"/>
          </w:tcPr>
          <w:p>
            <w:pPr>
              <w:spacing w:after="0"/>
              <w:rPr>
                <w:sz w:val="8"/>
                <w:szCs w:val="8"/>
                <w:color w:val="auto"/>
              </w:rPr>
            </w:pPr>
          </w:p>
        </w:tc>
        <w:tc>
          <w:tcPr>
            <w:tcW w:w="120" w:type="dxa"/>
            <w:vAlign w:val="bottom"/>
          </w:tcPr>
          <w:p>
            <w:pPr>
              <w:spacing w:after="0"/>
              <w:rPr>
                <w:sz w:val="8"/>
                <w:szCs w:val="8"/>
                <w:color w:val="auto"/>
              </w:rPr>
            </w:pPr>
          </w:p>
        </w:tc>
        <w:tc>
          <w:tcPr>
            <w:tcW w:w="400" w:type="dxa"/>
            <w:vAlign w:val="bottom"/>
          </w:tcPr>
          <w:p>
            <w:pPr>
              <w:spacing w:after="0"/>
              <w:rPr>
                <w:sz w:val="8"/>
                <w:szCs w:val="8"/>
                <w:color w:val="auto"/>
              </w:rPr>
            </w:pPr>
          </w:p>
        </w:tc>
        <w:tc>
          <w:tcPr>
            <w:tcW w:w="20" w:type="dxa"/>
            <w:vAlign w:val="bottom"/>
          </w:tcPr>
          <w:p>
            <w:pPr>
              <w:spacing w:after="0"/>
              <w:rPr>
                <w:sz w:val="8"/>
                <w:szCs w:val="8"/>
                <w:color w:val="auto"/>
              </w:rPr>
            </w:pPr>
          </w:p>
        </w:tc>
        <w:tc>
          <w:tcPr>
            <w:tcW w:w="560" w:type="dxa"/>
            <w:vAlign w:val="bottom"/>
          </w:tcPr>
          <w:p>
            <w:pPr>
              <w:spacing w:after="0"/>
              <w:rPr>
                <w:sz w:val="8"/>
                <w:szCs w:val="8"/>
                <w:color w:val="auto"/>
              </w:rPr>
            </w:pPr>
          </w:p>
        </w:tc>
        <w:tc>
          <w:tcPr>
            <w:tcW w:w="140" w:type="dxa"/>
            <w:vAlign w:val="bottom"/>
          </w:tcPr>
          <w:p>
            <w:pPr>
              <w:spacing w:after="0"/>
              <w:rPr>
                <w:sz w:val="8"/>
                <w:szCs w:val="8"/>
                <w:color w:val="auto"/>
              </w:rPr>
            </w:pPr>
          </w:p>
        </w:tc>
        <w:tc>
          <w:tcPr>
            <w:tcW w:w="5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19" w:lineRule="exact"/>
        <w:rPr>
          <w:sz w:val="20"/>
          <w:szCs w:val="20"/>
          <w:color w:val="auto"/>
        </w:rPr>
      </w:pPr>
    </w:p>
    <w:p>
      <w:pPr>
        <w:ind w:left="460" w:hanging="452"/>
        <w:spacing w:after="0"/>
        <w:tabs>
          <w:tab w:leader="none" w:pos="460" w:val="left"/>
        </w:tabs>
        <w:numPr>
          <w:ilvl w:val="0"/>
          <w:numId w:val="47"/>
        </w:numPr>
        <w:rPr>
          <w:rFonts w:ascii="Arial" w:cs="Arial" w:eastAsia="Arial" w:hAnsi="Arial"/>
          <w:sz w:val="18"/>
          <w:szCs w:val="18"/>
          <w:color w:val="auto"/>
        </w:rPr>
      </w:pPr>
      <w:r>
        <w:rPr>
          <w:rFonts w:ascii="Arial" w:cs="Arial" w:eastAsia="Arial" w:hAnsi="Arial"/>
          <w:sz w:val="18"/>
          <w:szCs w:val="18"/>
          <w:color w:val="auto"/>
        </w:rPr>
        <w:t>The three months ended September 30, 2010 includes a favorable change in estimate on a contract cancellation of $14 million.</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22. Earnings (Loss) Per Share</w:t>
      </w:r>
    </w:p>
    <w:p>
      <w:pPr>
        <w:spacing w:after="0" w:line="177" w:lineRule="exact"/>
        <w:rPr>
          <w:sz w:val="20"/>
          <w:szCs w:val="20"/>
          <w:color w:val="auto"/>
        </w:rPr>
      </w:pPr>
    </w:p>
    <w:p>
      <w:pPr>
        <w:ind w:right="220" w:firstLine="228"/>
        <w:spacing w:after="0" w:line="268" w:lineRule="auto"/>
        <w:rPr>
          <w:sz w:val="20"/>
          <w:szCs w:val="20"/>
          <w:color w:val="auto"/>
        </w:rPr>
      </w:pPr>
      <w:r>
        <w:rPr>
          <w:rFonts w:ascii="Arial" w:cs="Arial" w:eastAsia="Arial" w:hAnsi="Arial"/>
          <w:sz w:val="18"/>
          <w:szCs w:val="18"/>
          <w:color w:val="auto"/>
        </w:rPr>
        <w:t>Basic and diluted earnings (loss) per share have been computed by dividing Net income (loss) attributable to common stockholders by the weighted average number of shares outstanding in the period.</w:t>
      </w:r>
    </w:p>
    <w:p>
      <w:pPr>
        <w:spacing w:after="0" w:line="132" w:lineRule="exact"/>
        <w:rPr>
          <w:sz w:val="20"/>
          <w:szCs w:val="20"/>
          <w:color w:val="auto"/>
        </w:rPr>
      </w:pPr>
    </w:p>
    <w:p>
      <w:pPr>
        <w:ind w:left="240"/>
        <w:spacing w:after="0"/>
        <w:rPr>
          <w:sz w:val="20"/>
          <w:szCs w:val="20"/>
          <w:color w:val="auto"/>
        </w:rPr>
      </w:pPr>
      <w:r>
        <w:rPr>
          <w:rFonts w:ascii="Arial" w:cs="Arial" w:eastAsia="Arial" w:hAnsi="Arial"/>
          <w:sz w:val="18"/>
          <w:szCs w:val="18"/>
          <w:color w:val="auto"/>
        </w:rPr>
        <w:t>The following table summarizes basic and diluted earnings (loss) per share (in millions, except per share amounts):</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6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tcPr>
          <w:p>
            <w:pPr>
              <w:spacing w:after="0"/>
              <w:rPr>
                <w:sz w:val="13"/>
                <w:szCs w:val="13"/>
                <w:color w:val="auto"/>
              </w:rPr>
            </w:pPr>
          </w:p>
        </w:tc>
        <w:tc>
          <w:tcPr>
            <w:tcW w:w="46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jc w:val="center"/>
              <w:ind w:right="21"/>
              <w:spacing w:after="0"/>
              <w:rPr>
                <w:sz w:val="20"/>
                <w:szCs w:val="20"/>
                <w:color w:val="auto"/>
              </w:rPr>
            </w:pPr>
            <w:r>
              <w:rPr>
                <w:rFonts w:ascii="Arial" w:cs="Arial" w:eastAsia="Arial" w:hAnsi="Arial"/>
                <w:sz w:val="14"/>
                <w:szCs w:val="14"/>
                <w:b w:val="1"/>
                <w:bCs w:val="1"/>
                <w:color w:val="auto"/>
                <w:w w:val="81"/>
              </w:rPr>
              <w:t>Successor</w:t>
            </w:r>
          </w:p>
        </w:tc>
        <w:tc>
          <w:tcPr>
            <w:tcW w:w="46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spacing w:after="0"/>
              <w:rPr>
                <w:sz w:val="13"/>
                <w:szCs w:val="13"/>
                <w:color w:val="auto"/>
              </w:rPr>
            </w:pPr>
          </w:p>
        </w:tc>
        <w:tc>
          <w:tcPr>
            <w:tcW w:w="580" w:type="dxa"/>
            <w:vAlign w:val="bottom"/>
            <w:tcBorders>
              <w:right w:val="single" w:sz="8" w:color="auto"/>
            </w:tcBorders>
          </w:tcPr>
          <w:p>
            <w:pPr>
              <w:spacing w:after="0"/>
              <w:rPr>
                <w:sz w:val="13"/>
                <w:szCs w:val="13"/>
                <w:color w:val="auto"/>
              </w:rPr>
            </w:pPr>
          </w:p>
        </w:tc>
        <w:tc>
          <w:tcPr>
            <w:tcW w:w="36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18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Predecessor</w:t>
            </w:r>
          </w:p>
        </w:tc>
        <w:tc>
          <w:tcPr>
            <w:tcW w:w="54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r>
      <w:tr>
        <w:trPr>
          <w:trHeight w:val="129"/>
        </w:trPr>
        <w:tc>
          <w:tcPr>
            <w:tcW w:w="46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80" w:type="dxa"/>
            <w:vAlign w:val="bottom"/>
            <w:tcBorders>
              <w:right w:val="single" w:sz="8" w:color="auto"/>
            </w:tcBorders>
          </w:tcPr>
          <w:p>
            <w:pPr>
              <w:spacing w:after="0"/>
              <w:rPr>
                <w:sz w:val="11"/>
                <w:szCs w:val="11"/>
                <w:color w:val="auto"/>
              </w:rPr>
            </w:pPr>
          </w:p>
        </w:tc>
        <w:tc>
          <w:tcPr>
            <w:tcW w:w="3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60" w:type="dxa"/>
            <w:vAlign w:val="bottom"/>
            <w:gridSpan w:val="2"/>
          </w:tcPr>
          <w:p>
            <w:pPr>
              <w:jc w:val="center"/>
              <w:spacing w:after="0" w:line="129" w:lineRule="exact"/>
              <w:rPr>
                <w:sz w:val="20"/>
                <w:szCs w:val="20"/>
                <w:color w:val="auto"/>
              </w:rPr>
            </w:pPr>
            <w:r>
              <w:rPr>
                <w:rFonts w:ascii="Arial" w:cs="Arial" w:eastAsia="Arial" w:hAnsi="Arial"/>
                <w:sz w:val="14"/>
                <w:szCs w:val="14"/>
                <w:b w:val="1"/>
                <w:bCs w:val="1"/>
                <w:color w:val="auto"/>
                <w:w w:val="86"/>
              </w:rPr>
              <w:t>January 1,</w:t>
            </w:r>
          </w:p>
        </w:tc>
        <w:tc>
          <w:tcPr>
            <w:tcW w:w="100" w:type="dxa"/>
            <w:vAlign w:val="bottom"/>
          </w:tcPr>
          <w:p>
            <w:pPr>
              <w:spacing w:after="0"/>
              <w:rPr>
                <w:sz w:val="11"/>
                <w:szCs w:val="11"/>
                <w:color w:val="auto"/>
              </w:rPr>
            </w:pPr>
          </w:p>
        </w:tc>
      </w:tr>
      <w:tr>
        <w:trPr>
          <w:trHeight w:val="149"/>
        </w:trPr>
        <w:tc>
          <w:tcPr>
            <w:tcW w:w="46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82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w w:val="87"/>
              </w:rPr>
              <w:t>Three Months</w:t>
            </w:r>
          </w:p>
        </w:tc>
        <w:tc>
          <w:tcPr>
            <w:tcW w:w="460" w:type="dxa"/>
            <w:vAlign w:val="bottom"/>
          </w:tcPr>
          <w:p>
            <w:pPr>
              <w:spacing w:after="0"/>
              <w:rPr>
                <w:sz w:val="12"/>
                <w:szCs w:val="12"/>
                <w:color w:val="auto"/>
              </w:rPr>
            </w:pPr>
          </w:p>
        </w:tc>
        <w:tc>
          <w:tcPr>
            <w:tcW w:w="82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8"/>
              </w:rPr>
              <w:t>Nine Months</w:t>
            </w:r>
          </w:p>
        </w:tc>
        <w:tc>
          <w:tcPr>
            <w:tcW w:w="460" w:type="dxa"/>
            <w:vAlign w:val="bottom"/>
          </w:tcPr>
          <w:p>
            <w:pPr>
              <w:spacing w:after="0"/>
              <w:rPr>
                <w:sz w:val="12"/>
                <w:szCs w:val="12"/>
                <w:color w:val="auto"/>
              </w:rPr>
            </w:pPr>
          </w:p>
        </w:tc>
        <w:tc>
          <w:tcPr>
            <w:tcW w:w="1400" w:type="dxa"/>
            <w:vAlign w:val="bottom"/>
            <w:tcBorders>
              <w:right w:val="single" w:sz="8" w:color="auto"/>
            </w:tcBorders>
            <w:gridSpan w:val="3"/>
          </w:tcPr>
          <w:p>
            <w:pPr>
              <w:jc w:val="center"/>
              <w:ind w:right="580"/>
              <w:spacing w:after="0" w:line="149" w:lineRule="exact"/>
              <w:rPr>
                <w:sz w:val="20"/>
                <w:szCs w:val="20"/>
                <w:color w:val="auto"/>
              </w:rPr>
            </w:pPr>
            <w:r>
              <w:rPr>
                <w:rFonts w:ascii="Arial" w:cs="Arial" w:eastAsia="Arial" w:hAnsi="Arial"/>
                <w:sz w:val="14"/>
                <w:szCs w:val="14"/>
                <w:b w:val="1"/>
                <w:bCs w:val="1"/>
                <w:color w:val="auto"/>
                <w:w w:val="85"/>
              </w:rPr>
              <w:t>July 10, 2009</w:t>
            </w:r>
          </w:p>
        </w:tc>
        <w:tc>
          <w:tcPr>
            <w:tcW w:w="3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jc w:val="center"/>
              <w:ind w:right="41"/>
              <w:spacing w:after="0" w:line="149" w:lineRule="exact"/>
              <w:rPr>
                <w:sz w:val="20"/>
                <w:szCs w:val="20"/>
                <w:color w:val="auto"/>
              </w:rPr>
            </w:pPr>
            <w:r>
              <w:rPr>
                <w:rFonts w:ascii="Arial" w:cs="Arial" w:eastAsia="Arial" w:hAnsi="Arial"/>
                <w:sz w:val="14"/>
                <w:szCs w:val="14"/>
                <w:b w:val="1"/>
                <w:bCs w:val="1"/>
                <w:color w:val="auto"/>
                <w:w w:val="83"/>
              </w:rPr>
              <w:t>2009</w:t>
            </w:r>
          </w:p>
        </w:tc>
        <w:tc>
          <w:tcPr>
            <w:tcW w:w="100" w:type="dxa"/>
            <w:vAlign w:val="bottom"/>
          </w:tcPr>
          <w:p>
            <w:pPr>
              <w:spacing w:after="0"/>
              <w:rPr>
                <w:sz w:val="12"/>
                <w:szCs w:val="12"/>
                <w:color w:val="auto"/>
              </w:rPr>
            </w:pPr>
          </w:p>
        </w:tc>
      </w:tr>
      <w:tr>
        <w:trPr>
          <w:trHeight w:val="149"/>
        </w:trPr>
        <w:tc>
          <w:tcPr>
            <w:tcW w:w="46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jc w:val="right"/>
              <w:ind w:right="139"/>
              <w:spacing w:after="0" w:line="149" w:lineRule="exact"/>
              <w:rPr>
                <w:sz w:val="20"/>
                <w:szCs w:val="20"/>
                <w:color w:val="auto"/>
              </w:rPr>
            </w:pPr>
            <w:r>
              <w:rPr>
                <w:rFonts w:ascii="Arial" w:cs="Arial" w:eastAsia="Arial" w:hAnsi="Arial"/>
                <w:sz w:val="14"/>
                <w:szCs w:val="14"/>
                <w:b w:val="1"/>
                <w:bCs w:val="1"/>
                <w:color w:val="auto"/>
              </w:rPr>
              <w:t>Ended</w:t>
            </w:r>
          </w:p>
        </w:tc>
        <w:tc>
          <w:tcPr>
            <w:tcW w:w="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jc w:val="center"/>
              <w:ind w:right="21"/>
              <w:spacing w:after="0" w:line="149" w:lineRule="exact"/>
              <w:rPr>
                <w:sz w:val="20"/>
                <w:szCs w:val="20"/>
                <w:color w:val="auto"/>
              </w:rPr>
            </w:pPr>
            <w:r>
              <w:rPr>
                <w:rFonts w:ascii="Arial" w:cs="Arial" w:eastAsia="Arial" w:hAnsi="Arial"/>
                <w:sz w:val="14"/>
                <w:szCs w:val="14"/>
                <w:b w:val="1"/>
                <w:bCs w:val="1"/>
                <w:color w:val="auto"/>
                <w:w w:val="88"/>
              </w:rPr>
              <w:t>Ended</w:t>
            </w:r>
          </w:p>
        </w:tc>
        <w:tc>
          <w:tcPr>
            <w:tcW w:w="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00" w:type="dxa"/>
            <w:vAlign w:val="bottom"/>
            <w:tcBorders>
              <w:right w:val="single" w:sz="8" w:color="auto"/>
            </w:tcBorders>
            <w:gridSpan w:val="2"/>
          </w:tcPr>
          <w:p>
            <w:pPr>
              <w:jc w:val="center"/>
              <w:ind w:right="680"/>
              <w:spacing w:after="0" w:line="149" w:lineRule="exact"/>
              <w:rPr>
                <w:sz w:val="20"/>
                <w:szCs w:val="20"/>
                <w:color w:val="auto"/>
              </w:rPr>
            </w:pPr>
            <w:r>
              <w:rPr>
                <w:rFonts w:ascii="Arial" w:cs="Arial" w:eastAsia="Arial" w:hAnsi="Arial"/>
                <w:sz w:val="14"/>
                <w:szCs w:val="14"/>
                <w:b w:val="1"/>
                <w:bCs w:val="1"/>
                <w:color w:val="auto"/>
                <w:w w:val="87"/>
              </w:rPr>
              <w:t>Through</w:t>
            </w:r>
          </w:p>
        </w:tc>
        <w:tc>
          <w:tcPr>
            <w:tcW w:w="360" w:type="dxa"/>
            <w:vAlign w:val="bottom"/>
          </w:tcPr>
          <w:p>
            <w:pPr>
              <w:spacing w:after="0"/>
              <w:rPr>
                <w:sz w:val="12"/>
                <w:szCs w:val="12"/>
                <w:color w:val="auto"/>
              </w:rPr>
            </w:pPr>
          </w:p>
        </w:tc>
        <w:tc>
          <w:tcPr>
            <w:tcW w:w="92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July 1, 2009</w:t>
            </w:r>
          </w:p>
        </w:tc>
        <w:tc>
          <w:tcPr>
            <w:tcW w:w="220" w:type="dxa"/>
            <w:vAlign w:val="bottom"/>
          </w:tcPr>
          <w:p>
            <w:pPr>
              <w:spacing w:after="0"/>
              <w:rPr>
                <w:sz w:val="12"/>
                <w:szCs w:val="12"/>
                <w:color w:val="auto"/>
              </w:rPr>
            </w:pPr>
          </w:p>
        </w:tc>
        <w:tc>
          <w:tcPr>
            <w:tcW w:w="760" w:type="dxa"/>
            <w:vAlign w:val="bottom"/>
            <w:gridSpan w:val="3"/>
          </w:tcPr>
          <w:p>
            <w:pPr>
              <w:jc w:val="center"/>
              <w:ind w:right="100"/>
              <w:spacing w:after="0" w:line="149" w:lineRule="exact"/>
              <w:rPr>
                <w:sz w:val="20"/>
                <w:szCs w:val="20"/>
                <w:color w:val="auto"/>
              </w:rPr>
            </w:pPr>
            <w:r>
              <w:rPr>
                <w:rFonts w:ascii="Arial" w:cs="Arial" w:eastAsia="Arial" w:hAnsi="Arial"/>
                <w:sz w:val="14"/>
                <w:szCs w:val="14"/>
                <w:b w:val="1"/>
                <w:bCs w:val="1"/>
                <w:color w:val="auto"/>
                <w:w w:val="87"/>
              </w:rPr>
              <w:t>Through</w:t>
            </w:r>
          </w:p>
        </w:tc>
      </w:tr>
      <w:tr>
        <w:trPr>
          <w:trHeight w:val="149"/>
        </w:trPr>
        <w:tc>
          <w:tcPr>
            <w:tcW w:w="46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82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w w:val="83"/>
              </w:rPr>
              <w:t>September 30,</w:t>
            </w:r>
          </w:p>
        </w:tc>
        <w:tc>
          <w:tcPr>
            <w:tcW w:w="460" w:type="dxa"/>
            <w:vAlign w:val="bottom"/>
          </w:tcPr>
          <w:p>
            <w:pPr>
              <w:spacing w:after="0"/>
              <w:rPr>
                <w:sz w:val="12"/>
                <w:szCs w:val="12"/>
                <w:color w:val="auto"/>
              </w:rPr>
            </w:pPr>
          </w:p>
        </w:tc>
        <w:tc>
          <w:tcPr>
            <w:tcW w:w="82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5"/>
              </w:rPr>
              <w:t>September 30,</w:t>
            </w:r>
          </w:p>
        </w:tc>
        <w:tc>
          <w:tcPr>
            <w:tcW w:w="460" w:type="dxa"/>
            <w:vAlign w:val="bottom"/>
          </w:tcPr>
          <w:p>
            <w:pPr>
              <w:spacing w:after="0"/>
              <w:rPr>
                <w:sz w:val="12"/>
                <w:szCs w:val="12"/>
                <w:color w:val="auto"/>
              </w:rPr>
            </w:pPr>
          </w:p>
        </w:tc>
        <w:tc>
          <w:tcPr>
            <w:tcW w:w="1400" w:type="dxa"/>
            <w:vAlign w:val="bottom"/>
            <w:tcBorders>
              <w:right w:val="single" w:sz="8" w:color="auto"/>
            </w:tcBorders>
            <w:gridSpan w:val="3"/>
          </w:tcPr>
          <w:p>
            <w:pPr>
              <w:jc w:val="center"/>
              <w:ind w:right="580"/>
              <w:spacing w:after="0" w:line="149" w:lineRule="exact"/>
              <w:rPr>
                <w:sz w:val="20"/>
                <w:szCs w:val="20"/>
                <w:color w:val="auto"/>
              </w:rPr>
            </w:pPr>
            <w:r>
              <w:rPr>
                <w:rFonts w:ascii="Arial" w:cs="Arial" w:eastAsia="Arial" w:hAnsi="Arial"/>
                <w:sz w:val="14"/>
                <w:szCs w:val="14"/>
                <w:b w:val="1"/>
                <w:bCs w:val="1"/>
                <w:color w:val="auto"/>
                <w:w w:val="85"/>
              </w:rPr>
              <w:t>September 30,</w:t>
            </w:r>
          </w:p>
        </w:tc>
        <w:tc>
          <w:tcPr>
            <w:tcW w:w="3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gridSpan w:val="2"/>
          </w:tcPr>
          <w:p>
            <w:pPr>
              <w:jc w:val="right"/>
              <w:ind w:right="320"/>
              <w:spacing w:after="0" w:line="149" w:lineRule="exact"/>
              <w:rPr>
                <w:sz w:val="20"/>
                <w:szCs w:val="20"/>
                <w:color w:val="auto"/>
              </w:rPr>
            </w:pPr>
            <w:r>
              <w:rPr>
                <w:rFonts w:ascii="Arial" w:cs="Arial" w:eastAsia="Arial" w:hAnsi="Arial"/>
                <w:sz w:val="14"/>
                <w:szCs w:val="14"/>
                <w:b w:val="1"/>
                <w:bCs w:val="1"/>
                <w:color w:val="auto"/>
                <w:w w:val="87"/>
              </w:rPr>
              <w:t>Through</w:t>
            </w: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87"/>
              </w:rPr>
              <w:t>July 9,</w:t>
            </w:r>
          </w:p>
        </w:tc>
      </w:tr>
      <w:tr>
        <w:trPr>
          <w:trHeight w:val="161"/>
        </w:trPr>
        <w:tc>
          <w:tcPr>
            <w:tcW w:w="46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tcPr>
          <w:p>
            <w:pPr>
              <w:jc w:val="right"/>
              <w:ind w:right="19"/>
              <w:spacing w:after="0"/>
              <w:rPr>
                <w:sz w:val="20"/>
                <w:szCs w:val="20"/>
                <w:color w:val="auto"/>
              </w:rPr>
            </w:pPr>
            <w:r>
              <w:rPr>
                <w:rFonts w:ascii="Arial" w:cs="Arial" w:eastAsia="Arial" w:hAnsi="Arial"/>
                <w:sz w:val="14"/>
                <w:szCs w:val="14"/>
                <w:b w:val="1"/>
                <w:bCs w:val="1"/>
                <w:color w:val="auto"/>
                <w:w w:val="88"/>
              </w:rPr>
              <w:t>2010 (a)(b)</w:t>
            </w:r>
          </w:p>
        </w:tc>
        <w:tc>
          <w:tcPr>
            <w:tcW w:w="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jc w:val="center"/>
              <w:ind w:right="21"/>
              <w:spacing w:after="0"/>
              <w:rPr>
                <w:sz w:val="20"/>
                <w:szCs w:val="20"/>
                <w:color w:val="auto"/>
              </w:rPr>
            </w:pPr>
            <w:r>
              <w:rPr>
                <w:rFonts w:ascii="Arial" w:cs="Arial" w:eastAsia="Arial" w:hAnsi="Arial"/>
                <w:sz w:val="14"/>
                <w:szCs w:val="14"/>
                <w:b w:val="1"/>
                <w:bCs w:val="1"/>
                <w:color w:val="auto"/>
                <w:w w:val="88"/>
              </w:rPr>
              <w:t>2010 (a)(b)</w:t>
            </w:r>
          </w:p>
        </w:tc>
        <w:tc>
          <w:tcPr>
            <w:tcW w:w="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00" w:type="dxa"/>
            <w:vAlign w:val="bottom"/>
            <w:tcBorders>
              <w:right w:val="single" w:sz="8" w:color="auto"/>
            </w:tcBorders>
            <w:gridSpan w:val="2"/>
          </w:tcPr>
          <w:p>
            <w:pPr>
              <w:jc w:val="center"/>
              <w:ind w:right="680"/>
              <w:spacing w:after="0"/>
              <w:rPr>
                <w:sz w:val="20"/>
                <w:szCs w:val="20"/>
                <w:color w:val="auto"/>
              </w:rPr>
            </w:pPr>
            <w:r>
              <w:rPr>
                <w:rFonts w:ascii="Arial" w:cs="Arial" w:eastAsia="Arial" w:hAnsi="Arial"/>
                <w:sz w:val="14"/>
                <w:szCs w:val="14"/>
                <w:b w:val="1"/>
                <w:bCs w:val="1"/>
                <w:color w:val="auto"/>
                <w:w w:val="89"/>
              </w:rPr>
              <w:t>2009 (a)(c)</w:t>
            </w:r>
          </w:p>
        </w:tc>
        <w:tc>
          <w:tcPr>
            <w:tcW w:w="360" w:type="dxa"/>
            <w:vAlign w:val="bottom"/>
          </w:tcPr>
          <w:p>
            <w:pPr>
              <w:spacing w:after="0"/>
              <w:rPr>
                <w:sz w:val="14"/>
                <w:szCs w:val="14"/>
                <w:color w:val="auto"/>
              </w:rPr>
            </w:pPr>
          </w:p>
        </w:tc>
        <w:tc>
          <w:tcPr>
            <w:tcW w:w="920" w:type="dxa"/>
            <w:vAlign w:val="bottom"/>
            <w:gridSpan w:val="3"/>
          </w:tcPr>
          <w:p>
            <w:pPr>
              <w:spacing w:after="0"/>
              <w:rPr>
                <w:sz w:val="20"/>
                <w:szCs w:val="20"/>
                <w:color w:val="auto"/>
              </w:rPr>
            </w:pPr>
            <w:r>
              <w:rPr>
                <w:rFonts w:ascii="Arial" w:cs="Arial" w:eastAsia="Arial" w:hAnsi="Arial"/>
                <w:sz w:val="14"/>
                <w:szCs w:val="14"/>
                <w:b w:val="1"/>
                <w:bCs w:val="1"/>
                <w:color w:val="auto"/>
              </w:rPr>
              <w:t>July 9, 2009</w:t>
            </w: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40" w:type="dxa"/>
            <w:vAlign w:val="bottom"/>
          </w:tcPr>
          <w:p>
            <w:pPr>
              <w:jc w:val="center"/>
              <w:ind w:right="41"/>
              <w:spacing w:after="0"/>
              <w:rPr>
                <w:sz w:val="20"/>
                <w:szCs w:val="20"/>
                <w:color w:val="auto"/>
              </w:rPr>
            </w:pPr>
            <w:r>
              <w:rPr>
                <w:rFonts w:ascii="Arial" w:cs="Arial" w:eastAsia="Arial" w:hAnsi="Arial"/>
                <w:sz w:val="14"/>
                <w:szCs w:val="14"/>
                <w:b w:val="1"/>
                <w:bCs w:val="1"/>
                <w:color w:val="auto"/>
                <w:w w:val="83"/>
              </w:rPr>
              <w:t>2009</w:t>
            </w:r>
          </w:p>
        </w:tc>
        <w:tc>
          <w:tcPr>
            <w:tcW w:w="100" w:type="dxa"/>
            <w:vAlign w:val="bottom"/>
          </w:tcPr>
          <w:p>
            <w:pPr>
              <w:spacing w:after="0"/>
              <w:rPr>
                <w:sz w:val="14"/>
                <w:szCs w:val="14"/>
                <w:color w:val="auto"/>
              </w:rPr>
            </w:pPr>
          </w:p>
        </w:tc>
      </w:tr>
      <w:tr>
        <w:trPr>
          <w:trHeight w:val="210"/>
        </w:trPr>
        <w:tc>
          <w:tcPr>
            <w:tcW w:w="46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Basic</w:t>
            </w:r>
          </w:p>
        </w:tc>
        <w:tc>
          <w:tcPr>
            <w:tcW w:w="56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spacing w:after="0"/>
              <w:rPr>
                <w:sz w:val="18"/>
                <w:szCs w:val="18"/>
                <w:color w:val="auto"/>
              </w:rPr>
            </w:pPr>
          </w:p>
        </w:tc>
        <w:tc>
          <w:tcPr>
            <w:tcW w:w="580" w:type="dxa"/>
            <w:vAlign w:val="bottom"/>
            <w:tcBorders>
              <w:right w:val="single" w:sz="8" w:color="auto"/>
            </w:tcBorders>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4640" w:type="dxa"/>
            <w:vAlign w:val="bottom"/>
          </w:tcPr>
          <w:p>
            <w:pPr>
              <w:ind w:left="220"/>
              <w:spacing w:after="0"/>
              <w:rPr>
                <w:sz w:val="20"/>
                <w:szCs w:val="20"/>
                <w:color w:val="auto"/>
              </w:rPr>
            </w:pPr>
            <w:r>
              <w:rPr>
                <w:rFonts w:ascii="Arial" w:cs="Arial" w:eastAsia="Arial" w:hAnsi="Arial"/>
                <w:sz w:val="18"/>
                <w:szCs w:val="18"/>
                <w:color w:val="auto"/>
              </w:rPr>
              <w:t>Net income (loss) attributable to common stockholders</w:t>
            </w:r>
          </w:p>
        </w:tc>
        <w:tc>
          <w:tcPr>
            <w:tcW w:w="640" w:type="dxa"/>
            <w:vAlign w:val="bottom"/>
            <w:gridSpan w:val="2"/>
          </w:tcPr>
          <w:p>
            <w:pPr>
              <w:ind w:left="560"/>
              <w:spacing w:after="0"/>
              <w:rPr>
                <w:sz w:val="20"/>
                <w:szCs w:val="20"/>
                <w:color w:val="auto"/>
              </w:rPr>
            </w:pPr>
            <w:r>
              <w:rPr>
                <w:rFonts w:ascii="Arial" w:cs="Arial" w:eastAsia="Arial" w:hAnsi="Arial"/>
                <w:sz w:val="15"/>
                <w:szCs w:val="15"/>
                <w:color w:val="auto"/>
                <w:w w:val="71"/>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1.31</w:t>
            </w:r>
          </w:p>
        </w:tc>
        <w:tc>
          <w:tcPr>
            <w:tcW w:w="5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2.77</w:t>
            </w:r>
          </w:p>
        </w:tc>
        <w:tc>
          <w:tcPr>
            <w:tcW w:w="5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00" w:type="dxa"/>
            <w:vAlign w:val="bottom"/>
            <w:tcBorders>
              <w:right w:val="single" w:sz="8" w:color="auto"/>
            </w:tcBorders>
            <w:gridSpan w:val="2"/>
          </w:tcPr>
          <w:p>
            <w:pPr>
              <w:jc w:val="right"/>
              <w:ind w:right="520"/>
              <w:spacing w:after="0"/>
              <w:rPr>
                <w:sz w:val="20"/>
                <w:szCs w:val="20"/>
                <w:color w:val="auto"/>
              </w:rPr>
            </w:pPr>
            <w:r>
              <w:rPr>
                <w:rFonts w:ascii="Arial" w:cs="Arial" w:eastAsia="Arial" w:hAnsi="Arial"/>
                <w:sz w:val="18"/>
                <w:szCs w:val="18"/>
                <w:color w:val="auto"/>
              </w:rPr>
              <w:t>(0.73)</w:t>
            </w:r>
          </w:p>
        </w:tc>
        <w:tc>
          <w:tcPr>
            <w:tcW w:w="360" w:type="dxa"/>
            <w:vAlign w:val="bottom"/>
          </w:tcPr>
          <w:p>
            <w:pPr>
              <w:spacing w:after="0"/>
              <w:rPr>
                <w:sz w:val="18"/>
                <w:szCs w:val="18"/>
                <w:color w:val="auto"/>
              </w:rPr>
            </w:pPr>
          </w:p>
        </w:tc>
        <w:tc>
          <w:tcPr>
            <w:tcW w:w="80" w:type="dxa"/>
            <w:vAlign w:val="bottom"/>
          </w:tcPr>
          <w:p>
            <w:pPr>
              <w:spacing w:after="0"/>
              <w:rPr>
                <w:sz w:val="20"/>
                <w:szCs w:val="20"/>
                <w:color w:val="auto"/>
              </w:rPr>
            </w:pPr>
            <w:r>
              <w:rPr>
                <w:rFonts w:ascii="Arial" w:cs="Arial" w:eastAsia="Arial" w:hAnsi="Arial"/>
                <w:sz w:val="15"/>
                <w:szCs w:val="15"/>
                <w:color w:val="auto"/>
                <w:w w:val="71"/>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209.49</w:t>
            </w:r>
          </w:p>
        </w:tc>
        <w:tc>
          <w:tcPr>
            <w:tcW w:w="240" w:type="dxa"/>
            <w:vAlign w:val="bottom"/>
          </w:tcPr>
          <w:p>
            <w:pPr>
              <w:spacing w:after="0"/>
              <w:rPr>
                <w:sz w:val="18"/>
                <w:szCs w:val="18"/>
                <w:color w:val="auto"/>
              </w:rPr>
            </w:pP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40" w:type="dxa"/>
            <w:vAlign w:val="bottom"/>
          </w:tcPr>
          <w:p>
            <w:pPr>
              <w:jc w:val="right"/>
              <w:spacing w:after="0"/>
              <w:rPr>
                <w:sz w:val="20"/>
                <w:szCs w:val="20"/>
                <w:color w:val="auto"/>
              </w:rPr>
            </w:pPr>
            <w:r>
              <w:rPr>
                <w:rFonts w:ascii="Arial" w:cs="Arial" w:eastAsia="Arial" w:hAnsi="Arial"/>
                <w:sz w:val="18"/>
                <w:szCs w:val="18"/>
                <w:color w:val="auto"/>
                <w:w w:val="94"/>
              </w:rPr>
              <w:t>178.63</w:t>
            </w:r>
          </w:p>
        </w:tc>
        <w:tc>
          <w:tcPr>
            <w:tcW w:w="100" w:type="dxa"/>
            <w:vAlign w:val="bottom"/>
          </w:tcPr>
          <w:p>
            <w:pPr>
              <w:spacing w:after="0"/>
              <w:rPr>
                <w:sz w:val="18"/>
                <w:szCs w:val="18"/>
                <w:color w:val="auto"/>
              </w:rPr>
            </w:pPr>
          </w:p>
        </w:tc>
      </w:tr>
      <w:tr>
        <w:trPr>
          <w:trHeight w:val="216"/>
        </w:trPr>
        <w:tc>
          <w:tcPr>
            <w:tcW w:w="46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Weighted-average common shares outstanding</w:t>
            </w:r>
          </w:p>
        </w:tc>
        <w:tc>
          <w:tcPr>
            <w:tcW w:w="5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1,500</w:t>
            </w: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1,500</w:t>
            </w: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1,238</w:t>
            </w:r>
          </w:p>
        </w:tc>
        <w:tc>
          <w:tcPr>
            <w:tcW w:w="580" w:type="dxa"/>
            <w:vAlign w:val="bottom"/>
            <w:tcBorders>
              <w:right w:val="single" w:sz="8" w:color="auto"/>
            </w:tcBorders>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611</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611</w:t>
            </w:r>
          </w:p>
        </w:tc>
        <w:tc>
          <w:tcPr>
            <w:tcW w:w="100" w:type="dxa"/>
            <w:vAlign w:val="bottom"/>
            <w:shd w:val="clear" w:color="auto" w:fill="CCEEFF"/>
          </w:tcPr>
          <w:p>
            <w:pPr>
              <w:spacing w:after="0"/>
              <w:rPr>
                <w:sz w:val="18"/>
                <w:szCs w:val="18"/>
                <w:color w:val="auto"/>
              </w:rPr>
            </w:pPr>
          </w:p>
        </w:tc>
      </w:tr>
      <w:tr>
        <w:trPr>
          <w:trHeight w:val="216"/>
        </w:trPr>
        <w:tc>
          <w:tcPr>
            <w:tcW w:w="4640" w:type="dxa"/>
            <w:vAlign w:val="bottom"/>
          </w:tcPr>
          <w:p>
            <w:pPr>
              <w:spacing w:after="0"/>
              <w:rPr>
                <w:sz w:val="20"/>
                <w:szCs w:val="20"/>
                <w:color w:val="auto"/>
              </w:rPr>
            </w:pPr>
            <w:r>
              <w:rPr>
                <w:rFonts w:ascii="Arial" w:cs="Arial" w:eastAsia="Arial" w:hAnsi="Arial"/>
                <w:sz w:val="18"/>
                <w:szCs w:val="18"/>
                <w:b w:val="1"/>
                <w:bCs w:val="1"/>
                <w:color w:val="auto"/>
              </w:rPr>
              <w:t>Diluted</w:t>
            </w:r>
          </w:p>
        </w:tc>
        <w:tc>
          <w:tcPr>
            <w:tcW w:w="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580" w:type="dxa"/>
            <w:vAlign w:val="bottom"/>
            <w:tcBorders>
              <w:right w:val="single" w:sz="8" w:color="auto"/>
            </w:tcBorders>
          </w:tcPr>
          <w:p>
            <w:pPr>
              <w:spacing w:after="0"/>
              <w:rPr>
                <w:sz w:val="18"/>
                <w:szCs w:val="18"/>
                <w:color w:val="auto"/>
              </w:rPr>
            </w:pPr>
          </w:p>
        </w:tc>
        <w:tc>
          <w:tcPr>
            <w:tcW w:w="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6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Net income (loss) attributable to common stockholders</w:t>
            </w:r>
          </w:p>
        </w:tc>
        <w:tc>
          <w:tcPr>
            <w:tcW w:w="640" w:type="dxa"/>
            <w:vAlign w:val="bottom"/>
            <w:gridSpan w:val="2"/>
            <w:shd w:val="clear" w:color="auto" w:fill="CCEEFF"/>
          </w:tcPr>
          <w:p>
            <w:pPr>
              <w:ind w:left="560"/>
              <w:spacing w:after="0"/>
              <w:rPr>
                <w:sz w:val="20"/>
                <w:szCs w:val="20"/>
                <w:color w:val="auto"/>
              </w:rPr>
            </w:pPr>
            <w:r>
              <w:rPr>
                <w:rFonts w:ascii="Arial" w:cs="Arial" w:eastAsia="Arial" w:hAnsi="Arial"/>
                <w:sz w:val="15"/>
                <w:szCs w:val="15"/>
                <w:color w:val="auto"/>
                <w:w w:val="71"/>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w:t>
            </w: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2.62</w:t>
            </w: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00" w:type="dxa"/>
            <w:vAlign w:val="bottom"/>
            <w:tcBorders>
              <w:right w:val="single" w:sz="8" w:color="auto"/>
            </w:tcBorders>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(0.73)</w:t>
            </w:r>
          </w:p>
        </w:tc>
        <w:tc>
          <w:tcPr>
            <w:tcW w:w="3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20"/>
                <w:szCs w:val="20"/>
                <w:color w:val="auto"/>
              </w:rPr>
            </w:pPr>
            <w:r>
              <w:rPr>
                <w:rFonts w:ascii="Arial" w:cs="Arial" w:eastAsia="Arial" w:hAnsi="Arial"/>
                <w:sz w:val="15"/>
                <w:szCs w:val="15"/>
                <w:color w:val="auto"/>
                <w:w w:val="71"/>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209.38</w:t>
            </w:r>
          </w:p>
        </w:tc>
        <w:tc>
          <w:tcPr>
            <w:tcW w:w="240" w:type="dxa"/>
            <w:vAlign w:val="bottom"/>
            <w:shd w:val="clear" w:color="auto" w:fill="CCEEFF"/>
          </w:tcPr>
          <w:p>
            <w:pPr>
              <w:spacing w:after="0"/>
              <w:rPr>
                <w:sz w:val="18"/>
                <w:szCs w:val="18"/>
                <w:color w:val="auto"/>
              </w:rPr>
            </w:pP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178.55</w:t>
            </w:r>
          </w:p>
        </w:tc>
        <w:tc>
          <w:tcPr>
            <w:tcW w:w="100" w:type="dxa"/>
            <w:vAlign w:val="bottom"/>
            <w:shd w:val="clear" w:color="auto" w:fill="CCEEFF"/>
          </w:tcPr>
          <w:p>
            <w:pPr>
              <w:spacing w:after="0"/>
              <w:rPr>
                <w:sz w:val="18"/>
                <w:szCs w:val="18"/>
                <w:color w:val="auto"/>
              </w:rPr>
            </w:pPr>
          </w:p>
        </w:tc>
      </w:tr>
      <w:tr>
        <w:trPr>
          <w:trHeight w:val="216"/>
        </w:trPr>
        <w:tc>
          <w:tcPr>
            <w:tcW w:w="4640" w:type="dxa"/>
            <w:vAlign w:val="bottom"/>
          </w:tcPr>
          <w:p>
            <w:pPr>
              <w:ind w:left="220"/>
              <w:spacing w:after="0"/>
              <w:rPr>
                <w:sz w:val="20"/>
                <w:szCs w:val="20"/>
                <w:color w:val="auto"/>
              </w:rPr>
            </w:pPr>
            <w:r>
              <w:rPr>
                <w:rFonts w:ascii="Arial" w:cs="Arial" w:eastAsia="Arial" w:hAnsi="Arial"/>
                <w:sz w:val="18"/>
                <w:szCs w:val="18"/>
                <w:color w:val="auto"/>
              </w:rPr>
              <w:t>Weighted-average common shares outstanding</w:t>
            </w:r>
          </w:p>
        </w:tc>
        <w:tc>
          <w:tcPr>
            <w:tcW w:w="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1,630</w:t>
            </w: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1,588</w:t>
            </w: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1,238</w:t>
            </w:r>
          </w:p>
        </w:tc>
        <w:tc>
          <w:tcPr>
            <w:tcW w:w="580" w:type="dxa"/>
            <w:vAlign w:val="bottom"/>
            <w:tcBorders>
              <w:right w:val="single" w:sz="8" w:color="auto"/>
            </w:tcBorders>
          </w:tcPr>
          <w:p>
            <w:pPr>
              <w:spacing w:after="0"/>
              <w:rPr>
                <w:sz w:val="18"/>
                <w:szCs w:val="18"/>
                <w:color w:val="auto"/>
              </w:rPr>
            </w:pPr>
          </w:p>
        </w:tc>
        <w:tc>
          <w:tcPr>
            <w:tcW w:w="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gridSpan w:val="2"/>
          </w:tcPr>
          <w:p>
            <w:pPr>
              <w:jc w:val="right"/>
              <w:ind w:right="240"/>
              <w:spacing w:after="0"/>
              <w:rPr>
                <w:sz w:val="20"/>
                <w:szCs w:val="20"/>
                <w:color w:val="auto"/>
              </w:rPr>
            </w:pPr>
            <w:r>
              <w:rPr>
                <w:rFonts w:ascii="Arial" w:cs="Arial" w:eastAsia="Arial" w:hAnsi="Arial"/>
                <w:sz w:val="18"/>
                <w:szCs w:val="18"/>
                <w:color w:val="auto"/>
              </w:rPr>
              <w:t>611</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611</w:t>
            </w:r>
          </w:p>
        </w:tc>
        <w:tc>
          <w:tcPr>
            <w:tcW w:w="100" w:type="dxa"/>
            <w:vAlign w:val="bottom"/>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728980" cy="889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20" w:lineRule="exact"/>
        <w:rPr>
          <w:sz w:val="20"/>
          <w:szCs w:val="20"/>
          <w:color w:val="auto"/>
        </w:rPr>
      </w:pPr>
    </w:p>
    <w:p>
      <w:pPr>
        <w:ind w:left="460" w:right="60" w:hanging="452"/>
        <w:spacing w:after="0" w:line="268" w:lineRule="auto"/>
        <w:tabs>
          <w:tab w:leader="none" w:pos="460" w:val="left"/>
        </w:tabs>
        <w:numPr>
          <w:ilvl w:val="0"/>
          <w:numId w:val="48"/>
        </w:numPr>
        <w:rPr>
          <w:rFonts w:ascii="Arial" w:cs="Arial" w:eastAsia="Arial" w:hAnsi="Arial"/>
          <w:sz w:val="18"/>
          <w:szCs w:val="18"/>
          <w:color w:val="auto"/>
        </w:rPr>
      </w:pPr>
      <w:r>
        <w:rPr>
          <w:rFonts w:ascii="Arial" w:cs="Arial" w:eastAsia="Arial" w:hAnsi="Arial"/>
          <w:sz w:val="18"/>
          <w:szCs w:val="18"/>
          <w:color w:val="auto"/>
        </w:rPr>
        <w:t>All applicable Successor share, per share and related information have been adjusted retroactively for the three-for-one stock split effected on November 1, 2010.</w:t>
      </w:r>
    </w:p>
    <w:p>
      <w:pPr>
        <w:spacing w:after="0" w:line="50" w:lineRule="exact"/>
        <w:rPr>
          <w:rFonts w:ascii="Arial" w:cs="Arial" w:eastAsia="Arial" w:hAnsi="Arial"/>
          <w:sz w:val="18"/>
          <w:szCs w:val="18"/>
          <w:color w:val="auto"/>
        </w:rPr>
      </w:pPr>
    </w:p>
    <w:p>
      <w:pPr>
        <w:ind w:left="460" w:right="440" w:hanging="452"/>
        <w:spacing w:after="0" w:line="268" w:lineRule="auto"/>
        <w:tabs>
          <w:tab w:leader="none" w:pos="460" w:val="left"/>
        </w:tabs>
        <w:numPr>
          <w:ilvl w:val="0"/>
          <w:numId w:val="48"/>
        </w:numPr>
        <w:rPr>
          <w:rFonts w:ascii="Arial" w:cs="Arial" w:eastAsia="Arial" w:hAnsi="Arial"/>
          <w:sz w:val="18"/>
          <w:szCs w:val="18"/>
          <w:color w:val="auto"/>
        </w:rPr>
      </w:pPr>
      <w:r>
        <w:rPr>
          <w:rFonts w:ascii="Arial" w:cs="Arial" w:eastAsia="Arial" w:hAnsi="Arial"/>
          <w:sz w:val="18"/>
          <w:szCs w:val="18"/>
          <w:color w:val="auto"/>
        </w:rPr>
        <w:t>The three and nine months ended September 30, 2010 includes accumulated but undeclared dividends of $34 million on our Series A Preferred Stock, which decreases Net income attributable to common stockholders.</w:t>
      </w:r>
    </w:p>
    <w:p>
      <w:pPr>
        <w:spacing w:after="0" w:line="50" w:lineRule="exact"/>
        <w:rPr>
          <w:rFonts w:ascii="Arial" w:cs="Arial" w:eastAsia="Arial" w:hAnsi="Arial"/>
          <w:sz w:val="18"/>
          <w:szCs w:val="18"/>
          <w:color w:val="auto"/>
        </w:rPr>
      </w:pPr>
    </w:p>
    <w:p>
      <w:pPr>
        <w:ind w:left="460" w:hanging="452"/>
        <w:spacing w:after="0" w:line="259" w:lineRule="auto"/>
        <w:tabs>
          <w:tab w:leader="none" w:pos="460" w:val="left"/>
        </w:tabs>
        <w:numPr>
          <w:ilvl w:val="0"/>
          <w:numId w:val="48"/>
        </w:numPr>
        <w:rPr>
          <w:rFonts w:ascii="Arial" w:cs="Arial" w:eastAsia="Arial" w:hAnsi="Arial"/>
          <w:sz w:val="18"/>
          <w:szCs w:val="18"/>
          <w:color w:val="auto"/>
        </w:rPr>
      </w:pPr>
      <w:r>
        <w:rPr>
          <w:rFonts w:ascii="Arial" w:cs="Arial" w:eastAsia="Arial" w:hAnsi="Arial"/>
          <w:sz w:val="18"/>
          <w:szCs w:val="18"/>
          <w:color w:val="auto"/>
        </w:rPr>
        <w:t>The period July 10, 2009 through September 30, 2009 includes accumulated but undeclared dividends of $9 million on Series A Preferred Stock, which reduces Net income (or increases Net loss) attributable to common stockholders and excludes dividends of $105 million on Series A Preferred Stock, which were paid to the New VEBA prior to September 30, 2009.</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67</w:t>
      </w:r>
    </w:p>
    <w:p>
      <w:pPr>
        <w:sectPr>
          <w:pgSz w:w="11900" w:h="16838" w:orient="portrait"/>
          <w:cols w:equalWidth="0" w:num="1">
            <w:col w:w="11420"/>
          </w:cols>
          <w:pgMar w:left="240" w:top="459" w:right="239" w:bottom="1440" w:gutter="0" w:footer="0" w:header="0"/>
        </w:sectPr>
      </w:pPr>
    </w:p>
    <w:bookmarkStart w:id="69" w:name="page70"/>
    <w:bookmarkEnd w:id="6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GM</w:t>
      </w:r>
    </w:p>
    <w:p>
      <w:pPr>
        <w:spacing w:after="0" w:line="177" w:lineRule="exact"/>
        <w:rPr>
          <w:sz w:val="20"/>
          <w:szCs w:val="20"/>
          <w:color w:val="auto"/>
        </w:rPr>
      </w:pPr>
    </w:p>
    <w:p>
      <w:pPr>
        <w:ind w:right="60" w:firstLine="228"/>
        <w:spacing w:after="0" w:line="268" w:lineRule="auto"/>
        <w:rPr>
          <w:sz w:val="20"/>
          <w:szCs w:val="20"/>
          <w:color w:val="auto"/>
        </w:rPr>
      </w:pPr>
      <w:r>
        <w:rPr>
          <w:rFonts w:ascii="Arial" w:cs="Arial" w:eastAsia="Arial" w:hAnsi="Arial"/>
          <w:sz w:val="18"/>
          <w:szCs w:val="18"/>
          <w:color w:val="auto"/>
        </w:rPr>
        <w:t>During the three and nine months ended September 30, 2010, we considered potentially dilutive securities in our diluted earnings per share computation under the treasury stock method utilizing an average stock price based upon estimates of the fair value of our common stock.</w:t>
      </w:r>
    </w:p>
    <w:p>
      <w:pPr>
        <w:spacing w:after="0" w:line="132" w:lineRule="exact"/>
        <w:rPr>
          <w:sz w:val="20"/>
          <w:szCs w:val="20"/>
          <w:color w:val="auto"/>
        </w:rPr>
      </w:pPr>
    </w:p>
    <w:p>
      <w:pPr>
        <w:ind w:firstLine="228"/>
        <w:spacing w:after="0" w:line="256" w:lineRule="auto"/>
        <w:rPr>
          <w:sz w:val="20"/>
          <w:szCs w:val="20"/>
          <w:color w:val="auto"/>
        </w:rPr>
      </w:pPr>
      <w:r>
        <w:rPr>
          <w:rFonts w:ascii="Arial" w:cs="Arial" w:eastAsia="Arial" w:hAnsi="Arial"/>
          <w:sz w:val="18"/>
          <w:szCs w:val="18"/>
          <w:color w:val="auto"/>
        </w:rPr>
        <w:t>During the three and nine months ended September 30, 2010, warrants to purchase 318 million shares were outstanding, of which 45 million were not included in the computation of diluted earnings per share because the options’ exercise price was greater than the average market price of the common shares. Under the treasury stock method, the assumed exercise of the remaining 273 million warrants resulted in 130 million and 88 million dilutive shares for the three and nine months ended September 30, 2010.</w:t>
      </w:r>
    </w:p>
    <w:p>
      <w:pPr>
        <w:spacing w:after="0" w:line="143" w:lineRule="exact"/>
        <w:rPr>
          <w:sz w:val="20"/>
          <w:szCs w:val="20"/>
          <w:color w:val="auto"/>
        </w:rPr>
      </w:pPr>
    </w:p>
    <w:p>
      <w:pPr>
        <w:ind w:right="400" w:firstLine="228"/>
        <w:spacing w:after="0" w:line="268" w:lineRule="auto"/>
        <w:rPr>
          <w:sz w:val="20"/>
          <w:szCs w:val="20"/>
          <w:color w:val="auto"/>
        </w:rPr>
      </w:pPr>
      <w:r>
        <w:rPr>
          <w:rFonts w:ascii="Arial" w:cs="Arial" w:eastAsia="Arial" w:hAnsi="Arial"/>
          <w:sz w:val="18"/>
          <w:szCs w:val="18"/>
          <w:color w:val="auto"/>
        </w:rPr>
        <w:t>For the period July 10, 2009 through September 30, 2009, outstanding warrants to purchase 273 million shares of common stock were not included in the computation of diluted loss per share because the effect would have been antidilutive to loss per share.</w:t>
      </w:r>
    </w:p>
    <w:p>
      <w:pPr>
        <w:spacing w:after="0" w:line="132" w:lineRule="exact"/>
        <w:rPr>
          <w:sz w:val="20"/>
          <w:szCs w:val="20"/>
          <w:color w:val="auto"/>
        </w:rPr>
      </w:pPr>
    </w:p>
    <w:p>
      <w:pPr>
        <w:ind w:right="40" w:firstLine="228"/>
        <w:spacing w:after="0" w:line="255" w:lineRule="auto"/>
        <w:rPr>
          <w:sz w:val="20"/>
          <w:szCs w:val="20"/>
          <w:color w:val="auto"/>
        </w:rPr>
      </w:pPr>
      <w:r>
        <w:rPr>
          <w:rFonts w:ascii="Arial" w:cs="Arial" w:eastAsia="Arial" w:hAnsi="Arial"/>
          <w:sz w:val="18"/>
          <w:szCs w:val="18"/>
          <w:color w:val="auto"/>
        </w:rPr>
        <w:t>At September 30, 2010 the Adjustment Shares were excluded from the computation of basic and diluted earnings per share as the condition that would result in the issuance of the Adjustment Shares was not satisfied. The maximum number of Adjustment Shares issuable is 30 million shares (subject to an adjustment to take into account stock dividends, stock splits and other transactions). At September 30, 2010 we believe it is probable that these claims will exceed $35.0 billion, but it is still possible they will not. The Adjustment Shares may, however, be dilutive in the future. Refer to Note 17 for additional information on the Adjustment Shares.</w:t>
      </w:r>
    </w:p>
    <w:p>
      <w:pPr>
        <w:spacing w:after="0" w:line="143" w:lineRule="exact"/>
        <w:rPr>
          <w:sz w:val="20"/>
          <w:szCs w:val="20"/>
          <w:color w:val="auto"/>
        </w:rPr>
      </w:pPr>
    </w:p>
    <w:p>
      <w:pPr>
        <w:ind w:right="220" w:firstLine="228"/>
        <w:spacing w:after="0" w:line="259" w:lineRule="auto"/>
        <w:rPr>
          <w:sz w:val="20"/>
          <w:szCs w:val="20"/>
          <w:color w:val="auto"/>
        </w:rPr>
      </w:pPr>
      <w:r>
        <w:rPr>
          <w:rFonts w:ascii="Arial" w:cs="Arial" w:eastAsia="Arial" w:hAnsi="Arial"/>
          <w:sz w:val="18"/>
          <w:szCs w:val="18"/>
          <w:color w:val="auto"/>
        </w:rPr>
        <w:t>We have granted restricted stock units (RSUs) to certain global executives. As these awards will be payable in cash if settled prior to six months after a completion of a successful initial public offering, the RSUs are excluded from the computation of diluted earnings per share. At September 30, 2010 18 million RSUs were outstanding. Refer to Note 26 for additional information on RSUs.</w:t>
      </w:r>
    </w:p>
    <w:p>
      <w:pPr>
        <w:spacing w:after="0" w:line="140" w:lineRule="exact"/>
        <w:rPr>
          <w:sz w:val="20"/>
          <w:szCs w:val="20"/>
          <w:color w:val="auto"/>
        </w:rPr>
      </w:pPr>
    </w:p>
    <w:p>
      <w:pPr>
        <w:ind w:right="60" w:firstLine="228"/>
        <w:spacing w:after="0" w:line="256" w:lineRule="auto"/>
        <w:rPr>
          <w:sz w:val="20"/>
          <w:szCs w:val="20"/>
          <w:color w:val="auto"/>
        </w:rPr>
      </w:pPr>
      <w:r>
        <w:rPr>
          <w:rFonts w:ascii="Arial" w:cs="Arial" w:eastAsia="Arial" w:hAnsi="Arial"/>
          <w:sz w:val="18"/>
          <w:szCs w:val="18"/>
          <w:color w:val="auto"/>
        </w:rPr>
        <w:t>In connection with the 363 Sale, we issued 263 million shares of our common stock to the New VEBA, which were not considered outstanding for accounting purposes until December 31, 2009 as they did not qualify as plan assets. Because these shares were not outstanding until December 31, 2009 they were not included in the calculation of the weighted-average common shares outstanding at September 30, 2009. Refer to Note 15 for additional information on the 2009 Revised UAW Settlement Agreement.</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Old GM</w:t>
      </w:r>
    </w:p>
    <w:p>
      <w:pPr>
        <w:spacing w:after="0" w:line="177" w:lineRule="exact"/>
        <w:rPr>
          <w:sz w:val="20"/>
          <w:szCs w:val="20"/>
          <w:color w:val="auto"/>
        </w:rPr>
      </w:pPr>
    </w:p>
    <w:p>
      <w:pPr>
        <w:ind w:right="200" w:firstLine="228"/>
        <w:spacing w:after="0" w:line="256" w:lineRule="auto"/>
        <w:rPr>
          <w:sz w:val="20"/>
          <w:szCs w:val="20"/>
          <w:color w:val="auto"/>
        </w:rPr>
      </w:pPr>
      <w:r>
        <w:rPr>
          <w:rFonts w:ascii="Arial" w:cs="Arial" w:eastAsia="Arial" w:hAnsi="Arial"/>
          <w:sz w:val="18"/>
          <w:szCs w:val="18"/>
          <w:color w:val="auto"/>
        </w:rPr>
        <w:t>In the periods July 1, 2009 through July 9, 2009 and January 1, 2009 through July 9, 2009 diluted earnings per share included the potential effect of the assumed exercise of certain stock options. The total number of stock options and warrants that were excluded in the computation of diluted earnings per share because the exercise price was greater than the average market price of the common shares was 207 million and 208 million in the periods July 1, 2009 through July 9, 2009 and January 1, 2009 through July 9, 2009.</w:t>
      </w:r>
    </w:p>
    <w:p>
      <w:pPr>
        <w:spacing w:after="0" w:line="143" w:lineRule="exact"/>
        <w:rPr>
          <w:sz w:val="20"/>
          <w:szCs w:val="20"/>
          <w:color w:val="auto"/>
        </w:rPr>
      </w:pPr>
    </w:p>
    <w:p>
      <w:pPr>
        <w:ind w:right="80" w:firstLine="228"/>
        <w:spacing w:after="0" w:line="259" w:lineRule="auto"/>
        <w:rPr>
          <w:sz w:val="20"/>
          <w:szCs w:val="20"/>
          <w:color w:val="auto"/>
        </w:rPr>
      </w:pPr>
      <w:r>
        <w:rPr>
          <w:rFonts w:ascii="Arial" w:cs="Arial" w:eastAsia="Arial" w:hAnsi="Arial"/>
          <w:sz w:val="18"/>
          <w:szCs w:val="18"/>
          <w:color w:val="auto"/>
        </w:rPr>
        <w:t>No shares potentially issuable to satisfy the in-the-money amount of Old GM’s convertible debentures have been included in the computation of diluted earnings (loss) per share for the periods July 1, 2009 through July 9, 2009 and January 1, 2009 through July 9, 2009 as the conversion options in various series of convertible debentures were not in-the-money.</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68</w:t>
      </w:r>
    </w:p>
    <w:p>
      <w:pPr>
        <w:sectPr>
          <w:pgSz w:w="11900" w:h="16838" w:orient="portrait"/>
          <w:cols w:equalWidth="0" w:num="1">
            <w:col w:w="11420"/>
          </w:cols>
          <w:pgMar w:left="240" w:top="459" w:right="239" w:bottom="1440" w:gutter="0" w:footer="0" w:header="0"/>
        </w:sectPr>
      </w:pPr>
    </w:p>
    <w:bookmarkStart w:id="70" w:name="page71"/>
    <w:bookmarkEnd w:id="7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23. Transactions with Ally Financial</w:t>
      </w:r>
    </w:p>
    <w:p>
      <w:pPr>
        <w:spacing w:after="0" w:line="177" w:lineRule="exact"/>
        <w:rPr>
          <w:sz w:val="20"/>
          <w:szCs w:val="20"/>
          <w:color w:val="auto"/>
        </w:rPr>
      </w:pPr>
    </w:p>
    <w:p>
      <w:pPr>
        <w:ind w:right="20" w:firstLine="228"/>
        <w:spacing w:after="0" w:line="259" w:lineRule="auto"/>
        <w:rPr>
          <w:sz w:val="20"/>
          <w:szCs w:val="20"/>
          <w:color w:val="auto"/>
        </w:rPr>
      </w:pPr>
      <w:r>
        <w:rPr>
          <w:rFonts w:ascii="Arial" w:cs="Arial" w:eastAsia="Arial" w:hAnsi="Arial"/>
          <w:sz w:val="18"/>
          <w:szCs w:val="18"/>
          <w:color w:val="auto"/>
        </w:rPr>
        <w:t>Old GM entered into various operating and financing arrangements with Ally Financial, a related party. In connection with the 363 Sale, we assumed the terms and conditions of these agreements as more fully discussed in our Form S-1. The following tables describe the financial statement effects of and maximum obligations under these agreements (dollars in millions):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06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81"/>
              </w:rPr>
              <w:t>Successor</w:t>
            </w:r>
          </w:p>
        </w:tc>
        <w:tc>
          <w:tcPr>
            <w:tcW w:w="2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29"/>
        </w:trPr>
        <w:tc>
          <w:tcPr>
            <w:tcW w:w="9060" w:type="dxa"/>
            <w:vAlign w:val="bottom"/>
          </w:tcPr>
          <w:p>
            <w:pPr>
              <w:spacing w:after="0"/>
              <w:rPr>
                <w:sz w:val="11"/>
                <w:szCs w:val="11"/>
                <w:color w:val="auto"/>
              </w:rPr>
            </w:pPr>
          </w:p>
        </w:tc>
        <w:tc>
          <w:tcPr>
            <w:tcW w:w="1440" w:type="dxa"/>
            <w:vAlign w:val="bottom"/>
            <w:gridSpan w:val="3"/>
          </w:tcPr>
          <w:p>
            <w:pPr>
              <w:spacing w:after="0" w:line="129" w:lineRule="exact"/>
              <w:rPr>
                <w:sz w:val="20"/>
                <w:szCs w:val="20"/>
                <w:color w:val="auto"/>
              </w:rPr>
            </w:pPr>
            <w:r>
              <w:rPr>
                <w:rFonts w:ascii="Arial" w:cs="Arial" w:eastAsia="Arial" w:hAnsi="Arial"/>
                <w:sz w:val="14"/>
                <w:szCs w:val="14"/>
                <w:b w:val="1"/>
                <w:bCs w:val="1"/>
                <w:color w:val="auto"/>
              </w:rPr>
              <w:t>September 30,</w:t>
            </w:r>
          </w:p>
        </w:tc>
        <w:tc>
          <w:tcPr>
            <w:tcW w:w="20" w:type="dxa"/>
            <w:vAlign w:val="bottom"/>
          </w:tcPr>
          <w:p>
            <w:pPr>
              <w:spacing w:after="0"/>
              <w:rPr>
                <w:sz w:val="11"/>
                <w:szCs w:val="11"/>
                <w:color w:val="auto"/>
              </w:rPr>
            </w:pPr>
          </w:p>
        </w:tc>
        <w:tc>
          <w:tcPr>
            <w:tcW w:w="800" w:type="dxa"/>
            <w:vAlign w:val="bottom"/>
            <w:gridSpan w:val="2"/>
          </w:tcPr>
          <w:p>
            <w:pPr>
              <w:ind w:left="20"/>
              <w:spacing w:after="0" w:line="129" w:lineRule="exact"/>
              <w:rPr>
                <w:sz w:val="20"/>
                <w:szCs w:val="20"/>
                <w:color w:val="auto"/>
              </w:rPr>
            </w:pPr>
            <w:r>
              <w:rPr>
                <w:rFonts w:ascii="Arial" w:cs="Arial" w:eastAsia="Arial" w:hAnsi="Arial"/>
                <w:sz w:val="14"/>
                <w:szCs w:val="14"/>
                <w:b w:val="1"/>
                <w:bCs w:val="1"/>
                <w:color w:val="auto"/>
                <w:w w:val="83"/>
              </w:rPr>
              <w:t>December 31,</w:t>
            </w:r>
          </w:p>
        </w:tc>
        <w:tc>
          <w:tcPr>
            <w:tcW w:w="100" w:type="dxa"/>
            <w:vAlign w:val="bottom"/>
          </w:tcPr>
          <w:p>
            <w:pPr>
              <w:spacing w:after="0"/>
              <w:rPr>
                <w:sz w:val="11"/>
                <w:szCs w:val="11"/>
                <w:color w:val="auto"/>
              </w:rPr>
            </w:pPr>
          </w:p>
        </w:tc>
      </w:tr>
      <w:tr>
        <w:trPr>
          <w:trHeight w:val="161"/>
        </w:trPr>
        <w:tc>
          <w:tcPr>
            <w:tcW w:w="906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195"/>
              <w:spacing w:after="0"/>
              <w:rPr>
                <w:sz w:val="20"/>
                <w:szCs w:val="20"/>
                <w:color w:val="auto"/>
              </w:rPr>
            </w:pPr>
            <w:r>
              <w:rPr>
                <w:rFonts w:ascii="Arial" w:cs="Arial" w:eastAsia="Arial" w:hAnsi="Arial"/>
                <w:sz w:val="14"/>
                <w:szCs w:val="14"/>
                <w:b w:val="1"/>
                <w:bCs w:val="1"/>
                <w:color w:val="auto"/>
              </w:rPr>
              <w:t>2010</w:t>
            </w:r>
          </w:p>
        </w:tc>
        <w:tc>
          <w:tcPr>
            <w:tcW w:w="6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ind w:right="175"/>
              <w:spacing w:after="0"/>
              <w:rPr>
                <w:sz w:val="20"/>
                <w:szCs w:val="20"/>
                <w:color w:val="auto"/>
              </w:rPr>
            </w:pPr>
            <w:r>
              <w:rPr>
                <w:rFonts w:ascii="Arial" w:cs="Arial" w:eastAsia="Arial" w:hAnsi="Arial"/>
                <w:sz w:val="14"/>
                <w:szCs w:val="14"/>
                <w:b w:val="1"/>
                <w:bCs w:val="1"/>
                <w:color w:val="auto"/>
              </w:rPr>
              <w:t>2009</w:t>
            </w:r>
          </w:p>
        </w:tc>
        <w:tc>
          <w:tcPr>
            <w:tcW w:w="100" w:type="dxa"/>
            <w:vAlign w:val="bottom"/>
          </w:tcPr>
          <w:p>
            <w:pPr>
              <w:spacing w:after="0"/>
              <w:rPr>
                <w:sz w:val="14"/>
                <w:szCs w:val="14"/>
                <w:color w:val="auto"/>
              </w:rPr>
            </w:pPr>
          </w:p>
        </w:tc>
      </w:tr>
      <w:tr>
        <w:trPr>
          <w:trHeight w:val="210"/>
        </w:trPr>
        <w:tc>
          <w:tcPr>
            <w:tcW w:w="9060" w:type="dxa"/>
            <w:vAlign w:val="bottom"/>
            <w:shd w:val="clear" w:color="auto" w:fill="CCEEFF"/>
          </w:tcPr>
          <w:p>
            <w:pPr>
              <w:spacing w:after="0"/>
              <w:rPr>
                <w:sz w:val="20"/>
                <w:szCs w:val="20"/>
                <w:color w:val="auto"/>
              </w:rPr>
            </w:pPr>
            <w:r>
              <w:rPr>
                <w:rFonts w:ascii="Arial" w:cs="Arial" w:eastAsia="Arial" w:hAnsi="Arial"/>
                <w:sz w:val="18"/>
                <w:szCs w:val="18"/>
                <w:color w:val="auto"/>
              </w:rPr>
              <w:t>Operating lease residuals</w:t>
            </w: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9060" w:type="dxa"/>
            <w:vAlign w:val="bottom"/>
          </w:tcPr>
          <w:p>
            <w:pPr>
              <w:spacing w:after="0"/>
              <w:rPr>
                <w:sz w:val="20"/>
                <w:szCs w:val="20"/>
                <w:color w:val="auto"/>
              </w:rPr>
            </w:pPr>
            <w:r>
              <w:rPr>
                <w:rFonts w:ascii="Arial" w:cs="Arial" w:eastAsia="Arial" w:hAnsi="Arial"/>
                <w:sz w:val="18"/>
                <w:szCs w:val="18"/>
                <w:color w:val="auto"/>
              </w:rPr>
              <w:t>Residual support (a)</w:t>
            </w:r>
          </w:p>
        </w:tc>
        <w:tc>
          <w:tcPr>
            <w:tcW w:w="1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90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Liabilities (receivables) recorded</w:t>
            </w: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492"/>
              <w:spacing w:after="0"/>
              <w:rPr>
                <w:sz w:val="20"/>
                <w:szCs w:val="20"/>
                <w:color w:val="auto"/>
              </w:rPr>
            </w:pPr>
            <w:r>
              <w:rPr>
                <w:rFonts w:ascii="Arial" w:cs="Arial" w:eastAsia="Arial" w:hAnsi="Arial"/>
                <w:sz w:val="18"/>
                <w:szCs w:val="18"/>
                <w:color w:val="auto"/>
              </w:rPr>
              <w:t>(34)</w:t>
            </w:r>
          </w:p>
        </w:tc>
        <w:tc>
          <w:tcPr>
            <w:tcW w:w="2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369</w:t>
            </w:r>
          </w:p>
        </w:tc>
        <w:tc>
          <w:tcPr>
            <w:tcW w:w="100" w:type="dxa"/>
            <w:vAlign w:val="bottom"/>
            <w:shd w:val="clear" w:color="auto" w:fill="CCEEFF"/>
          </w:tcPr>
          <w:p>
            <w:pPr>
              <w:spacing w:after="0"/>
              <w:rPr>
                <w:sz w:val="18"/>
                <w:szCs w:val="18"/>
                <w:color w:val="auto"/>
              </w:rPr>
            </w:pPr>
          </w:p>
        </w:tc>
      </w:tr>
      <w:tr>
        <w:trPr>
          <w:trHeight w:val="216"/>
        </w:trPr>
        <w:tc>
          <w:tcPr>
            <w:tcW w:w="9060" w:type="dxa"/>
            <w:vAlign w:val="bottom"/>
          </w:tcPr>
          <w:p>
            <w:pPr>
              <w:ind w:left="220"/>
              <w:spacing w:after="0"/>
              <w:rPr>
                <w:sz w:val="20"/>
                <w:szCs w:val="20"/>
                <w:color w:val="auto"/>
              </w:rPr>
            </w:pPr>
            <w:r>
              <w:rPr>
                <w:rFonts w:ascii="Arial" w:cs="Arial" w:eastAsia="Arial" w:hAnsi="Arial"/>
                <w:sz w:val="18"/>
                <w:szCs w:val="18"/>
                <w:color w:val="auto"/>
              </w:rPr>
              <w:t>Maximum obligation</w:t>
            </w: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552"/>
              <w:spacing w:after="0"/>
              <w:rPr>
                <w:sz w:val="20"/>
                <w:szCs w:val="20"/>
                <w:color w:val="auto"/>
              </w:rPr>
            </w:pPr>
            <w:r>
              <w:rPr>
                <w:rFonts w:ascii="Arial" w:cs="Arial" w:eastAsia="Arial" w:hAnsi="Arial"/>
                <w:sz w:val="18"/>
                <w:szCs w:val="18"/>
                <w:color w:val="auto"/>
              </w:rPr>
              <w:t>689</w:t>
            </w:r>
          </w:p>
        </w:tc>
        <w:tc>
          <w:tcPr>
            <w:tcW w:w="200" w:type="dxa"/>
            <w:vAlign w:val="bottom"/>
            <w:gridSpan w:val="2"/>
          </w:tcPr>
          <w:p>
            <w:pPr>
              <w:ind w:left="20"/>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1,159</w:t>
            </w:r>
          </w:p>
        </w:tc>
        <w:tc>
          <w:tcPr>
            <w:tcW w:w="100" w:type="dxa"/>
            <w:vAlign w:val="bottom"/>
          </w:tcPr>
          <w:p>
            <w:pPr>
              <w:spacing w:after="0"/>
              <w:rPr>
                <w:sz w:val="18"/>
                <w:szCs w:val="18"/>
                <w:color w:val="auto"/>
              </w:rPr>
            </w:pPr>
          </w:p>
        </w:tc>
      </w:tr>
      <w:tr>
        <w:trPr>
          <w:trHeight w:val="216"/>
        </w:trPr>
        <w:tc>
          <w:tcPr>
            <w:tcW w:w="9060" w:type="dxa"/>
            <w:vAlign w:val="bottom"/>
            <w:shd w:val="clear" w:color="auto" w:fill="CCEEFF"/>
          </w:tcPr>
          <w:p>
            <w:pPr>
              <w:spacing w:after="0"/>
              <w:rPr>
                <w:sz w:val="20"/>
                <w:szCs w:val="20"/>
                <w:color w:val="auto"/>
              </w:rPr>
            </w:pPr>
            <w:r>
              <w:rPr>
                <w:rFonts w:ascii="Arial" w:cs="Arial" w:eastAsia="Arial" w:hAnsi="Arial"/>
                <w:sz w:val="18"/>
                <w:szCs w:val="18"/>
                <w:color w:val="auto"/>
              </w:rPr>
              <w:t>Risk sharing (a)</w:t>
            </w: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9060" w:type="dxa"/>
            <w:vAlign w:val="bottom"/>
          </w:tcPr>
          <w:p>
            <w:pPr>
              <w:ind w:left="220"/>
              <w:spacing w:after="0"/>
              <w:rPr>
                <w:sz w:val="20"/>
                <w:szCs w:val="20"/>
                <w:color w:val="auto"/>
              </w:rPr>
            </w:pPr>
            <w:r>
              <w:rPr>
                <w:rFonts w:ascii="Arial" w:cs="Arial" w:eastAsia="Arial" w:hAnsi="Arial"/>
                <w:sz w:val="18"/>
                <w:szCs w:val="18"/>
                <w:color w:val="auto"/>
              </w:rPr>
              <w:t>Liabilities recorded</w:t>
            </w: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552"/>
              <w:spacing w:after="0"/>
              <w:rPr>
                <w:sz w:val="20"/>
                <w:szCs w:val="20"/>
                <w:color w:val="auto"/>
              </w:rPr>
            </w:pPr>
            <w:r>
              <w:rPr>
                <w:rFonts w:ascii="Arial" w:cs="Arial" w:eastAsia="Arial" w:hAnsi="Arial"/>
                <w:sz w:val="18"/>
                <w:szCs w:val="18"/>
                <w:color w:val="auto"/>
              </w:rPr>
              <w:t>330</w:t>
            </w:r>
          </w:p>
        </w:tc>
        <w:tc>
          <w:tcPr>
            <w:tcW w:w="200" w:type="dxa"/>
            <w:vAlign w:val="bottom"/>
            <w:gridSpan w:val="2"/>
          </w:tcPr>
          <w:p>
            <w:pPr>
              <w:ind w:left="20"/>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366</w:t>
            </w:r>
          </w:p>
        </w:tc>
        <w:tc>
          <w:tcPr>
            <w:tcW w:w="100" w:type="dxa"/>
            <w:vAlign w:val="bottom"/>
          </w:tcPr>
          <w:p>
            <w:pPr>
              <w:spacing w:after="0"/>
              <w:rPr>
                <w:sz w:val="18"/>
                <w:szCs w:val="18"/>
                <w:color w:val="auto"/>
              </w:rPr>
            </w:pPr>
          </w:p>
        </w:tc>
      </w:tr>
      <w:tr>
        <w:trPr>
          <w:trHeight w:val="216"/>
        </w:trPr>
        <w:tc>
          <w:tcPr>
            <w:tcW w:w="90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Maximum obligation</w:t>
            </w: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552"/>
              <w:spacing w:after="0"/>
              <w:rPr>
                <w:sz w:val="20"/>
                <w:szCs w:val="20"/>
                <w:color w:val="auto"/>
              </w:rPr>
            </w:pPr>
            <w:r>
              <w:rPr>
                <w:rFonts w:ascii="Arial" w:cs="Arial" w:eastAsia="Arial" w:hAnsi="Arial"/>
                <w:sz w:val="18"/>
                <w:szCs w:val="18"/>
                <w:color w:val="auto"/>
              </w:rPr>
              <w:t>877</w:t>
            </w:r>
          </w:p>
        </w:tc>
        <w:tc>
          <w:tcPr>
            <w:tcW w:w="2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1,392</w:t>
            </w:r>
          </w:p>
        </w:tc>
        <w:tc>
          <w:tcPr>
            <w:tcW w:w="100" w:type="dxa"/>
            <w:vAlign w:val="bottom"/>
            <w:shd w:val="clear" w:color="auto" w:fill="CCEEFF"/>
          </w:tcPr>
          <w:p>
            <w:pPr>
              <w:spacing w:after="0"/>
              <w:rPr>
                <w:sz w:val="18"/>
                <w:szCs w:val="18"/>
                <w:color w:val="auto"/>
              </w:rPr>
            </w:pPr>
          </w:p>
        </w:tc>
      </w:tr>
      <w:tr>
        <w:trPr>
          <w:trHeight w:val="216"/>
        </w:trPr>
        <w:tc>
          <w:tcPr>
            <w:tcW w:w="9060" w:type="dxa"/>
            <w:vAlign w:val="bottom"/>
          </w:tcPr>
          <w:p>
            <w:pPr>
              <w:spacing w:after="0"/>
              <w:rPr>
                <w:sz w:val="20"/>
                <w:szCs w:val="20"/>
                <w:color w:val="auto"/>
              </w:rPr>
            </w:pPr>
            <w:r>
              <w:rPr>
                <w:rFonts w:ascii="Arial" w:cs="Arial" w:eastAsia="Arial" w:hAnsi="Arial"/>
                <w:sz w:val="18"/>
                <w:szCs w:val="18"/>
                <w:color w:val="auto"/>
              </w:rPr>
              <w:t>Note payable to Ally Financial (b)</w:t>
            </w: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552"/>
              <w:spacing w:after="0"/>
              <w:rPr>
                <w:sz w:val="20"/>
                <w:szCs w:val="20"/>
                <w:color w:val="auto"/>
              </w:rPr>
            </w:pPr>
            <w:r>
              <w:rPr>
                <w:rFonts w:ascii="Arial" w:cs="Arial" w:eastAsia="Arial" w:hAnsi="Arial"/>
                <w:sz w:val="18"/>
                <w:szCs w:val="18"/>
                <w:color w:val="auto"/>
              </w:rPr>
              <w:t>35</w:t>
            </w:r>
          </w:p>
        </w:tc>
        <w:tc>
          <w:tcPr>
            <w:tcW w:w="200" w:type="dxa"/>
            <w:vAlign w:val="bottom"/>
            <w:gridSpan w:val="2"/>
          </w:tcPr>
          <w:p>
            <w:pPr>
              <w:ind w:left="20"/>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35</w:t>
            </w:r>
          </w:p>
        </w:tc>
        <w:tc>
          <w:tcPr>
            <w:tcW w:w="100" w:type="dxa"/>
            <w:vAlign w:val="bottom"/>
          </w:tcPr>
          <w:p>
            <w:pPr>
              <w:spacing w:after="0"/>
              <w:rPr>
                <w:sz w:val="18"/>
                <w:szCs w:val="18"/>
                <w:color w:val="auto"/>
              </w:rPr>
            </w:pPr>
          </w:p>
        </w:tc>
      </w:tr>
      <w:tr>
        <w:trPr>
          <w:trHeight w:val="216"/>
        </w:trPr>
        <w:tc>
          <w:tcPr>
            <w:tcW w:w="9060" w:type="dxa"/>
            <w:vAlign w:val="bottom"/>
            <w:shd w:val="clear" w:color="auto" w:fill="CCEEFF"/>
          </w:tcPr>
          <w:p>
            <w:pPr>
              <w:spacing w:after="0"/>
              <w:rPr>
                <w:sz w:val="20"/>
                <w:szCs w:val="20"/>
                <w:color w:val="auto"/>
              </w:rPr>
            </w:pPr>
            <w:r>
              <w:rPr>
                <w:rFonts w:ascii="Arial" w:cs="Arial" w:eastAsia="Arial" w:hAnsi="Arial"/>
                <w:sz w:val="18"/>
                <w:szCs w:val="18"/>
                <w:color w:val="auto"/>
              </w:rPr>
              <w:t>Vehicle repurchase obligations (c)</w:t>
            </w: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9060" w:type="dxa"/>
            <w:vAlign w:val="bottom"/>
          </w:tcPr>
          <w:p>
            <w:pPr>
              <w:ind w:left="220"/>
              <w:spacing w:after="0"/>
              <w:rPr>
                <w:sz w:val="20"/>
                <w:szCs w:val="20"/>
                <w:color w:val="auto"/>
              </w:rPr>
            </w:pPr>
            <w:r>
              <w:rPr>
                <w:rFonts w:ascii="Arial" w:cs="Arial" w:eastAsia="Arial" w:hAnsi="Arial"/>
                <w:sz w:val="18"/>
                <w:szCs w:val="18"/>
                <w:color w:val="auto"/>
              </w:rPr>
              <w:t>Maximum obligations</w:t>
            </w: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552"/>
              <w:spacing w:after="0"/>
              <w:rPr>
                <w:sz w:val="20"/>
                <w:szCs w:val="20"/>
                <w:color w:val="auto"/>
              </w:rPr>
            </w:pPr>
            <w:r>
              <w:rPr>
                <w:rFonts w:ascii="Arial" w:cs="Arial" w:eastAsia="Arial" w:hAnsi="Arial"/>
                <w:sz w:val="18"/>
                <w:szCs w:val="18"/>
                <w:color w:val="auto"/>
              </w:rPr>
              <w:t>16,823</w:t>
            </w:r>
          </w:p>
        </w:tc>
        <w:tc>
          <w:tcPr>
            <w:tcW w:w="200" w:type="dxa"/>
            <w:vAlign w:val="bottom"/>
            <w:gridSpan w:val="2"/>
          </w:tcPr>
          <w:p>
            <w:pPr>
              <w:ind w:left="20"/>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14,249</w:t>
            </w:r>
          </w:p>
        </w:tc>
        <w:tc>
          <w:tcPr>
            <w:tcW w:w="100" w:type="dxa"/>
            <w:vAlign w:val="bottom"/>
          </w:tcPr>
          <w:p>
            <w:pPr>
              <w:spacing w:after="0"/>
              <w:rPr>
                <w:sz w:val="18"/>
                <w:szCs w:val="18"/>
                <w:color w:val="auto"/>
              </w:rPr>
            </w:pPr>
          </w:p>
        </w:tc>
      </w:tr>
      <w:tr>
        <w:trPr>
          <w:trHeight w:val="216"/>
        </w:trPr>
        <w:tc>
          <w:tcPr>
            <w:tcW w:w="90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Fair value of guarantee</w:t>
            </w: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552"/>
              <w:spacing w:after="0"/>
              <w:rPr>
                <w:sz w:val="20"/>
                <w:szCs w:val="20"/>
                <w:color w:val="auto"/>
              </w:rPr>
            </w:pPr>
            <w:r>
              <w:rPr>
                <w:rFonts w:ascii="Arial" w:cs="Arial" w:eastAsia="Arial" w:hAnsi="Arial"/>
                <w:sz w:val="18"/>
                <w:szCs w:val="18"/>
                <w:color w:val="auto"/>
              </w:rPr>
              <w:t>30</w:t>
            </w:r>
          </w:p>
        </w:tc>
        <w:tc>
          <w:tcPr>
            <w:tcW w:w="2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w:t>
            </w:r>
          </w:p>
        </w:tc>
        <w:tc>
          <w:tcPr>
            <w:tcW w:w="100" w:type="dxa"/>
            <w:vAlign w:val="bottom"/>
            <w:shd w:val="clear" w:color="auto" w:fill="CCEEFF"/>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728980" cy="889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20" w:lineRule="exact"/>
        <w:rPr>
          <w:sz w:val="20"/>
          <w:szCs w:val="20"/>
          <w:color w:val="auto"/>
        </w:rPr>
      </w:pPr>
    </w:p>
    <w:p>
      <w:pPr>
        <w:ind w:left="460" w:right="60" w:hanging="452"/>
        <w:spacing w:after="0" w:line="306" w:lineRule="auto"/>
        <w:tabs>
          <w:tab w:leader="none" w:pos="460" w:val="left"/>
        </w:tabs>
        <w:numPr>
          <w:ilvl w:val="0"/>
          <w:numId w:val="49"/>
        </w:numPr>
        <w:rPr>
          <w:rFonts w:ascii="Arial" w:cs="Arial" w:eastAsia="Arial" w:hAnsi="Arial"/>
          <w:sz w:val="16"/>
          <w:szCs w:val="16"/>
          <w:color w:val="auto"/>
        </w:rPr>
      </w:pPr>
      <w:r>
        <w:rPr>
          <w:rFonts w:ascii="Arial" w:cs="Arial" w:eastAsia="Arial" w:hAnsi="Arial"/>
          <w:sz w:val="16"/>
          <w:szCs w:val="16"/>
          <w:color w:val="auto"/>
        </w:rPr>
        <w:t>Represents liabilities (receivables) recorded and maximum obligations for agreements entered into prior to December 31, 2008. Agreements entered into in 2010 and 2009 do not include residual support or risk sharing programs. During the nine months ended September 30, 2010 favorable adjustments to our residual support and risk sharing liabilities of $0.6 billion were recorded in the U.S. due to increases in estimated residual values.</w:t>
      </w:r>
    </w:p>
    <w:p>
      <w:pPr>
        <w:spacing w:after="0" w:line="25" w:lineRule="exact"/>
        <w:rPr>
          <w:rFonts w:ascii="Arial" w:cs="Arial" w:eastAsia="Arial" w:hAnsi="Arial"/>
          <w:sz w:val="16"/>
          <w:szCs w:val="16"/>
          <w:color w:val="auto"/>
        </w:rPr>
      </w:pPr>
    </w:p>
    <w:p>
      <w:pPr>
        <w:ind w:left="460" w:hanging="452"/>
        <w:spacing w:after="0"/>
        <w:tabs>
          <w:tab w:leader="none" w:pos="460" w:val="left"/>
        </w:tabs>
        <w:numPr>
          <w:ilvl w:val="0"/>
          <w:numId w:val="49"/>
        </w:numPr>
        <w:rPr>
          <w:rFonts w:ascii="Arial" w:cs="Arial" w:eastAsia="Arial" w:hAnsi="Arial"/>
          <w:sz w:val="18"/>
          <w:szCs w:val="18"/>
          <w:color w:val="auto"/>
        </w:rPr>
      </w:pPr>
      <w:r>
        <w:rPr>
          <w:rFonts w:ascii="Arial" w:cs="Arial" w:eastAsia="Arial" w:hAnsi="Arial"/>
          <w:sz w:val="18"/>
          <w:szCs w:val="18"/>
          <w:color w:val="auto"/>
        </w:rPr>
        <w:t>Ally Financial retained an investment in a note, which is secured by certain automotive retail leases.</w:t>
      </w:r>
    </w:p>
    <w:p>
      <w:pPr>
        <w:spacing w:after="0" w:line="90" w:lineRule="exact"/>
        <w:rPr>
          <w:rFonts w:ascii="Arial" w:cs="Arial" w:eastAsia="Arial" w:hAnsi="Arial"/>
          <w:sz w:val="18"/>
          <w:szCs w:val="18"/>
          <w:color w:val="auto"/>
        </w:rPr>
      </w:pPr>
    </w:p>
    <w:p>
      <w:pPr>
        <w:ind w:left="460" w:right="200" w:hanging="452"/>
        <w:spacing w:after="0" w:line="291" w:lineRule="auto"/>
        <w:tabs>
          <w:tab w:leader="none" w:pos="460" w:val="left"/>
        </w:tabs>
        <w:numPr>
          <w:ilvl w:val="0"/>
          <w:numId w:val="49"/>
        </w:numPr>
        <w:rPr>
          <w:rFonts w:ascii="Arial" w:cs="Arial" w:eastAsia="Arial" w:hAnsi="Arial"/>
          <w:sz w:val="16"/>
          <w:szCs w:val="16"/>
          <w:color w:val="auto"/>
        </w:rPr>
      </w:pPr>
      <w:r>
        <w:rPr>
          <w:rFonts w:ascii="Arial" w:cs="Arial" w:eastAsia="Arial" w:hAnsi="Arial"/>
          <w:sz w:val="16"/>
          <w:szCs w:val="16"/>
          <w:color w:val="auto"/>
        </w:rPr>
        <w:t>In May 2009 Old GM and Ally Financial agreed to expand Old GM’s repurchase obligations for Ally Financial financed inventory at certain dealers in Europe, Asia, Brazil and Mexico. In November 2008 Old GM and Ally Financial agreed to expand Old GM’s repurchase obligations for Ally Financial financed inventory at certain dealers in the United States and Canada. The maximum potential amount of future payments required to be made under this guarantee would be based on the repurchase value of total eligible vehicles financed by Ally Financial in dealer stock. The total exposure of repurchased vehicles would be reduced to the extent vehicles are able to be resold to another dealer. The fair value of the guarantee considers the likelihood of dealers terminating and the estimated loss exposure for the ultimate disposition of vehicles.</w:t>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3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580" w:type="dxa"/>
            <w:vAlign w:val="bottom"/>
            <w:tcBorders>
              <w:bottom w:val="single" w:sz="8" w:color="auto"/>
            </w:tcBorders>
            <w:gridSpan w:val="2"/>
          </w:tcPr>
          <w:p>
            <w:pPr>
              <w:jc w:val="center"/>
              <w:ind w:right="740"/>
              <w:spacing w:after="0"/>
              <w:rPr>
                <w:sz w:val="20"/>
                <w:szCs w:val="20"/>
                <w:color w:val="auto"/>
              </w:rPr>
            </w:pPr>
            <w:r>
              <w:rPr>
                <w:rFonts w:ascii="Arial" w:cs="Arial" w:eastAsia="Arial" w:hAnsi="Arial"/>
                <w:sz w:val="14"/>
                <w:szCs w:val="14"/>
                <w:b w:val="1"/>
                <w:bCs w:val="1"/>
                <w:color w:val="auto"/>
                <w:w w:val="79"/>
              </w:rPr>
              <w:t>Successor</w:t>
            </w:r>
          </w:p>
        </w:tc>
        <w:tc>
          <w:tcPr>
            <w:tcW w:w="14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spacing w:after="0"/>
              <w:rPr>
                <w:sz w:val="14"/>
                <w:szCs w:val="14"/>
                <w:color w:val="auto"/>
              </w:rPr>
            </w:pPr>
          </w:p>
        </w:tc>
        <w:tc>
          <w:tcPr>
            <w:tcW w:w="680" w:type="dxa"/>
            <w:vAlign w:val="bottom"/>
            <w:tcBorders>
              <w:right w:val="single" w:sz="8" w:color="auto"/>
            </w:tcBorders>
          </w:tcPr>
          <w:p>
            <w:pPr>
              <w:spacing w:after="0"/>
              <w:rPr>
                <w:sz w:val="14"/>
                <w:szCs w:val="14"/>
                <w:color w:val="auto"/>
              </w:rPr>
            </w:pPr>
          </w:p>
        </w:tc>
        <w:tc>
          <w:tcPr>
            <w:tcW w:w="4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gridSpan w:val="2"/>
          </w:tcPr>
          <w:p>
            <w:pPr>
              <w:ind w:left="40"/>
              <w:spacing w:after="0"/>
              <w:rPr>
                <w:sz w:val="20"/>
                <w:szCs w:val="20"/>
                <w:color w:val="auto"/>
              </w:rPr>
            </w:pPr>
            <w:r>
              <w:rPr>
                <w:rFonts w:ascii="Arial" w:cs="Arial" w:eastAsia="Arial" w:hAnsi="Arial"/>
                <w:sz w:val="14"/>
                <w:szCs w:val="14"/>
                <w:b w:val="1"/>
                <w:bCs w:val="1"/>
                <w:color w:val="auto"/>
                <w:w w:val="80"/>
              </w:rPr>
              <w:t>Predecessor</w:t>
            </w:r>
          </w:p>
        </w:tc>
        <w:tc>
          <w:tcPr>
            <w:tcW w:w="5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29"/>
        </w:trPr>
        <w:tc>
          <w:tcPr>
            <w:tcW w:w="33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680" w:type="dxa"/>
            <w:vAlign w:val="bottom"/>
            <w:tcBorders>
              <w:right w:val="single" w:sz="8" w:color="auto"/>
            </w:tcBorders>
          </w:tcPr>
          <w:p>
            <w:pPr>
              <w:spacing w:after="0"/>
              <w:rPr>
                <w:sz w:val="11"/>
                <w:szCs w:val="11"/>
                <w:color w:val="auto"/>
              </w:rPr>
            </w:pPr>
          </w:p>
        </w:tc>
        <w:tc>
          <w:tcPr>
            <w:tcW w:w="480" w:type="dxa"/>
            <w:vAlign w:val="bottom"/>
          </w:tcPr>
          <w:p>
            <w:pPr>
              <w:spacing w:after="0"/>
              <w:rPr>
                <w:sz w:val="11"/>
                <w:szCs w:val="11"/>
                <w:color w:val="auto"/>
              </w:rPr>
            </w:pPr>
          </w:p>
        </w:tc>
        <w:tc>
          <w:tcPr>
            <w:tcW w:w="500" w:type="dxa"/>
            <w:vAlign w:val="bottom"/>
            <w:gridSpan w:val="2"/>
          </w:tcPr>
          <w:p>
            <w:pPr>
              <w:jc w:val="center"/>
              <w:spacing w:after="0" w:line="129" w:lineRule="exact"/>
              <w:rPr>
                <w:sz w:val="20"/>
                <w:szCs w:val="20"/>
                <w:color w:val="auto"/>
              </w:rPr>
            </w:pPr>
            <w:r>
              <w:rPr>
                <w:rFonts w:ascii="Arial" w:cs="Arial" w:eastAsia="Arial" w:hAnsi="Arial"/>
                <w:sz w:val="14"/>
                <w:szCs w:val="14"/>
                <w:b w:val="1"/>
                <w:bCs w:val="1"/>
                <w:color w:val="auto"/>
                <w:w w:val="87"/>
              </w:rPr>
              <w:t>July 1,</w:t>
            </w:r>
          </w:p>
        </w:tc>
        <w:tc>
          <w:tcPr>
            <w:tcW w:w="600" w:type="dxa"/>
            <w:vAlign w:val="bottom"/>
          </w:tcPr>
          <w:p>
            <w:pPr>
              <w:spacing w:after="0"/>
              <w:rPr>
                <w:sz w:val="11"/>
                <w:szCs w:val="11"/>
                <w:color w:val="auto"/>
              </w:rPr>
            </w:pPr>
          </w:p>
        </w:tc>
        <w:tc>
          <w:tcPr>
            <w:tcW w:w="660" w:type="dxa"/>
            <w:vAlign w:val="bottom"/>
            <w:gridSpan w:val="2"/>
          </w:tcPr>
          <w:p>
            <w:pPr>
              <w:ind w:left="20"/>
              <w:spacing w:after="0" w:line="129" w:lineRule="exact"/>
              <w:rPr>
                <w:sz w:val="20"/>
                <w:szCs w:val="20"/>
                <w:color w:val="auto"/>
              </w:rPr>
            </w:pPr>
            <w:r>
              <w:rPr>
                <w:rFonts w:ascii="Arial" w:cs="Arial" w:eastAsia="Arial" w:hAnsi="Arial"/>
                <w:sz w:val="14"/>
                <w:szCs w:val="14"/>
                <w:b w:val="1"/>
                <w:bCs w:val="1"/>
                <w:color w:val="auto"/>
                <w:w w:val="89"/>
              </w:rPr>
              <w:t>January 1,</w:t>
            </w:r>
          </w:p>
        </w:tc>
        <w:tc>
          <w:tcPr>
            <w:tcW w:w="100" w:type="dxa"/>
            <w:vAlign w:val="bottom"/>
          </w:tcPr>
          <w:p>
            <w:pPr>
              <w:spacing w:after="0"/>
              <w:rPr>
                <w:sz w:val="11"/>
                <w:szCs w:val="11"/>
                <w:color w:val="auto"/>
              </w:rPr>
            </w:pPr>
          </w:p>
        </w:tc>
      </w:tr>
      <w:tr>
        <w:trPr>
          <w:trHeight w:val="149"/>
        </w:trPr>
        <w:tc>
          <w:tcPr>
            <w:tcW w:w="33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680" w:type="dxa"/>
            <w:vAlign w:val="bottom"/>
            <w:tcBorders>
              <w:right w:val="single" w:sz="8" w:color="auto"/>
            </w:tcBorders>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tcPr>
          <w:p>
            <w:pPr>
              <w:jc w:val="center"/>
              <w:ind w:right="20"/>
              <w:spacing w:after="0" w:line="149" w:lineRule="exact"/>
              <w:rPr>
                <w:sz w:val="20"/>
                <w:szCs w:val="20"/>
                <w:color w:val="auto"/>
              </w:rPr>
            </w:pPr>
            <w:r>
              <w:rPr>
                <w:rFonts w:ascii="Arial" w:cs="Arial" w:eastAsia="Arial" w:hAnsi="Arial"/>
                <w:sz w:val="14"/>
                <w:szCs w:val="14"/>
                <w:b w:val="1"/>
                <w:bCs w:val="1"/>
                <w:color w:val="auto"/>
                <w:w w:val="83"/>
              </w:rPr>
              <w:t>2009</w:t>
            </w:r>
          </w:p>
        </w:tc>
        <w:tc>
          <w:tcPr>
            <w:tcW w:w="6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20" w:type="dxa"/>
            <w:vAlign w:val="bottom"/>
          </w:tcPr>
          <w:p>
            <w:pPr>
              <w:jc w:val="center"/>
              <w:ind w:right="62"/>
              <w:spacing w:after="0" w:line="149" w:lineRule="exact"/>
              <w:rPr>
                <w:sz w:val="20"/>
                <w:szCs w:val="20"/>
                <w:color w:val="auto"/>
              </w:rPr>
            </w:pPr>
            <w:r>
              <w:rPr>
                <w:rFonts w:ascii="Arial" w:cs="Arial" w:eastAsia="Arial" w:hAnsi="Arial"/>
                <w:sz w:val="14"/>
                <w:szCs w:val="14"/>
                <w:b w:val="1"/>
                <w:bCs w:val="1"/>
                <w:color w:val="auto"/>
                <w:w w:val="83"/>
              </w:rPr>
              <w:t>2009</w:t>
            </w:r>
          </w:p>
        </w:tc>
        <w:tc>
          <w:tcPr>
            <w:tcW w:w="100" w:type="dxa"/>
            <w:vAlign w:val="bottom"/>
          </w:tcPr>
          <w:p>
            <w:pPr>
              <w:spacing w:after="0"/>
              <w:rPr>
                <w:sz w:val="12"/>
                <w:szCs w:val="12"/>
                <w:color w:val="auto"/>
              </w:rPr>
            </w:pPr>
          </w:p>
        </w:tc>
      </w:tr>
      <w:tr>
        <w:trPr>
          <w:trHeight w:val="149"/>
        </w:trPr>
        <w:tc>
          <w:tcPr>
            <w:tcW w:w="33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tcPr>
          <w:p>
            <w:pPr>
              <w:jc w:val="right"/>
              <w:ind w:right="80"/>
              <w:spacing w:after="0" w:line="149" w:lineRule="exact"/>
              <w:rPr>
                <w:sz w:val="20"/>
                <w:szCs w:val="20"/>
                <w:color w:val="auto"/>
              </w:rPr>
            </w:pPr>
            <w:r>
              <w:rPr>
                <w:rFonts w:ascii="Arial" w:cs="Arial" w:eastAsia="Arial" w:hAnsi="Arial"/>
                <w:sz w:val="14"/>
                <w:szCs w:val="14"/>
                <w:b w:val="1"/>
                <w:bCs w:val="1"/>
                <w:color w:val="auto"/>
                <w:w w:val="91"/>
              </w:rPr>
              <w:t>Three Months</w:t>
            </w:r>
          </w:p>
        </w:tc>
        <w:tc>
          <w:tcPr>
            <w:tcW w:w="6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580" w:type="dxa"/>
            <w:vAlign w:val="bottom"/>
            <w:gridSpan w:val="2"/>
          </w:tcPr>
          <w:p>
            <w:pPr>
              <w:jc w:val="center"/>
              <w:ind w:right="740"/>
              <w:spacing w:after="0" w:line="149" w:lineRule="exact"/>
              <w:rPr>
                <w:sz w:val="20"/>
                <w:szCs w:val="20"/>
                <w:color w:val="auto"/>
              </w:rPr>
            </w:pPr>
            <w:r>
              <w:rPr>
                <w:rFonts w:ascii="Arial" w:cs="Arial" w:eastAsia="Arial" w:hAnsi="Arial"/>
                <w:sz w:val="14"/>
                <w:szCs w:val="14"/>
                <w:b w:val="1"/>
                <w:bCs w:val="1"/>
                <w:color w:val="auto"/>
                <w:w w:val="90"/>
              </w:rPr>
              <w:t>Nine Months</w:t>
            </w:r>
          </w:p>
        </w:tc>
        <w:tc>
          <w:tcPr>
            <w:tcW w:w="140" w:type="dxa"/>
            <w:vAlign w:val="bottom"/>
          </w:tcPr>
          <w:p>
            <w:pPr>
              <w:spacing w:after="0"/>
              <w:rPr>
                <w:sz w:val="12"/>
                <w:szCs w:val="12"/>
                <w:color w:val="auto"/>
              </w:rPr>
            </w:pPr>
          </w:p>
        </w:tc>
        <w:tc>
          <w:tcPr>
            <w:tcW w:w="1680" w:type="dxa"/>
            <w:vAlign w:val="bottom"/>
            <w:tcBorders>
              <w:right w:val="single" w:sz="8" w:color="auto"/>
            </w:tcBorders>
            <w:gridSpan w:val="2"/>
          </w:tcPr>
          <w:p>
            <w:pPr>
              <w:jc w:val="center"/>
              <w:ind w:right="820"/>
              <w:spacing w:after="0" w:line="149" w:lineRule="exact"/>
              <w:rPr>
                <w:sz w:val="20"/>
                <w:szCs w:val="20"/>
                <w:color w:val="auto"/>
              </w:rPr>
            </w:pPr>
            <w:r>
              <w:rPr>
                <w:rFonts w:ascii="Arial" w:cs="Arial" w:eastAsia="Arial" w:hAnsi="Arial"/>
                <w:sz w:val="14"/>
                <w:szCs w:val="14"/>
                <w:b w:val="1"/>
                <w:bCs w:val="1"/>
                <w:color w:val="auto"/>
                <w:w w:val="85"/>
              </w:rPr>
              <w:t>July 10, 2009</w:t>
            </w:r>
          </w:p>
        </w:tc>
        <w:tc>
          <w:tcPr>
            <w:tcW w:w="480" w:type="dxa"/>
            <w:vAlign w:val="bottom"/>
          </w:tcPr>
          <w:p>
            <w:pPr>
              <w:spacing w:after="0"/>
              <w:rPr>
                <w:sz w:val="12"/>
                <w:szCs w:val="12"/>
                <w:color w:val="auto"/>
              </w:rPr>
            </w:pPr>
          </w:p>
        </w:tc>
        <w:tc>
          <w:tcPr>
            <w:tcW w:w="50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7"/>
              </w:rPr>
              <w:t>Through</w:t>
            </w:r>
          </w:p>
        </w:tc>
        <w:tc>
          <w:tcPr>
            <w:tcW w:w="600" w:type="dxa"/>
            <w:vAlign w:val="bottom"/>
          </w:tcPr>
          <w:p>
            <w:pPr>
              <w:spacing w:after="0"/>
              <w:rPr>
                <w:sz w:val="12"/>
                <w:szCs w:val="12"/>
                <w:color w:val="auto"/>
              </w:rPr>
            </w:pPr>
          </w:p>
        </w:tc>
        <w:tc>
          <w:tcPr>
            <w:tcW w:w="760" w:type="dxa"/>
            <w:vAlign w:val="bottom"/>
            <w:gridSpan w:val="3"/>
          </w:tcPr>
          <w:p>
            <w:pPr>
              <w:jc w:val="center"/>
              <w:ind w:right="100"/>
              <w:spacing w:after="0" w:line="149" w:lineRule="exact"/>
              <w:rPr>
                <w:sz w:val="20"/>
                <w:szCs w:val="20"/>
                <w:color w:val="auto"/>
              </w:rPr>
            </w:pPr>
            <w:r>
              <w:rPr>
                <w:rFonts w:ascii="Arial" w:cs="Arial" w:eastAsia="Arial" w:hAnsi="Arial"/>
                <w:sz w:val="14"/>
                <w:szCs w:val="14"/>
                <w:b w:val="1"/>
                <w:bCs w:val="1"/>
                <w:color w:val="auto"/>
                <w:w w:val="87"/>
              </w:rPr>
              <w:t>Through</w:t>
            </w:r>
          </w:p>
        </w:tc>
      </w:tr>
      <w:tr>
        <w:trPr>
          <w:trHeight w:val="149"/>
        </w:trPr>
        <w:tc>
          <w:tcPr>
            <w:tcW w:w="33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tcPr>
          <w:p>
            <w:pPr>
              <w:jc w:val="right"/>
              <w:ind w:right="300"/>
              <w:spacing w:after="0" w:line="149" w:lineRule="exact"/>
              <w:rPr>
                <w:sz w:val="20"/>
                <w:szCs w:val="20"/>
                <w:color w:val="auto"/>
              </w:rPr>
            </w:pPr>
            <w:r>
              <w:rPr>
                <w:rFonts w:ascii="Arial" w:cs="Arial" w:eastAsia="Arial" w:hAnsi="Arial"/>
                <w:sz w:val="14"/>
                <w:szCs w:val="14"/>
                <w:b w:val="1"/>
                <w:bCs w:val="1"/>
                <w:color w:val="auto"/>
              </w:rPr>
              <w:t>Ended</w:t>
            </w:r>
          </w:p>
        </w:tc>
        <w:tc>
          <w:tcPr>
            <w:tcW w:w="6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580" w:type="dxa"/>
            <w:vAlign w:val="bottom"/>
            <w:gridSpan w:val="2"/>
          </w:tcPr>
          <w:p>
            <w:pPr>
              <w:jc w:val="center"/>
              <w:ind w:right="740"/>
              <w:spacing w:after="0" w:line="149" w:lineRule="exact"/>
              <w:rPr>
                <w:sz w:val="20"/>
                <w:szCs w:val="20"/>
                <w:color w:val="auto"/>
              </w:rPr>
            </w:pPr>
            <w:r>
              <w:rPr>
                <w:rFonts w:ascii="Arial" w:cs="Arial" w:eastAsia="Arial" w:hAnsi="Arial"/>
                <w:sz w:val="14"/>
                <w:szCs w:val="14"/>
                <w:b w:val="1"/>
                <w:bCs w:val="1"/>
                <w:color w:val="auto"/>
                <w:w w:val="84"/>
              </w:rPr>
              <w:t>Ended</w:t>
            </w:r>
          </w:p>
        </w:tc>
        <w:tc>
          <w:tcPr>
            <w:tcW w:w="140" w:type="dxa"/>
            <w:vAlign w:val="bottom"/>
          </w:tcPr>
          <w:p>
            <w:pPr>
              <w:spacing w:after="0"/>
              <w:rPr>
                <w:sz w:val="12"/>
                <w:szCs w:val="12"/>
                <w:color w:val="auto"/>
              </w:rPr>
            </w:pPr>
          </w:p>
        </w:tc>
        <w:tc>
          <w:tcPr>
            <w:tcW w:w="1680" w:type="dxa"/>
            <w:vAlign w:val="bottom"/>
            <w:tcBorders>
              <w:right w:val="single" w:sz="8" w:color="auto"/>
            </w:tcBorders>
            <w:gridSpan w:val="2"/>
          </w:tcPr>
          <w:p>
            <w:pPr>
              <w:jc w:val="center"/>
              <w:ind w:right="820"/>
              <w:spacing w:after="0" w:line="149" w:lineRule="exact"/>
              <w:rPr>
                <w:sz w:val="20"/>
                <w:szCs w:val="20"/>
                <w:color w:val="auto"/>
              </w:rPr>
            </w:pPr>
            <w:r>
              <w:rPr>
                <w:rFonts w:ascii="Arial" w:cs="Arial" w:eastAsia="Arial" w:hAnsi="Arial"/>
                <w:sz w:val="14"/>
                <w:szCs w:val="14"/>
                <w:b w:val="1"/>
                <w:bCs w:val="1"/>
                <w:color w:val="auto"/>
                <w:w w:val="87"/>
              </w:rPr>
              <w:t>Through</w:t>
            </w:r>
          </w:p>
        </w:tc>
        <w:tc>
          <w:tcPr>
            <w:tcW w:w="480" w:type="dxa"/>
            <w:vAlign w:val="bottom"/>
          </w:tcPr>
          <w:p>
            <w:pPr>
              <w:spacing w:after="0"/>
              <w:rPr>
                <w:sz w:val="12"/>
                <w:szCs w:val="12"/>
                <w:color w:val="auto"/>
              </w:rPr>
            </w:pPr>
          </w:p>
        </w:tc>
        <w:tc>
          <w:tcPr>
            <w:tcW w:w="50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7"/>
              </w:rPr>
              <w:t>July 9,</w:t>
            </w:r>
          </w:p>
        </w:tc>
        <w:tc>
          <w:tcPr>
            <w:tcW w:w="6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87"/>
              </w:rPr>
              <w:t>July 9,</w:t>
            </w:r>
          </w:p>
        </w:tc>
      </w:tr>
      <w:tr>
        <w:trPr>
          <w:trHeight w:val="161"/>
        </w:trPr>
        <w:tc>
          <w:tcPr>
            <w:tcW w:w="33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140" w:type="dxa"/>
            <w:vAlign w:val="bottom"/>
            <w:gridSpan w:val="2"/>
          </w:tcPr>
          <w:p>
            <w:pPr>
              <w:spacing w:after="0"/>
              <w:rPr>
                <w:sz w:val="20"/>
                <w:szCs w:val="20"/>
                <w:color w:val="auto"/>
              </w:rPr>
            </w:pPr>
            <w:r>
              <w:rPr>
                <w:rFonts w:ascii="Arial" w:cs="Arial" w:eastAsia="Arial" w:hAnsi="Arial"/>
                <w:sz w:val="14"/>
                <w:szCs w:val="14"/>
                <w:b w:val="1"/>
                <w:bCs w:val="1"/>
                <w:color w:val="auto"/>
                <w:w w:val="85"/>
              </w:rPr>
              <w:t>September 30, 2010</w:t>
            </w:r>
          </w:p>
        </w:tc>
        <w:tc>
          <w:tcPr>
            <w:tcW w:w="600" w:type="dxa"/>
            <w:vAlign w:val="bottom"/>
          </w:tcPr>
          <w:p>
            <w:pPr>
              <w:spacing w:after="0"/>
              <w:rPr>
                <w:sz w:val="14"/>
                <w:szCs w:val="14"/>
                <w:color w:val="auto"/>
              </w:rPr>
            </w:pPr>
          </w:p>
        </w:tc>
        <w:tc>
          <w:tcPr>
            <w:tcW w:w="1720" w:type="dxa"/>
            <w:vAlign w:val="bottom"/>
            <w:gridSpan w:val="3"/>
          </w:tcPr>
          <w:p>
            <w:pPr>
              <w:spacing w:after="0"/>
              <w:rPr>
                <w:sz w:val="20"/>
                <w:szCs w:val="20"/>
                <w:color w:val="auto"/>
              </w:rPr>
            </w:pPr>
            <w:r>
              <w:rPr>
                <w:rFonts w:ascii="Arial" w:cs="Arial" w:eastAsia="Arial" w:hAnsi="Arial"/>
                <w:sz w:val="14"/>
                <w:szCs w:val="14"/>
                <w:b w:val="1"/>
                <w:bCs w:val="1"/>
                <w:color w:val="auto"/>
              </w:rPr>
              <w:t>September 30, 2010</w:t>
            </w:r>
          </w:p>
        </w:tc>
        <w:tc>
          <w:tcPr>
            <w:tcW w:w="1820" w:type="dxa"/>
            <w:vAlign w:val="bottom"/>
            <w:tcBorders>
              <w:right w:val="single" w:sz="8" w:color="auto"/>
            </w:tcBorders>
            <w:gridSpan w:val="3"/>
          </w:tcPr>
          <w:p>
            <w:pPr>
              <w:spacing w:after="0"/>
              <w:rPr>
                <w:sz w:val="20"/>
                <w:szCs w:val="20"/>
                <w:color w:val="auto"/>
              </w:rPr>
            </w:pPr>
            <w:r>
              <w:rPr>
                <w:rFonts w:ascii="Arial" w:cs="Arial" w:eastAsia="Arial" w:hAnsi="Arial"/>
                <w:sz w:val="14"/>
                <w:szCs w:val="14"/>
                <w:b w:val="1"/>
                <w:bCs w:val="1"/>
                <w:color w:val="auto"/>
              </w:rPr>
              <w:t>September 30, 2009</w:t>
            </w:r>
          </w:p>
        </w:tc>
        <w:tc>
          <w:tcPr>
            <w:tcW w:w="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0" w:type="dxa"/>
            <w:vAlign w:val="bottom"/>
          </w:tcPr>
          <w:p>
            <w:pPr>
              <w:jc w:val="center"/>
              <w:ind w:right="20"/>
              <w:spacing w:after="0"/>
              <w:rPr>
                <w:sz w:val="20"/>
                <w:szCs w:val="20"/>
                <w:color w:val="auto"/>
              </w:rPr>
            </w:pPr>
            <w:r>
              <w:rPr>
                <w:rFonts w:ascii="Arial" w:cs="Arial" w:eastAsia="Arial" w:hAnsi="Arial"/>
                <w:sz w:val="14"/>
                <w:szCs w:val="14"/>
                <w:b w:val="1"/>
                <w:bCs w:val="1"/>
                <w:color w:val="auto"/>
                <w:w w:val="83"/>
              </w:rPr>
              <w:t>2009</w:t>
            </w:r>
          </w:p>
        </w:tc>
        <w:tc>
          <w:tcPr>
            <w:tcW w:w="6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20" w:type="dxa"/>
            <w:vAlign w:val="bottom"/>
          </w:tcPr>
          <w:p>
            <w:pPr>
              <w:jc w:val="center"/>
              <w:ind w:right="62"/>
              <w:spacing w:after="0"/>
              <w:rPr>
                <w:sz w:val="20"/>
                <w:szCs w:val="20"/>
                <w:color w:val="auto"/>
              </w:rPr>
            </w:pPr>
            <w:r>
              <w:rPr>
                <w:rFonts w:ascii="Arial" w:cs="Arial" w:eastAsia="Arial" w:hAnsi="Arial"/>
                <w:sz w:val="14"/>
                <w:szCs w:val="14"/>
                <w:b w:val="1"/>
                <w:bCs w:val="1"/>
                <w:color w:val="auto"/>
                <w:w w:val="83"/>
              </w:rPr>
              <w:t>2009</w:t>
            </w:r>
          </w:p>
        </w:tc>
        <w:tc>
          <w:tcPr>
            <w:tcW w:w="100" w:type="dxa"/>
            <w:vAlign w:val="bottom"/>
          </w:tcPr>
          <w:p>
            <w:pPr>
              <w:spacing w:after="0"/>
              <w:rPr>
                <w:sz w:val="14"/>
                <w:szCs w:val="14"/>
                <w:color w:val="auto"/>
              </w:rPr>
            </w:pPr>
          </w:p>
        </w:tc>
      </w:tr>
      <w:tr>
        <w:trPr>
          <w:trHeight w:val="201"/>
        </w:trPr>
        <w:tc>
          <w:tcPr>
            <w:tcW w:w="334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Marketing incentives and operating lease</w:t>
            </w:r>
          </w:p>
        </w:tc>
        <w:tc>
          <w:tcPr>
            <w:tcW w:w="460" w:type="dxa"/>
            <w:vAlign w:val="bottom"/>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1020" w:type="dxa"/>
            <w:vAlign w:val="bottom"/>
            <w:tcBorders>
              <w:top w:val="single" w:sz="8" w:color="auto"/>
            </w:tcBorders>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980" w:type="dxa"/>
            <w:vAlign w:val="bottom"/>
            <w:tcBorders>
              <w:top w:val="single" w:sz="8" w:color="auto"/>
            </w:tcBorders>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1000" w:type="dxa"/>
            <w:vAlign w:val="bottom"/>
            <w:tcBorders>
              <w:top w:val="single" w:sz="8" w:color="auto"/>
            </w:tcBorders>
            <w:shd w:val="clear" w:color="auto" w:fill="CCEEFF"/>
          </w:tcPr>
          <w:p>
            <w:pPr>
              <w:spacing w:after="0"/>
              <w:rPr>
                <w:sz w:val="17"/>
                <w:szCs w:val="17"/>
                <w:color w:val="auto"/>
              </w:rPr>
            </w:pPr>
          </w:p>
        </w:tc>
        <w:tc>
          <w:tcPr>
            <w:tcW w:w="680" w:type="dxa"/>
            <w:vAlign w:val="bottom"/>
            <w:tcBorders>
              <w:right w:val="single" w:sz="8" w:color="auto"/>
            </w:tcBorders>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400" w:type="dxa"/>
            <w:vAlign w:val="bottom"/>
            <w:tcBorders>
              <w:top w:val="single" w:sz="8" w:color="auto"/>
            </w:tcBorders>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520" w:type="dxa"/>
            <w:vAlign w:val="bottom"/>
            <w:tcBorders>
              <w:top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24"/>
        </w:trPr>
        <w:tc>
          <w:tcPr>
            <w:tcW w:w="33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residual payments (a)</w:t>
            </w:r>
          </w:p>
        </w:tc>
        <w:tc>
          <w:tcPr>
            <w:tcW w:w="58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w w:val="9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282</w:t>
            </w:r>
          </w:p>
        </w:tc>
        <w:tc>
          <w:tcPr>
            <w:tcW w:w="740" w:type="dxa"/>
            <w:vAlign w:val="bottom"/>
            <w:gridSpan w:val="2"/>
            <w:shd w:val="clear" w:color="auto" w:fill="CCEEFF"/>
          </w:tcPr>
          <w:p>
            <w:pPr>
              <w:ind w:left="600"/>
              <w:spacing w:after="0"/>
              <w:rPr>
                <w:sz w:val="20"/>
                <w:szCs w:val="20"/>
                <w:color w:val="auto"/>
              </w:rPr>
            </w:pPr>
            <w:r>
              <w:rPr>
                <w:rFonts w:ascii="Arial" w:cs="Arial" w:eastAsia="Arial" w:hAnsi="Arial"/>
                <w:sz w:val="18"/>
                <w:szCs w:val="18"/>
                <w:color w:val="auto"/>
              </w:rPr>
              <w:t>$</w:t>
            </w:r>
          </w:p>
        </w:tc>
        <w:tc>
          <w:tcPr>
            <w:tcW w:w="158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793</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680" w:type="dxa"/>
            <w:vAlign w:val="bottom"/>
            <w:tcBorders>
              <w:right w:val="single" w:sz="8" w:color="auto"/>
            </w:tcBorders>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387</w:t>
            </w: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ind w:left="600"/>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601</w:t>
            </w:r>
          </w:p>
        </w:tc>
        <w:tc>
          <w:tcPr>
            <w:tcW w:w="100" w:type="dxa"/>
            <w:vAlign w:val="bottom"/>
            <w:shd w:val="clear" w:color="auto" w:fill="CCEEFF"/>
          </w:tcPr>
          <w:p>
            <w:pPr>
              <w:spacing w:after="0"/>
              <w:rPr>
                <w:sz w:val="19"/>
                <w:szCs w:val="19"/>
                <w:color w:val="auto"/>
              </w:rPr>
            </w:pPr>
          </w:p>
        </w:tc>
      </w:tr>
      <w:tr>
        <w:trPr>
          <w:trHeight w:val="216"/>
        </w:trPr>
        <w:tc>
          <w:tcPr>
            <w:tcW w:w="3340" w:type="dxa"/>
            <w:vAlign w:val="bottom"/>
          </w:tcPr>
          <w:p>
            <w:pPr>
              <w:spacing w:after="0"/>
              <w:rPr>
                <w:sz w:val="20"/>
                <w:szCs w:val="20"/>
                <w:color w:val="auto"/>
              </w:rPr>
            </w:pPr>
            <w:r>
              <w:rPr>
                <w:rFonts w:ascii="Arial" w:cs="Arial" w:eastAsia="Arial" w:hAnsi="Arial"/>
                <w:sz w:val="18"/>
                <w:szCs w:val="18"/>
                <w:color w:val="auto"/>
              </w:rPr>
              <w:t>Exclusivity fee revenue</w:t>
            </w:r>
          </w:p>
        </w:tc>
        <w:tc>
          <w:tcPr>
            <w:tcW w:w="580" w:type="dxa"/>
            <w:vAlign w:val="bottom"/>
            <w:gridSpan w:val="2"/>
          </w:tcPr>
          <w:p>
            <w:pPr>
              <w:ind w:left="46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25</w:t>
            </w:r>
          </w:p>
        </w:tc>
        <w:tc>
          <w:tcPr>
            <w:tcW w:w="740" w:type="dxa"/>
            <w:vAlign w:val="bottom"/>
            <w:gridSpan w:val="2"/>
          </w:tcPr>
          <w:p>
            <w:pPr>
              <w:ind w:left="600"/>
              <w:spacing w:after="0"/>
              <w:rPr>
                <w:sz w:val="20"/>
                <w:szCs w:val="20"/>
                <w:color w:val="auto"/>
              </w:rPr>
            </w:pPr>
            <w:r>
              <w:rPr>
                <w:rFonts w:ascii="Arial" w:cs="Arial" w:eastAsia="Arial" w:hAnsi="Arial"/>
                <w:sz w:val="18"/>
                <w:szCs w:val="18"/>
                <w:color w:val="auto"/>
              </w:rPr>
              <w:t>$</w:t>
            </w:r>
          </w:p>
        </w:tc>
        <w:tc>
          <w:tcPr>
            <w:tcW w:w="1580" w:type="dxa"/>
            <w:vAlign w:val="bottom"/>
            <w:gridSpan w:val="2"/>
          </w:tcPr>
          <w:p>
            <w:pPr>
              <w:jc w:val="right"/>
              <w:ind w:right="600"/>
              <w:spacing w:after="0"/>
              <w:rPr>
                <w:sz w:val="20"/>
                <w:szCs w:val="20"/>
                <w:color w:val="auto"/>
              </w:rPr>
            </w:pPr>
            <w:r>
              <w:rPr>
                <w:rFonts w:ascii="Arial" w:cs="Arial" w:eastAsia="Arial" w:hAnsi="Arial"/>
                <w:sz w:val="18"/>
                <w:szCs w:val="18"/>
                <w:color w:val="auto"/>
              </w:rPr>
              <w:t>75</w:t>
            </w: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1680" w:type="dxa"/>
            <w:vAlign w:val="bottom"/>
            <w:tcBorders>
              <w:right w:val="single" w:sz="8" w:color="auto"/>
            </w:tcBorders>
            <w:gridSpan w:val="2"/>
          </w:tcPr>
          <w:p>
            <w:pPr>
              <w:jc w:val="right"/>
              <w:ind w:right="680"/>
              <w:spacing w:after="0"/>
              <w:rPr>
                <w:sz w:val="20"/>
                <w:szCs w:val="20"/>
                <w:color w:val="auto"/>
              </w:rPr>
            </w:pPr>
            <w:r>
              <w:rPr>
                <w:rFonts w:ascii="Arial" w:cs="Arial" w:eastAsia="Arial" w:hAnsi="Arial"/>
                <w:sz w:val="18"/>
                <w:szCs w:val="18"/>
                <w:color w:val="auto"/>
              </w:rPr>
              <w:t>23</w:t>
            </w:r>
          </w:p>
        </w:tc>
        <w:tc>
          <w:tcPr>
            <w:tcW w:w="5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00" w:type="dxa"/>
            <w:vAlign w:val="bottom"/>
          </w:tcPr>
          <w:p>
            <w:pPr>
              <w:jc w:val="right"/>
              <w:spacing w:after="0"/>
              <w:rPr>
                <w:sz w:val="20"/>
                <w:szCs w:val="20"/>
                <w:color w:val="auto"/>
              </w:rPr>
            </w:pPr>
            <w:r>
              <w:rPr>
                <w:rFonts w:ascii="Arial" w:cs="Arial" w:eastAsia="Arial" w:hAnsi="Arial"/>
                <w:sz w:val="18"/>
                <w:szCs w:val="18"/>
                <w:color w:val="auto"/>
              </w:rPr>
              <w:t>2</w:t>
            </w:r>
          </w:p>
        </w:tc>
        <w:tc>
          <w:tcPr>
            <w:tcW w:w="740" w:type="dxa"/>
            <w:vAlign w:val="bottom"/>
            <w:gridSpan w:val="2"/>
          </w:tcPr>
          <w:p>
            <w:pPr>
              <w:ind w:left="600"/>
              <w:spacing w:after="0"/>
              <w:rPr>
                <w:sz w:val="20"/>
                <w:szCs w:val="20"/>
                <w:color w:val="auto"/>
              </w:rPr>
            </w:pPr>
            <w:r>
              <w:rPr>
                <w:rFonts w:ascii="Arial" w:cs="Arial" w:eastAsia="Arial" w:hAnsi="Arial"/>
                <w:sz w:val="18"/>
                <w:szCs w:val="18"/>
                <w:color w:val="auto"/>
              </w:rPr>
              <w:t>$</w:t>
            </w:r>
          </w:p>
        </w:tc>
        <w:tc>
          <w:tcPr>
            <w:tcW w:w="520" w:type="dxa"/>
            <w:vAlign w:val="bottom"/>
          </w:tcPr>
          <w:p>
            <w:pPr>
              <w:jc w:val="right"/>
              <w:spacing w:after="0"/>
              <w:rPr>
                <w:sz w:val="20"/>
                <w:szCs w:val="20"/>
                <w:color w:val="auto"/>
              </w:rPr>
            </w:pPr>
            <w:r>
              <w:rPr>
                <w:rFonts w:ascii="Arial" w:cs="Arial" w:eastAsia="Arial" w:hAnsi="Arial"/>
                <w:sz w:val="18"/>
                <w:szCs w:val="18"/>
                <w:color w:val="auto"/>
              </w:rPr>
              <w:t>52</w:t>
            </w:r>
          </w:p>
        </w:tc>
        <w:tc>
          <w:tcPr>
            <w:tcW w:w="100" w:type="dxa"/>
            <w:vAlign w:val="bottom"/>
          </w:tcPr>
          <w:p>
            <w:pPr>
              <w:spacing w:after="0"/>
              <w:rPr>
                <w:sz w:val="18"/>
                <w:szCs w:val="18"/>
                <w:color w:val="auto"/>
              </w:rPr>
            </w:pPr>
          </w:p>
        </w:tc>
      </w:tr>
      <w:tr>
        <w:trPr>
          <w:trHeight w:val="216"/>
        </w:trPr>
        <w:tc>
          <w:tcPr>
            <w:tcW w:w="3340" w:type="dxa"/>
            <w:vAlign w:val="bottom"/>
            <w:shd w:val="clear" w:color="auto" w:fill="CCEEFF"/>
          </w:tcPr>
          <w:p>
            <w:pPr>
              <w:spacing w:after="0"/>
              <w:rPr>
                <w:sz w:val="20"/>
                <w:szCs w:val="20"/>
                <w:color w:val="auto"/>
              </w:rPr>
            </w:pPr>
            <w:r>
              <w:rPr>
                <w:rFonts w:ascii="Arial" w:cs="Arial" w:eastAsia="Arial" w:hAnsi="Arial"/>
                <w:sz w:val="18"/>
                <w:szCs w:val="18"/>
                <w:color w:val="auto"/>
              </w:rPr>
              <w:t>Royalty income</w:t>
            </w:r>
          </w:p>
        </w:tc>
        <w:tc>
          <w:tcPr>
            <w:tcW w:w="58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w w:val="9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740" w:type="dxa"/>
            <w:vAlign w:val="bottom"/>
            <w:gridSpan w:val="2"/>
            <w:shd w:val="clear" w:color="auto" w:fill="CCEEFF"/>
          </w:tcPr>
          <w:p>
            <w:pPr>
              <w:ind w:left="600"/>
              <w:spacing w:after="0"/>
              <w:rPr>
                <w:sz w:val="20"/>
                <w:szCs w:val="20"/>
                <w:color w:val="auto"/>
              </w:rPr>
            </w:pPr>
            <w:r>
              <w:rPr>
                <w:rFonts w:ascii="Arial" w:cs="Arial" w:eastAsia="Arial" w:hAnsi="Arial"/>
                <w:sz w:val="18"/>
                <w:szCs w:val="18"/>
                <w:color w:val="auto"/>
              </w:rPr>
              <w:t>$</w:t>
            </w:r>
          </w:p>
        </w:tc>
        <w:tc>
          <w:tcPr>
            <w:tcW w:w="158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11</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680" w:type="dxa"/>
            <w:vAlign w:val="bottom"/>
            <w:tcBorders>
              <w:right w:val="single" w:sz="8" w:color="auto"/>
            </w:tcBorders>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3</w:t>
            </w: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ind w:left="600"/>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100" w:type="dxa"/>
            <w:vAlign w:val="bottom"/>
            <w:shd w:val="clear" w:color="auto" w:fill="CCEEFF"/>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728980" cy="889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20" w:lineRule="exact"/>
        <w:rPr>
          <w:sz w:val="20"/>
          <w:szCs w:val="20"/>
          <w:color w:val="auto"/>
        </w:rPr>
      </w:pPr>
    </w:p>
    <w:p>
      <w:pPr>
        <w:ind w:left="460" w:right="200" w:hanging="452"/>
        <w:spacing w:after="0" w:line="268" w:lineRule="auto"/>
        <w:tabs>
          <w:tab w:leader="none" w:pos="460" w:val="left"/>
        </w:tabs>
        <w:numPr>
          <w:ilvl w:val="0"/>
          <w:numId w:val="50"/>
        </w:numPr>
        <w:rPr>
          <w:rFonts w:ascii="Arial" w:cs="Arial" w:eastAsia="Arial" w:hAnsi="Arial"/>
          <w:sz w:val="18"/>
          <w:szCs w:val="18"/>
          <w:color w:val="auto"/>
        </w:rPr>
      </w:pPr>
      <w:r>
        <w:rPr>
          <w:rFonts w:ascii="Arial" w:cs="Arial" w:eastAsia="Arial" w:hAnsi="Arial"/>
          <w:sz w:val="18"/>
          <w:szCs w:val="18"/>
          <w:color w:val="auto"/>
        </w:rPr>
        <w:t>Payments to Ally Financial related to U.S. marketing incentive and operating lease residual programs. Excludes payments to Ally Financial related to the contractual exposure limit.</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69</w:t>
      </w:r>
    </w:p>
    <w:p>
      <w:pPr>
        <w:sectPr>
          <w:pgSz w:w="11900" w:h="16838" w:orient="portrait"/>
          <w:cols w:equalWidth="0" w:num="1">
            <w:col w:w="11420"/>
          </w:cols>
          <w:pgMar w:left="240" w:top="459" w:right="239" w:bottom="1440" w:gutter="0" w:footer="0" w:header="0"/>
        </w:sectPr>
      </w:pPr>
    </w:p>
    <w:bookmarkStart w:id="71" w:name="page72"/>
    <w:bookmarkEnd w:id="7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Balance Sheet</w:t>
      </w:r>
    </w:p>
    <w:p>
      <w:pPr>
        <w:spacing w:after="0" w:line="177" w:lineRule="exact"/>
        <w:rPr>
          <w:sz w:val="20"/>
          <w:szCs w:val="20"/>
          <w:color w:val="auto"/>
        </w:rPr>
      </w:pPr>
    </w:p>
    <w:p>
      <w:pPr>
        <w:ind w:left="240"/>
        <w:spacing w:after="0"/>
        <w:rPr>
          <w:sz w:val="20"/>
          <w:szCs w:val="20"/>
          <w:color w:val="auto"/>
        </w:rPr>
      </w:pPr>
      <w:r>
        <w:rPr>
          <w:rFonts w:ascii="Arial" w:cs="Arial" w:eastAsia="Arial" w:hAnsi="Arial"/>
          <w:sz w:val="18"/>
          <w:szCs w:val="18"/>
          <w:color w:val="auto"/>
        </w:rPr>
        <w:t>The following table summarizes the balance sheet effects of transactions with Ally Financial (dollars in millions):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500" w:type="dxa"/>
            <w:vAlign w:val="bottom"/>
          </w:tcPr>
          <w:p>
            <w:pPr>
              <w:spacing w:after="0"/>
              <w:rPr>
                <w:sz w:val="14"/>
                <w:szCs w:val="14"/>
                <w:color w:val="auto"/>
              </w:rPr>
            </w:pPr>
          </w:p>
        </w:tc>
        <w:tc>
          <w:tcPr>
            <w:tcW w:w="248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gridSpan w:val="2"/>
          </w:tcPr>
          <w:p>
            <w:pPr>
              <w:ind w:left="60"/>
              <w:spacing w:after="0"/>
              <w:rPr>
                <w:sz w:val="20"/>
                <w:szCs w:val="20"/>
                <w:color w:val="auto"/>
              </w:rPr>
            </w:pPr>
            <w:r>
              <w:rPr>
                <w:rFonts w:ascii="Arial" w:cs="Arial" w:eastAsia="Arial" w:hAnsi="Arial"/>
                <w:sz w:val="14"/>
                <w:szCs w:val="14"/>
                <w:b w:val="1"/>
                <w:bCs w:val="1"/>
                <w:color w:val="auto"/>
              </w:rPr>
              <w:t>Successor</w:t>
            </w:r>
          </w:p>
        </w:tc>
        <w:tc>
          <w:tcPr>
            <w:tcW w:w="6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29"/>
        </w:trPr>
        <w:tc>
          <w:tcPr>
            <w:tcW w:w="6500" w:type="dxa"/>
            <w:vAlign w:val="bottom"/>
          </w:tcPr>
          <w:p>
            <w:pPr>
              <w:spacing w:after="0"/>
              <w:rPr>
                <w:sz w:val="11"/>
                <w:szCs w:val="11"/>
                <w:color w:val="auto"/>
              </w:rPr>
            </w:pPr>
          </w:p>
        </w:tc>
        <w:tc>
          <w:tcPr>
            <w:tcW w:w="2480" w:type="dxa"/>
            <w:vAlign w:val="bottom"/>
          </w:tcPr>
          <w:p>
            <w:pPr>
              <w:spacing w:after="0"/>
              <w:rPr>
                <w:sz w:val="11"/>
                <w:szCs w:val="11"/>
                <w:color w:val="auto"/>
              </w:rPr>
            </w:pPr>
          </w:p>
        </w:tc>
        <w:tc>
          <w:tcPr>
            <w:tcW w:w="840" w:type="dxa"/>
            <w:vAlign w:val="bottom"/>
            <w:gridSpan w:val="2"/>
          </w:tcPr>
          <w:p>
            <w:pPr>
              <w:spacing w:after="0" w:line="129" w:lineRule="exact"/>
              <w:rPr>
                <w:sz w:val="20"/>
                <w:szCs w:val="20"/>
                <w:color w:val="auto"/>
              </w:rPr>
            </w:pPr>
            <w:r>
              <w:rPr>
                <w:rFonts w:ascii="Arial" w:cs="Arial" w:eastAsia="Arial" w:hAnsi="Arial"/>
                <w:sz w:val="14"/>
                <w:szCs w:val="14"/>
                <w:b w:val="1"/>
                <w:bCs w:val="1"/>
                <w:color w:val="auto"/>
                <w:w w:val="85"/>
              </w:rPr>
              <w:t>September 30,</w:t>
            </w:r>
          </w:p>
        </w:tc>
        <w:tc>
          <w:tcPr>
            <w:tcW w:w="700" w:type="dxa"/>
            <w:vAlign w:val="bottom"/>
          </w:tcPr>
          <w:p>
            <w:pPr>
              <w:spacing w:after="0"/>
              <w:rPr>
                <w:sz w:val="11"/>
                <w:szCs w:val="11"/>
                <w:color w:val="auto"/>
              </w:rPr>
            </w:pPr>
          </w:p>
        </w:tc>
        <w:tc>
          <w:tcPr>
            <w:tcW w:w="800" w:type="dxa"/>
            <w:vAlign w:val="bottom"/>
            <w:gridSpan w:val="2"/>
          </w:tcPr>
          <w:p>
            <w:pPr>
              <w:ind w:left="20"/>
              <w:spacing w:after="0" w:line="129" w:lineRule="exact"/>
              <w:rPr>
                <w:sz w:val="20"/>
                <w:szCs w:val="20"/>
                <w:color w:val="auto"/>
              </w:rPr>
            </w:pPr>
            <w:r>
              <w:rPr>
                <w:rFonts w:ascii="Arial" w:cs="Arial" w:eastAsia="Arial" w:hAnsi="Arial"/>
                <w:sz w:val="14"/>
                <w:szCs w:val="14"/>
                <w:b w:val="1"/>
                <w:bCs w:val="1"/>
                <w:color w:val="auto"/>
                <w:w w:val="83"/>
              </w:rPr>
              <w:t>December 31,</w:t>
            </w:r>
          </w:p>
        </w:tc>
        <w:tc>
          <w:tcPr>
            <w:tcW w:w="100" w:type="dxa"/>
            <w:vAlign w:val="bottom"/>
          </w:tcPr>
          <w:p>
            <w:pPr>
              <w:spacing w:after="0"/>
              <w:rPr>
                <w:sz w:val="11"/>
                <w:szCs w:val="11"/>
                <w:color w:val="auto"/>
              </w:rPr>
            </w:pPr>
          </w:p>
        </w:tc>
      </w:tr>
      <w:tr>
        <w:trPr>
          <w:trHeight w:val="161"/>
        </w:trPr>
        <w:tc>
          <w:tcPr>
            <w:tcW w:w="6500" w:type="dxa"/>
            <w:vAlign w:val="bottom"/>
          </w:tcPr>
          <w:p>
            <w:pPr>
              <w:spacing w:after="0"/>
              <w:rPr>
                <w:sz w:val="14"/>
                <w:szCs w:val="14"/>
                <w:color w:val="auto"/>
              </w:rPr>
            </w:pPr>
          </w:p>
        </w:tc>
        <w:tc>
          <w:tcPr>
            <w:tcW w:w="248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194"/>
              <w:spacing w:after="0"/>
              <w:rPr>
                <w:sz w:val="20"/>
                <w:szCs w:val="20"/>
                <w:color w:val="auto"/>
              </w:rPr>
            </w:pPr>
            <w:r>
              <w:rPr>
                <w:rFonts w:ascii="Arial" w:cs="Arial" w:eastAsia="Arial" w:hAnsi="Arial"/>
                <w:sz w:val="14"/>
                <w:szCs w:val="14"/>
                <w:b w:val="1"/>
                <w:bCs w:val="1"/>
                <w:color w:val="auto"/>
              </w:rPr>
              <w:t>2010</w:t>
            </w:r>
          </w:p>
        </w:tc>
        <w:tc>
          <w:tcPr>
            <w:tcW w:w="70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ind w:right="174"/>
              <w:spacing w:after="0"/>
              <w:rPr>
                <w:sz w:val="20"/>
                <w:szCs w:val="20"/>
                <w:color w:val="auto"/>
              </w:rPr>
            </w:pPr>
            <w:r>
              <w:rPr>
                <w:rFonts w:ascii="Arial" w:cs="Arial" w:eastAsia="Arial" w:hAnsi="Arial"/>
                <w:sz w:val="14"/>
                <w:szCs w:val="14"/>
                <w:b w:val="1"/>
                <w:bCs w:val="1"/>
                <w:color w:val="auto"/>
              </w:rPr>
              <w:t>2009</w:t>
            </w:r>
          </w:p>
        </w:tc>
        <w:tc>
          <w:tcPr>
            <w:tcW w:w="100" w:type="dxa"/>
            <w:vAlign w:val="bottom"/>
          </w:tcPr>
          <w:p>
            <w:pPr>
              <w:spacing w:after="0"/>
              <w:rPr>
                <w:sz w:val="14"/>
                <w:szCs w:val="14"/>
                <w:color w:val="auto"/>
              </w:rPr>
            </w:pPr>
          </w:p>
        </w:tc>
      </w:tr>
      <w:tr>
        <w:trPr>
          <w:trHeight w:val="210"/>
        </w:trPr>
        <w:tc>
          <w:tcPr>
            <w:tcW w:w="65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24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6500" w:type="dxa"/>
            <w:vAlign w:val="bottom"/>
          </w:tcPr>
          <w:p>
            <w:pPr>
              <w:spacing w:after="0"/>
              <w:rPr>
                <w:sz w:val="20"/>
                <w:szCs w:val="20"/>
                <w:color w:val="auto"/>
              </w:rPr>
            </w:pPr>
            <w:r>
              <w:rPr>
                <w:rFonts w:ascii="Arial" w:cs="Arial" w:eastAsia="Arial" w:hAnsi="Arial"/>
                <w:sz w:val="18"/>
                <w:szCs w:val="18"/>
                <w:color w:val="auto"/>
              </w:rPr>
              <w:t>Accounts and notes receivable, net (a)</w:t>
            </w:r>
          </w:p>
        </w:tc>
        <w:tc>
          <w:tcPr>
            <w:tcW w:w="2680" w:type="dxa"/>
            <w:vAlign w:val="bottom"/>
            <w:gridSpan w:val="2"/>
          </w:tcPr>
          <w:p>
            <w:pPr>
              <w:ind w:left="2480"/>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718</w:t>
            </w:r>
          </w:p>
        </w:tc>
        <w:tc>
          <w:tcPr>
            <w:tcW w:w="880" w:type="dxa"/>
            <w:vAlign w:val="bottom"/>
            <w:gridSpan w:val="2"/>
          </w:tcPr>
          <w:p>
            <w:pPr>
              <w:ind w:left="700"/>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404</w:t>
            </w:r>
          </w:p>
        </w:tc>
        <w:tc>
          <w:tcPr>
            <w:tcW w:w="100" w:type="dxa"/>
            <w:vAlign w:val="bottom"/>
          </w:tcPr>
          <w:p>
            <w:pPr>
              <w:spacing w:after="0"/>
              <w:rPr>
                <w:sz w:val="18"/>
                <w:szCs w:val="18"/>
                <w:color w:val="auto"/>
              </w:rPr>
            </w:pPr>
          </w:p>
        </w:tc>
      </w:tr>
      <w:tr>
        <w:trPr>
          <w:trHeight w:val="216"/>
        </w:trPr>
        <w:tc>
          <w:tcPr>
            <w:tcW w:w="6500" w:type="dxa"/>
            <w:vAlign w:val="bottom"/>
            <w:shd w:val="clear" w:color="auto" w:fill="CCEEFF"/>
          </w:tcPr>
          <w:p>
            <w:pPr>
              <w:spacing w:after="0"/>
              <w:rPr>
                <w:sz w:val="20"/>
                <w:szCs w:val="20"/>
                <w:color w:val="auto"/>
              </w:rPr>
            </w:pPr>
            <w:r>
              <w:rPr>
                <w:rFonts w:ascii="Arial" w:cs="Arial" w:eastAsia="Arial" w:hAnsi="Arial"/>
                <w:sz w:val="18"/>
                <w:szCs w:val="18"/>
                <w:color w:val="auto"/>
              </w:rPr>
              <w:t>Restricted cash and marketable securities (b)</w:t>
            </w:r>
          </w:p>
        </w:tc>
        <w:tc>
          <w:tcPr>
            <w:tcW w:w="2680" w:type="dxa"/>
            <w:vAlign w:val="bottom"/>
            <w:gridSpan w:val="2"/>
            <w:shd w:val="clear" w:color="auto" w:fill="CCEEFF"/>
          </w:tcPr>
          <w:p>
            <w:pPr>
              <w:ind w:left="248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ind w:left="70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127</w:t>
            </w:r>
          </w:p>
        </w:tc>
        <w:tc>
          <w:tcPr>
            <w:tcW w:w="100" w:type="dxa"/>
            <w:vAlign w:val="bottom"/>
            <w:shd w:val="clear" w:color="auto" w:fill="CCEEFF"/>
          </w:tcPr>
          <w:p>
            <w:pPr>
              <w:spacing w:after="0"/>
              <w:rPr>
                <w:sz w:val="18"/>
                <w:szCs w:val="18"/>
                <w:color w:val="auto"/>
              </w:rPr>
            </w:pPr>
          </w:p>
        </w:tc>
      </w:tr>
      <w:tr>
        <w:trPr>
          <w:trHeight w:val="216"/>
        </w:trPr>
        <w:tc>
          <w:tcPr>
            <w:tcW w:w="6500" w:type="dxa"/>
            <w:vAlign w:val="bottom"/>
          </w:tcPr>
          <w:p>
            <w:pPr>
              <w:spacing w:after="0"/>
              <w:rPr>
                <w:sz w:val="20"/>
                <w:szCs w:val="20"/>
                <w:color w:val="auto"/>
              </w:rPr>
            </w:pPr>
            <w:r>
              <w:rPr>
                <w:rFonts w:ascii="Arial" w:cs="Arial" w:eastAsia="Arial" w:hAnsi="Arial"/>
                <w:sz w:val="18"/>
                <w:szCs w:val="18"/>
                <w:color w:val="auto"/>
              </w:rPr>
              <w:t>Other assets (c)</w:t>
            </w:r>
          </w:p>
        </w:tc>
        <w:tc>
          <w:tcPr>
            <w:tcW w:w="2680" w:type="dxa"/>
            <w:vAlign w:val="bottom"/>
            <w:gridSpan w:val="2"/>
          </w:tcPr>
          <w:p>
            <w:pPr>
              <w:ind w:left="2480"/>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26</w:t>
            </w:r>
          </w:p>
        </w:tc>
        <w:tc>
          <w:tcPr>
            <w:tcW w:w="880" w:type="dxa"/>
            <w:vAlign w:val="bottom"/>
            <w:gridSpan w:val="2"/>
          </w:tcPr>
          <w:p>
            <w:pPr>
              <w:ind w:left="700"/>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27</w:t>
            </w:r>
          </w:p>
        </w:tc>
        <w:tc>
          <w:tcPr>
            <w:tcW w:w="100" w:type="dxa"/>
            <w:vAlign w:val="bottom"/>
          </w:tcPr>
          <w:p>
            <w:pPr>
              <w:spacing w:after="0"/>
              <w:rPr>
                <w:sz w:val="18"/>
                <w:szCs w:val="18"/>
                <w:color w:val="auto"/>
              </w:rPr>
            </w:pPr>
          </w:p>
        </w:tc>
      </w:tr>
      <w:tr>
        <w:trPr>
          <w:trHeight w:val="216"/>
        </w:trPr>
        <w:tc>
          <w:tcPr>
            <w:tcW w:w="65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Liabilities</w:t>
            </w:r>
          </w:p>
        </w:tc>
        <w:tc>
          <w:tcPr>
            <w:tcW w:w="24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6500" w:type="dxa"/>
            <w:vAlign w:val="bottom"/>
          </w:tcPr>
          <w:p>
            <w:pPr>
              <w:spacing w:after="0"/>
              <w:rPr>
                <w:sz w:val="20"/>
                <w:szCs w:val="20"/>
                <w:color w:val="auto"/>
              </w:rPr>
            </w:pPr>
            <w:r>
              <w:rPr>
                <w:rFonts w:ascii="Arial" w:cs="Arial" w:eastAsia="Arial" w:hAnsi="Arial"/>
                <w:sz w:val="18"/>
                <w:szCs w:val="18"/>
                <w:color w:val="auto"/>
              </w:rPr>
              <w:t>Accounts payable (d)</w:t>
            </w:r>
          </w:p>
        </w:tc>
        <w:tc>
          <w:tcPr>
            <w:tcW w:w="2680" w:type="dxa"/>
            <w:vAlign w:val="bottom"/>
            <w:gridSpan w:val="2"/>
          </w:tcPr>
          <w:p>
            <w:pPr>
              <w:ind w:left="2480"/>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146</w:t>
            </w:r>
          </w:p>
        </w:tc>
        <w:tc>
          <w:tcPr>
            <w:tcW w:w="880" w:type="dxa"/>
            <w:vAlign w:val="bottom"/>
            <w:gridSpan w:val="2"/>
          </w:tcPr>
          <w:p>
            <w:pPr>
              <w:ind w:left="700"/>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131</w:t>
            </w:r>
          </w:p>
        </w:tc>
        <w:tc>
          <w:tcPr>
            <w:tcW w:w="100" w:type="dxa"/>
            <w:vAlign w:val="bottom"/>
          </w:tcPr>
          <w:p>
            <w:pPr>
              <w:spacing w:after="0"/>
              <w:rPr>
                <w:sz w:val="18"/>
                <w:szCs w:val="18"/>
                <w:color w:val="auto"/>
              </w:rPr>
            </w:pPr>
          </w:p>
        </w:tc>
      </w:tr>
      <w:tr>
        <w:trPr>
          <w:trHeight w:val="216"/>
        </w:trPr>
        <w:tc>
          <w:tcPr>
            <w:tcW w:w="6500" w:type="dxa"/>
            <w:vAlign w:val="bottom"/>
            <w:shd w:val="clear" w:color="auto" w:fill="CCEEFF"/>
          </w:tcPr>
          <w:p>
            <w:pPr>
              <w:spacing w:after="0"/>
              <w:rPr>
                <w:sz w:val="20"/>
                <w:szCs w:val="20"/>
                <w:color w:val="auto"/>
              </w:rPr>
            </w:pPr>
            <w:r>
              <w:rPr>
                <w:rFonts w:ascii="Arial" w:cs="Arial" w:eastAsia="Arial" w:hAnsi="Arial"/>
                <w:sz w:val="18"/>
                <w:szCs w:val="18"/>
                <w:color w:val="auto"/>
              </w:rPr>
              <w:t>Short-term debt and current portion of long-term debt (e)</w:t>
            </w:r>
          </w:p>
        </w:tc>
        <w:tc>
          <w:tcPr>
            <w:tcW w:w="2680" w:type="dxa"/>
            <w:vAlign w:val="bottom"/>
            <w:gridSpan w:val="2"/>
            <w:shd w:val="clear" w:color="auto" w:fill="CCEEFF"/>
          </w:tcPr>
          <w:p>
            <w:pPr>
              <w:ind w:left="248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1,141</w:t>
            </w:r>
          </w:p>
        </w:tc>
        <w:tc>
          <w:tcPr>
            <w:tcW w:w="880" w:type="dxa"/>
            <w:vAlign w:val="bottom"/>
            <w:gridSpan w:val="2"/>
            <w:shd w:val="clear" w:color="auto" w:fill="CCEEFF"/>
          </w:tcPr>
          <w:p>
            <w:pPr>
              <w:ind w:left="70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1,077</w:t>
            </w:r>
          </w:p>
        </w:tc>
        <w:tc>
          <w:tcPr>
            <w:tcW w:w="100" w:type="dxa"/>
            <w:vAlign w:val="bottom"/>
            <w:shd w:val="clear" w:color="auto" w:fill="CCEEFF"/>
          </w:tcPr>
          <w:p>
            <w:pPr>
              <w:spacing w:after="0"/>
              <w:rPr>
                <w:sz w:val="18"/>
                <w:szCs w:val="18"/>
                <w:color w:val="auto"/>
              </w:rPr>
            </w:pPr>
          </w:p>
        </w:tc>
      </w:tr>
      <w:tr>
        <w:trPr>
          <w:trHeight w:val="216"/>
        </w:trPr>
        <w:tc>
          <w:tcPr>
            <w:tcW w:w="6500" w:type="dxa"/>
            <w:vAlign w:val="bottom"/>
          </w:tcPr>
          <w:p>
            <w:pPr>
              <w:spacing w:after="0"/>
              <w:rPr>
                <w:sz w:val="20"/>
                <w:szCs w:val="20"/>
                <w:color w:val="auto"/>
              </w:rPr>
            </w:pPr>
            <w:r>
              <w:rPr>
                <w:rFonts w:ascii="Arial" w:cs="Arial" w:eastAsia="Arial" w:hAnsi="Arial"/>
                <w:sz w:val="18"/>
                <w:szCs w:val="18"/>
                <w:color w:val="auto"/>
              </w:rPr>
              <w:t>Accrued expenses and other liabilities (f)</w:t>
            </w:r>
          </w:p>
        </w:tc>
        <w:tc>
          <w:tcPr>
            <w:tcW w:w="2680" w:type="dxa"/>
            <w:vAlign w:val="bottom"/>
            <w:gridSpan w:val="2"/>
          </w:tcPr>
          <w:p>
            <w:pPr>
              <w:ind w:left="2480"/>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805</w:t>
            </w:r>
          </w:p>
        </w:tc>
        <w:tc>
          <w:tcPr>
            <w:tcW w:w="880" w:type="dxa"/>
            <w:vAlign w:val="bottom"/>
            <w:gridSpan w:val="2"/>
          </w:tcPr>
          <w:p>
            <w:pPr>
              <w:ind w:left="700"/>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817</w:t>
            </w:r>
          </w:p>
        </w:tc>
        <w:tc>
          <w:tcPr>
            <w:tcW w:w="100" w:type="dxa"/>
            <w:vAlign w:val="bottom"/>
          </w:tcPr>
          <w:p>
            <w:pPr>
              <w:spacing w:after="0"/>
              <w:rPr>
                <w:sz w:val="18"/>
                <w:szCs w:val="18"/>
                <w:color w:val="auto"/>
              </w:rPr>
            </w:pPr>
          </w:p>
        </w:tc>
      </w:tr>
      <w:tr>
        <w:trPr>
          <w:trHeight w:val="216"/>
        </w:trPr>
        <w:tc>
          <w:tcPr>
            <w:tcW w:w="6500" w:type="dxa"/>
            <w:vAlign w:val="bottom"/>
            <w:shd w:val="clear" w:color="auto" w:fill="CCEEFF"/>
          </w:tcPr>
          <w:p>
            <w:pPr>
              <w:spacing w:after="0"/>
              <w:rPr>
                <w:sz w:val="20"/>
                <w:szCs w:val="20"/>
                <w:color w:val="auto"/>
              </w:rPr>
            </w:pPr>
            <w:r>
              <w:rPr>
                <w:rFonts w:ascii="Arial" w:cs="Arial" w:eastAsia="Arial" w:hAnsi="Arial"/>
                <w:sz w:val="18"/>
                <w:szCs w:val="18"/>
                <w:color w:val="auto"/>
              </w:rPr>
              <w:t>Long-term debt (g)</w:t>
            </w:r>
          </w:p>
        </w:tc>
        <w:tc>
          <w:tcPr>
            <w:tcW w:w="2680" w:type="dxa"/>
            <w:vAlign w:val="bottom"/>
            <w:gridSpan w:val="2"/>
            <w:shd w:val="clear" w:color="auto" w:fill="CCEEFF"/>
          </w:tcPr>
          <w:p>
            <w:pPr>
              <w:ind w:left="248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w:t>
            </w:r>
          </w:p>
        </w:tc>
        <w:tc>
          <w:tcPr>
            <w:tcW w:w="880" w:type="dxa"/>
            <w:vAlign w:val="bottom"/>
            <w:gridSpan w:val="2"/>
            <w:shd w:val="clear" w:color="auto" w:fill="CCEEFF"/>
          </w:tcPr>
          <w:p>
            <w:pPr>
              <w:ind w:left="70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w:t>
            </w:r>
          </w:p>
        </w:tc>
        <w:tc>
          <w:tcPr>
            <w:tcW w:w="100" w:type="dxa"/>
            <w:vAlign w:val="bottom"/>
            <w:shd w:val="clear" w:color="auto" w:fill="CCEEFF"/>
          </w:tcPr>
          <w:p>
            <w:pPr>
              <w:spacing w:after="0"/>
              <w:rPr>
                <w:sz w:val="18"/>
                <w:szCs w:val="18"/>
                <w:color w:val="auto"/>
              </w:rPr>
            </w:pPr>
          </w:p>
        </w:tc>
      </w:tr>
      <w:tr>
        <w:trPr>
          <w:trHeight w:val="222"/>
        </w:trPr>
        <w:tc>
          <w:tcPr>
            <w:tcW w:w="6500" w:type="dxa"/>
            <w:vAlign w:val="bottom"/>
          </w:tcPr>
          <w:p>
            <w:pPr>
              <w:spacing w:after="0"/>
              <w:rPr>
                <w:sz w:val="20"/>
                <w:szCs w:val="20"/>
                <w:color w:val="auto"/>
              </w:rPr>
            </w:pPr>
            <w:r>
              <w:rPr>
                <w:rFonts w:ascii="Arial" w:cs="Arial" w:eastAsia="Arial" w:hAnsi="Arial"/>
                <w:sz w:val="18"/>
                <w:szCs w:val="18"/>
                <w:color w:val="auto"/>
              </w:rPr>
              <w:t>Other non-current liabilities (h)</w:t>
            </w:r>
          </w:p>
        </w:tc>
        <w:tc>
          <w:tcPr>
            <w:tcW w:w="2680" w:type="dxa"/>
            <w:vAlign w:val="bottom"/>
            <w:gridSpan w:val="2"/>
          </w:tcPr>
          <w:p>
            <w:pPr>
              <w:ind w:left="2480"/>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105</w:t>
            </w:r>
          </w:p>
        </w:tc>
        <w:tc>
          <w:tcPr>
            <w:tcW w:w="880" w:type="dxa"/>
            <w:vAlign w:val="bottom"/>
            <w:gridSpan w:val="2"/>
          </w:tcPr>
          <w:p>
            <w:pPr>
              <w:ind w:left="700"/>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383</w:t>
            </w:r>
          </w:p>
        </w:tc>
        <w:tc>
          <w:tcPr>
            <w:tcW w:w="100" w:type="dxa"/>
            <w:vAlign w:val="bottom"/>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64770</wp:posOffset>
            </wp:positionV>
            <wp:extent cx="728980" cy="889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14" w:lineRule="exact"/>
        <w:rPr>
          <w:sz w:val="20"/>
          <w:szCs w:val="20"/>
          <w:color w:val="auto"/>
        </w:rPr>
      </w:pPr>
    </w:p>
    <w:p>
      <w:pPr>
        <w:ind w:left="460" w:right="340" w:hanging="452"/>
        <w:spacing w:after="0" w:line="268" w:lineRule="auto"/>
        <w:tabs>
          <w:tab w:leader="none" w:pos="460" w:val="left"/>
        </w:tabs>
        <w:numPr>
          <w:ilvl w:val="0"/>
          <w:numId w:val="51"/>
        </w:numPr>
        <w:rPr>
          <w:rFonts w:ascii="Arial" w:cs="Arial" w:eastAsia="Arial" w:hAnsi="Arial"/>
          <w:sz w:val="18"/>
          <w:szCs w:val="18"/>
          <w:color w:val="auto"/>
        </w:rPr>
      </w:pPr>
      <w:r>
        <w:rPr>
          <w:rFonts w:ascii="Arial" w:cs="Arial" w:eastAsia="Arial" w:hAnsi="Arial"/>
          <w:sz w:val="18"/>
          <w:szCs w:val="18"/>
          <w:color w:val="auto"/>
        </w:rPr>
        <w:t>Represents wholesale settlements due from Ally Financial, amounts owed by Ally Financial with respect to automotive retail leases and receivables for exclusivity fees and royalties.</w:t>
      </w:r>
    </w:p>
    <w:p>
      <w:pPr>
        <w:spacing w:after="0" w:line="50" w:lineRule="exact"/>
        <w:rPr>
          <w:rFonts w:ascii="Arial" w:cs="Arial" w:eastAsia="Arial" w:hAnsi="Arial"/>
          <w:sz w:val="18"/>
          <w:szCs w:val="18"/>
          <w:color w:val="auto"/>
        </w:rPr>
      </w:pPr>
    </w:p>
    <w:p>
      <w:pPr>
        <w:ind w:left="460" w:right="100" w:hanging="452"/>
        <w:spacing w:after="0" w:line="268" w:lineRule="auto"/>
        <w:tabs>
          <w:tab w:leader="none" w:pos="460" w:val="left"/>
        </w:tabs>
        <w:numPr>
          <w:ilvl w:val="0"/>
          <w:numId w:val="51"/>
        </w:numPr>
        <w:rPr>
          <w:rFonts w:ascii="Arial" w:cs="Arial" w:eastAsia="Arial" w:hAnsi="Arial"/>
          <w:sz w:val="18"/>
          <w:szCs w:val="18"/>
          <w:color w:val="auto"/>
        </w:rPr>
      </w:pPr>
      <w:r>
        <w:rPr>
          <w:rFonts w:ascii="Arial" w:cs="Arial" w:eastAsia="Arial" w:hAnsi="Arial"/>
          <w:sz w:val="18"/>
          <w:szCs w:val="18"/>
          <w:color w:val="auto"/>
        </w:rPr>
        <w:t>Represents certificates of deposit purchased from Ally Financial that are pledged as collateral for certain guarantees provided to Ally Financial in Brazil in connection with dealer floor plan financing.</w:t>
      </w:r>
    </w:p>
    <w:p>
      <w:pPr>
        <w:spacing w:after="0" w:line="50" w:lineRule="exact"/>
        <w:rPr>
          <w:rFonts w:ascii="Arial" w:cs="Arial" w:eastAsia="Arial" w:hAnsi="Arial"/>
          <w:sz w:val="18"/>
          <w:szCs w:val="18"/>
          <w:color w:val="auto"/>
        </w:rPr>
      </w:pPr>
    </w:p>
    <w:p>
      <w:pPr>
        <w:ind w:left="460" w:hanging="452"/>
        <w:spacing w:after="0"/>
        <w:tabs>
          <w:tab w:leader="none" w:pos="460" w:val="left"/>
        </w:tabs>
        <w:numPr>
          <w:ilvl w:val="0"/>
          <w:numId w:val="51"/>
        </w:numPr>
        <w:rPr>
          <w:rFonts w:ascii="Arial" w:cs="Arial" w:eastAsia="Arial" w:hAnsi="Arial"/>
          <w:sz w:val="18"/>
          <w:szCs w:val="18"/>
          <w:color w:val="auto"/>
        </w:rPr>
      </w:pPr>
      <w:r>
        <w:rPr>
          <w:rFonts w:ascii="Arial" w:cs="Arial" w:eastAsia="Arial" w:hAnsi="Arial"/>
          <w:sz w:val="18"/>
          <w:szCs w:val="18"/>
          <w:color w:val="auto"/>
        </w:rPr>
        <w:t>Primarily represents distributions due from Ally Financial on our investments in Ally Financial preferred stock.</w:t>
      </w:r>
    </w:p>
    <w:p>
      <w:pPr>
        <w:spacing w:after="0" w:line="90" w:lineRule="exact"/>
        <w:rPr>
          <w:rFonts w:ascii="Arial" w:cs="Arial" w:eastAsia="Arial" w:hAnsi="Arial"/>
          <w:sz w:val="18"/>
          <w:szCs w:val="18"/>
          <w:color w:val="auto"/>
        </w:rPr>
      </w:pPr>
    </w:p>
    <w:p>
      <w:pPr>
        <w:ind w:left="460" w:hanging="452"/>
        <w:spacing w:after="0"/>
        <w:tabs>
          <w:tab w:leader="none" w:pos="460" w:val="left"/>
        </w:tabs>
        <w:numPr>
          <w:ilvl w:val="0"/>
          <w:numId w:val="51"/>
        </w:numPr>
        <w:rPr>
          <w:rFonts w:ascii="Arial" w:cs="Arial" w:eastAsia="Arial" w:hAnsi="Arial"/>
          <w:sz w:val="18"/>
          <w:szCs w:val="18"/>
          <w:color w:val="auto"/>
        </w:rPr>
      </w:pPr>
      <w:r>
        <w:rPr>
          <w:rFonts w:ascii="Arial" w:cs="Arial" w:eastAsia="Arial" w:hAnsi="Arial"/>
          <w:sz w:val="18"/>
          <w:szCs w:val="18"/>
          <w:color w:val="auto"/>
        </w:rPr>
        <w:t>Primarily represents amounts billed to us and payable related to incentive programs.</w:t>
      </w:r>
    </w:p>
    <w:p>
      <w:pPr>
        <w:spacing w:after="0" w:line="90" w:lineRule="exact"/>
        <w:rPr>
          <w:rFonts w:ascii="Arial" w:cs="Arial" w:eastAsia="Arial" w:hAnsi="Arial"/>
          <w:sz w:val="18"/>
          <w:szCs w:val="18"/>
          <w:color w:val="auto"/>
        </w:rPr>
      </w:pPr>
    </w:p>
    <w:p>
      <w:pPr>
        <w:ind w:left="460" w:right="160" w:hanging="452"/>
        <w:spacing w:after="0" w:line="294" w:lineRule="auto"/>
        <w:tabs>
          <w:tab w:leader="none" w:pos="460" w:val="left"/>
        </w:tabs>
        <w:numPr>
          <w:ilvl w:val="0"/>
          <w:numId w:val="51"/>
        </w:numPr>
        <w:rPr>
          <w:rFonts w:ascii="Arial" w:cs="Arial" w:eastAsia="Arial" w:hAnsi="Arial"/>
          <w:sz w:val="16"/>
          <w:szCs w:val="16"/>
          <w:color w:val="auto"/>
        </w:rPr>
      </w:pPr>
      <w:r>
        <w:rPr>
          <w:rFonts w:ascii="Arial" w:cs="Arial" w:eastAsia="Arial" w:hAnsi="Arial"/>
          <w:sz w:val="16"/>
          <w:szCs w:val="16"/>
          <w:color w:val="auto"/>
        </w:rPr>
        <w:t>Represents wholesale financing, sales of receivable transactions and the short-term portion of term loans provided to certain dealerships which we own or in which we have an equity interest. In addition, it includes borrowing arrangements with various foreign locations and arrangements related to Ally Financial’s funding of company-owned vehicles, rental car vehicles awaiting sale at auction and funding of the sale of vehicles to which title is retained while the vehicles are consigned to Ally Financial or dealers, primarily in the United Kingdom. Financing remains outstanding until the title is transferred to the dealers. This amount also includes the short-term portion of a note payable related to automotive retail leases.</w:t>
      </w:r>
    </w:p>
    <w:p>
      <w:pPr>
        <w:spacing w:after="0" w:line="34" w:lineRule="exact"/>
        <w:rPr>
          <w:rFonts w:ascii="Arial" w:cs="Arial" w:eastAsia="Arial" w:hAnsi="Arial"/>
          <w:sz w:val="16"/>
          <w:szCs w:val="16"/>
          <w:color w:val="auto"/>
        </w:rPr>
      </w:pPr>
    </w:p>
    <w:p>
      <w:pPr>
        <w:ind w:left="460" w:right="80" w:hanging="452"/>
        <w:spacing w:after="0" w:line="255" w:lineRule="auto"/>
        <w:tabs>
          <w:tab w:leader="none" w:pos="460" w:val="left"/>
        </w:tabs>
        <w:numPr>
          <w:ilvl w:val="0"/>
          <w:numId w:val="51"/>
        </w:numPr>
        <w:rPr>
          <w:rFonts w:ascii="Arial" w:cs="Arial" w:eastAsia="Arial" w:hAnsi="Arial"/>
          <w:sz w:val="18"/>
          <w:szCs w:val="18"/>
          <w:color w:val="auto"/>
        </w:rPr>
      </w:pPr>
      <w:r>
        <w:rPr>
          <w:rFonts w:ascii="Arial" w:cs="Arial" w:eastAsia="Arial" w:hAnsi="Arial"/>
          <w:sz w:val="18"/>
          <w:szCs w:val="18"/>
          <w:color w:val="auto"/>
        </w:rPr>
        <w:t>Primarily represents accruals for marketing incentives on vehicles which are sold, or anticipated to be sold, to customers or dealers and financed by Ally Financial in North America. This includes the estimated amount of residual support accrued under the residual support and risk sharing programs, rate support under the interest rate support programs, operating lease and finance receivable capitalized cost reduction incentives paid to Ally Financial to reduce the capitalized cost in automotive lease contracts and retail automotive contracts, and amounts owed under lease pull-ahead programs. In addition it includes interest accrued on the transactions in (e) above.</w:t>
      </w:r>
    </w:p>
    <w:p>
      <w:pPr>
        <w:spacing w:after="0" w:line="61" w:lineRule="exact"/>
        <w:rPr>
          <w:rFonts w:ascii="Arial" w:cs="Arial" w:eastAsia="Arial" w:hAnsi="Arial"/>
          <w:sz w:val="18"/>
          <w:szCs w:val="18"/>
          <w:color w:val="auto"/>
        </w:rPr>
      </w:pPr>
    </w:p>
    <w:p>
      <w:pPr>
        <w:ind w:left="460" w:hanging="452"/>
        <w:spacing w:after="0"/>
        <w:tabs>
          <w:tab w:leader="none" w:pos="460" w:val="left"/>
        </w:tabs>
        <w:numPr>
          <w:ilvl w:val="0"/>
          <w:numId w:val="51"/>
        </w:numPr>
        <w:rPr>
          <w:rFonts w:ascii="Arial" w:cs="Arial" w:eastAsia="Arial" w:hAnsi="Arial"/>
          <w:sz w:val="18"/>
          <w:szCs w:val="18"/>
          <w:color w:val="auto"/>
        </w:rPr>
      </w:pPr>
      <w:r>
        <w:rPr>
          <w:rFonts w:ascii="Arial" w:cs="Arial" w:eastAsia="Arial" w:hAnsi="Arial"/>
          <w:sz w:val="18"/>
          <w:szCs w:val="18"/>
          <w:color w:val="auto"/>
        </w:rPr>
        <w:t>Primarily represents the long-term portion of term loans from Ally Financial to certain consolidated dealerships.</w:t>
      </w:r>
    </w:p>
    <w:p>
      <w:pPr>
        <w:spacing w:after="0" w:line="90" w:lineRule="exact"/>
        <w:rPr>
          <w:rFonts w:ascii="Arial" w:cs="Arial" w:eastAsia="Arial" w:hAnsi="Arial"/>
          <w:sz w:val="18"/>
          <w:szCs w:val="18"/>
          <w:color w:val="auto"/>
        </w:rPr>
      </w:pPr>
    </w:p>
    <w:p>
      <w:pPr>
        <w:ind w:left="460" w:hanging="452"/>
        <w:spacing w:after="0"/>
        <w:tabs>
          <w:tab w:leader="none" w:pos="460" w:val="left"/>
        </w:tabs>
        <w:numPr>
          <w:ilvl w:val="0"/>
          <w:numId w:val="51"/>
        </w:numPr>
        <w:rPr>
          <w:rFonts w:ascii="Arial" w:cs="Arial" w:eastAsia="Arial" w:hAnsi="Arial"/>
          <w:sz w:val="18"/>
          <w:szCs w:val="18"/>
          <w:color w:val="auto"/>
        </w:rPr>
      </w:pPr>
      <w:r>
        <w:rPr>
          <w:rFonts w:ascii="Arial" w:cs="Arial" w:eastAsia="Arial" w:hAnsi="Arial"/>
          <w:sz w:val="18"/>
          <w:szCs w:val="18"/>
          <w:color w:val="auto"/>
        </w:rPr>
        <w:t>Primarily represents long-term portion of liabilities for marketing incentives on vehicles financed by Ally Financial.</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70</w:t>
      </w:r>
    </w:p>
    <w:p>
      <w:pPr>
        <w:sectPr>
          <w:pgSz w:w="11900" w:h="16838" w:orient="portrait"/>
          <w:cols w:equalWidth="0" w:num="1">
            <w:col w:w="11420"/>
          </w:cols>
          <w:pgMar w:left="240" w:top="459" w:right="239" w:bottom="1440" w:gutter="0" w:footer="0" w:header="0"/>
        </w:sectPr>
      </w:pPr>
    </w:p>
    <w:bookmarkStart w:id="72" w:name="page73"/>
    <w:bookmarkEnd w:id="7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Statement of Operations</w:t>
      </w:r>
    </w:p>
    <w:p>
      <w:pPr>
        <w:spacing w:after="0" w:line="177" w:lineRule="exact"/>
        <w:rPr>
          <w:sz w:val="20"/>
          <w:szCs w:val="20"/>
          <w:color w:val="auto"/>
        </w:rPr>
      </w:pPr>
    </w:p>
    <w:p>
      <w:pPr>
        <w:ind w:left="240"/>
        <w:spacing w:after="0"/>
        <w:rPr>
          <w:sz w:val="20"/>
          <w:szCs w:val="20"/>
          <w:color w:val="auto"/>
        </w:rPr>
      </w:pPr>
      <w:r>
        <w:rPr>
          <w:rFonts w:ascii="Arial" w:cs="Arial" w:eastAsia="Arial" w:hAnsi="Arial"/>
          <w:sz w:val="18"/>
          <w:szCs w:val="18"/>
          <w:color w:val="auto"/>
        </w:rPr>
        <w:t>The following table summarizes the income statement effects of transactions with Ally Financial (dollars in millions):</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0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540" w:type="dxa"/>
            <w:vAlign w:val="bottom"/>
            <w:gridSpan w:val="2"/>
          </w:tcPr>
          <w:p>
            <w:pPr>
              <w:jc w:val="center"/>
              <w:ind w:right="700"/>
              <w:spacing w:after="0"/>
              <w:rPr>
                <w:sz w:val="20"/>
                <w:szCs w:val="20"/>
                <w:color w:val="auto"/>
              </w:rPr>
            </w:pPr>
            <w:r>
              <w:rPr>
                <w:rFonts w:ascii="Arial" w:cs="Arial" w:eastAsia="Arial" w:hAnsi="Arial"/>
                <w:sz w:val="14"/>
                <w:szCs w:val="14"/>
                <w:b w:val="1"/>
                <w:bCs w:val="1"/>
                <w:color w:val="auto"/>
                <w:w w:val="79"/>
              </w:rPr>
              <w:t>Successor</w:t>
            </w:r>
          </w:p>
        </w:tc>
        <w:tc>
          <w:tcPr>
            <w:tcW w:w="1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660" w:type="dxa"/>
            <w:vAlign w:val="bottom"/>
            <w:tcBorders>
              <w:right w:val="single" w:sz="8" w:color="auto"/>
            </w:tcBorders>
          </w:tcPr>
          <w:p>
            <w:pPr>
              <w:spacing w:after="0"/>
              <w:rPr>
                <w:sz w:val="14"/>
                <w:szCs w:val="14"/>
                <w:color w:val="auto"/>
              </w:rPr>
            </w:pPr>
          </w:p>
        </w:tc>
        <w:tc>
          <w:tcPr>
            <w:tcW w:w="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300" w:type="dxa"/>
            <w:vAlign w:val="bottom"/>
            <w:gridSpan w:val="4"/>
          </w:tcPr>
          <w:p>
            <w:pPr>
              <w:spacing w:after="0"/>
              <w:rPr>
                <w:sz w:val="20"/>
                <w:szCs w:val="20"/>
                <w:color w:val="auto"/>
              </w:rPr>
            </w:pPr>
            <w:r>
              <w:rPr>
                <w:rFonts w:ascii="Arial" w:cs="Arial" w:eastAsia="Arial" w:hAnsi="Arial"/>
                <w:sz w:val="14"/>
                <w:szCs w:val="14"/>
                <w:b w:val="1"/>
                <w:bCs w:val="1"/>
                <w:color w:val="auto"/>
              </w:rPr>
              <w:t>Predecessor</w:t>
            </w:r>
          </w:p>
        </w:tc>
      </w:tr>
      <w:tr>
        <w:trPr>
          <w:trHeight w:val="129"/>
        </w:trPr>
        <w:tc>
          <w:tcPr>
            <w:tcW w:w="404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1020" w:type="dxa"/>
            <w:vAlign w:val="bottom"/>
            <w:tcBorders>
              <w:top w:val="single" w:sz="8" w:color="auto"/>
            </w:tcBorders>
          </w:tcPr>
          <w:p>
            <w:pPr>
              <w:spacing w:after="0"/>
              <w:rPr>
                <w:sz w:val="11"/>
                <w:szCs w:val="11"/>
                <w:color w:val="auto"/>
              </w:rPr>
            </w:pPr>
          </w:p>
        </w:tc>
        <w:tc>
          <w:tcPr>
            <w:tcW w:w="540" w:type="dxa"/>
            <w:vAlign w:val="bottom"/>
            <w:tcBorders>
              <w:top w:val="single" w:sz="8" w:color="auto"/>
            </w:tcBorders>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1000" w:type="dxa"/>
            <w:vAlign w:val="bottom"/>
            <w:tcBorders>
              <w:top w:val="single" w:sz="8" w:color="auto"/>
            </w:tcBorders>
          </w:tcPr>
          <w:p>
            <w:pPr>
              <w:spacing w:after="0"/>
              <w:rPr>
                <w:sz w:val="11"/>
                <w:szCs w:val="11"/>
                <w:color w:val="auto"/>
              </w:rPr>
            </w:pPr>
          </w:p>
        </w:tc>
        <w:tc>
          <w:tcPr>
            <w:tcW w:w="540" w:type="dxa"/>
            <w:vAlign w:val="bottom"/>
            <w:tcBorders>
              <w:top w:val="single" w:sz="8" w:color="auto"/>
            </w:tcBorders>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980" w:type="dxa"/>
            <w:vAlign w:val="bottom"/>
            <w:tcBorders>
              <w:top w:val="single" w:sz="8" w:color="auto"/>
            </w:tcBorders>
          </w:tcPr>
          <w:p>
            <w:pPr>
              <w:spacing w:after="0"/>
              <w:rPr>
                <w:sz w:val="11"/>
                <w:szCs w:val="11"/>
                <w:color w:val="auto"/>
              </w:rPr>
            </w:pPr>
          </w:p>
        </w:tc>
        <w:tc>
          <w:tcPr>
            <w:tcW w:w="660" w:type="dxa"/>
            <w:vAlign w:val="bottom"/>
            <w:tcBorders>
              <w:right w:val="single" w:sz="8" w:color="auto"/>
            </w:tcBorders>
          </w:tcPr>
          <w:p>
            <w:pPr>
              <w:spacing w:after="0"/>
              <w:rPr>
                <w:sz w:val="11"/>
                <w:szCs w:val="11"/>
                <w:color w:val="auto"/>
              </w:rPr>
            </w:pPr>
          </w:p>
        </w:tc>
        <w:tc>
          <w:tcPr>
            <w:tcW w:w="420" w:type="dxa"/>
            <w:vAlign w:val="bottom"/>
          </w:tcPr>
          <w:p>
            <w:pPr>
              <w:spacing w:after="0"/>
              <w:rPr>
                <w:sz w:val="11"/>
                <w:szCs w:val="11"/>
                <w:color w:val="auto"/>
              </w:rPr>
            </w:pPr>
          </w:p>
        </w:tc>
        <w:tc>
          <w:tcPr>
            <w:tcW w:w="520" w:type="dxa"/>
            <w:vAlign w:val="bottom"/>
            <w:tcBorders>
              <w:top w:val="single" w:sz="8" w:color="auto"/>
            </w:tcBorders>
            <w:gridSpan w:val="3"/>
          </w:tcPr>
          <w:p>
            <w:pPr>
              <w:jc w:val="center"/>
              <w:ind w:right="60"/>
              <w:spacing w:after="0" w:line="129" w:lineRule="exact"/>
              <w:rPr>
                <w:sz w:val="20"/>
                <w:szCs w:val="20"/>
                <w:color w:val="auto"/>
              </w:rPr>
            </w:pPr>
            <w:r>
              <w:rPr>
                <w:rFonts w:ascii="Arial" w:cs="Arial" w:eastAsia="Arial" w:hAnsi="Arial"/>
                <w:sz w:val="14"/>
                <w:szCs w:val="14"/>
                <w:b w:val="1"/>
                <w:bCs w:val="1"/>
                <w:color w:val="auto"/>
                <w:w w:val="87"/>
              </w:rPr>
              <w:t>July 1,</w:t>
            </w:r>
          </w:p>
        </w:tc>
        <w:tc>
          <w:tcPr>
            <w:tcW w:w="540" w:type="dxa"/>
            <w:vAlign w:val="bottom"/>
            <w:tcBorders>
              <w:top w:val="single" w:sz="8" w:color="auto"/>
            </w:tcBorders>
          </w:tcPr>
          <w:p>
            <w:pPr>
              <w:spacing w:after="0"/>
              <w:rPr>
                <w:sz w:val="11"/>
                <w:szCs w:val="11"/>
                <w:color w:val="auto"/>
              </w:rPr>
            </w:pPr>
          </w:p>
        </w:tc>
        <w:tc>
          <w:tcPr>
            <w:tcW w:w="660" w:type="dxa"/>
            <w:vAlign w:val="bottom"/>
            <w:tcBorders>
              <w:top w:val="single" w:sz="8" w:color="auto"/>
            </w:tcBorders>
            <w:gridSpan w:val="2"/>
          </w:tcPr>
          <w:p>
            <w:pPr>
              <w:spacing w:after="0" w:line="129" w:lineRule="exact"/>
              <w:rPr>
                <w:sz w:val="20"/>
                <w:szCs w:val="20"/>
                <w:color w:val="auto"/>
              </w:rPr>
            </w:pPr>
            <w:r>
              <w:rPr>
                <w:rFonts w:ascii="Arial" w:cs="Arial" w:eastAsia="Arial" w:hAnsi="Arial"/>
                <w:sz w:val="14"/>
                <w:szCs w:val="14"/>
                <w:b w:val="1"/>
                <w:bCs w:val="1"/>
                <w:color w:val="auto"/>
                <w:w w:val="92"/>
              </w:rPr>
              <w:t>January 1,</w:t>
            </w:r>
          </w:p>
        </w:tc>
        <w:tc>
          <w:tcPr>
            <w:tcW w:w="100" w:type="dxa"/>
            <w:vAlign w:val="bottom"/>
          </w:tcPr>
          <w:p>
            <w:pPr>
              <w:spacing w:after="0"/>
              <w:rPr>
                <w:sz w:val="11"/>
                <w:szCs w:val="11"/>
                <w:color w:val="auto"/>
              </w:rPr>
            </w:pPr>
          </w:p>
        </w:tc>
      </w:tr>
      <w:tr>
        <w:trPr>
          <w:trHeight w:val="149"/>
        </w:trPr>
        <w:tc>
          <w:tcPr>
            <w:tcW w:w="40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660" w:type="dxa"/>
            <w:vAlign w:val="bottom"/>
            <w:tcBorders>
              <w:right w:val="single" w:sz="8" w:color="auto"/>
            </w:tcBorders>
          </w:tcPr>
          <w:p>
            <w:pPr>
              <w:spacing w:after="0"/>
              <w:rPr>
                <w:sz w:val="12"/>
                <w:szCs w:val="12"/>
                <w:color w:val="auto"/>
              </w:rPr>
            </w:pPr>
          </w:p>
        </w:tc>
        <w:tc>
          <w:tcPr>
            <w:tcW w:w="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tcPr>
          <w:p>
            <w:pPr>
              <w:jc w:val="center"/>
              <w:ind w:right="17"/>
              <w:spacing w:after="0" w:line="149" w:lineRule="exact"/>
              <w:rPr>
                <w:sz w:val="20"/>
                <w:szCs w:val="20"/>
                <w:color w:val="auto"/>
              </w:rPr>
            </w:pPr>
            <w:r>
              <w:rPr>
                <w:rFonts w:ascii="Arial" w:cs="Arial" w:eastAsia="Arial" w:hAnsi="Arial"/>
                <w:sz w:val="14"/>
                <w:szCs w:val="14"/>
                <w:b w:val="1"/>
                <w:bCs w:val="1"/>
                <w:color w:val="auto"/>
                <w:w w:val="83"/>
              </w:rPr>
              <w:t>2009</w:t>
            </w:r>
          </w:p>
        </w:tc>
        <w:tc>
          <w:tcPr>
            <w:tcW w:w="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jc w:val="center"/>
              <w:ind w:right="39"/>
              <w:spacing w:after="0" w:line="149" w:lineRule="exact"/>
              <w:rPr>
                <w:sz w:val="20"/>
                <w:szCs w:val="20"/>
                <w:color w:val="auto"/>
              </w:rPr>
            </w:pPr>
            <w:r>
              <w:rPr>
                <w:rFonts w:ascii="Arial" w:cs="Arial" w:eastAsia="Arial" w:hAnsi="Arial"/>
                <w:sz w:val="14"/>
                <w:szCs w:val="14"/>
                <w:b w:val="1"/>
                <w:bCs w:val="1"/>
                <w:color w:val="auto"/>
                <w:w w:val="89"/>
              </w:rPr>
              <w:t>2009</w:t>
            </w:r>
          </w:p>
        </w:tc>
        <w:tc>
          <w:tcPr>
            <w:tcW w:w="100" w:type="dxa"/>
            <w:vAlign w:val="bottom"/>
          </w:tcPr>
          <w:p>
            <w:pPr>
              <w:spacing w:after="0"/>
              <w:rPr>
                <w:sz w:val="12"/>
                <w:szCs w:val="12"/>
                <w:color w:val="auto"/>
              </w:rPr>
            </w:pPr>
          </w:p>
        </w:tc>
      </w:tr>
      <w:tr>
        <w:trPr>
          <w:trHeight w:val="149"/>
        </w:trPr>
        <w:tc>
          <w:tcPr>
            <w:tcW w:w="40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560" w:type="dxa"/>
            <w:vAlign w:val="bottom"/>
            <w:gridSpan w:val="2"/>
          </w:tcPr>
          <w:p>
            <w:pPr>
              <w:jc w:val="right"/>
              <w:ind w:right="700"/>
              <w:spacing w:after="0" w:line="149" w:lineRule="exact"/>
              <w:rPr>
                <w:sz w:val="20"/>
                <w:szCs w:val="20"/>
                <w:color w:val="auto"/>
              </w:rPr>
            </w:pPr>
            <w:r>
              <w:rPr>
                <w:rFonts w:ascii="Arial" w:cs="Arial" w:eastAsia="Arial" w:hAnsi="Arial"/>
                <w:sz w:val="14"/>
                <w:szCs w:val="14"/>
                <w:b w:val="1"/>
                <w:bCs w:val="1"/>
                <w:color w:val="auto"/>
                <w:w w:val="91"/>
              </w:rPr>
              <w:t>Three Months</w:t>
            </w:r>
          </w:p>
        </w:tc>
        <w:tc>
          <w:tcPr>
            <w:tcW w:w="140" w:type="dxa"/>
            <w:vAlign w:val="bottom"/>
          </w:tcPr>
          <w:p>
            <w:pPr>
              <w:spacing w:after="0"/>
              <w:rPr>
                <w:sz w:val="12"/>
                <w:szCs w:val="12"/>
                <w:color w:val="auto"/>
              </w:rPr>
            </w:pPr>
          </w:p>
        </w:tc>
        <w:tc>
          <w:tcPr>
            <w:tcW w:w="1540" w:type="dxa"/>
            <w:vAlign w:val="bottom"/>
            <w:gridSpan w:val="2"/>
          </w:tcPr>
          <w:p>
            <w:pPr>
              <w:jc w:val="center"/>
              <w:ind w:right="680"/>
              <w:spacing w:after="0" w:line="149" w:lineRule="exact"/>
              <w:rPr>
                <w:sz w:val="20"/>
                <w:szCs w:val="20"/>
                <w:color w:val="auto"/>
              </w:rPr>
            </w:pPr>
            <w:r>
              <w:rPr>
                <w:rFonts w:ascii="Arial" w:cs="Arial" w:eastAsia="Arial" w:hAnsi="Arial"/>
                <w:sz w:val="14"/>
                <w:szCs w:val="14"/>
                <w:b w:val="1"/>
                <w:bCs w:val="1"/>
                <w:color w:val="auto"/>
                <w:w w:val="88"/>
              </w:rPr>
              <w:t>Nine Months</w:t>
            </w:r>
          </w:p>
        </w:tc>
        <w:tc>
          <w:tcPr>
            <w:tcW w:w="140" w:type="dxa"/>
            <w:vAlign w:val="bottom"/>
          </w:tcPr>
          <w:p>
            <w:pPr>
              <w:spacing w:after="0"/>
              <w:rPr>
                <w:sz w:val="12"/>
                <w:szCs w:val="12"/>
                <w:color w:val="auto"/>
              </w:rPr>
            </w:pPr>
          </w:p>
        </w:tc>
        <w:tc>
          <w:tcPr>
            <w:tcW w:w="1640" w:type="dxa"/>
            <w:vAlign w:val="bottom"/>
            <w:tcBorders>
              <w:right w:val="single" w:sz="8" w:color="auto"/>
            </w:tcBorders>
            <w:gridSpan w:val="2"/>
          </w:tcPr>
          <w:p>
            <w:pPr>
              <w:jc w:val="right"/>
              <w:ind w:right="840"/>
              <w:spacing w:after="0" w:line="149" w:lineRule="exact"/>
              <w:rPr>
                <w:sz w:val="20"/>
                <w:szCs w:val="20"/>
                <w:color w:val="auto"/>
              </w:rPr>
            </w:pPr>
            <w:r>
              <w:rPr>
                <w:rFonts w:ascii="Arial" w:cs="Arial" w:eastAsia="Arial" w:hAnsi="Arial"/>
                <w:sz w:val="14"/>
                <w:szCs w:val="14"/>
                <w:b w:val="1"/>
                <w:bCs w:val="1"/>
                <w:color w:val="auto"/>
                <w:w w:val="90"/>
              </w:rPr>
              <w:t>July 10, 2009</w:t>
            </w:r>
          </w:p>
        </w:tc>
        <w:tc>
          <w:tcPr>
            <w:tcW w:w="420" w:type="dxa"/>
            <w:vAlign w:val="bottom"/>
          </w:tcPr>
          <w:p>
            <w:pPr>
              <w:spacing w:after="0"/>
              <w:rPr>
                <w:sz w:val="12"/>
                <w:szCs w:val="12"/>
                <w:color w:val="auto"/>
              </w:rPr>
            </w:pPr>
          </w:p>
        </w:tc>
        <w:tc>
          <w:tcPr>
            <w:tcW w:w="52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w w:val="87"/>
              </w:rPr>
              <w:t>Through</w:t>
            </w:r>
          </w:p>
        </w:tc>
        <w:tc>
          <w:tcPr>
            <w:tcW w:w="540" w:type="dxa"/>
            <w:vAlign w:val="bottom"/>
          </w:tcPr>
          <w:p>
            <w:pPr>
              <w:spacing w:after="0"/>
              <w:rPr>
                <w:sz w:val="12"/>
                <w:szCs w:val="12"/>
                <w:color w:val="auto"/>
              </w:rPr>
            </w:pPr>
          </w:p>
        </w:tc>
        <w:tc>
          <w:tcPr>
            <w:tcW w:w="760" w:type="dxa"/>
            <w:vAlign w:val="bottom"/>
            <w:gridSpan w:val="3"/>
          </w:tcPr>
          <w:p>
            <w:pPr>
              <w:jc w:val="center"/>
              <w:ind w:right="120"/>
              <w:spacing w:after="0" w:line="149" w:lineRule="exact"/>
              <w:rPr>
                <w:sz w:val="20"/>
                <w:szCs w:val="20"/>
                <w:color w:val="auto"/>
              </w:rPr>
            </w:pPr>
            <w:r>
              <w:rPr>
                <w:rFonts w:ascii="Arial" w:cs="Arial" w:eastAsia="Arial" w:hAnsi="Arial"/>
                <w:sz w:val="14"/>
                <w:szCs w:val="14"/>
                <w:b w:val="1"/>
                <w:bCs w:val="1"/>
                <w:color w:val="auto"/>
                <w:w w:val="91"/>
              </w:rPr>
              <w:t>Through</w:t>
            </w:r>
          </w:p>
        </w:tc>
      </w:tr>
      <w:tr>
        <w:trPr>
          <w:trHeight w:val="149"/>
        </w:trPr>
        <w:tc>
          <w:tcPr>
            <w:tcW w:w="40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560" w:type="dxa"/>
            <w:vAlign w:val="bottom"/>
            <w:gridSpan w:val="2"/>
          </w:tcPr>
          <w:p>
            <w:pPr>
              <w:jc w:val="right"/>
              <w:ind w:right="920"/>
              <w:spacing w:after="0" w:line="149" w:lineRule="exact"/>
              <w:rPr>
                <w:sz w:val="20"/>
                <w:szCs w:val="20"/>
                <w:color w:val="auto"/>
              </w:rPr>
            </w:pPr>
            <w:r>
              <w:rPr>
                <w:rFonts w:ascii="Arial" w:cs="Arial" w:eastAsia="Arial" w:hAnsi="Arial"/>
                <w:sz w:val="14"/>
                <w:szCs w:val="14"/>
                <w:b w:val="1"/>
                <w:bCs w:val="1"/>
                <w:color w:val="auto"/>
              </w:rPr>
              <w:t>Ended</w:t>
            </w:r>
          </w:p>
        </w:tc>
        <w:tc>
          <w:tcPr>
            <w:tcW w:w="140" w:type="dxa"/>
            <w:vAlign w:val="bottom"/>
          </w:tcPr>
          <w:p>
            <w:pPr>
              <w:spacing w:after="0"/>
              <w:rPr>
                <w:sz w:val="12"/>
                <w:szCs w:val="12"/>
                <w:color w:val="auto"/>
              </w:rPr>
            </w:pPr>
          </w:p>
        </w:tc>
        <w:tc>
          <w:tcPr>
            <w:tcW w:w="1540" w:type="dxa"/>
            <w:vAlign w:val="bottom"/>
            <w:gridSpan w:val="2"/>
          </w:tcPr>
          <w:p>
            <w:pPr>
              <w:jc w:val="center"/>
              <w:ind w:right="680"/>
              <w:spacing w:after="0" w:line="149" w:lineRule="exact"/>
              <w:rPr>
                <w:sz w:val="20"/>
                <w:szCs w:val="20"/>
                <w:color w:val="auto"/>
              </w:rPr>
            </w:pPr>
            <w:r>
              <w:rPr>
                <w:rFonts w:ascii="Arial" w:cs="Arial" w:eastAsia="Arial" w:hAnsi="Arial"/>
                <w:sz w:val="14"/>
                <w:szCs w:val="14"/>
                <w:b w:val="1"/>
                <w:bCs w:val="1"/>
                <w:color w:val="auto"/>
                <w:w w:val="87"/>
              </w:rPr>
              <w:t>Through</w:t>
            </w:r>
          </w:p>
        </w:tc>
        <w:tc>
          <w:tcPr>
            <w:tcW w:w="140" w:type="dxa"/>
            <w:vAlign w:val="bottom"/>
          </w:tcPr>
          <w:p>
            <w:pPr>
              <w:spacing w:after="0"/>
              <w:rPr>
                <w:sz w:val="12"/>
                <w:szCs w:val="12"/>
                <w:color w:val="auto"/>
              </w:rPr>
            </w:pPr>
          </w:p>
        </w:tc>
        <w:tc>
          <w:tcPr>
            <w:tcW w:w="1640" w:type="dxa"/>
            <w:vAlign w:val="bottom"/>
            <w:tcBorders>
              <w:right w:val="single" w:sz="8" w:color="auto"/>
            </w:tcBorders>
            <w:gridSpan w:val="2"/>
          </w:tcPr>
          <w:p>
            <w:pPr>
              <w:jc w:val="right"/>
              <w:ind w:right="960"/>
              <w:spacing w:after="0" w:line="149" w:lineRule="exact"/>
              <w:rPr>
                <w:sz w:val="20"/>
                <w:szCs w:val="20"/>
                <w:color w:val="auto"/>
              </w:rPr>
            </w:pPr>
            <w:r>
              <w:rPr>
                <w:rFonts w:ascii="Arial" w:cs="Arial" w:eastAsia="Arial" w:hAnsi="Arial"/>
                <w:sz w:val="14"/>
                <w:szCs w:val="14"/>
                <w:b w:val="1"/>
                <w:bCs w:val="1"/>
                <w:color w:val="auto"/>
              </w:rPr>
              <w:t>Through</w:t>
            </w:r>
          </w:p>
        </w:tc>
        <w:tc>
          <w:tcPr>
            <w:tcW w:w="420" w:type="dxa"/>
            <w:vAlign w:val="bottom"/>
          </w:tcPr>
          <w:p>
            <w:pPr>
              <w:spacing w:after="0"/>
              <w:rPr>
                <w:sz w:val="12"/>
                <w:szCs w:val="12"/>
                <w:color w:val="auto"/>
              </w:rPr>
            </w:pPr>
          </w:p>
        </w:tc>
        <w:tc>
          <w:tcPr>
            <w:tcW w:w="520" w:type="dxa"/>
            <w:vAlign w:val="bottom"/>
            <w:gridSpan w:val="3"/>
          </w:tcPr>
          <w:p>
            <w:pPr>
              <w:jc w:val="center"/>
              <w:ind w:right="20"/>
              <w:spacing w:after="0" w:line="149" w:lineRule="exact"/>
              <w:rPr>
                <w:sz w:val="20"/>
                <w:szCs w:val="20"/>
                <w:color w:val="auto"/>
              </w:rPr>
            </w:pPr>
            <w:r>
              <w:rPr>
                <w:rFonts w:ascii="Arial" w:cs="Arial" w:eastAsia="Arial" w:hAnsi="Arial"/>
                <w:sz w:val="14"/>
                <w:szCs w:val="14"/>
                <w:b w:val="1"/>
                <w:bCs w:val="1"/>
                <w:color w:val="auto"/>
                <w:w w:val="87"/>
              </w:rPr>
              <w:t>July 9,</w:t>
            </w: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1"/>
              </w:rPr>
              <w:t>July 9,</w:t>
            </w:r>
          </w:p>
        </w:tc>
      </w:tr>
      <w:tr>
        <w:trPr>
          <w:trHeight w:val="161"/>
        </w:trPr>
        <w:tc>
          <w:tcPr>
            <w:tcW w:w="4040" w:type="dxa"/>
            <w:vAlign w:val="bottom"/>
          </w:tcPr>
          <w:p>
            <w:pPr>
              <w:spacing w:after="0"/>
              <w:rPr>
                <w:sz w:val="14"/>
                <w:szCs w:val="14"/>
                <w:color w:val="auto"/>
              </w:rPr>
            </w:pPr>
          </w:p>
        </w:tc>
        <w:tc>
          <w:tcPr>
            <w:tcW w:w="1140" w:type="dxa"/>
            <w:vAlign w:val="bottom"/>
            <w:gridSpan w:val="2"/>
          </w:tcPr>
          <w:p>
            <w:pPr>
              <w:ind w:left="20"/>
              <w:spacing w:after="0"/>
              <w:rPr>
                <w:sz w:val="20"/>
                <w:szCs w:val="20"/>
                <w:color w:val="auto"/>
              </w:rPr>
            </w:pPr>
            <w:r>
              <w:rPr>
                <w:rFonts w:ascii="Arial" w:cs="Arial" w:eastAsia="Arial" w:hAnsi="Arial"/>
                <w:sz w:val="14"/>
                <w:szCs w:val="14"/>
                <w:b w:val="1"/>
                <w:bCs w:val="1"/>
                <w:color w:val="auto"/>
                <w:w w:val="84"/>
              </w:rPr>
              <w:t>September 30, 2010</w:t>
            </w:r>
          </w:p>
        </w:tc>
        <w:tc>
          <w:tcPr>
            <w:tcW w:w="540" w:type="dxa"/>
            <w:vAlign w:val="bottom"/>
          </w:tcPr>
          <w:p>
            <w:pPr>
              <w:spacing w:after="0"/>
              <w:rPr>
                <w:sz w:val="14"/>
                <w:szCs w:val="14"/>
                <w:color w:val="auto"/>
              </w:rPr>
            </w:pPr>
          </w:p>
        </w:tc>
        <w:tc>
          <w:tcPr>
            <w:tcW w:w="1140" w:type="dxa"/>
            <w:vAlign w:val="bottom"/>
            <w:gridSpan w:val="2"/>
          </w:tcPr>
          <w:p>
            <w:pPr>
              <w:spacing w:after="0"/>
              <w:rPr>
                <w:sz w:val="20"/>
                <w:szCs w:val="20"/>
                <w:color w:val="auto"/>
              </w:rPr>
            </w:pPr>
            <w:r>
              <w:rPr>
                <w:rFonts w:ascii="Arial" w:cs="Arial" w:eastAsia="Arial" w:hAnsi="Arial"/>
                <w:sz w:val="14"/>
                <w:szCs w:val="14"/>
                <w:b w:val="1"/>
                <w:bCs w:val="1"/>
                <w:color w:val="auto"/>
                <w:w w:val="85"/>
              </w:rPr>
              <w:t>September 30, 2010</w:t>
            </w:r>
          </w:p>
        </w:tc>
        <w:tc>
          <w:tcPr>
            <w:tcW w:w="540" w:type="dxa"/>
            <w:vAlign w:val="bottom"/>
          </w:tcPr>
          <w:p>
            <w:pPr>
              <w:spacing w:after="0"/>
              <w:rPr>
                <w:sz w:val="14"/>
                <w:szCs w:val="14"/>
                <w:color w:val="auto"/>
              </w:rPr>
            </w:pPr>
          </w:p>
        </w:tc>
        <w:tc>
          <w:tcPr>
            <w:tcW w:w="1780" w:type="dxa"/>
            <w:vAlign w:val="bottom"/>
            <w:tcBorders>
              <w:right w:val="single" w:sz="8" w:color="auto"/>
            </w:tcBorders>
            <w:gridSpan w:val="3"/>
          </w:tcPr>
          <w:p>
            <w:pPr>
              <w:spacing w:after="0"/>
              <w:rPr>
                <w:sz w:val="20"/>
                <w:szCs w:val="20"/>
                <w:color w:val="auto"/>
              </w:rPr>
            </w:pPr>
            <w:r>
              <w:rPr>
                <w:rFonts w:ascii="Arial" w:cs="Arial" w:eastAsia="Arial" w:hAnsi="Arial"/>
                <w:sz w:val="14"/>
                <w:szCs w:val="14"/>
                <w:b w:val="1"/>
                <w:bCs w:val="1"/>
                <w:color w:val="auto"/>
              </w:rPr>
              <w:t>September 30, 2009</w:t>
            </w:r>
          </w:p>
        </w:tc>
        <w:tc>
          <w:tcPr>
            <w:tcW w:w="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0" w:type="dxa"/>
            <w:vAlign w:val="bottom"/>
          </w:tcPr>
          <w:p>
            <w:pPr>
              <w:jc w:val="center"/>
              <w:ind w:right="17"/>
              <w:spacing w:after="0"/>
              <w:rPr>
                <w:sz w:val="20"/>
                <w:szCs w:val="20"/>
                <w:color w:val="auto"/>
              </w:rPr>
            </w:pPr>
            <w:r>
              <w:rPr>
                <w:rFonts w:ascii="Arial" w:cs="Arial" w:eastAsia="Arial" w:hAnsi="Arial"/>
                <w:sz w:val="14"/>
                <w:szCs w:val="14"/>
                <w:b w:val="1"/>
                <w:bCs w:val="1"/>
                <w:color w:val="auto"/>
                <w:w w:val="83"/>
              </w:rPr>
              <w:t>2009</w:t>
            </w:r>
          </w:p>
        </w:tc>
        <w:tc>
          <w:tcPr>
            <w:tcW w:w="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jc w:val="center"/>
              <w:ind w:right="39"/>
              <w:spacing w:after="0"/>
              <w:rPr>
                <w:sz w:val="20"/>
                <w:szCs w:val="20"/>
                <w:color w:val="auto"/>
              </w:rPr>
            </w:pPr>
            <w:r>
              <w:rPr>
                <w:rFonts w:ascii="Arial" w:cs="Arial" w:eastAsia="Arial" w:hAnsi="Arial"/>
                <w:sz w:val="14"/>
                <w:szCs w:val="14"/>
                <w:b w:val="1"/>
                <w:bCs w:val="1"/>
                <w:color w:val="auto"/>
                <w:w w:val="89"/>
              </w:rPr>
              <w:t>2009</w:t>
            </w:r>
          </w:p>
        </w:tc>
        <w:tc>
          <w:tcPr>
            <w:tcW w:w="100" w:type="dxa"/>
            <w:vAlign w:val="bottom"/>
          </w:tcPr>
          <w:p>
            <w:pPr>
              <w:spacing w:after="0"/>
              <w:rPr>
                <w:sz w:val="14"/>
                <w:szCs w:val="14"/>
                <w:color w:val="auto"/>
              </w:rPr>
            </w:pPr>
          </w:p>
        </w:tc>
      </w:tr>
      <w:tr>
        <w:trPr>
          <w:trHeight w:val="20"/>
        </w:trPr>
        <w:tc>
          <w:tcPr>
            <w:tcW w:w="40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660" w:type="dxa"/>
            <w:vAlign w:val="bottom"/>
            <w:tcBorders>
              <w:right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4040" w:type="dxa"/>
            <w:vAlign w:val="bottom"/>
            <w:shd w:val="clear" w:color="auto" w:fill="CCEEFF"/>
          </w:tcPr>
          <w:p>
            <w:pPr>
              <w:spacing w:after="0"/>
              <w:rPr>
                <w:sz w:val="20"/>
                <w:szCs w:val="20"/>
                <w:color w:val="auto"/>
              </w:rPr>
            </w:pPr>
            <w:r>
              <w:rPr>
                <w:rFonts w:ascii="Arial" w:cs="Arial" w:eastAsia="Arial" w:hAnsi="Arial"/>
                <w:sz w:val="18"/>
                <w:szCs w:val="18"/>
                <w:color w:val="auto"/>
              </w:rPr>
              <w:t>Net sales and revenue (reduction) (a)</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156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(427)</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54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(638)</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640" w:type="dxa"/>
            <w:vAlign w:val="bottom"/>
            <w:tcBorders>
              <w:right w:val="single" w:sz="8" w:color="auto"/>
            </w:tcBorders>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(205)</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640" w:type="dxa"/>
            <w:vAlign w:val="bottom"/>
            <w:gridSpan w:val="2"/>
            <w:shd w:val="clear" w:color="auto" w:fill="CCEEFF"/>
          </w:tcPr>
          <w:p>
            <w:pPr>
              <w:ind w:left="540"/>
              <w:spacing w:after="0"/>
              <w:rPr>
                <w:sz w:val="20"/>
                <w:szCs w:val="20"/>
                <w:color w:val="auto"/>
              </w:rPr>
            </w:pPr>
            <w:r>
              <w:rPr>
                <w:rFonts w:ascii="Arial" w:cs="Arial" w:eastAsia="Arial" w:hAnsi="Arial"/>
                <w:sz w:val="18"/>
                <w:szCs w:val="18"/>
                <w:color w:val="auto"/>
                <w:w w:val="79"/>
              </w:rPr>
              <w:t>$</w:t>
            </w: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207</w:t>
            </w:r>
          </w:p>
        </w:tc>
      </w:tr>
      <w:tr>
        <w:trPr>
          <w:trHeight w:val="216"/>
        </w:trPr>
        <w:tc>
          <w:tcPr>
            <w:tcW w:w="4040" w:type="dxa"/>
            <w:vAlign w:val="bottom"/>
          </w:tcPr>
          <w:p>
            <w:pPr>
              <w:spacing w:after="0"/>
              <w:rPr>
                <w:sz w:val="20"/>
                <w:szCs w:val="20"/>
                <w:color w:val="auto"/>
              </w:rPr>
            </w:pPr>
            <w:r>
              <w:rPr>
                <w:rFonts w:ascii="Arial" w:cs="Arial" w:eastAsia="Arial" w:hAnsi="Arial"/>
                <w:sz w:val="18"/>
                <w:szCs w:val="18"/>
                <w:color w:val="auto"/>
              </w:rPr>
              <w:t>Cost of sales and other expenses (b)</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1560" w:type="dxa"/>
            <w:vAlign w:val="bottom"/>
            <w:gridSpan w:val="2"/>
          </w:tcPr>
          <w:p>
            <w:pPr>
              <w:jc w:val="right"/>
              <w:ind w:right="540"/>
              <w:spacing w:after="0"/>
              <w:rPr>
                <w:sz w:val="20"/>
                <w:szCs w:val="20"/>
                <w:color w:val="auto"/>
              </w:rPr>
            </w:pPr>
            <w:r>
              <w:rPr>
                <w:rFonts w:ascii="Arial" w:cs="Arial" w:eastAsia="Arial" w:hAnsi="Arial"/>
                <w:sz w:val="18"/>
                <w:szCs w:val="18"/>
                <w:color w:val="auto"/>
              </w:rPr>
              <w:t>3</w:t>
            </w: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1540" w:type="dxa"/>
            <w:vAlign w:val="bottom"/>
            <w:gridSpan w:val="2"/>
          </w:tcPr>
          <w:p>
            <w:pPr>
              <w:jc w:val="right"/>
              <w:ind w:right="540"/>
              <w:spacing w:after="0"/>
              <w:rPr>
                <w:sz w:val="20"/>
                <w:szCs w:val="20"/>
                <w:color w:val="auto"/>
              </w:rPr>
            </w:pPr>
            <w:r>
              <w:rPr>
                <w:rFonts w:ascii="Arial" w:cs="Arial" w:eastAsia="Arial" w:hAnsi="Arial"/>
                <w:sz w:val="18"/>
                <w:szCs w:val="18"/>
                <w:color w:val="auto"/>
              </w:rPr>
              <w:t>32</w:t>
            </w: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68</w:t>
            </w:r>
          </w:p>
        </w:tc>
        <w:tc>
          <w:tcPr>
            <w:tcW w:w="660" w:type="dxa"/>
            <w:vAlign w:val="bottom"/>
            <w:tcBorders>
              <w:right w:val="single" w:sz="8" w:color="auto"/>
            </w:tcBorders>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420" w:type="dxa"/>
            <w:vAlign w:val="bottom"/>
            <w:gridSpan w:val="2"/>
          </w:tcPr>
          <w:p>
            <w:pPr>
              <w:jc w:val="right"/>
              <w:spacing w:after="0"/>
              <w:rPr>
                <w:sz w:val="20"/>
                <w:szCs w:val="20"/>
                <w:color w:val="auto"/>
              </w:rPr>
            </w:pPr>
            <w:r>
              <w:rPr>
                <w:rFonts w:ascii="Arial" w:cs="Arial" w:eastAsia="Arial" w:hAnsi="Arial"/>
                <w:sz w:val="18"/>
                <w:szCs w:val="18"/>
                <w:color w:val="auto"/>
              </w:rPr>
              <w:t>1</w:t>
            </w:r>
          </w:p>
        </w:tc>
        <w:tc>
          <w:tcPr>
            <w:tcW w:w="640" w:type="dxa"/>
            <w:vAlign w:val="bottom"/>
            <w:gridSpan w:val="2"/>
          </w:tcPr>
          <w:p>
            <w:pPr>
              <w:ind w:left="540"/>
              <w:spacing w:after="0"/>
              <w:rPr>
                <w:sz w:val="20"/>
                <w:szCs w:val="20"/>
                <w:color w:val="auto"/>
              </w:rPr>
            </w:pPr>
            <w:r>
              <w:rPr>
                <w:rFonts w:ascii="Arial" w:cs="Arial" w:eastAsia="Arial" w:hAnsi="Arial"/>
                <w:sz w:val="18"/>
                <w:szCs w:val="18"/>
                <w:color w:val="auto"/>
                <w:w w:val="79"/>
              </w:rPr>
              <w:t>$</w:t>
            </w: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180</w:t>
            </w:r>
          </w:p>
        </w:tc>
      </w:tr>
      <w:tr>
        <w:trPr>
          <w:trHeight w:val="208"/>
        </w:trPr>
        <w:tc>
          <w:tcPr>
            <w:tcW w:w="4040" w:type="dxa"/>
            <w:vAlign w:val="bottom"/>
            <w:shd w:val="clear" w:color="auto" w:fill="CCEEFF"/>
          </w:tcPr>
          <w:p>
            <w:pPr>
              <w:spacing w:after="0"/>
              <w:rPr>
                <w:sz w:val="20"/>
                <w:szCs w:val="20"/>
                <w:color w:val="auto"/>
              </w:rPr>
            </w:pPr>
            <w:r>
              <w:rPr>
                <w:rFonts w:ascii="Arial" w:cs="Arial" w:eastAsia="Arial" w:hAnsi="Arial"/>
                <w:sz w:val="18"/>
                <w:szCs w:val="18"/>
                <w:color w:val="auto"/>
              </w:rPr>
              <w:t>Interest income and other non-operating income,</w:t>
            </w: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660" w:type="dxa"/>
            <w:vAlign w:val="bottom"/>
            <w:tcBorders>
              <w:right w:val="single" w:sz="8" w:color="auto"/>
            </w:tcBorders>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24"/>
        </w:trPr>
        <w:tc>
          <w:tcPr>
            <w:tcW w:w="40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net (c)</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156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56</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54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172</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w:t>
            </w:r>
          </w:p>
        </w:tc>
        <w:tc>
          <w:tcPr>
            <w:tcW w:w="660" w:type="dxa"/>
            <w:vAlign w:val="bottom"/>
            <w:tcBorders>
              <w:right w:val="single" w:sz="8" w:color="auto"/>
            </w:tcBorders>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640" w:type="dxa"/>
            <w:vAlign w:val="bottom"/>
            <w:gridSpan w:val="2"/>
            <w:shd w:val="clear" w:color="auto" w:fill="CCEEFF"/>
          </w:tcPr>
          <w:p>
            <w:pPr>
              <w:ind w:left="540"/>
              <w:spacing w:after="0"/>
              <w:rPr>
                <w:sz w:val="20"/>
                <w:szCs w:val="20"/>
                <w:color w:val="auto"/>
              </w:rPr>
            </w:pPr>
            <w:r>
              <w:rPr>
                <w:rFonts w:ascii="Arial" w:cs="Arial" w:eastAsia="Arial" w:hAnsi="Arial"/>
                <w:sz w:val="18"/>
                <w:szCs w:val="18"/>
                <w:color w:val="auto"/>
                <w:w w:val="79"/>
              </w:rPr>
              <w:t>$</w:t>
            </w: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166</w:t>
            </w:r>
          </w:p>
        </w:tc>
      </w:tr>
      <w:tr>
        <w:trPr>
          <w:trHeight w:val="216"/>
        </w:trPr>
        <w:tc>
          <w:tcPr>
            <w:tcW w:w="4040" w:type="dxa"/>
            <w:vAlign w:val="bottom"/>
          </w:tcPr>
          <w:p>
            <w:pPr>
              <w:spacing w:after="0"/>
              <w:rPr>
                <w:sz w:val="20"/>
                <w:szCs w:val="20"/>
                <w:color w:val="auto"/>
              </w:rPr>
            </w:pPr>
            <w:r>
              <w:rPr>
                <w:rFonts w:ascii="Arial" w:cs="Arial" w:eastAsia="Arial" w:hAnsi="Arial"/>
                <w:sz w:val="18"/>
                <w:szCs w:val="18"/>
                <w:color w:val="auto"/>
              </w:rPr>
              <w:t>Interest expense (d)</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1560" w:type="dxa"/>
            <w:vAlign w:val="bottom"/>
            <w:gridSpan w:val="2"/>
          </w:tcPr>
          <w:p>
            <w:pPr>
              <w:jc w:val="right"/>
              <w:ind w:right="540"/>
              <w:spacing w:after="0"/>
              <w:rPr>
                <w:sz w:val="20"/>
                <w:szCs w:val="20"/>
                <w:color w:val="auto"/>
              </w:rPr>
            </w:pPr>
            <w:r>
              <w:rPr>
                <w:rFonts w:ascii="Arial" w:cs="Arial" w:eastAsia="Arial" w:hAnsi="Arial"/>
                <w:sz w:val="18"/>
                <w:szCs w:val="18"/>
                <w:color w:val="auto"/>
              </w:rPr>
              <w:t>56</w:t>
            </w: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1540" w:type="dxa"/>
            <w:vAlign w:val="bottom"/>
            <w:gridSpan w:val="2"/>
          </w:tcPr>
          <w:p>
            <w:pPr>
              <w:jc w:val="right"/>
              <w:ind w:right="540"/>
              <w:spacing w:after="0"/>
              <w:rPr>
                <w:sz w:val="20"/>
                <w:szCs w:val="20"/>
                <w:color w:val="auto"/>
              </w:rPr>
            </w:pPr>
            <w:r>
              <w:rPr>
                <w:rFonts w:ascii="Arial" w:cs="Arial" w:eastAsia="Arial" w:hAnsi="Arial"/>
                <w:sz w:val="18"/>
                <w:szCs w:val="18"/>
                <w:color w:val="auto"/>
              </w:rPr>
              <w:t>174</w:t>
            </w: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51</w:t>
            </w:r>
          </w:p>
        </w:tc>
        <w:tc>
          <w:tcPr>
            <w:tcW w:w="660" w:type="dxa"/>
            <w:vAlign w:val="bottom"/>
            <w:tcBorders>
              <w:right w:val="single" w:sz="8" w:color="auto"/>
            </w:tcBorders>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420" w:type="dxa"/>
            <w:vAlign w:val="bottom"/>
            <w:gridSpan w:val="2"/>
          </w:tcPr>
          <w:p>
            <w:pPr>
              <w:jc w:val="right"/>
              <w:spacing w:after="0"/>
              <w:rPr>
                <w:sz w:val="20"/>
                <w:szCs w:val="20"/>
                <w:color w:val="auto"/>
              </w:rPr>
            </w:pPr>
            <w:r>
              <w:rPr>
                <w:rFonts w:ascii="Arial" w:cs="Arial" w:eastAsia="Arial" w:hAnsi="Arial"/>
                <w:sz w:val="18"/>
                <w:szCs w:val="18"/>
                <w:color w:val="auto"/>
              </w:rPr>
              <w:t>5</w:t>
            </w:r>
          </w:p>
        </w:tc>
        <w:tc>
          <w:tcPr>
            <w:tcW w:w="640" w:type="dxa"/>
            <w:vAlign w:val="bottom"/>
            <w:gridSpan w:val="2"/>
          </w:tcPr>
          <w:p>
            <w:pPr>
              <w:ind w:left="540"/>
              <w:spacing w:after="0"/>
              <w:rPr>
                <w:sz w:val="20"/>
                <w:szCs w:val="20"/>
                <w:color w:val="auto"/>
              </w:rPr>
            </w:pPr>
            <w:r>
              <w:rPr>
                <w:rFonts w:ascii="Arial" w:cs="Arial" w:eastAsia="Arial" w:hAnsi="Arial"/>
                <w:sz w:val="18"/>
                <w:szCs w:val="18"/>
                <w:color w:val="auto"/>
                <w:w w:val="79"/>
              </w:rPr>
              <w:t>$</w:t>
            </w: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100</w:t>
            </w:r>
          </w:p>
        </w:tc>
      </w:tr>
      <w:tr>
        <w:trPr>
          <w:trHeight w:val="216"/>
        </w:trPr>
        <w:tc>
          <w:tcPr>
            <w:tcW w:w="4040" w:type="dxa"/>
            <w:vAlign w:val="bottom"/>
            <w:shd w:val="clear" w:color="auto" w:fill="CCEEFF"/>
          </w:tcPr>
          <w:p>
            <w:pPr>
              <w:spacing w:after="0"/>
              <w:rPr>
                <w:sz w:val="20"/>
                <w:szCs w:val="20"/>
                <w:color w:val="auto"/>
              </w:rPr>
            </w:pPr>
            <w:r>
              <w:rPr>
                <w:rFonts w:ascii="Arial" w:cs="Arial" w:eastAsia="Arial" w:hAnsi="Arial"/>
                <w:sz w:val="18"/>
                <w:szCs w:val="18"/>
                <w:color w:val="auto"/>
              </w:rPr>
              <w:t>Servicing expense (e)</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156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54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2</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660" w:type="dxa"/>
            <w:vAlign w:val="bottom"/>
            <w:tcBorders>
              <w:right w:val="single" w:sz="8" w:color="auto"/>
            </w:tcBorders>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ind w:left="540"/>
              <w:spacing w:after="0"/>
              <w:rPr>
                <w:sz w:val="20"/>
                <w:szCs w:val="20"/>
                <w:color w:val="auto"/>
              </w:rPr>
            </w:pPr>
            <w:r>
              <w:rPr>
                <w:rFonts w:ascii="Arial" w:cs="Arial" w:eastAsia="Arial" w:hAnsi="Arial"/>
                <w:sz w:val="18"/>
                <w:szCs w:val="18"/>
                <w:color w:val="auto"/>
                <w:w w:val="79"/>
              </w:rPr>
              <w:t>$</w:t>
            </w: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w:t>
            </w:r>
          </w:p>
        </w:tc>
      </w:tr>
      <w:tr>
        <w:trPr>
          <w:trHeight w:val="216"/>
        </w:trPr>
        <w:tc>
          <w:tcPr>
            <w:tcW w:w="4040" w:type="dxa"/>
            <w:vAlign w:val="bottom"/>
          </w:tcPr>
          <w:p>
            <w:pPr>
              <w:spacing w:after="0"/>
              <w:rPr>
                <w:sz w:val="20"/>
                <w:szCs w:val="20"/>
                <w:color w:val="auto"/>
              </w:rPr>
            </w:pPr>
            <w:r>
              <w:rPr>
                <w:rFonts w:ascii="Arial" w:cs="Arial" w:eastAsia="Arial" w:hAnsi="Arial"/>
                <w:sz w:val="18"/>
                <w:szCs w:val="18"/>
                <w:color w:val="auto"/>
              </w:rPr>
              <w:t>Derivative gains (losses) (f)</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1560" w:type="dxa"/>
            <w:vAlign w:val="bottom"/>
            <w:gridSpan w:val="2"/>
          </w:tcPr>
          <w:p>
            <w:pPr>
              <w:jc w:val="right"/>
              <w:ind w:right="5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1540" w:type="dxa"/>
            <w:vAlign w:val="bottom"/>
            <w:gridSpan w:val="2"/>
          </w:tcPr>
          <w:p>
            <w:pPr>
              <w:jc w:val="right"/>
              <w:ind w:right="5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1640" w:type="dxa"/>
            <w:vAlign w:val="bottom"/>
            <w:tcBorders>
              <w:right w:val="single" w:sz="8" w:color="auto"/>
            </w:tcBorders>
            <w:gridSpan w:val="2"/>
          </w:tcPr>
          <w:p>
            <w:pPr>
              <w:jc w:val="right"/>
              <w:ind w:right="600"/>
              <w:spacing w:after="0"/>
              <w:rPr>
                <w:sz w:val="20"/>
                <w:szCs w:val="20"/>
                <w:color w:val="auto"/>
              </w:rPr>
            </w:pPr>
            <w:r>
              <w:rPr>
                <w:rFonts w:ascii="Arial" w:cs="Arial" w:eastAsia="Arial" w:hAnsi="Arial"/>
                <w:sz w:val="18"/>
                <w:szCs w:val="18"/>
                <w:color w:val="auto"/>
              </w:rPr>
              <w:t>(1)</w:t>
            </w:r>
          </w:p>
        </w:tc>
        <w:tc>
          <w:tcPr>
            <w:tcW w:w="420" w:type="dxa"/>
            <w:vAlign w:val="bottom"/>
          </w:tcPr>
          <w:p>
            <w:pPr>
              <w:spacing w:after="0"/>
              <w:rPr>
                <w:sz w:val="18"/>
                <w:szCs w:val="18"/>
                <w:color w:val="auto"/>
              </w:rPr>
            </w:pP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4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40" w:type="dxa"/>
            <w:vAlign w:val="bottom"/>
            <w:gridSpan w:val="2"/>
          </w:tcPr>
          <w:p>
            <w:pPr>
              <w:ind w:left="540"/>
              <w:spacing w:after="0"/>
              <w:rPr>
                <w:sz w:val="20"/>
                <w:szCs w:val="20"/>
                <w:color w:val="auto"/>
              </w:rPr>
            </w:pPr>
            <w:r>
              <w:rPr>
                <w:rFonts w:ascii="Arial" w:cs="Arial" w:eastAsia="Arial" w:hAnsi="Arial"/>
                <w:sz w:val="18"/>
                <w:szCs w:val="18"/>
                <w:color w:val="auto"/>
                <w:w w:val="79"/>
              </w:rPr>
              <w:t>$</w:t>
            </w:r>
          </w:p>
        </w:tc>
        <w:tc>
          <w:tcPr>
            <w:tcW w:w="660" w:type="dxa"/>
            <w:vAlign w:val="bottom"/>
            <w:gridSpan w:val="2"/>
          </w:tcPr>
          <w:p>
            <w:pPr>
              <w:jc w:val="right"/>
              <w:ind w:right="40"/>
              <w:spacing w:after="0"/>
              <w:rPr>
                <w:sz w:val="20"/>
                <w:szCs w:val="20"/>
                <w:color w:val="auto"/>
              </w:rPr>
            </w:pPr>
            <w:r>
              <w:rPr>
                <w:rFonts w:ascii="Arial" w:cs="Arial" w:eastAsia="Arial" w:hAnsi="Arial"/>
                <w:sz w:val="18"/>
                <w:szCs w:val="18"/>
                <w:color w:val="auto"/>
              </w:rPr>
              <w:t>(2)</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728980" cy="889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20" w:lineRule="exact"/>
        <w:rPr>
          <w:sz w:val="20"/>
          <w:szCs w:val="20"/>
          <w:color w:val="auto"/>
        </w:rPr>
      </w:pPr>
    </w:p>
    <w:p>
      <w:pPr>
        <w:ind w:left="460" w:hanging="452"/>
        <w:spacing w:after="0" w:line="294" w:lineRule="auto"/>
        <w:tabs>
          <w:tab w:leader="none" w:pos="460" w:val="left"/>
        </w:tabs>
        <w:numPr>
          <w:ilvl w:val="0"/>
          <w:numId w:val="52"/>
        </w:numPr>
        <w:rPr>
          <w:rFonts w:ascii="Arial" w:cs="Arial" w:eastAsia="Arial" w:hAnsi="Arial"/>
          <w:sz w:val="16"/>
          <w:szCs w:val="16"/>
          <w:color w:val="auto"/>
        </w:rPr>
      </w:pPr>
      <w:r>
        <w:rPr>
          <w:rFonts w:ascii="Arial" w:cs="Arial" w:eastAsia="Arial" w:hAnsi="Arial"/>
          <w:sz w:val="16"/>
          <w:szCs w:val="16"/>
          <w:color w:val="auto"/>
        </w:rPr>
        <w:t>Primarily represents the increase (reduction) in net sales and revenues for marketing incentives on vehicles which are sold, or anticipated to be sold, to customers or dealers and financed by Ally Financial. This includes the estimated amount of residual support accrued under residual support and risk sharing programs, rate support under the interest rate support programs, operating lease and finance receivable capitalized cost reduction incentives paid to Ally Financial to reduce the capitalized cost in automotive lease contracts and retail automotive contracts, and costs under lease pull-ahead programs. This amount is offset by net sales for vehicles sold to Ally Financial for employee and governmental lease programs and third party resale purposes.</w:t>
      </w:r>
    </w:p>
    <w:p>
      <w:pPr>
        <w:spacing w:after="0" w:line="34" w:lineRule="exact"/>
        <w:rPr>
          <w:rFonts w:ascii="Arial" w:cs="Arial" w:eastAsia="Arial" w:hAnsi="Arial"/>
          <w:sz w:val="16"/>
          <w:szCs w:val="16"/>
          <w:color w:val="auto"/>
        </w:rPr>
      </w:pPr>
    </w:p>
    <w:p>
      <w:pPr>
        <w:ind w:left="460" w:right="180" w:hanging="452"/>
        <w:spacing w:after="0" w:line="268" w:lineRule="auto"/>
        <w:tabs>
          <w:tab w:leader="none" w:pos="460" w:val="left"/>
        </w:tabs>
        <w:numPr>
          <w:ilvl w:val="0"/>
          <w:numId w:val="52"/>
        </w:numPr>
        <w:rPr>
          <w:rFonts w:ascii="Arial" w:cs="Arial" w:eastAsia="Arial" w:hAnsi="Arial"/>
          <w:sz w:val="18"/>
          <w:szCs w:val="18"/>
          <w:color w:val="auto"/>
        </w:rPr>
      </w:pPr>
      <w:r>
        <w:rPr>
          <w:rFonts w:ascii="Arial" w:cs="Arial" w:eastAsia="Arial" w:hAnsi="Arial"/>
          <w:sz w:val="18"/>
          <w:szCs w:val="18"/>
          <w:color w:val="auto"/>
        </w:rPr>
        <w:t>Primarily represents cost of sales on the sale of vehicles to Ally Financial for employee and governmental lease programs and third party resale purposes. Also includes miscellaneous expenses on services performed by Ally Financial.</w:t>
      </w:r>
    </w:p>
    <w:p>
      <w:pPr>
        <w:spacing w:after="0" w:line="50" w:lineRule="exact"/>
        <w:rPr>
          <w:rFonts w:ascii="Arial" w:cs="Arial" w:eastAsia="Arial" w:hAnsi="Arial"/>
          <w:sz w:val="18"/>
          <w:szCs w:val="18"/>
          <w:color w:val="auto"/>
        </w:rPr>
      </w:pPr>
    </w:p>
    <w:p>
      <w:pPr>
        <w:ind w:left="460" w:right="440" w:hanging="452"/>
        <w:spacing w:after="0" w:line="335" w:lineRule="auto"/>
        <w:tabs>
          <w:tab w:leader="none" w:pos="460" w:val="left"/>
        </w:tabs>
        <w:numPr>
          <w:ilvl w:val="0"/>
          <w:numId w:val="52"/>
        </w:numPr>
        <w:rPr>
          <w:rFonts w:ascii="Arial" w:cs="Arial" w:eastAsia="Arial" w:hAnsi="Arial"/>
          <w:sz w:val="15"/>
          <w:szCs w:val="15"/>
          <w:color w:val="auto"/>
        </w:rPr>
      </w:pPr>
      <w:r>
        <w:rPr>
          <w:rFonts w:ascii="Arial" w:cs="Arial" w:eastAsia="Arial" w:hAnsi="Arial"/>
          <w:sz w:val="15"/>
          <w:szCs w:val="15"/>
          <w:color w:val="auto"/>
        </w:rPr>
        <w:t>Represents income on investments in Ally Financial preferred stock and Preferred Membership Interests, exclusivity and royalty fee income and reimbursements by Ally Financial for certain services provided to Ally Financial. Included in this amount is rental income related to Ally Financial’s primary executive and administrative offices located in the Renaissance Center in Detroit, Michigan. The lease agreement expires in November 2016.</w:t>
      </w:r>
    </w:p>
    <w:p>
      <w:pPr>
        <w:spacing w:after="0" w:line="7" w:lineRule="exact"/>
        <w:rPr>
          <w:rFonts w:ascii="Arial" w:cs="Arial" w:eastAsia="Arial" w:hAnsi="Arial"/>
          <w:sz w:val="15"/>
          <w:szCs w:val="15"/>
          <w:color w:val="auto"/>
        </w:rPr>
      </w:pPr>
    </w:p>
    <w:p>
      <w:pPr>
        <w:ind w:left="460" w:hanging="452"/>
        <w:spacing w:after="0"/>
        <w:tabs>
          <w:tab w:leader="none" w:pos="460" w:val="left"/>
        </w:tabs>
        <w:numPr>
          <w:ilvl w:val="0"/>
          <w:numId w:val="52"/>
        </w:numPr>
        <w:rPr>
          <w:rFonts w:ascii="Arial" w:cs="Arial" w:eastAsia="Arial" w:hAnsi="Arial"/>
          <w:sz w:val="18"/>
          <w:szCs w:val="18"/>
          <w:color w:val="auto"/>
        </w:rPr>
      </w:pPr>
      <w:r>
        <w:rPr>
          <w:rFonts w:ascii="Arial" w:cs="Arial" w:eastAsia="Arial" w:hAnsi="Arial"/>
          <w:sz w:val="18"/>
          <w:szCs w:val="18"/>
          <w:color w:val="auto"/>
        </w:rPr>
        <w:t>Represents interest incurred on term loans, notes payable and wholesale settlements.</w:t>
      </w:r>
    </w:p>
    <w:p>
      <w:pPr>
        <w:spacing w:after="0" w:line="90" w:lineRule="exact"/>
        <w:rPr>
          <w:rFonts w:ascii="Arial" w:cs="Arial" w:eastAsia="Arial" w:hAnsi="Arial"/>
          <w:sz w:val="18"/>
          <w:szCs w:val="18"/>
          <w:color w:val="auto"/>
        </w:rPr>
      </w:pPr>
    </w:p>
    <w:p>
      <w:pPr>
        <w:ind w:left="460" w:hanging="452"/>
        <w:spacing w:after="0"/>
        <w:tabs>
          <w:tab w:leader="none" w:pos="460" w:val="left"/>
        </w:tabs>
        <w:numPr>
          <w:ilvl w:val="0"/>
          <w:numId w:val="52"/>
        </w:numPr>
        <w:rPr>
          <w:rFonts w:ascii="Arial" w:cs="Arial" w:eastAsia="Arial" w:hAnsi="Arial"/>
          <w:sz w:val="18"/>
          <w:szCs w:val="18"/>
          <w:color w:val="auto"/>
        </w:rPr>
      </w:pPr>
      <w:r>
        <w:rPr>
          <w:rFonts w:ascii="Arial" w:cs="Arial" w:eastAsia="Arial" w:hAnsi="Arial"/>
          <w:sz w:val="18"/>
          <w:szCs w:val="18"/>
          <w:color w:val="auto"/>
        </w:rPr>
        <w:t>Represents servicing fees paid to Ally Financial on certain automotive retail leases.</w:t>
      </w:r>
    </w:p>
    <w:p>
      <w:pPr>
        <w:spacing w:after="0" w:line="90" w:lineRule="exact"/>
        <w:rPr>
          <w:rFonts w:ascii="Arial" w:cs="Arial" w:eastAsia="Arial" w:hAnsi="Arial"/>
          <w:sz w:val="18"/>
          <w:szCs w:val="18"/>
          <w:color w:val="auto"/>
        </w:rPr>
      </w:pPr>
    </w:p>
    <w:p>
      <w:pPr>
        <w:ind w:left="460" w:hanging="452"/>
        <w:spacing w:after="0"/>
        <w:tabs>
          <w:tab w:leader="none" w:pos="460" w:val="left"/>
        </w:tabs>
        <w:numPr>
          <w:ilvl w:val="0"/>
          <w:numId w:val="52"/>
        </w:numPr>
        <w:rPr>
          <w:rFonts w:ascii="Arial" w:cs="Arial" w:eastAsia="Arial" w:hAnsi="Arial"/>
          <w:sz w:val="18"/>
          <w:szCs w:val="18"/>
          <w:color w:val="auto"/>
        </w:rPr>
      </w:pPr>
      <w:r>
        <w:rPr>
          <w:rFonts w:ascii="Arial" w:cs="Arial" w:eastAsia="Arial" w:hAnsi="Arial"/>
          <w:sz w:val="18"/>
          <w:szCs w:val="18"/>
          <w:color w:val="auto"/>
        </w:rPr>
        <w:t>Represents amounts recorded in connection with a derivative transaction entered into with Ally Financial as the counterparty.</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24. Transactions with MLC</w:t>
      </w:r>
    </w:p>
    <w:p>
      <w:pPr>
        <w:spacing w:after="0" w:line="177" w:lineRule="exact"/>
        <w:rPr>
          <w:sz w:val="20"/>
          <w:szCs w:val="20"/>
          <w:color w:val="auto"/>
        </w:rPr>
      </w:pPr>
    </w:p>
    <w:p>
      <w:pPr>
        <w:ind w:right="540" w:firstLine="228"/>
        <w:spacing w:after="0" w:line="268" w:lineRule="auto"/>
        <w:rPr>
          <w:sz w:val="20"/>
          <w:szCs w:val="20"/>
          <w:color w:val="auto"/>
        </w:rPr>
      </w:pPr>
      <w:r>
        <w:rPr>
          <w:rFonts w:ascii="Arial" w:cs="Arial" w:eastAsia="Arial" w:hAnsi="Arial"/>
          <w:sz w:val="18"/>
          <w:szCs w:val="18"/>
          <w:color w:val="auto"/>
        </w:rPr>
        <w:t>We and MLC entered into a Transition Services Agreement (TSA), as more fully discussed in our Form S-1. The following tables describe the financial statement effects of the transactions with MLC.</w:t>
      </w:r>
    </w:p>
    <w:p>
      <w:pPr>
        <w:spacing w:after="0" w:line="132" w:lineRule="exact"/>
        <w:rPr>
          <w:sz w:val="20"/>
          <w:szCs w:val="20"/>
          <w:color w:val="auto"/>
        </w:rPr>
      </w:pPr>
    </w:p>
    <w:p>
      <w:pPr>
        <w:ind w:right="180" w:firstLine="228"/>
        <w:spacing w:after="0" w:line="332" w:lineRule="auto"/>
        <w:rPr>
          <w:sz w:val="20"/>
          <w:szCs w:val="20"/>
          <w:color w:val="auto"/>
        </w:rPr>
      </w:pPr>
      <w:r>
        <w:rPr>
          <w:rFonts w:ascii="Arial" w:cs="Arial" w:eastAsia="Arial" w:hAnsi="Arial"/>
          <w:sz w:val="16"/>
          <w:szCs w:val="16"/>
          <w:color w:val="auto"/>
        </w:rPr>
        <w:t>On October 1, 2010 we completed the acquisition of the GM Strasbourg transmission business from MLC. The purchase price was one Euro. We believe the net asset value of the business to be immaterial; however, valuation of the assets acquired and liabilities assumed is ongoing.</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Statement of Operations</w:t>
      </w:r>
    </w:p>
    <w:p>
      <w:pPr>
        <w:spacing w:after="0" w:line="177" w:lineRule="exact"/>
        <w:rPr>
          <w:sz w:val="20"/>
          <w:szCs w:val="20"/>
          <w:color w:val="auto"/>
        </w:rPr>
      </w:pPr>
    </w:p>
    <w:p>
      <w:pPr>
        <w:ind w:left="240"/>
        <w:spacing w:after="0"/>
        <w:rPr>
          <w:sz w:val="20"/>
          <w:szCs w:val="20"/>
          <w:color w:val="auto"/>
        </w:rPr>
      </w:pPr>
      <w:r>
        <w:rPr>
          <w:rFonts w:ascii="Arial" w:cs="Arial" w:eastAsia="Arial" w:hAnsi="Arial"/>
          <w:sz w:val="18"/>
          <w:szCs w:val="18"/>
          <w:color w:val="auto"/>
        </w:rPr>
        <w:t>The following table summarizes the income statement effects of transactions with MLC (dollars in millions):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8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520" w:type="dxa"/>
            <w:vAlign w:val="bottom"/>
            <w:tcBorders>
              <w:bottom w:val="single" w:sz="8" w:color="auto"/>
            </w:tcBorders>
            <w:gridSpan w:val="2"/>
          </w:tcPr>
          <w:p>
            <w:pPr>
              <w:jc w:val="center"/>
              <w:ind w:right="680"/>
              <w:spacing w:after="0"/>
              <w:rPr>
                <w:sz w:val="20"/>
                <w:szCs w:val="20"/>
                <w:color w:val="auto"/>
              </w:rPr>
            </w:pPr>
            <w:r>
              <w:rPr>
                <w:rFonts w:ascii="Arial" w:cs="Arial" w:eastAsia="Arial" w:hAnsi="Arial"/>
                <w:sz w:val="14"/>
                <w:szCs w:val="14"/>
                <w:b w:val="1"/>
                <w:bCs w:val="1"/>
                <w:color w:val="auto"/>
                <w:w w:val="79"/>
              </w:rPr>
              <w:t>Successor</w:t>
            </w:r>
          </w:p>
        </w:tc>
        <w:tc>
          <w:tcPr>
            <w:tcW w:w="46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29"/>
        </w:trPr>
        <w:tc>
          <w:tcPr>
            <w:tcW w:w="48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00" w:type="dxa"/>
            <w:vAlign w:val="bottom"/>
            <w:gridSpan w:val="2"/>
          </w:tcPr>
          <w:p>
            <w:pPr>
              <w:jc w:val="right"/>
              <w:ind w:right="1140"/>
              <w:spacing w:after="0" w:line="129" w:lineRule="exact"/>
              <w:rPr>
                <w:sz w:val="20"/>
                <w:szCs w:val="20"/>
                <w:color w:val="auto"/>
              </w:rPr>
            </w:pPr>
            <w:r>
              <w:rPr>
                <w:rFonts w:ascii="Arial" w:cs="Arial" w:eastAsia="Arial" w:hAnsi="Arial"/>
                <w:sz w:val="14"/>
                <w:szCs w:val="14"/>
                <w:b w:val="1"/>
                <w:bCs w:val="1"/>
                <w:color w:val="auto"/>
                <w:w w:val="91"/>
              </w:rPr>
              <w:t>Three Months</w:t>
            </w:r>
          </w:p>
        </w:tc>
        <w:tc>
          <w:tcPr>
            <w:tcW w:w="140" w:type="dxa"/>
            <w:vAlign w:val="bottom"/>
          </w:tcPr>
          <w:p>
            <w:pPr>
              <w:spacing w:after="0"/>
              <w:rPr>
                <w:sz w:val="11"/>
                <w:szCs w:val="11"/>
                <w:color w:val="auto"/>
              </w:rPr>
            </w:pPr>
          </w:p>
        </w:tc>
        <w:tc>
          <w:tcPr>
            <w:tcW w:w="1520" w:type="dxa"/>
            <w:vAlign w:val="bottom"/>
            <w:gridSpan w:val="2"/>
          </w:tcPr>
          <w:p>
            <w:pPr>
              <w:jc w:val="center"/>
              <w:ind w:right="660"/>
              <w:spacing w:after="0" w:line="129" w:lineRule="exact"/>
              <w:rPr>
                <w:sz w:val="20"/>
                <w:szCs w:val="20"/>
                <w:color w:val="auto"/>
              </w:rPr>
            </w:pPr>
            <w:r>
              <w:rPr>
                <w:rFonts w:ascii="Arial" w:cs="Arial" w:eastAsia="Arial" w:hAnsi="Arial"/>
                <w:sz w:val="14"/>
                <w:szCs w:val="14"/>
                <w:b w:val="1"/>
                <w:bCs w:val="1"/>
                <w:color w:val="auto"/>
                <w:w w:val="88"/>
              </w:rPr>
              <w:t>Nine Months</w:t>
            </w:r>
          </w:p>
        </w:tc>
        <w:tc>
          <w:tcPr>
            <w:tcW w:w="4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0" w:type="dxa"/>
            <w:vAlign w:val="bottom"/>
          </w:tcPr>
          <w:p>
            <w:pPr>
              <w:jc w:val="right"/>
              <w:ind w:right="122"/>
              <w:spacing w:after="0" w:line="129" w:lineRule="exact"/>
              <w:rPr>
                <w:sz w:val="20"/>
                <w:szCs w:val="20"/>
                <w:color w:val="auto"/>
              </w:rPr>
            </w:pPr>
            <w:r>
              <w:rPr>
                <w:rFonts w:ascii="Arial" w:cs="Arial" w:eastAsia="Arial" w:hAnsi="Arial"/>
                <w:sz w:val="14"/>
                <w:szCs w:val="14"/>
                <w:b w:val="1"/>
                <w:bCs w:val="1"/>
                <w:color w:val="auto"/>
                <w:w w:val="90"/>
              </w:rPr>
              <w:t>July 10, 2009</w:t>
            </w:r>
          </w:p>
        </w:tc>
        <w:tc>
          <w:tcPr>
            <w:tcW w:w="100" w:type="dxa"/>
            <w:vAlign w:val="bottom"/>
          </w:tcPr>
          <w:p>
            <w:pPr>
              <w:spacing w:after="0"/>
              <w:rPr>
                <w:sz w:val="11"/>
                <w:szCs w:val="11"/>
                <w:color w:val="auto"/>
              </w:rPr>
            </w:pPr>
          </w:p>
        </w:tc>
      </w:tr>
      <w:tr>
        <w:trPr>
          <w:trHeight w:val="149"/>
        </w:trPr>
        <w:tc>
          <w:tcPr>
            <w:tcW w:w="482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0" w:type="dxa"/>
            <w:vAlign w:val="bottom"/>
            <w:gridSpan w:val="2"/>
          </w:tcPr>
          <w:p>
            <w:pPr>
              <w:jc w:val="right"/>
              <w:ind w:right="1360"/>
              <w:spacing w:after="0" w:line="149" w:lineRule="exact"/>
              <w:rPr>
                <w:sz w:val="20"/>
                <w:szCs w:val="20"/>
                <w:color w:val="auto"/>
              </w:rPr>
            </w:pPr>
            <w:r>
              <w:rPr>
                <w:rFonts w:ascii="Arial" w:cs="Arial" w:eastAsia="Arial" w:hAnsi="Arial"/>
                <w:sz w:val="14"/>
                <w:szCs w:val="14"/>
                <w:b w:val="1"/>
                <w:bCs w:val="1"/>
                <w:color w:val="auto"/>
              </w:rPr>
              <w:t>Ended</w:t>
            </w:r>
          </w:p>
        </w:tc>
        <w:tc>
          <w:tcPr>
            <w:tcW w:w="140" w:type="dxa"/>
            <w:vAlign w:val="bottom"/>
          </w:tcPr>
          <w:p>
            <w:pPr>
              <w:spacing w:after="0"/>
              <w:rPr>
                <w:sz w:val="12"/>
                <w:szCs w:val="12"/>
                <w:color w:val="auto"/>
              </w:rPr>
            </w:pPr>
          </w:p>
        </w:tc>
        <w:tc>
          <w:tcPr>
            <w:tcW w:w="1520" w:type="dxa"/>
            <w:vAlign w:val="bottom"/>
            <w:gridSpan w:val="2"/>
          </w:tcPr>
          <w:p>
            <w:pPr>
              <w:jc w:val="center"/>
              <w:ind w:right="660"/>
              <w:spacing w:after="0" w:line="149" w:lineRule="exact"/>
              <w:rPr>
                <w:sz w:val="20"/>
                <w:szCs w:val="20"/>
                <w:color w:val="auto"/>
              </w:rPr>
            </w:pPr>
            <w:r>
              <w:rPr>
                <w:rFonts w:ascii="Arial" w:cs="Arial" w:eastAsia="Arial" w:hAnsi="Arial"/>
                <w:sz w:val="14"/>
                <w:szCs w:val="14"/>
                <w:b w:val="1"/>
                <w:bCs w:val="1"/>
                <w:color w:val="auto"/>
                <w:w w:val="88"/>
              </w:rPr>
              <w:t>Ended</w:t>
            </w:r>
          </w:p>
        </w:tc>
        <w:tc>
          <w:tcPr>
            <w:tcW w:w="4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00" w:type="dxa"/>
            <w:vAlign w:val="bottom"/>
            <w:gridSpan w:val="2"/>
          </w:tcPr>
          <w:p>
            <w:pPr>
              <w:jc w:val="right"/>
              <w:ind w:right="420"/>
              <w:spacing w:after="0" w:line="149" w:lineRule="exact"/>
              <w:rPr>
                <w:sz w:val="20"/>
                <w:szCs w:val="20"/>
                <w:color w:val="auto"/>
              </w:rPr>
            </w:pPr>
            <w:r>
              <w:rPr>
                <w:rFonts w:ascii="Arial" w:cs="Arial" w:eastAsia="Arial" w:hAnsi="Arial"/>
                <w:sz w:val="14"/>
                <w:szCs w:val="14"/>
                <w:b w:val="1"/>
                <w:bCs w:val="1"/>
                <w:color w:val="auto"/>
              </w:rPr>
              <w:t>Through</w:t>
            </w:r>
          </w:p>
        </w:tc>
      </w:tr>
      <w:tr>
        <w:trPr>
          <w:trHeight w:val="161"/>
        </w:trPr>
        <w:tc>
          <w:tcPr>
            <w:tcW w:w="48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40" w:type="dxa"/>
            <w:vAlign w:val="bottom"/>
            <w:tcBorders>
              <w:bottom w:val="single" w:sz="8" w:color="auto"/>
            </w:tcBorders>
            <w:gridSpan w:val="2"/>
          </w:tcPr>
          <w:p>
            <w:pPr>
              <w:spacing w:after="0"/>
              <w:rPr>
                <w:sz w:val="20"/>
                <w:szCs w:val="20"/>
                <w:color w:val="auto"/>
              </w:rPr>
            </w:pPr>
            <w:r>
              <w:rPr>
                <w:rFonts w:ascii="Arial" w:cs="Arial" w:eastAsia="Arial" w:hAnsi="Arial"/>
                <w:sz w:val="14"/>
                <w:szCs w:val="14"/>
                <w:b w:val="1"/>
                <w:bCs w:val="1"/>
                <w:color w:val="auto"/>
                <w:w w:val="85"/>
              </w:rPr>
              <w:t>September 30, 2010</w:t>
            </w:r>
          </w:p>
        </w:tc>
        <w:tc>
          <w:tcPr>
            <w:tcW w:w="980" w:type="dxa"/>
            <w:vAlign w:val="bottom"/>
          </w:tcPr>
          <w:p>
            <w:pPr>
              <w:spacing w:after="0"/>
              <w:rPr>
                <w:sz w:val="14"/>
                <w:szCs w:val="14"/>
                <w:color w:val="auto"/>
              </w:rPr>
            </w:pPr>
          </w:p>
        </w:tc>
        <w:tc>
          <w:tcPr>
            <w:tcW w:w="114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85"/>
              </w:rPr>
              <w:t>September 30, 2010</w:t>
            </w:r>
          </w:p>
        </w:tc>
        <w:tc>
          <w:tcPr>
            <w:tcW w:w="5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140" w:type="dxa"/>
            <w:vAlign w:val="bottom"/>
            <w:tcBorders>
              <w:bottom w:val="single" w:sz="8" w:color="auto"/>
            </w:tcBorders>
            <w:gridSpan w:val="2"/>
          </w:tcPr>
          <w:p>
            <w:pPr>
              <w:spacing w:after="0"/>
              <w:rPr>
                <w:sz w:val="20"/>
                <w:szCs w:val="20"/>
                <w:color w:val="auto"/>
              </w:rPr>
            </w:pPr>
            <w:r>
              <w:rPr>
                <w:rFonts w:ascii="Arial" w:cs="Arial" w:eastAsia="Arial" w:hAnsi="Arial"/>
                <w:sz w:val="14"/>
                <w:szCs w:val="14"/>
                <w:b w:val="1"/>
                <w:bCs w:val="1"/>
                <w:color w:val="auto"/>
                <w:w w:val="85"/>
              </w:rPr>
              <w:t>September 30, 2009</w:t>
            </w:r>
          </w:p>
        </w:tc>
        <w:tc>
          <w:tcPr>
            <w:tcW w:w="100" w:type="dxa"/>
            <w:vAlign w:val="bottom"/>
          </w:tcPr>
          <w:p>
            <w:pPr>
              <w:spacing w:after="0"/>
              <w:rPr>
                <w:sz w:val="14"/>
                <w:szCs w:val="14"/>
                <w:color w:val="auto"/>
              </w:rPr>
            </w:pPr>
          </w:p>
        </w:tc>
      </w:tr>
      <w:tr>
        <w:trPr>
          <w:trHeight w:val="210"/>
        </w:trPr>
        <w:tc>
          <w:tcPr>
            <w:tcW w:w="4820" w:type="dxa"/>
            <w:vAlign w:val="bottom"/>
            <w:shd w:val="clear" w:color="auto" w:fill="CCEEFF"/>
          </w:tcPr>
          <w:p>
            <w:pPr>
              <w:spacing w:after="0"/>
              <w:rPr>
                <w:sz w:val="20"/>
                <w:szCs w:val="20"/>
                <w:color w:val="auto"/>
              </w:rPr>
            </w:pPr>
            <w:r>
              <w:rPr>
                <w:rFonts w:ascii="Arial" w:cs="Arial" w:eastAsia="Arial" w:hAnsi="Arial"/>
                <w:sz w:val="18"/>
                <w:szCs w:val="18"/>
                <w:color w:val="auto"/>
              </w:rPr>
              <w:t>Cost of sales (a)</w:t>
            </w:r>
          </w:p>
        </w:tc>
        <w:tc>
          <w:tcPr>
            <w:tcW w:w="1240" w:type="dxa"/>
            <w:vAlign w:val="bottom"/>
            <w:gridSpan w:val="2"/>
            <w:shd w:val="clear" w:color="auto" w:fill="CCEEFF"/>
          </w:tcPr>
          <w:p>
            <w:pPr>
              <w:ind w:left="1120"/>
              <w:spacing w:after="0"/>
              <w:rPr>
                <w:sz w:val="20"/>
                <w:szCs w:val="20"/>
                <w:color w:val="auto"/>
              </w:rPr>
            </w:pPr>
            <w:r>
              <w:rPr>
                <w:rFonts w:ascii="Arial" w:cs="Arial" w:eastAsia="Arial" w:hAnsi="Arial"/>
                <w:sz w:val="18"/>
                <w:szCs w:val="18"/>
                <w:color w:val="auto"/>
                <w:w w:val="99"/>
              </w:rPr>
              <w:t>$</w:t>
            </w:r>
          </w:p>
        </w:tc>
        <w:tc>
          <w:tcPr>
            <w:tcW w:w="2000" w:type="dxa"/>
            <w:vAlign w:val="bottom"/>
            <w:gridSpan w:val="2"/>
            <w:shd w:val="clear" w:color="auto" w:fill="CCEEFF"/>
          </w:tcPr>
          <w:p>
            <w:pPr>
              <w:jc w:val="right"/>
              <w:ind w:right="940"/>
              <w:spacing w:after="0"/>
              <w:rPr>
                <w:sz w:val="20"/>
                <w:szCs w:val="20"/>
                <w:color w:val="auto"/>
              </w:rPr>
            </w:pPr>
            <w:r>
              <w:rPr>
                <w:rFonts w:ascii="Arial" w:cs="Arial" w:eastAsia="Arial" w:hAnsi="Arial"/>
                <w:sz w:val="18"/>
                <w:szCs w:val="18"/>
                <w:color w:val="auto"/>
              </w:rPr>
              <w:t>(5)</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52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(19)</w:t>
            </w:r>
          </w:p>
        </w:tc>
        <w:tc>
          <w:tcPr>
            <w:tcW w:w="60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w:t>
            </w:r>
          </w:p>
        </w:tc>
      </w:tr>
      <w:tr>
        <w:trPr>
          <w:trHeight w:val="222"/>
        </w:trPr>
        <w:tc>
          <w:tcPr>
            <w:tcW w:w="4820" w:type="dxa"/>
            <w:vAlign w:val="bottom"/>
          </w:tcPr>
          <w:p>
            <w:pPr>
              <w:spacing w:after="0"/>
              <w:rPr>
                <w:sz w:val="20"/>
                <w:szCs w:val="20"/>
                <w:color w:val="auto"/>
              </w:rPr>
            </w:pPr>
            <w:r>
              <w:rPr>
                <w:rFonts w:ascii="Arial" w:cs="Arial" w:eastAsia="Arial" w:hAnsi="Arial"/>
                <w:sz w:val="18"/>
                <w:szCs w:val="18"/>
                <w:color w:val="auto"/>
              </w:rPr>
              <w:t>Interest income and other non-operating income, net</w:t>
            </w:r>
          </w:p>
        </w:tc>
        <w:tc>
          <w:tcPr>
            <w:tcW w:w="1240" w:type="dxa"/>
            <w:vAlign w:val="bottom"/>
            <w:gridSpan w:val="2"/>
          </w:tcPr>
          <w:p>
            <w:pPr>
              <w:ind w:left="1120"/>
              <w:spacing w:after="0"/>
              <w:rPr>
                <w:sz w:val="20"/>
                <w:szCs w:val="20"/>
                <w:color w:val="auto"/>
              </w:rPr>
            </w:pPr>
            <w:r>
              <w:rPr>
                <w:rFonts w:ascii="Arial" w:cs="Arial" w:eastAsia="Arial" w:hAnsi="Arial"/>
                <w:sz w:val="18"/>
                <w:szCs w:val="18"/>
                <w:color w:val="auto"/>
                <w:w w:val="99"/>
              </w:rPr>
              <w:t>$</w:t>
            </w:r>
          </w:p>
        </w:tc>
        <w:tc>
          <w:tcPr>
            <w:tcW w:w="2000" w:type="dxa"/>
            <w:vAlign w:val="bottom"/>
            <w:gridSpan w:val="2"/>
          </w:tcPr>
          <w:p>
            <w:pPr>
              <w:jc w:val="right"/>
              <w:ind w:right="980"/>
              <w:spacing w:after="0"/>
              <w:rPr>
                <w:sz w:val="20"/>
                <w:szCs w:val="20"/>
                <w:color w:val="auto"/>
              </w:rPr>
            </w:pPr>
            <w:r>
              <w:rPr>
                <w:rFonts w:ascii="Arial" w:cs="Arial" w:eastAsia="Arial" w:hAnsi="Arial"/>
                <w:sz w:val="18"/>
                <w:szCs w:val="18"/>
                <w:color w:val="auto"/>
              </w:rPr>
              <w:t>—</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520" w:type="dxa"/>
            <w:vAlign w:val="bottom"/>
            <w:gridSpan w:val="2"/>
          </w:tcPr>
          <w:p>
            <w:pPr>
              <w:jc w:val="right"/>
              <w:ind w:right="520"/>
              <w:spacing w:after="0"/>
              <w:rPr>
                <w:sz w:val="20"/>
                <w:szCs w:val="20"/>
                <w:color w:val="auto"/>
              </w:rPr>
            </w:pPr>
            <w:r>
              <w:rPr>
                <w:rFonts w:ascii="Arial" w:cs="Arial" w:eastAsia="Arial" w:hAnsi="Arial"/>
                <w:sz w:val="18"/>
                <w:szCs w:val="18"/>
                <w:color w:val="auto"/>
              </w:rPr>
              <w:t>—</w:t>
            </w:r>
          </w:p>
        </w:tc>
        <w:tc>
          <w:tcPr>
            <w:tcW w:w="600" w:type="dxa"/>
            <w:vAlign w:val="bottom"/>
            <w:gridSpan w:val="2"/>
          </w:tcPr>
          <w:p>
            <w:pPr>
              <w:ind w:left="46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64770</wp:posOffset>
            </wp:positionV>
            <wp:extent cx="728980" cy="889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14" w:lineRule="exact"/>
        <w:rPr>
          <w:sz w:val="20"/>
          <w:szCs w:val="20"/>
          <w:color w:val="auto"/>
        </w:rPr>
      </w:pPr>
    </w:p>
    <w:p>
      <w:pPr>
        <w:ind w:left="5620" w:right="2920" w:hanging="5612"/>
        <w:spacing w:after="0" w:line="440" w:lineRule="auto"/>
        <w:tabs>
          <w:tab w:leader="none" w:pos="448" w:val="left"/>
        </w:tabs>
        <w:numPr>
          <w:ilvl w:val="0"/>
          <w:numId w:val="53"/>
        </w:numPr>
        <w:rPr>
          <w:rFonts w:ascii="Arial" w:cs="Arial" w:eastAsia="Arial" w:hAnsi="Arial"/>
          <w:sz w:val="18"/>
          <w:szCs w:val="18"/>
          <w:color w:val="auto"/>
        </w:rPr>
      </w:pPr>
      <w:r>
        <w:rPr>
          <w:rFonts w:ascii="Arial" w:cs="Arial" w:eastAsia="Arial" w:hAnsi="Arial"/>
          <w:sz w:val="18"/>
          <w:szCs w:val="18"/>
          <w:color w:val="auto"/>
        </w:rPr>
        <w:t>Primarily related to royalty income partially offset by reimbursements for engineering expenses incurred by MLC. 71</w:t>
      </w:r>
    </w:p>
    <w:p>
      <w:pPr>
        <w:sectPr>
          <w:pgSz w:w="11900" w:h="16838" w:orient="portrait"/>
          <w:cols w:equalWidth="0" w:num="1">
            <w:col w:w="11420"/>
          </w:cols>
          <w:pgMar w:left="240" w:top="459" w:right="239" w:bottom="1440" w:gutter="0" w:footer="0" w:header="0"/>
        </w:sectPr>
      </w:pPr>
    </w:p>
    <w:bookmarkStart w:id="73" w:name="page74"/>
    <w:bookmarkEnd w:id="7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Balance Sheet</w:t>
      </w:r>
    </w:p>
    <w:p>
      <w:pPr>
        <w:spacing w:after="0" w:line="177" w:lineRule="exact"/>
        <w:rPr>
          <w:sz w:val="20"/>
          <w:szCs w:val="20"/>
          <w:color w:val="auto"/>
        </w:rPr>
      </w:pPr>
    </w:p>
    <w:p>
      <w:pPr>
        <w:ind w:left="240"/>
        <w:spacing w:after="0"/>
        <w:rPr>
          <w:sz w:val="20"/>
          <w:szCs w:val="20"/>
          <w:color w:val="auto"/>
        </w:rPr>
      </w:pPr>
      <w:r>
        <w:rPr>
          <w:rFonts w:ascii="Arial" w:cs="Arial" w:eastAsia="Arial" w:hAnsi="Arial"/>
          <w:sz w:val="18"/>
          <w:szCs w:val="18"/>
          <w:color w:val="auto"/>
        </w:rPr>
        <w:t>The following table summarizes the balance sheet effects of transactions with MLC (dollars in millions):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60" w:type="dxa"/>
            <w:vAlign w:val="bottom"/>
          </w:tcPr>
          <w:p>
            <w:pPr>
              <w:spacing w:after="0"/>
              <w:rPr>
                <w:sz w:val="14"/>
                <w:szCs w:val="14"/>
                <w:color w:val="auto"/>
              </w:rPr>
            </w:pPr>
          </w:p>
        </w:tc>
        <w:tc>
          <w:tcPr>
            <w:tcW w:w="67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1420" w:type="dxa"/>
            <w:vAlign w:val="bottom"/>
            <w:tcBorders>
              <w:bottom w:val="single" w:sz="8" w:color="auto"/>
            </w:tcBorders>
            <w:gridSpan w:val="3"/>
          </w:tcPr>
          <w:p>
            <w:pPr>
              <w:ind w:left="140"/>
              <w:spacing w:after="0"/>
              <w:rPr>
                <w:sz w:val="20"/>
                <w:szCs w:val="20"/>
                <w:color w:val="auto"/>
              </w:rPr>
            </w:pPr>
            <w:r>
              <w:rPr>
                <w:rFonts w:ascii="Arial" w:cs="Arial" w:eastAsia="Arial" w:hAnsi="Arial"/>
                <w:sz w:val="14"/>
                <w:szCs w:val="14"/>
                <w:b w:val="1"/>
                <w:bCs w:val="1"/>
                <w:color w:val="auto"/>
              </w:rPr>
              <w:t>Successor</w:t>
            </w:r>
          </w:p>
        </w:tc>
        <w:tc>
          <w:tcPr>
            <w:tcW w:w="2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29"/>
        </w:trPr>
        <w:tc>
          <w:tcPr>
            <w:tcW w:w="1160" w:type="dxa"/>
            <w:vAlign w:val="bottom"/>
          </w:tcPr>
          <w:p>
            <w:pPr>
              <w:spacing w:after="0"/>
              <w:rPr>
                <w:sz w:val="11"/>
                <w:szCs w:val="11"/>
                <w:color w:val="auto"/>
              </w:rPr>
            </w:pPr>
          </w:p>
        </w:tc>
        <w:tc>
          <w:tcPr>
            <w:tcW w:w="67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20" w:type="dxa"/>
            <w:vAlign w:val="bottom"/>
            <w:gridSpan w:val="3"/>
          </w:tcPr>
          <w:p>
            <w:pPr>
              <w:spacing w:after="0" w:line="129" w:lineRule="exact"/>
              <w:rPr>
                <w:sz w:val="20"/>
                <w:szCs w:val="20"/>
                <w:color w:val="auto"/>
              </w:rPr>
            </w:pPr>
            <w:r>
              <w:rPr>
                <w:rFonts w:ascii="Arial" w:cs="Arial" w:eastAsia="Arial" w:hAnsi="Arial"/>
                <w:sz w:val="14"/>
                <w:szCs w:val="14"/>
                <w:b w:val="1"/>
                <w:bCs w:val="1"/>
                <w:color w:val="auto"/>
                <w:w w:val="83"/>
              </w:rPr>
              <w:t>September 30,</w:t>
            </w:r>
          </w:p>
        </w:tc>
        <w:tc>
          <w:tcPr>
            <w:tcW w:w="5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0" w:type="dxa"/>
            <w:vAlign w:val="bottom"/>
            <w:gridSpan w:val="2"/>
          </w:tcPr>
          <w:p>
            <w:pPr>
              <w:spacing w:after="0" w:line="129" w:lineRule="exact"/>
              <w:rPr>
                <w:sz w:val="20"/>
                <w:szCs w:val="20"/>
                <w:color w:val="auto"/>
              </w:rPr>
            </w:pPr>
            <w:r>
              <w:rPr>
                <w:rFonts w:ascii="Arial" w:cs="Arial" w:eastAsia="Arial" w:hAnsi="Arial"/>
                <w:sz w:val="14"/>
                <w:szCs w:val="14"/>
                <w:b w:val="1"/>
                <w:bCs w:val="1"/>
                <w:color w:val="auto"/>
                <w:w w:val="85"/>
              </w:rPr>
              <w:t>December 31,</w:t>
            </w:r>
          </w:p>
        </w:tc>
        <w:tc>
          <w:tcPr>
            <w:tcW w:w="100" w:type="dxa"/>
            <w:vAlign w:val="bottom"/>
          </w:tcPr>
          <w:p>
            <w:pPr>
              <w:spacing w:after="0"/>
              <w:rPr>
                <w:sz w:val="11"/>
                <w:szCs w:val="11"/>
                <w:color w:val="auto"/>
              </w:rPr>
            </w:pPr>
          </w:p>
        </w:tc>
      </w:tr>
      <w:tr>
        <w:trPr>
          <w:trHeight w:val="161"/>
        </w:trPr>
        <w:tc>
          <w:tcPr>
            <w:tcW w:w="1160" w:type="dxa"/>
            <w:vAlign w:val="bottom"/>
          </w:tcPr>
          <w:p>
            <w:pPr>
              <w:spacing w:after="0"/>
              <w:rPr>
                <w:sz w:val="14"/>
                <w:szCs w:val="14"/>
                <w:color w:val="auto"/>
              </w:rPr>
            </w:pPr>
          </w:p>
        </w:tc>
        <w:tc>
          <w:tcPr>
            <w:tcW w:w="67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gridSpan w:val="2"/>
          </w:tcPr>
          <w:p>
            <w:pPr>
              <w:jc w:val="right"/>
              <w:ind w:right="199"/>
              <w:spacing w:after="0"/>
              <w:rPr>
                <w:sz w:val="20"/>
                <w:szCs w:val="20"/>
                <w:color w:val="auto"/>
              </w:rPr>
            </w:pPr>
            <w:r>
              <w:rPr>
                <w:rFonts w:ascii="Arial" w:cs="Arial" w:eastAsia="Arial" w:hAnsi="Arial"/>
                <w:sz w:val="14"/>
                <w:szCs w:val="14"/>
                <w:b w:val="1"/>
                <w:bCs w:val="1"/>
                <w:color w:val="auto"/>
              </w:rPr>
              <w:t>2010</w:t>
            </w:r>
          </w:p>
        </w:tc>
        <w:tc>
          <w:tcPr>
            <w:tcW w:w="880" w:type="dxa"/>
            <w:vAlign w:val="bottom"/>
            <w:gridSpan w:val="2"/>
          </w:tcPr>
          <w:p>
            <w:pPr>
              <w:spacing w:after="0"/>
              <w:rPr>
                <w:sz w:val="14"/>
                <w:szCs w:val="14"/>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2009</w:t>
            </w:r>
          </w:p>
        </w:tc>
        <w:tc>
          <w:tcPr>
            <w:tcW w:w="2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210"/>
        </w:trPr>
        <w:tc>
          <w:tcPr>
            <w:tcW w:w="79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Accounts and notes receivable, net (a)</w:t>
            </w:r>
          </w:p>
        </w:tc>
        <w:tc>
          <w:tcPr>
            <w:tcW w:w="1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ind w:left="760"/>
              <w:spacing w:after="0"/>
              <w:rPr>
                <w:sz w:val="20"/>
                <w:szCs w:val="20"/>
                <w:color w:val="auto"/>
              </w:rPr>
            </w:pPr>
            <w:r>
              <w:rPr>
                <w:rFonts w:ascii="Arial" w:cs="Arial" w:eastAsia="Arial" w:hAnsi="Arial"/>
                <w:sz w:val="18"/>
                <w:szCs w:val="18"/>
                <w:color w:val="auto"/>
                <w:w w:val="99"/>
              </w:rPr>
              <w:t>$</w:t>
            </w: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1420" w:type="dxa"/>
            <w:vAlign w:val="bottom"/>
            <w:gridSpan w:val="3"/>
            <w:shd w:val="clear" w:color="auto" w:fill="CCEEFF"/>
          </w:tcPr>
          <w:p>
            <w:pPr>
              <w:ind w:left="880"/>
              <w:spacing w:after="0"/>
              <w:rPr>
                <w:sz w:val="20"/>
                <w:szCs w:val="20"/>
                <w:color w:val="auto"/>
              </w:rPr>
            </w:pPr>
            <w:r>
              <w:rPr>
                <w:rFonts w:ascii="Arial" w:cs="Arial" w:eastAsia="Arial" w:hAnsi="Arial"/>
                <w:sz w:val="18"/>
                <w:szCs w:val="18"/>
                <w:color w:val="auto"/>
              </w:rPr>
              <w:t>$</w:t>
            </w:r>
          </w:p>
        </w:tc>
        <w:tc>
          <w:tcPr>
            <w:tcW w:w="3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w:t>
            </w:r>
          </w:p>
        </w:tc>
      </w:tr>
      <w:tr>
        <w:trPr>
          <w:trHeight w:val="216"/>
        </w:trPr>
        <w:tc>
          <w:tcPr>
            <w:tcW w:w="7920" w:type="dxa"/>
            <w:vAlign w:val="bottom"/>
            <w:gridSpan w:val="2"/>
          </w:tcPr>
          <w:p>
            <w:pPr>
              <w:spacing w:after="0"/>
              <w:rPr>
                <w:sz w:val="20"/>
                <w:szCs w:val="20"/>
                <w:color w:val="auto"/>
              </w:rPr>
            </w:pPr>
            <w:r>
              <w:rPr>
                <w:rFonts w:ascii="Arial" w:cs="Arial" w:eastAsia="Arial" w:hAnsi="Arial"/>
                <w:sz w:val="18"/>
                <w:szCs w:val="18"/>
                <w:color w:val="auto"/>
              </w:rPr>
              <w:t>Other assets</w:t>
            </w:r>
          </w:p>
        </w:tc>
        <w:tc>
          <w:tcPr>
            <w:tcW w:w="140" w:type="dxa"/>
            <w:vAlign w:val="bottom"/>
          </w:tcPr>
          <w:p>
            <w:pPr>
              <w:spacing w:after="0"/>
              <w:rPr>
                <w:sz w:val="18"/>
                <w:szCs w:val="18"/>
                <w:color w:val="auto"/>
              </w:rPr>
            </w:pPr>
          </w:p>
        </w:tc>
        <w:tc>
          <w:tcPr>
            <w:tcW w:w="880" w:type="dxa"/>
            <w:vAlign w:val="bottom"/>
            <w:gridSpan w:val="2"/>
          </w:tcPr>
          <w:p>
            <w:pPr>
              <w:ind w:left="760"/>
              <w:spacing w:after="0"/>
              <w:rPr>
                <w:sz w:val="20"/>
                <w:szCs w:val="20"/>
                <w:color w:val="auto"/>
              </w:rPr>
            </w:pPr>
            <w:r>
              <w:rPr>
                <w:rFonts w:ascii="Arial" w:cs="Arial" w:eastAsia="Arial" w:hAnsi="Arial"/>
                <w:sz w:val="18"/>
                <w:szCs w:val="18"/>
                <w:color w:val="auto"/>
                <w:w w:val="99"/>
              </w:rPr>
              <w:t>$</w:t>
            </w:r>
          </w:p>
        </w:tc>
        <w:tc>
          <w:tcPr>
            <w:tcW w:w="1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w:t>
            </w:r>
          </w:p>
        </w:tc>
        <w:tc>
          <w:tcPr>
            <w:tcW w:w="1420" w:type="dxa"/>
            <w:vAlign w:val="bottom"/>
            <w:gridSpan w:val="3"/>
          </w:tcPr>
          <w:p>
            <w:pPr>
              <w:ind w:left="880"/>
              <w:spacing w:after="0"/>
              <w:rPr>
                <w:sz w:val="20"/>
                <w:szCs w:val="20"/>
                <w:color w:val="auto"/>
              </w:rPr>
            </w:pPr>
            <w:r>
              <w:rPr>
                <w:rFonts w:ascii="Arial" w:cs="Arial" w:eastAsia="Arial" w:hAnsi="Arial"/>
                <w:sz w:val="18"/>
                <w:szCs w:val="18"/>
                <w:color w:val="auto"/>
              </w:rPr>
              <w:t>$</w:t>
            </w:r>
          </w:p>
        </w:tc>
        <w:tc>
          <w:tcPr>
            <w:tcW w:w="360" w:type="dxa"/>
            <w:vAlign w:val="bottom"/>
            <w:gridSpan w:val="2"/>
          </w:tcPr>
          <w:p>
            <w:pPr>
              <w:jc w:val="right"/>
              <w:ind w:right="100"/>
              <w:spacing w:after="0"/>
              <w:rPr>
                <w:sz w:val="20"/>
                <w:szCs w:val="20"/>
                <w:color w:val="auto"/>
              </w:rPr>
            </w:pPr>
            <w:r>
              <w:rPr>
                <w:rFonts w:ascii="Arial" w:cs="Arial" w:eastAsia="Arial" w:hAnsi="Arial"/>
                <w:sz w:val="18"/>
                <w:szCs w:val="18"/>
                <w:color w:val="auto"/>
              </w:rPr>
              <w:t>1</w:t>
            </w:r>
          </w:p>
        </w:tc>
      </w:tr>
      <w:tr>
        <w:trPr>
          <w:trHeight w:val="216"/>
        </w:trPr>
        <w:tc>
          <w:tcPr>
            <w:tcW w:w="79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Accounts payable (b)</w:t>
            </w:r>
          </w:p>
        </w:tc>
        <w:tc>
          <w:tcPr>
            <w:tcW w:w="1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ind w:left="760"/>
              <w:spacing w:after="0"/>
              <w:rPr>
                <w:sz w:val="20"/>
                <w:szCs w:val="20"/>
                <w:color w:val="auto"/>
              </w:rPr>
            </w:pPr>
            <w:r>
              <w:rPr>
                <w:rFonts w:ascii="Arial" w:cs="Arial" w:eastAsia="Arial" w:hAnsi="Arial"/>
                <w:sz w:val="18"/>
                <w:szCs w:val="18"/>
                <w:color w:val="auto"/>
                <w:w w:val="99"/>
              </w:rPr>
              <w:t>$</w:t>
            </w: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1420" w:type="dxa"/>
            <w:vAlign w:val="bottom"/>
            <w:gridSpan w:val="3"/>
            <w:shd w:val="clear" w:color="auto" w:fill="CCEEFF"/>
          </w:tcPr>
          <w:p>
            <w:pPr>
              <w:ind w:left="880"/>
              <w:spacing w:after="0"/>
              <w:rPr>
                <w:sz w:val="20"/>
                <w:szCs w:val="20"/>
                <w:color w:val="auto"/>
              </w:rPr>
            </w:pPr>
            <w:r>
              <w:rPr>
                <w:rFonts w:ascii="Arial" w:cs="Arial" w:eastAsia="Arial" w:hAnsi="Arial"/>
                <w:sz w:val="18"/>
                <w:szCs w:val="18"/>
                <w:color w:val="auto"/>
              </w:rPr>
              <w:t>$</w:t>
            </w:r>
          </w:p>
        </w:tc>
        <w:tc>
          <w:tcPr>
            <w:tcW w:w="3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59</w:t>
            </w:r>
          </w:p>
        </w:tc>
      </w:tr>
      <w:tr>
        <w:trPr>
          <w:trHeight w:val="222"/>
        </w:trPr>
        <w:tc>
          <w:tcPr>
            <w:tcW w:w="7920" w:type="dxa"/>
            <w:vAlign w:val="bottom"/>
            <w:gridSpan w:val="2"/>
          </w:tcPr>
          <w:p>
            <w:pPr>
              <w:spacing w:after="0"/>
              <w:rPr>
                <w:sz w:val="20"/>
                <w:szCs w:val="20"/>
                <w:color w:val="auto"/>
              </w:rPr>
            </w:pPr>
            <w:r>
              <w:rPr>
                <w:rFonts w:ascii="Arial" w:cs="Arial" w:eastAsia="Arial" w:hAnsi="Arial"/>
                <w:sz w:val="18"/>
                <w:szCs w:val="18"/>
                <w:color w:val="auto"/>
              </w:rPr>
              <w:t>Accrued expenses and other liabilities</w:t>
            </w:r>
          </w:p>
        </w:tc>
        <w:tc>
          <w:tcPr>
            <w:tcW w:w="140" w:type="dxa"/>
            <w:vAlign w:val="bottom"/>
          </w:tcPr>
          <w:p>
            <w:pPr>
              <w:spacing w:after="0"/>
              <w:rPr>
                <w:sz w:val="19"/>
                <w:szCs w:val="19"/>
                <w:color w:val="auto"/>
              </w:rPr>
            </w:pPr>
          </w:p>
        </w:tc>
        <w:tc>
          <w:tcPr>
            <w:tcW w:w="880" w:type="dxa"/>
            <w:vAlign w:val="bottom"/>
            <w:gridSpan w:val="2"/>
          </w:tcPr>
          <w:p>
            <w:pPr>
              <w:ind w:left="760"/>
              <w:spacing w:after="0"/>
              <w:rPr>
                <w:sz w:val="20"/>
                <w:szCs w:val="20"/>
                <w:color w:val="auto"/>
              </w:rPr>
            </w:pPr>
            <w:r>
              <w:rPr>
                <w:rFonts w:ascii="Arial" w:cs="Arial" w:eastAsia="Arial" w:hAnsi="Arial"/>
                <w:sz w:val="18"/>
                <w:szCs w:val="18"/>
                <w:color w:val="auto"/>
                <w:w w:val="99"/>
              </w:rPr>
              <w:t>$</w:t>
            </w:r>
          </w:p>
        </w:tc>
        <w:tc>
          <w:tcPr>
            <w:tcW w:w="12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w:t>
            </w:r>
          </w:p>
        </w:tc>
        <w:tc>
          <w:tcPr>
            <w:tcW w:w="1420" w:type="dxa"/>
            <w:vAlign w:val="bottom"/>
            <w:gridSpan w:val="3"/>
          </w:tcPr>
          <w:p>
            <w:pPr>
              <w:ind w:left="880"/>
              <w:spacing w:after="0"/>
              <w:rPr>
                <w:sz w:val="20"/>
                <w:szCs w:val="20"/>
                <w:color w:val="auto"/>
              </w:rPr>
            </w:pPr>
            <w:r>
              <w:rPr>
                <w:rFonts w:ascii="Arial" w:cs="Arial" w:eastAsia="Arial" w:hAnsi="Arial"/>
                <w:sz w:val="18"/>
                <w:szCs w:val="18"/>
                <w:color w:val="auto"/>
              </w:rPr>
              <w:t>$</w:t>
            </w:r>
          </w:p>
        </w:tc>
        <w:tc>
          <w:tcPr>
            <w:tcW w:w="360" w:type="dxa"/>
            <w:vAlign w:val="bottom"/>
            <w:gridSpan w:val="2"/>
          </w:tcPr>
          <w:p>
            <w:pPr>
              <w:jc w:val="right"/>
              <w:ind w:right="40"/>
              <w:spacing w:after="0"/>
              <w:rPr>
                <w:sz w:val="20"/>
                <w:szCs w:val="20"/>
                <w:color w:val="auto"/>
              </w:rPr>
            </w:pPr>
            <w:r>
              <w:rPr>
                <w:rFonts w:ascii="Arial" w:cs="Arial" w:eastAsia="Arial" w:hAnsi="Arial"/>
                <w:sz w:val="18"/>
                <w:szCs w:val="18"/>
                <w:color w:val="auto"/>
              </w:rPr>
              <w:t>(1)</w:t>
            </w:r>
          </w:p>
        </w:tc>
      </w:tr>
      <w:tr>
        <w:trPr>
          <w:trHeight w:val="102"/>
        </w:trPr>
        <w:tc>
          <w:tcPr>
            <w:tcW w:w="1160" w:type="dxa"/>
            <w:vAlign w:val="bottom"/>
            <w:tcBorders>
              <w:bottom w:val="single" w:sz="8" w:color="auto"/>
            </w:tcBorders>
          </w:tcPr>
          <w:p>
            <w:pPr>
              <w:spacing w:after="0"/>
              <w:rPr>
                <w:sz w:val="8"/>
                <w:szCs w:val="8"/>
                <w:color w:val="auto"/>
              </w:rPr>
            </w:pPr>
          </w:p>
        </w:tc>
        <w:tc>
          <w:tcPr>
            <w:tcW w:w="6760" w:type="dxa"/>
            <w:vAlign w:val="bottom"/>
          </w:tcPr>
          <w:p>
            <w:pPr>
              <w:spacing w:after="0"/>
              <w:rPr>
                <w:sz w:val="8"/>
                <w:szCs w:val="8"/>
                <w:color w:val="auto"/>
              </w:rPr>
            </w:pPr>
          </w:p>
        </w:tc>
        <w:tc>
          <w:tcPr>
            <w:tcW w:w="140" w:type="dxa"/>
            <w:vAlign w:val="bottom"/>
          </w:tcPr>
          <w:p>
            <w:pPr>
              <w:spacing w:after="0"/>
              <w:rPr>
                <w:sz w:val="8"/>
                <w:szCs w:val="8"/>
                <w:color w:val="auto"/>
              </w:rPr>
            </w:pPr>
          </w:p>
        </w:tc>
        <w:tc>
          <w:tcPr>
            <w:tcW w:w="760" w:type="dxa"/>
            <w:vAlign w:val="bottom"/>
          </w:tcPr>
          <w:p>
            <w:pPr>
              <w:spacing w:after="0"/>
              <w:rPr>
                <w:sz w:val="8"/>
                <w:szCs w:val="8"/>
                <w:color w:val="auto"/>
              </w:rPr>
            </w:pPr>
          </w:p>
        </w:tc>
        <w:tc>
          <w:tcPr>
            <w:tcW w:w="120" w:type="dxa"/>
            <w:vAlign w:val="bottom"/>
          </w:tcPr>
          <w:p>
            <w:pPr>
              <w:spacing w:after="0"/>
              <w:rPr>
                <w:sz w:val="8"/>
                <w:szCs w:val="8"/>
                <w:color w:val="auto"/>
              </w:rPr>
            </w:pPr>
          </w:p>
        </w:tc>
        <w:tc>
          <w:tcPr>
            <w:tcW w:w="120" w:type="dxa"/>
            <w:vAlign w:val="bottom"/>
          </w:tcPr>
          <w:p>
            <w:pPr>
              <w:spacing w:after="0"/>
              <w:rPr>
                <w:sz w:val="8"/>
                <w:szCs w:val="8"/>
                <w:color w:val="auto"/>
              </w:rPr>
            </w:pPr>
          </w:p>
        </w:tc>
        <w:tc>
          <w:tcPr>
            <w:tcW w:w="580" w:type="dxa"/>
            <w:vAlign w:val="bottom"/>
          </w:tcPr>
          <w:p>
            <w:pPr>
              <w:spacing w:after="0"/>
              <w:rPr>
                <w:sz w:val="8"/>
                <w:szCs w:val="8"/>
                <w:color w:val="auto"/>
              </w:rPr>
            </w:pPr>
          </w:p>
        </w:tc>
        <w:tc>
          <w:tcPr>
            <w:tcW w:w="540" w:type="dxa"/>
            <w:vAlign w:val="bottom"/>
          </w:tcPr>
          <w:p>
            <w:pPr>
              <w:spacing w:after="0"/>
              <w:rPr>
                <w:sz w:val="8"/>
                <w:szCs w:val="8"/>
                <w:color w:val="auto"/>
              </w:rPr>
            </w:pPr>
          </w:p>
        </w:tc>
        <w:tc>
          <w:tcPr>
            <w:tcW w:w="340" w:type="dxa"/>
            <w:vAlign w:val="bottom"/>
          </w:tcPr>
          <w:p>
            <w:pPr>
              <w:spacing w:after="0"/>
              <w:rPr>
                <w:sz w:val="8"/>
                <w:szCs w:val="8"/>
                <w:color w:val="auto"/>
              </w:rPr>
            </w:pPr>
          </w:p>
        </w:tc>
        <w:tc>
          <w:tcPr>
            <w:tcW w:w="540" w:type="dxa"/>
            <w:vAlign w:val="bottom"/>
          </w:tcPr>
          <w:p>
            <w:pPr>
              <w:spacing w:after="0"/>
              <w:rPr>
                <w:sz w:val="8"/>
                <w:szCs w:val="8"/>
                <w:color w:val="auto"/>
              </w:rPr>
            </w:pPr>
          </w:p>
        </w:tc>
        <w:tc>
          <w:tcPr>
            <w:tcW w:w="260" w:type="dxa"/>
            <w:vAlign w:val="bottom"/>
          </w:tcPr>
          <w:p>
            <w:pPr>
              <w:spacing w:after="0"/>
              <w:rPr>
                <w:sz w:val="8"/>
                <w:szCs w:val="8"/>
                <w:color w:val="auto"/>
              </w:rPr>
            </w:pPr>
          </w:p>
        </w:tc>
        <w:tc>
          <w:tcPr>
            <w:tcW w:w="100" w:type="dxa"/>
            <w:vAlign w:val="bottom"/>
          </w:tcPr>
          <w:p>
            <w:pPr>
              <w:spacing w:after="0"/>
              <w:rPr>
                <w:sz w:val="8"/>
                <w:szCs w:val="8"/>
                <w:color w:val="auto"/>
              </w:rPr>
            </w:pPr>
          </w:p>
        </w:tc>
      </w:tr>
      <w:tr>
        <w:trPr>
          <w:trHeight w:val="235"/>
        </w:trPr>
        <w:tc>
          <w:tcPr>
            <w:tcW w:w="7920" w:type="dxa"/>
            <w:vAlign w:val="bottom"/>
            <w:gridSpan w:val="2"/>
          </w:tcPr>
          <w:p>
            <w:pPr>
              <w:spacing w:after="0"/>
              <w:rPr>
                <w:sz w:val="20"/>
                <w:szCs w:val="20"/>
                <w:color w:val="auto"/>
              </w:rPr>
            </w:pPr>
            <w:r>
              <w:rPr>
                <w:rFonts w:ascii="Arial" w:cs="Arial" w:eastAsia="Arial" w:hAnsi="Arial"/>
                <w:sz w:val="18"/>
                <w:szCs w:val="18"/>
                <w:color w:val="auto"/>
              </w:rPr>
              <w:t>(a)   Primarily related to royalty income from MLC and services provided under the TSA.</w:t>
            </w:r>
          </w:p>
        </w:tc>
        <w:tc>
          <w:tcPr>
            <w:tcW w:w="1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97"/>
        </w:trPr>
        <w:tc>
          <w:tcPr>
            <w:tcW w:w="7920" w:type="dxa"/>
            <w:vAlign w:val="bottom"/>
            <w:gridSpan w:val="2"/>
          </w:tcPr>
          <w:p>
            <w:pPr>
              <w:spacing w:after="0"/>
              <w:rPr>
                <w:sz w:val="20"/>
                <w:szCs w:val="20"/>
                <w:color w:val="auto"/>
              </w:rPr>
            </w:pPr>
            <w:r>
              <w:rPr>
                <w:rFonts w:ascii="Arial" w:cs="Arial" w:eastAsia="Arial" w:hAnsi="Arial"/>
                <w:sz w:val="18"/>
                <w:szCs w:val="18"/>
                <w:color w:val="auto"/>
              </w:rPr>
              <w:t>(b)   Primarily related to the purchase of component parts.</w:t>
            </w:r>
          </w:p>
        </w:tc>
        <w:tc>
          <w:tcPr>
            <w:tcW w:w="1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378"/>
        </w:trPr>
        <w:tc>
          <w:tcPr>
            <w:tcW w:w="7920" w:type="dxa"/>
            <w:vAlign w:val="bottom"/>
            <w:gridSpan w:val="2"/>
          </w:tcPr>
          <w:p>
            <w:pPr>
              <w:spacing w:after="0"/>
              <w:rPr>
                <w:sz w:val="20"/>
                <w:szCs w:val="20"/>
                <w:color w:val="auto"/>
              </w:rPr>
            </w:pPr>
            <w:r>
              <w:rPr>
                <w:rFonts w:ascii="Arial" w:cs="Arial" w:eastAsia="Arial" w:hAnsi="Arial"/>
                <w:sz w:val="18"/>
                <w:szCs w:val="18"/>
                <w:b w:val="1"/>
                <w:bCs w:val="1"/>
                <w:color w:val="auto"/>
              </w:rPr>
              <w:t>Cash Flow</w:t>
            </w:r>
          </w:p>
        </w:tc>
        <w:tc>
          <w:tcPr>
            <w:tcW w:w="1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378"/>
        </w:trPr>
        <w:tc>
          <w:tcPr>
            <w:tcW w:w="7920" w:type="dxa"/>
            <w:vAlign w:val="bottom"/>
            <w:gridSpan w:val="2"/>
          </w:tcPr>
          <w:p>
            <w:pPr>
              <w:ind w:left="240"/>
              <w:spacing w:after="0"/>
              <w:rPr>
                <w:sz w:val="20"/>
                <w:szCs w:val="20"/>
                <w:color w:val="auto"/>
              </w:rPr>
            </w:pPr>
            <w:r>
              <w:rPr>
                <w:rFonts w:ascii="Arial" w:cs="Arial" w:eastAsia="Arial" w:hAnsi="Arial"/>
                <w:sz w:val="18"/>
                <w:szCs w:val="18"/>
                <w:color w:val="auto"/>
                <w:w w:val="98"/>
              </w:rPr>
              <w:t>The following table summarizes the cash flow effects of transactions with MLC (dollars in millions):</w:t>
            </w:r>
          </w:p>
        </w:tc>
        <w:tc>
          <w:tcPr>
            <w:tcW w:w="1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353"/>
        </w:trPr>
        <w:tc>
          <w:tcPr>
            <w:tcW w:w="1160" w:type="dxa"/>
            <w:vAlign w:val="bottom"/>
          </w:tcPr>
          <w:p>
            <w:pPr>
              <w:spacing w:after="0"/>
              <w:rPr>
                <w:sz w:val="24"/>
                <w:szCs w:val="24"/>
                <w:color w:val="auto"/>
              </w:rPr>
            </w:pPr>
          </w:p>
        </w:tc>
        <w:tc>
          <w:tcPr>
            <w:tcW w:w="676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000" w:type="dxa"/>
            <w:vAlign w:val="bottom"/>
            <w:tcBorders>
              <w:bottom w:val="single" w:sz="8" w:color="auto"/>
            </w:tcBorders>
            <w:gridSpan w:val="4"/>
          </w:tcPr>
          <w:p>
            <w:pPr>
              <w:jc w:val="right"/>
              <w:ind w:right="1092"/>
              <w:spacing w:after="0"/>
              <w:rPr>
                <w:sz w:val="20"/>
                <w:szCs w:val="20"/>
                <w:color w:val="auto"/>
              </w:rPr>
            </w:pPr>
            <w:r>
              <w:rPr>
                <w:rFonts w:ascii="Arial" w:cs="Arial" w:eastAsia="Arial" w:hAnsi="Arial"/>
                <w:sz w:val="14"/>
                <w:szCs w:val="14"/>
                <w:b w:val="1"/>
                <w:bCs w:val="1"/>
                <w:color w:val="auto"/>
              </w:rPr>
              <w:t>Successor</w:t>
            </w:r>
          </w:p>
        </w:tc>
        <w:tc>
          <w:tcPr>
            <w:tcW w:w="26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129"/>
        </w:trPr>
        <w:tc>
          <w:tcPr>
            <w:tcW w:w="1160" w:type="dxa"/>
            <w:vAlign w:val="bottom"/>
          </w:tcPr>
          <w:p>
            <w:pPr>
              <w:spacing w:after="0"/>
              <w:rPr>
                <w:sz w:val="11"/>
                <w:szCs w:val="11"/>
                <w:color w:val="auto"/>
              </w:rPr>
            </w:pPr>
          </w:p>
        </w:tc>
        <w:tc>
          <w:tcPr>
            <w:tcW w:w="67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80" w:type="dxa"/>
            <w:vAlign w:val="bottom"/>
            <w:gridSpan w:val="2"/>
          </w:tcPr>
          <w:p>
            <w:pPr>
              <w:ind w:left="60"/>
              <w:spacing w:after="0" w:line="129" w:lineRule="exact"/>
              <w:rPr>
                <w:sz w:val="20"/>
                <w:szCs w:val="20"/>
                <w:color w:val="auto"/>
              </w:rPr>
            </w:pPr>
            <w:r>
              <w:rPr>
                <w:rFonts w:ascii="Arial" w:cs="Arial" w:eastAsia="Arial" w:hAnsi="Arial"/>
                <w:sz w:val="14"/>
                <w:szCs w:val="14"/>
                <w:b w:val="1"/>
                <w:bCs w:val="1"/>
                <w:color w:val="auto"/>
                <w:w w:val="95"/>
              </w:rPr>
              <w:t>Nine Months</w:t>
            </w: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140" w:type="dxa"/>
            <w:vAlign w:val="bottom"/>
            <w:gridSpan w:val="3"/>
          </w:tcPr>
          <w:p>
            <w:pPr>
              <w:jc w:val="center"/>
              <w:spacing w:after="0" w:line="129" w:lineRule="exact"/>
              <w:rPr>
                <w:sz w:val="20"/>
                <w:szCs w:val="20"/>
                <w:color w:val="auto"/>
              </w:rPr>
            </w:pPr>
            <w:r>
              <w:rPr>
                <w:rFonts w:ascii="Arial" w:cs="Arial" w:eastAsia="Arial" w:hAnsi="Arial"/>
                <w:sz w:val="14"/>
                <w:szCs w:val="14"/>
                <w:b w:val="1"/>
                <w:bCs w:val="1"/>
                <w:color w:val="auto"/>
                <w:w w:val="87"/>
              </w:rPr>
              <w:t>July 10, 2009</w:t>
            </w:r>
          </w:p>
        </w:tc>
        <w:tc>
          <w:tcPr>
            <w:tcW w:w="100" w:type="dxa"/>
            <w:vAlign w:val="bottom"/>
          </w:tcPr>
          <w:p>
            <w:pPr>
              <w:spacing w:after="0"/>
              <w:rPr>
                <w:sz w:val="11"/>
                <w:szCs w:val="11"/>
                <w:color w:val="auto"/>
              </w:rPr>
            </w:pPr>
          </w:p>
        </w:tc>
      </w:tr>
      <w:tr>
        <w:trPr>
          <w:trHeight w:val="149"/>
        </w:trPr>
        <w:tc>
          <w:tcPr>
            <w:tcW w:w="1160" w:type="dxa"/>
            <w:vAlign w:val="bottom"/>
          </w:tcPr>
          <w:p>
            <w:pPr>
              <w:spacing w:after="0"/>
              <w:rPr>
                <w:sz w:val="12"/>
                <w:szCs w:val="12"/>
                <w:color w:val="auto"/>
              </w:rPr>
            </w:pPr>
          </w:p>
        </w:tc>
        <w:tc>
          <w:tcPr>
            <w:tcW w:w="67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gridSpan w:val="2"/>
          </w:tcPr>
          <w:p>
            <w:pPr>
              <w:ind w:left="240"/>
              <w:spacing w:after="0" w:line="149" w:lineRule="exact"/>
              <w:rPr>
                <w:sz w:val="20"/>
                <w:szCs w:val="20"/>
                <w:color w:val="auto"/>
              </w:rPr>
            </w:pPr>
            <w:r>
              <w:rPr>
                <w:rFonts w:ascii="Arial" w:cs="Arial" w:eastAsia="Arial" w:hAnsi="Arial"/>
                <w:sz w:val="14"/>
                <w:szCs w:val="14"/>
                <w:b w:val="1"/>
                <w:bCs w:val="1"/>
                <w:color w:val="auto"/>
              </w:rPr>
              <w:t>Ended</w:t>
            </w: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80" w:type="dxa"/>
            <w:vAlign w:val="bottom"/>
            <w:gridSpan w:val="2"/>
          </w:tcPr>
          <w:p>
            <w:pPr>
              <w:jc w:val="center"/>
              <w:ind w:left="192"/>
              <w:spacing w:after="0" w:line="149" w:lineRule="exact"/>
              <w:rPr>
                <w:sz w:val="20"/>
                <w:szCs w:val="20"/>
                <w:color w:val="auto"/>
              </w:rPr>
            </w:pPr>
            <w:r>
              <w:rPr>
                <w:rFonts w:ascii="Arial" w:cs="Arial" w:eastAsia="Arial" w:hAnsi="Arial"/>
                <w:sz w:val="14"/>
                <w:szCs w:val="14"/>
                <w:b w:val="1"/>
                <w:bCs w:val="1"/>
                <w:color w:val="auto"/>
                <w:w w:val="87"/>
              </w:rPr>
              <w:t>Through</w:t>
            </w: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61"/>
        </w:trPr>
        <w:tc>
          <w:tcPr>
            <w:tcW w:w="1160" w:type="dxa"/>
            <w:vAlign w:val="bottom"/>
          </w:tcPr>
          <w:p>
            <w:pPr>
              <w:spacing w:after="0"/>
              <w:rPr>
                <w:sz w:val="14"/>
                <w:szCs w:val="14"/>
                <w:color w:val="auto"/>
              </w:rPr>
            </w:pPr>
          </w:p>
        </w:tc>
        <w:tc>
          <w:tcPr>
            <w:tcW w:w="6760" w:type="dxa"/>
            <w:vAlign w:val="bottom"/>
          </w:tcPr>
          <w:p>
            <w:pPr>
              <w:spacing w:after="0"/>
              <w:rPr>
                <w:sz w:val="14"/>
                <w:szCs w:val="14"/>
                <w:color w:val="auto"/>
              </w:rPr>
            </w:pPr>
          </w:p>
        </w:tc>
        <w:tc>
          <w:tcPr>
            <w:tcW w:w="1140" w:type="dxa"/>
            <w:vAlign w:val="bottom"/>
            <w:tcBorders>
              <w:bottom w:val="single" w:sz="8" w:color="auto"/>
            </w:tcBorders>
            <w:gridSpan w:val="4"/>
          </w:tcPr>
          <w:p>
            <w:pPr>
              <w:spacing w:after="0"/>
              <w:rPr>
                <w:sz w:val="20"/>
                <w:szCs w:val="20"/>
                <w:color w:val="auto"/>
              </w:rPr>
            </w:pPr>
            <w:r>
              <w:rPr>
                <w:rFonts w:ascii="Arial" w:cs="Arial" w:eastAsia="Arial" w:hAnsi="Arial"/>
                <w:sz w:val="14"/>
                <w:szCs w:val="14"/>
                <w:b w:val="1"/>
                <w:bCs w:val="1"/>
                <w:color w:val="auto"/>
                <w:w w:val="85"/>
              </w:rPr>
              <w:t>September 30, 2010</w:t>
            </w:r>
          </w:p>
        </w:tc>
        <w:tc>
          <w:tcPr>
            <w:tcW w:w="5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140" w:type="dxa"/>
            <w:vAlign w:val="bottom"/>
            <w:tcBorders>
              <w:bottom w:val="single" w:sz="8" w:color="auto"/>
            </w:tcBorders>
            <w:gridSpan w:val="3"/>
          </w:tcPr>
          <w:p>
            <w:pPr>
              <w:spacing w:after="0"/>
              <w:rPr>
                <w:sz w:val="20"/>
                <w:szCs w:val="20"/>
                <w:color w:val="auto"/>
              </w:rPr>
            </w:pPr>
            <w:r>
              <w:rPr>
                <w:rFonts w:ascii="Arial" w:cs="Arial" w:eastAsia="Arial" w:hAnsi="Arial"/>
                <w:sz w:val="14"/>
                <w:szCs w:val="14"/>
                <w:b w:val="1"/>
                <w:bCs w:val="1"/>
                <w:color w:val="auto"/>
                <w:w w:val="85"/>
              </w:rPr>
              <w:t>September 30, 2009</w:t>
            </w:r>
          </w:p>
        </w:tc>
        <w:tc>
          <w:tcPr>
            <w:tcW w:w="100" w:type="dxa"/>
            <w:vAlign w:val="bottom"/>
          </w:tcPr>
          <w:p>
            <w:pPr>
              <w:spacing w:after="0"/>
              <w:rPr>
                <w:sz w:val="14"/>
                <w:szCs w:val="14"/>
                <w:color w:val="auto"/>
              </w:rPr>
            </w:pPr>
          </w:p>
        </w:tc>
      </w:tr>
      <w:tr>
        <w:trPr>
          <w:trHeight w:val="210"/>
        </w:trPr>
        <w:tc>
          <w:tcPr>
            <w:tcW w:w="79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Operating (a)</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580" w:type="dxa"/>
            <w:vAlign w:val="bottom"/>
            <w:gridSpan w:val="4"/>
            <w:shd w:val="clear" w:color="auto" w:fill="CCEEFF"/>
          </w:tcPr>
          <w:p>
            <w:pPr>
              <w:jc w:val="right"/>
              <w:ind w:right="439"/>
              <w:spacing w:after="0"/>
              <w:rPr>
                <w:sz w:val="20"/>
                <w:szCs w:val="20"/>
                <w:color w:val="auto"/>
              </w:rPr>
            </w:pPr>
            <w:r>
              <w:rPr>
                <w:rFonts w:ascii="Arial" w:cs="Arial" w:eastAsia="Arial" w:hAnsi="Arial"/>
                <w:sz w:val="18"/>
                <w:szCs w:val="18"/>
                <w:color w:val="auto"/>
              </w:rPr>
              <w:t>(151)</w:t>
            </w:r>
          </w:p>
        </w:tc>
        <w:tc>
          <w:tcPr>
            <w:tcW w:w="880" w:type="dxa"/>
            <w:vAlign w:val="bottom"/>
            <w:gridSpan w:val="2"/>
            <w:shd w:val="clear" w:color="auto" w:fill="CCEEFF"/>
          </w:tcPr>
          <w:p>
            <w:pPr>
              <w:ind w:left="540"/>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spacing w:after="0"/>
              <w:rPr>
                <w:sz w:val="18"/>
                <w:szCs w:val="18"/>
                <w:color w:val="auto"/>
              </w:rPr>
            </w:pPr>
          </w:p>
        </w:tc>
        <w:tc>
          <w:tcPr>
            <w:tcW w:w="3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3"/>
              </w:rPr>
              <w:t>(26)</w:t>
            </w:r>
          </w:p>
        </w:tc>
      </w:tr>
      <w:tr>
        <w:trPr>
          <w:trHeight w:val="222"/>
        </w:trPr>
        <w:tc>
          <w:tcPr>
            <w:tcW w:w="7920" w:type="dxa"/>
            <w:vAlign w:val="bottom"/>
            <w:gridSpan w:val="2"/>
          </w:tcPr>
          <w:p>
            <w:pPr>
              <w:spacing w:after="0"/>
              <w:rPr>
                <w:sz w:val="20"/>
                <w:szCs w:val="20"/>
                <w:color w:val="auto"/>
              </w:rPr>
            </w:pPr>
            <w:r>
              <w:rPr>
                <w:rFonts w:ascii="Arial" w:cs="Arial" w:eastAsia="Arial" w:hAnsi="Arial"/>
                <w:sz w:val="18"/>
                <w:szCs w:val="18"/>
                <w:color w:val="auto"/>
              </w:rPr>
              <w:t>Financing (b)</w:t>
            </w: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7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00" w:type="dxa"/>
            <w:vAlign w:val="bottom"/>
            <w:gridSpan w:val="2"/>
          </w:tcPr>
          <w:p>
            <w:pPr>
              <w:jc w:val="right"/>
              <w:ind w:right="499"/>
              <w:spacing w:after="0"/>
              <w:rPr>
                <w:sz w:val="20"/>
                <w:szCs w:val="20"/>
                <w:color w:val="auto"/>
              </w:rPr>
            </w:pPr>
            <w:r>
              <w:rPr>
                <w:rFonts w:ascii="Arial" w:cs="Arial" w:eastAsia="Arial" w:hAnsi="Arial"/>
                <w:sz w:val="18"/>
                <w:szCs w:val="18"/>
                <w:color w:val="auto"/>
                <w:w w:val="99"/>
              </w:rPr>
              <w:t>5</w:t>
            </w:r>
          </w:p>
        </w:tc>
        <w:tc>
          <w:tcPr>
            <w:tcW w:w="880" w:type="dxa"/>
            <w:vAlign w:val="bottom"/>
            <w:gridSpan w:val="2"/>
          </w:tcPr>
          <w:p>
            <w:pPr>
              <w:ind w:left="540"/>
              <w:spacing w:after="0"/>
              <w:rPr>
                <w:sz w:val="20"/>
                <w:szCs w:val="20"/>
                <w:color w:val="auto"/>
              </w:rPr>
            </w:pPr>
            <w:r>
              <w:rPr>
                <w:rFonts w:ascii="Arial" w:cs="Arial" w:eastAsia="Arial" w:hAnsi="Arial"/>
                <w:sz w:val="18"/>
                <w:szCs w:val="18"/>
                <w:color w:val="auto"/>
              </w:rPr>
              <w:t>$</w:t>
            </w:r>
          </w:p>
        </w:tc>
        <w:tc>
          <w:tcPr>
            <w:tcW w:w="540" w:type="dxa"/>
            <w:vAlign w:val="bottom"/>
          </w:tcPr>
          <w:p>
            <w:pPr>
              <w:spacing w:after="0"/>
              <w:rPr>
                <w:sz w:val="19"/>
                <w:szCs w:val="19"/>
                <w:color w:val="auto"/>
              </w:rPr>
            </w:pPr>
          </w:p>
        </w:tc>
        <w:tc>
          <w:tcPr>
            <w:tcW w:w="360" w:type="dxa"/>
            <w:vAlign w:val="bottom"/>
            <w:gridSpan w:val="2"/>
          </w:tcPr>
          <w:p>
            <w:pPr>
              <w:jc w:val="right"/>
              <w:ind w:right="40"/>
              <w:spacing w:after="0"/>
              <w:rPr>
                <w:sz w:val="20"/>
                <w:szCs w:val="20"/>
                <w:color w:val="auto"/>
              </w:rPr>
            </w:pPr>
            <w:r>
              <w:rPr>
                <w:rFonts w:ascii="Arial" w:cs="Arial" w:eastAsia="Arial" w:hAnsi="Arial"/>
                <w:sz w:val="18"/>
                <w:szCs w:val="18"/>
                <w:color w:val="auto"/>
                <w:w w:val="93"/>
              </w:rPr>
              <w:t>(29)</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64770</wp:posOffset>
            </wp:positionV>
            <wp:extent cx="728980" cy="889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14" w:lineRule="exact"/>
        <w:rPr>
          <w:sz w:val="20"/>
          <w:szCs w:val="20"/>
          <w:color w:val="auto"/>
        </w:rPr>
      </w:pPr>
    </w:p>
    <w:p>
      <w:pPr>
        <w:ind w:left="460" w:hanging="452"/>
        <w:spacing w:after="0"/>
        <w:tabs>
          <w:tab w:leader="none" w:pos="460" w:val="left"/>
        </w:tabs>
        <w:numPr>
          <w:ilvl w:val="0"/>
          <w:numId w:val="54"/>
        </w:numPr>
        <w:rPr>
          <w:rFonts w:ascii="Arial" w:cs="Arial" w:eastAsia="Arial" w:hAnsi="Arial"/>
          <w:sz w:val="18"/>
          <w:szCs w:val="18"/>
          <w:color w:val="auto"/>
        </w:rPr>
      </w:pPr>
      <w:r>
        <w:rPr>
          <w:rFonts w:ascii="Arial" w:cs="Arial" w:eastAsia="Arial" w:hAnsi="Arial"/>
          <w:sz w:val="18"/>
          <w:szCs w:val="18"/>
          <w:color w:val="auto"/>
        </w:rPr>
        <w:t>Primarily includes payments to and from MLC related to the purchase and sale of component parts.</w:t>
      </w:r>
    </w:p>
    <w:p>
      <w:pPr>
        <w:spacing w:after="0" w:line="90" w:lineRule="exact"/>
        <w:rPr>
          <w:rFonts w:ascii="Arial" w:cs="Arial" w:eastAsia="Arial" w:hAnsi="Arial"/>
          <w:sz w:val="18"/>
          <w:szCs w:val="18"/>
          <w:color w:val="auto"/>
        </w:rPr>
      </w:pPr>
    </w:p>
    <w:p>
      <w:pPr>
        <w:ind w:left="460" w:right="460" w:hanging="452"/>
        <w:spacing w:after="0" w:line="332" w:lineRule="auto"/>
        <w:tabs>
          <w:tab w:leader="none" w:pos="460" w:val="left"/>
        </w:tabs>
        <w:numPr>
          <w:ilvl w:val="0"/>
          <w:numId w:val="54"/>
        </w:numPr>
        <w:rPr>
          <w:rFonts w:ascii="Arial" w:cs="Arial" w:eastAsia="Arial" w:hAnsi="Arial"/>
          <w:sz w:val="16"/>
          <w:szCs w:val="16"/>
          <w:color w:val="auto"/>
        </w:rPr>
      </w:pPr>
      <w:r>
        <w:rPr>
          <w:rFonts w:ascii="Arial" w:cs="Arial" w:eastAsia="Arial" w:hAnsi="Arial"/>
          <w:sz w:val="16"/>
          <w:szCs w:val="16"/>
          <w:color w:val="auto"/>
        </w:rPr>
        <w:t>Payments received from (funding provided to) a facility in Strasbourg, France that MLC retained. The terms of this funding agreement did not permit additional funding after July 30, 2010. At September 30, 2010 we have reserved $11 million against the advanced amounts.</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25. Segment Reporting</w:t>
      </w:r>
    </w:p>
    <w:p>
      <w:pPr>
        <w:spacing w:after="0" w:line="177" w:lineRule="exact"/>
        <w:rPr>
          <w:sz w:val="20"/>
          <w:szCs w:val="20"/>
          <w:color w:val="auto"/>
        </w:rPr>
      </w:pPr>
    </w:p>
    <w:p>
      <w:pPr>
        <w:ind w:right="20" w:firstLine="228"/>
        <w:spacing w:after="0" w:line="291" w:lineRule="auto"/>
        <w:rPr>
          <w:sz w:val="20"/>
          <w:szCs w:val="20"/>
          <w:color w:val="auto"/>
        </w:rPr>
      </w:pPr>
      <w:r>
        <w:rPr>
          <w:rFonts w:ascii="Arial" w:cs="Arial" w:eastAsia="Arial" w:hAnsi="Arial"/>
          <w:sz w:val="16"/>
          <w:szCs w:val="16"/>
          <w:color w:val="auto"/>
        </w:rPr>
        <w:t>We design, build and sell cars, trucks and parts worldwide. We manage our operations on a geographic basis through our three geographically-based segments: GMNA, GME and GMIO. Each segment has a manager responsible for executing our strategies within each geographic region. Our manufacturing operations are integrated within each of our segments, benefit from broad-based trade agreements and are subject to regulatory requirements, such as Corporate Average Fuel Economy (CAFE) regulations. While not all vehicles within a segment are individually profitable on a fully loaded cost basis, those vehicles are needed in our product mix in order to attract customers to dealer showrooms and to maintain sales volumes for other, more profitable vehicles. Because of these factors, we do not manage our business on an individual brand or vehicle basis.</w:t>
      </w:r>
    </w:p>
    <w:p>
      <w:pPr>
        <w:spacing w:after="0" w:line="120" w:lineRule="exact"/>
        <w:rPr>
          <w:sz w:val="20"/>
          <w:szCs w:val="20"/>
          <w:color w:val="auto"/>
        </w:rPr>
      </w:pPr>
    </w:p>
    <w:p>
      <w:pPr>
        <w:ind w:right="120" w:firstLine="228"/>
        <w:spacing w:after="0" w:line="332" w:lineRule="auto"/>
        <w:rPr>
          <w:sz w:val="20"/>
          <w:szCs w:val="20"/>
          <w:color w:val="auto"/>
        </w:rPr>
      </w:pPr>
      <w:r>
        <w:rPr>
          <w:rFonts w:ascii="Arial" w:cs="Arial" w:eastAsia="Arial" w:hAnsi="Arial"/>
          <w:sz w:val="16"/>
          <w:szCs w:val="16"/>
          <w:color w:val="auto"/>
        </w:rPr>
        <w:t>In the nine months ended September 30, 2010 we changed our managerial reporting structure so that certain entities geographically located within Russia and Uzbekistan were transferred from our GME segment to our GMIO segment. We have revised the segment presentation for all periods presented.</w:t>
      </w:r>
    </w:p>
    <w:p>
      <w:pPr>
        <w:spacing w:after="0" w:line="85" w:lineRule="exact"/>
        <w:rPr>
          <w:sz w:val="20"/>
          <w:szCs w:val="20"/>
          <w:color w:val="auto"/>
        </w:rPr>
      </w:pPr>
    </w:p>
    <w:p>
      <w:pPr>
        <w:ind w:right="240" w:firstLine="228"/>
        <w:spacing w:after="0" w:line="268" w:lineRule="auto"/>
        <w:rPr>
          <w:sz w:val="20"/>
          <w:szCs w:val="20"/>
          <w:color w:val="auto"/>
        </w:rPr>
      </w:pPr>
      <w:r>
        <w:rPr>
          <w:rFonts w:ascii="Arial" w:cs="Arial" w:eastAsia="Arial" w:hAnsi="Arial"/>
          <w:sz w:val="18"/>
          <w:szCs w:val="18"/>
          <w:color w:val="auto"/>
        </w:rPr>
        <w:t>Substantially all of the cars, trucks and parts produced are marketed through retail dealers in North America, and through distributors and dealers outside of North America, the substantial majority of which are independently owned.</w:t>
      </w:r>
    </w:p>
    <w:p>
      <w:pPr>
        <w:spacing w:after="0" w:line="132" w:lineRule="exact"/>
        <w:rPr>
          <w:sz w:val="20"/>
          <w:szCs w:val="20"/>
          <w:color w:val="auto"/>
        </w:rPr>
      </w:pPr>
    </w:p>
    <w:p>
      <w:pPr>
        <w:ind w:right="460" w:firstLine="228"/>
        <w:spacing w:after="0" w:line="268" w:lineRule="auto"/>
        <w:rPr>
          <w:sz w:val="20"/>
          <w:szCs w:val="20"/>
          <w:color w:val="auto"/>
        </w:rPr>
      </w:pPr>
      <w:r>
        <w:rPr>
          <w:rFonts w:ascii="Arial" w:cs="Arial" w:eastAsia="Arial" w:hAnsi="Arial"/>
          <w:sz w:val="18"/>
          <w:szCs w:val="18"/>
          <w:color w:val="auto"/>
        </w:rPr>
        <w:t>In addition to the products sold to dealers for consumer retail sales, cars and trucks are also sold to fleet customers, including daily rental car companies, commercial fleet customers, leasing companies and governments. Sales to fleet customers are completed</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72</w:t>
      </w:r>
    </w:p>
    <w:p>
      <w:pPr>
        <w:sectPr>
          <w:pgSz w:w="11900" w:h="16838" w:orient="portrait"/>
          <w:cols w:equalWidth="0" w:num="1">
            <w:col w:w="11420"/>
          </w:cols>
          <w:pgMar w:left="240" w:top="459" w:right="239" w:bottom="1440" w:gutter="0" w:footer="0" w:header="0"/>
        </w:sectPr>
      </w:pPr>
    </w:p>
    <w:bookmarkStart w:id="74" w:name="page75"/>
    <w:bookmarkEnd w:id="7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171"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164" w:lineRule="exact"/>
        <w:rPr>
          <w:sz w:val="20"/>
          <w:szCs w:val="20"/>
          <w:color w:val="auto"/>
        </w:rPr>
      </w:pPr>
    </w:p>
    <w:p>
      <w:pPr>
        <w:spacing w:after="0" w:line="332" w:lineRule="auto"/>
        <w:rPr>
          <w:sz w:val="20"/>
          <w:szCs w:val="20"/>
          <w:color w:val="auto"/>
        </w:rPr>
      </w:pPr>
      <w:r>
        <w:rPr>
          <w:rFonts w:ascii="Arial" w:cs="Arial" w:eastAsia="Arial" w:hAnsi="Arial"/>
          <w:sz w:val="16"/>
          <w:szCs w:val="16"/>
          <w:color w:val="auto"/>
        </w:rPr>
        <w:t>through the network of dealers and in some cases sold directly to fleet customers. Retail and fleet customers can obtain a wide range of aftersale vehicle services and products through the dealer network, such as maintenance, light repairs, collision repairs, vehicle accessories and extended service warranties.</w:t>
      </w:r>
    </w:p>
    <w:p>
      <w:pPr>
        <w:spacing w:after="0" w:line="85" w:lineRule="exact"/>
        <w:rPr>
          <w:sz w:val="20"/>
          <w:szCs w:val="20"/>
          <w:color w:val="auto"/>
        </w:rPr>
      </w:pPr>
    </w:p>
    <w:p>
      <w:pPr>
        <w:ind w:left="240"/>
        <w:spacing w:after="0"/>
        <w:rPr>
          <w:sz w:val="20"/>
          <w:szCs w:val="20"/>
          <w:color w:val="auto"/>
        </w:rPr>
      </w:pPr>
      <w:r>
        <w:rPr>
          <w:rFonts w:ascii="Arial" w:cs="Arial" w:eastAsia="Arial" w:hAnsi="Arial"/>
          <w:sz w:val="16"/>
          <w:szCs w:val="16"/>
          <w:color w:val="auto"/>
        </w:rPr>
        <w:t>GMNA primarily meets the demands of customers in North America with vehicles developed, manufactured and/or marketed under the following brands:</w:t>
      </w:r>
    </w:p>
    <w:p>
      <w:pPr>
        <w:spacing w:after="0" w:line="235" w:lineRule="exact"/>
        <w:rPr>
          <w:sz w:val="20"/>
          <w:szCs w:val="20"/>
          <w:color w:val="auto"/>
        </w:rPr>
      </w:pPr>
    </w:p>
    <w:p>
      <w:pPr>
        <w:ind w:left="260"/>
        <w:spacing w:after="0"/>
        <w:tabs>
          <w:tab w:leader="none" w:pos="620" w:val="left"/>
          <w:tab w:leader="none" w:pos="3440" w:val="left"/>
          <w:tab w:leader="none" w:pos="3820" w:val="left"/>
          <w:tab w:leader="none" w:pos="6320" w:val="left"/>
          <w:tab w:leader="none" w:pos="6680" w:val="left"/>
          <w:tab w:leader="none" w:pos="9160" w:val="left"/>
          <w:tab w:leader="none" w:pos="952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Buick</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Cadillac</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Chevrolet</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GMC</w:t>
      </w:r>
    </w:p>
    <w:p>
      <w:pPr>
        <w:spacing w:after="0" w:line="171" w:lineRule="exact"/>
        <w:rPr>
          <w:sz w:val="20"/>
          <w:szCs w:val="20"/>
          <w:color w:val="auto"/>
        </w:rPr>
      </w:pPr>
    </w:p>
    <w:p>
      <w:pPr>
        <w:ind w:left="240"/>
        <w:spacing w:after="0"/>
        <w:rPr>
          <w:sz w:val="20"/>
          <w:szCs w:val="20"/>
          <w:color w:val="auto"/>
        </w:rPr>
      </w:pPr>
      <w:r>
        <w:rPr>
          <w:rFonts w:ascii="Arial" w:cs="Arial" w:eastAsia="Arial" w:hAnsi="Arial"/>
          <w:sz w:val="16"/>
          <w:szCs w:val="16"/>
          <w:color w:val="auto"/>
        </w:rPr>
        <w:t>The demands of customers outside of North America are primarily met with vehicles developed, manufactured and/or marketed under the following brands:</w:t>
      </w:r>
    </w:p>
    <w:p>
      <w:pPr>
        <w:sectPr>
          <w:pgSz w:w="11900" w:h="16838" w:orient="portrait"/>
          <w:cols w:equalWidth="0" w:num="1">
            <w:col w:w="11300"/>
          </w:cols>
          <w:pgMar w:left="240" w:top="459" w:right="359" w:bottom="1440" w:gutter="0" w:footer="0" w:header="0"/>
        </w:sectPr>
      </w:pPr>
    </w:p>
    <w:p>
      <w:pPr>
        <w:spacing w:after="0" w:line="235" w:lineRule="exact"/>
        <w:rPr>
          <w:sz w:val="20"/>
          <w:szCs w:val="20"/>
          <w:color w:val="auto"/>
        </w:rPr>
      </w:pPr>
    </w:p>
    <w:p>
      <w:pPr>
        <w:ind w:left="260"/>
        <w:spacing w:after="0"/>
        <w:rPr>
          <w:sz w:val="20"/>
          <w:szCs w:val="20"/>
          <w:color w:val="auto"/>
        </w:rPr>
      </w:pPr>
      <w:r>
        <w:rPr>
          <w:rFonts w:ascii="Arial" w:cs="Arial" w:eastAsia="Arial" w:hAnsi="Arial"/>
          <w:sz w:val="16"/>
          <w:szCs w:val="16"/>
          <w:color w:val="auto"/>
        </w:rPr>
        <w:t>•</w:t>
      </w:r>
    </w:p>
    <w:p>
      <w:pPr>
        <w:spacing w:after="0" w:line="38" w:lineRule="exact"/>
        <w:rPr>
          <w:sz w:val="20"/>
          <w:szCs w:val="20"/>
          <w:color w:val="auto"/>
        </w:rPr>
      </w:pPr>
    </w:p>
    <w:p>
      <w:pPr>
        <w:ind w:left="260"/>
        <w:spacing w:after="0"/>
        <w:rPr>
          <w:sz w:val="20"/>
          <w:szCs w:val="20"/>
          <w:color w:val="auto"/>
        </w:rPr>
      </w:pPr>
      <w:r>
        <w:rPr>
          <w:rFonts w:ascii="Arial" w:cs="Arial" w:eastAsia="Arial" w:hAnsi="Arial"/>
          <w:sz w:val="16"/>
          <w:szCs w:val="16"/>
          <w:color w:val="auto"/>
        </w:rPr>
        <w:t>•</w:t>
      </w:r>
    </w:p>
    <w:p>
      <w:pPr>
        <w:spacing w:after="0" w:line="20" w:lineRule="exact"/>
        <w:rPr>
          <w:sz w:val="20"/>
          <w:szCs w:val="20"/>
          <w:color w:val="auto"/>
        </w:rPr>
      </w:pPr>
      <w:r>
        <w:rPr>
          <w:sz w:val="20"/>
          <w:szCs w:val="20"/>
          <w:color w:val="auto"/>
        </w:rPr>
        <w:br w:type="column"/>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color w:val="auto"/>
        </w:rPr>
        <w:t>Buick</w:t>
      </w:r>
    </w:p>
    <w:p>
      <w:pPr>
        <w:spacing w:after="0" w:line="15" w:lineRule="exact"/>
        <w:rPr>
          <w:sz w:val="20"/>
          <w:szCs w:val="20"/>
          <w:color w:val="auto"/>
        </w:rPr>
      </w:pPr>
    </w:p>
    <w:p>
      <w:pPr>
        <w:spacing w:after="0"/>
        <w:rPr>
          <w:sz w:val="20"/>
          <w:szCs w:val="20"/>
          <w:color w:val="auto"/>
        </w:rPr>
      </w:pPr>
      <w:r>
        <w:rPr>
          <w:rFonts w:ascii="Arial" w:cs="Arial" w:eastAsia="Arial" w:hAnsi="Arial"/>
          <w:sz w:val="16"/>
          <w:szCs w:val="16"/>
          <w:color w:val="auto"/>
        </w:rPr>
        <w:t>Cadillac</w:t>
      </w:r>
    </w:p>
    <w:p>
      <w:pPr>
        <w:spacing w:after="0" w:line="20" w:lineRule="exact"/>
        <w:rPr>
          <w:sz w:val="20"/>
          <w:szCs w:val="20"/>
          <w:color w:val="auto"/>
        </w:rPr>
      </w:pPr>
      <w:r>
        <w:rPr>
          <w:sz w:val="20"/>
          <w:szCs w:val="20"/>
          <w:color w:val="auto"/>
        </w:rPr>
        <w:br w:type="column"/>
      </w:r>
    </w:p>
    <w:p>
      <w:pPr>
        <w:spacing w:after="0" w:line="215" w:lineRule="exact"/>
        <w:rPr>
          <w:sz w:val="20"/>
          <w:szCs w:val="20"/>
          <w:color w:val="auto"/>
        </w:rPr>
      </w:pPr>
    </w:p>
    <w:p>
      <w:pPr>
        <w:spacing w:after="0"/>
        <w:rPr>
          <w:sz w:val="20"/>
          <w:szCs w:val="20"/>
          <w:color w:val="auto"/>
        </w:rPr>
      </w:pPr>
      <w:r>
        <w:rPr>
          <w:rFonts w:ascii="Arial" w:cs="Arial" w:eastAsia="Arial" w:hAnsi="Arial"/>
          <w:sz w:val="16"/>
          <w:szCs w:val="16"/>
          <w:color w:val="auto"/>
        </w:rPr>
        <w:t>•</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w:t>
      </w:r>
    </w:p>
    <w:p>
      <w:pPr>
        <w:spacing w:after="0" w:line="20" w:lineRule="exact"/>
        <w:rPr>
          <w:sz w:val="20"/>
          <w:szCs w:val="20"/>
          <w:color w:val="auto"/>
        </w:rPr>
      </w:pPr>
      <w:r>
        <w:rPr>
          <w:sz w:val="20"/>
          <w:szCs w:val="20"/>
          <w:color w:val="auto"/>
        </w:rPr>
        <w:br w:type="column"/>
      </w:r>
    </w:p>
    <w:p>
      <w:pPr>
        <w:spacing w:after="0" w:line="215" w:lineRule="exact"/>
        <w:rPr>
          <w:sz w:val="20"/>
          <w:szCs w:val="20"/>
          <w:color w:val="auto"/>
        </w:rPr>
      </w:pPr>
    </w:p>
    <w:p>
      <w:pPr>
        <w:spacing w:after="0"/>
        <w:rPr>
          <w:sz w:val="20"/>
          <w:szCs w:val="20"/>
          <w:color w:val="auto"/>
        </w:rPr>
      </w:pPr>
      <w:r>
        <w:rPr>
          <w:rFonts w:ascii="Arial" w:cs="Arial" w:eastAsia="Arial" w:hAnsi="Arial"/>
          <w:sz w:val="15"/>
          <w:szCs w:val="15"/>
          <w:color w:val="auto"/>
        </w:rPr>
        <w:t>Daewoo</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GMC</w:t>
      </w:r>
    </w:p>
    <w:p>
      <w:pPr>
        <w:spacing w:after="0" w:line="20" w:lineRule="exact"/>
        <w:rPr>
          <w:sz w:val="20"/>
          <w:szCs w:val="20"/>
          <w:color w:val="auto"/>
        </w:rPr>
      </w:pPr>
      <w:r>
        <w:rPr>
          <w:sz w:val="20"/>
          <w:szCs w:val="20"/>
          <w:color w:val="auto"/>
        </w:rPr>
        <w:br w:type="column"/>
      </w:r>
    </w:p>
    <w:p>
      <w:pPr>
        <w:spacing w:after="0" w:line="215" w:lineRule="exact"/>
        <w:rPr>
          <w:sz w:val="20"/>
          <w:szCs w:val="20"/>
          <w:color w:val="auto"/>
        </w:rPr>
      </w:pPr>
    </w:p>
    <w:p>
      <w:pPr>
        <w:spacing w:after="0"/>
        <w:rPr>
          <w:sz w:val="20"/>
          <w:szCs w:val="20"/>
          <w:color w:val="auto"/>
        </w:rPr>
      </w:pPr>
      <w:r>
        <w:rPr>
          <w:rFonts w:ascii="Arial" w:cs="Arial" w:eastAsia="Arial" w:hAnsi="Arial"/>
          <w:sz w:val="16"/>
          <w:szCs w:val="16"/>
          <w:color w:val="auto"/>
        </w:rPr>
        <w:t>•</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w:t>
      </w:r>
    </w:p>
    <w:p>
      <w:pPr>
        <w:spacing w:after="0" w:line="20" w:lineRule="exact"/>
        <w:rPr>
          <w:sz w:val="20"/>
          <w:szCs w:val="20"/>
          <w:color w:val="auto"/>
        </w:rPr>
      </w:pPr>
      <w:r>
        <w:rPr>
          <w:sz w:val="20"/>
          <w:szCs w:val="20"/>
          <w:color w:val="auto"/>
        </w:rPr>
        <w:br w:type="column"/>
      </w:r>
    </w:p>
    <w:p>
      <w:pPr>
        <w:spacing w:after="0" w:line="215" w:lineRule="exact"/>
        <w:rPr>
          <w:sz w:val="20"/>
          <w:szCs w:val="20"/>
          <w:color w:val="auto"/>
        </w:rPr>
      </w:pPr>
    </w:p>
    <w:p>
      <w:pPr>
        <w:spacing w:after="0"/>
        <w:rPr>
          <w:sz w:val="20"/>
          <w:szCs w:val="20"/>
          <w:color w:val="auto"/>
        </w:rPr>
      </w:pPr>
      <w:r>
        <w:rPr>
          <w:rFonts w:ascii="Arial" w:cs="Arial" w:eastAsia="Arial" w:hAnsi="Arial"/>
          <w:sz w:val="16"/>
          <w:szCs w:val="16"/>
          <w:color w:val="auto"/>
        </w:rPr>
        <w:t>Holden</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Isuzu</w:t>
      </w:r>
    </w:p>
    <w:p>
      <w:pPr>
        <w:spacing w:after="0" w:line="20" w:lineRule="exact"/>
        <w:rPr>
          <w:sz w:val="20"/>
          <w:szCs w:val="20"/>
          <w:color w:val="auto"/>
        </w:rPr>
      </w:pPr>
      <w:r>
        <w:rPr>
          <w:sz w:val="20"/>
          <w:szCs w:val="20"/>
          <w:color w:val="auto"/>
        </w:rPr>
        <w:br w:type="column"/>
      </w:r>
    </w:p>
    <w:p>
      <w:pPr>
        <w:spacing w:after="0" w:line="215" w:lineRule="exact"/>
        <w:rPr>
          <w:sz w:val="20"/>
          <w:szCs w:val="20"/>
          <w:color w:val="auto"/>
        </w:rPr>
      </w:pPr>
    </w:p>
    <w:p>
      <w:pPr>
        <w:spacing w:after="0"/>
        <w:rPr>
          <w:sz w:val="20"/>
          <w:szCs w:val="20"/>
          <w:color w:val="auto"/>
        </w:rPr>
      </w:pPr>
      <w:r>
        <w:rPr>
          <w:rFonts w:ascii="Arial" w:cs="Arial" w:eastAsia="Arial" w:hAnsi="Arial"/>
          <w:sz w:val="16"/>
          <w:szCs w:val="16"/>
          <w:color w:val="auto"/>
        </w:rPr>
        <w:t>•</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w:t>
      </w:r>
    </w:p>
    <w:p>
      <w:pPr>
        <w:spacing w:after="0" w:line="20" w:lineRule="exact"/>
        <w:rPr>
          <w:sz w:val="20"/>
          <w:szCs w:val="20"/>
          <w:color w:val="auto"/>
        </w:rPr>
      </w:pPr>
      <w:r>
        <w:rPr>
          <w:sz w:val="20"/>
          <w:szCs w:val="20"/>
          <w:color w:val="auto"/>
        </w:rPr>
        <w:br w:type="column"/>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color w:val="auto"/>
        </w:rPr>
        <w:t>Opel</w:t>
      </w:r>
    </w:p>
    <w:p>
      <w:pPr>
        <w:spacing w:after="0" w:line="15" w:lineRule="exact"/>
        <w:rPr>
          <w:sz w:val="20"/>
          <w:szCs w:val="20"/>
          <w:color w:val="auto"/>
        </w:rPr>
      </w:pPr>
    </w:p>
    <w:p>
      <w:pPr>
        <w:spacing w:after="0"/>
        <w:rPr>
          <w:sz w:val="20"/>
          <w:szCs w:val="20"/>
          <w:color w:val="auto"/>
        </w:rPr>
      </w:pPr>
      <w:r>
        <w:rPr>
          <w:rFonts w:ascii="Arial" w:cs="Arial" w:eastAsia="Arial" w:hAnsi="Arial"/>
          <w:sz w:val="16"/>
          <w:szCs w:val="16"/>
          <w:color w:val="auto"/>
        </w:rPr>
        <w:t>Vauxhall</w:t>
      </w:r>
    </w:p>
    <w:p>
      <w:pPr>
        <w:spacing w:after="0" w:line="31" w:lineRule="exact"/>
        <w:rPr>
          <w:sz w:val="20"/>
          <w:szCs w:val="20"/>
          <w:color w:val="auto"/>
        </w:rPr>
      </w:pPr>
    </w:p>
    <w:p>
      <w:pPr>
        <w:sectPr>
          <w:pgSz w:w="11900" w:h="16838" w:orient="portrait"/>
          <w:cols w:equalWidth="0" w:num="8">
            <w:col w:w="320" w:space="320"/>
            <w:col w:w="2100" w:space="720"/>
            <w:col w:w="60" w:space="320"/>
            <w:col w:w="1780" w:space="720"/>
            <w:col w:w="60" w:space="300"/>
            <w:col w:w="1760" w:space="720"/>
            <w:col w:w="60" w:space="300"/>
            <w:col w:w="1760"/>
          </w:cols>
          <w:pgMar w:left="240" w:top="459" w:right="359" w:bottom="1440" w:gutter="0" w:footer="0" w:header="0"/>
          <w:type w:val="continuous"/>
        </w:sectPr>
      </w:pPr>
    </w:p>
    <w:p>
      <w:pPr>
        <w:ind w:left="640" w:hanging="373"/>
        <w:spacing w:after="0"/>
        <w:tabs>
          <w:tab w:leader="none" w:pos="640" w:val="left"/>
        </w:tabs>
        <w:numPr>
          <w:ilvl w:val="0"/>
          <w:numId w:val="55"/>
        </w:numPr>
        <w:rPr>
          <w:rFonts w:ascii="Arial" w:cs="Arial" w:eastAsia="Arial" w:hAnsi="Arial"/>
          <w:sz w:val="18"/>
          <w:szCs w:val="18"/>
          <w:color w:val="auto"/>
        </w:rPr>
      </w:pPr>
      <w:r>
        <w:rPr>
          <w:rFonts w:ascii="Arial" w:cs="Arial" w:eastAsia="Arial" w:hAnsi="Arial"/>
          <w:sz w:val="18"/>
          <w:szCs w:val="18"/>
          <w:color w:val="auto"/>
        </w:rPr>
        <w:t>Chevrolet</w:t>
      </w:r>
    </w:p>
    <w:p>
      <w:pPr>
        <w:spacing w:after="0" w:line="165" w:lineRule="exact"/>
        <w:rPr>
          <w:sz w:val="20"/>
          <w:szCs w:val="20"/>
          <w:color w:val="auto"/>
        </w:rPr>
      </w:pPr>
    </w:p>
    <w:p>
      <w:pPr>
        <w:jc w:val="both"/>
        <w:ind w:right="460" w:firstLine="228"/>
        <w:spacing w:after="0" w:line="259" w:lineRule="auto"/>
        <w:rPr>
          <w:sz w:val="20"/>
          <w:szCs w:val="20"/>
          <w:color w:val="auto"/>
        </w:rPr>
      </w:pPr>
      <w:r>
        <w:rPr>
          <w:rFonts w:ascii="Arial" w:cs="Arial" w:eastAsia="Arial" w:hAnsi="Arial"/>
          <w:sz w:val="18"/>
          <w:szCs w:val="18"/>
          <w:color w:val="auto"/>
        </w:rPr>
        <w:t>At September 30, 2010 we also had equity ownership stakes directly or indirectly through various regional subsidiaries, including GM Daewoo, SGM, SGMW, FAW-GM Light Duty Commercial Vehicle Co., Ltd. (FAW-GM) and HKJV. These companies design, manufacture and market vehicles under the following brands:</w:t>
      </w:r>
    </w:p>
    <w:p>
      <w:pPr>
        <w:sectPr>
          <w:pgSz w:w="11900" w:h="16838" w:orient="portrait"/>
          <w:cols w:equalWidth="0" w:num="1">
            <w:col w:w="11300"/>
          </w:cols>
          <w:pgMar w:left="240" w:top="459" w:right="359" w:bottom="1440" w:gutter="0" w:footer="0" w:header="0"/>
          <w:type w:val="continuous"/>
        </w:sectPr>
      </w:pPr>
    </w:p>
    <w:p>
      <w:pPr>
        <w:spacing w:after="0" w:line="181" w:lineRule="exact"/>
        <w:rPr>
          <w:sz w:val="20"/>
          <w:szCs w:val="20"/>
          <w:color w:val="auto"/>
        </w:rPr>
      </w:pPr>
    </w:p>
    <w:p>
      <w:pPr>
        <w:ind w:left="260"/>
        <w:spacing w:after="0"/>
        <w:rPr>
          <w:sz w:val="20"/>
          <w:szCs w:val="20"/>
          <w:color w:val="auto"/>
        </w:rPr>
      </w:pPr>
      <w:r>
        <w:rPr>
          <w:rFonts w:ascii="Arial" w:cs="Arial" w:eastAsia="Arial" w:hAnsi="Arial"/>
          <w:sz w:val="16"/>
          <w:szCs w:val="16"/>
          <w:color w:val="auto"/>
        </w:rPr>
        <w:t>•</w:t>
      </w:r>
    </w:p>
    <w:p>
      <w:pPr>
        <w:spacing w:after="0" w:line="38" w:lineRule="exact"/>
        <w:rPr>
          <w:sz w:val="20"/>
          <w:szCs w:val="20"/>
          <w:color w:val="auto"/>
        </w:rPr>
      </w:pPr>
    </w:p>
    <w:p>
      <w:pPr>
        <w:ind w:left="260"/>
        <w:spacing w:after="0"/>
        <w:rPr>
          <w:sz w:val="20"/>
          <w:szCs w:val="20"/>
          <w:color w:val="auto"/>
        </w:rPr>
      </w:pPr>
      <w:r>
        <w:rPr>
          <w:rFonts w:ascii="Arial" w:cs="Arial" w:eastAsia="Arial" w:hAnsi="Arial"/>
          <w:sz w:val="16"/>
          <w:szCs w:val="16"/>
          <w:color w:val="auto"/>
        </w:rPr>
        <w:t>•</w:t>
      </w:r>
    </w:p>
    <w:p>
      <w:pPr>
        <w:spacing w:after="0" w:line="20" w:lineRule="exact"/>
        <w:rPr>
          <w:sz w:val="20"/>
          <w:szCs w:val="20"/>
          <w:color w:val="auto"/>
        </w:rPr>
      </w:pPr>
      <w:r>
        <w:rPr>
          <w:sz w:val="20"/>
          <w:szCs w:val="20"/>
          <w:color w:val="auto"/>
        </w:rPr>
        <w:br w:type="column"/>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color w:val="auto"/>
        </w:rPr>
        <w:t>Buick</w:t>
      </w:r>
    </w:p>
    <w:p>
      <w:pPr>
        <w:spacing w:after="0" w:line="15" w:lineRule="exact"/>
        <w:rPr>
          <w:sz w:val="20"/>
          <w:szCs w:val="20"/>
          <w:color w:val="auto"/>
        </w:rPr>
      </w:pPr>
    </w:p>
    <w:p>
      <w:pPr>
        <w:spacing w:after="0"/>
        <w:rPr>
          <w:sz w:val="20"/>
          <w:szCs w:val="20"/>
          <w:color w:val="auto"/>
        </w:rPr>
      </w:pPr>
      <w:r>
        <w:rPr>
          <w:rFonts w:ascii="Arial" w:cs="Arial" w:eastAsia="Arial" w:hAnsi="Arial"/>
          <w:sz w:val="16"/>
          <w:szCs w:val="16"/>
          <w:color w:val="auto"/>
        </w:rPr>
        <w:t>Cadillac</w:t>
      </w:r>
    </w:p>
    <w:p>
      <w:pPr>
        <w:spacing w:after="0" w:line="20" w:lineRule="exact"/>
        <w:rPr>
          <w:sz w:val="20"/>
          <w:szCs w:val="20"/>
          <w:color w:val="auto"/>
        </w:rPr>
      </w:pPr>
      <w:r>
        <w:rPr>
          <w:sz w:val="20"/>
          <w:szCs w:val="20"/>
          <w:color w:val="auto"/>
        </w:rPr>
        <w:br w:type="column"/>
      </w:r>
    </w:p>
    <w:p>
      <w:pPr>
        <w:spacing w:after="0" w:line="161" w:lineRule="exact"/>
        <w:rPr>
          <w:sz w:val="20"/>
          <w:szCs w:val="20"/>
          <w:color w:val="auto"/>
        </w:rPr>
      </w:pPr>
    </w:p>
    <w:p>
      <w:pPr>
        <w:spacing w:after="0"/>
        <w:rPr>
          <w:sz w:val="20"/>
          <w:szCs w:val="20"/>
          <w:color w:val="auto"/>
        </w:rPr>
      </w:pPr>
      <w:r>
        <w:rPr>
          <w:rFonts w:ascii="Arial" w:cs="Arial" w:eastAsia="Arial" w:hAnsi="Arial"/>
          <w:sz w:val="16"/>
          <w:szCs w:val="16"/>
          <w:color w:val="auto"/>
        </w:rPr>
        <w:t>•</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w:t>
      </w:r>
    </w:p>
    <w:p>
      <w:pPr>
        <w:spacing w:after="0" w:line="20" w:lineRule="exact"/>
        <w:rPr>
          <w:sz w:val="20"/>
          <w:szCs w:val="20"/>
          <w:color w:val="auto"/>
        </w:rPr>
      </w:pPr>
      <w:r>
        <w:rPr>
          <w:sz w:val="20"/>
          <w:szCs w:val="20"/>
          <w:color w:val="auto"/>
        </w:rPr>
        <w:br w:type="column"/>
      </w:r>
    </w:p>
    <w:p>
      <w:pPr>
        <w:spacing w:after="0" w:line="161" w:lineRule="exact"/>
        <w:rPr>
          <w:sz w:val="20"/>
          <w:szCs w:val="20"/>
          <w:color w:val="auto"/>
        </w:rPr>
      </w:pPr>
    </w:p>
    <w:p>
      <w:pPr>
        <w:spacing w:after="0"/>
        <w:rPr>
          <w:sz w:val="20"/>
          <w:szCs w:val="20"/>
          <w:color w:val="auto"/>
        </w:rPr>
      </w:pPr>
      <w:r>
        <w:rPr>
          <w:rFonts w:ascii="Arial" w:cs="Arial" w:eastAsia="Arial" w:hAnsi="Arial"/>
          <w:sz w:val="15"/>
          <w:szCs w:val="15"/>
          <w:color w:val="auto"/>
        </w:rPr>
        <w:t>Daewoo</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FAW</w:t>
      </w:r>
    </w:p>
    <w:p>
      <w:pPr>
        <w:spacing w:after="0" w:line="20" w:lineRule="exact"/>
        <w:rPr>
          <w:sz w:val="20"/>
          <w:szCs w:val="20"/>
          <w:color w:val="auto"/>
        </w:rPr>
      </w:pPr>
      <w:r>
        <w:rPr>
          <w:sz w:val="20"/>
          <w:szCs w:val="20"/>
          <w:color w:val="auto"/>
        </w:rPr>
        <w:br w:type="column"/>
      </w:r>
    </w:p>
    <w:p>
      <w:pPr>
        <w:spacing w:after="0" w:line="161" w:lineRule="exact"/>
        <w:rPr>
          <w:sz w:val="20"/>
          <w:szCs w:val="20"/>
          <w:color w:val="auto"/>
        </w:rPr>
      </w:pPr>
    </w:p>
    <w:p>
      <w:pPr>
        <w:spacing w:after="0"/>
        <w:rPr>
          <w:sz w:val="20"/>
          <w:szCs w:val="20"/>
          <w:color w:val="auto"/>
        </w:rPr>
      </w:pPr>
      <w:r>
        <w:rPr>
          <w:rFonts w:ascii="Arial" w:cs="Arial" w:eastAsia="Arial" w:hAnsi="Arial"/>
          <w:sz w:val="16"/>
          <w:szCs w:val="16"/>
          <w:color w:val="auto"/>
        </w:rPr>
        <w:t>•</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w:t>
      </w:r>
    </w:p>
    <w:p>
      <w:pPr>
        <w:spacing w:after="0" w:line="20" w:lineRule="exact"/>
        <w:rPr>
          <w:sz w:val="20"/>
          <w:szCs w:val="20"/>
          <w:color w:val="auto"/>
        </w:rPr>
      </w:pPr>
      <w:r>
        <w:rPr>
          <w:sz w:val="20"/>
          <w:szCs w:val="20"/>
          <w:color w:val="auto"/>
        </w:rPr>
        <w:br w:type="column"/>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color w:val="auto"/>
        </w:rPr>
        <w:t>GMC</w:t>
      </w:r>
    </w:p>
    <w:p>
      <w:pPr>
        <w:spacing w:after="0" w:line="15" w:lineRule="exact"/>
        <w:rPr>
          <w:sz w:val="20"/>
          <w:szCs w:val="20"/>
          <w:color w:val="auto"/>
        </w:rPr>
      </w:pPr>
    </w:p>
    <w:p>
      <w:pPr>
        <w:spacing w:after="0"/>
        <w:rPr>
          <w:sz w:val="20"/>
          <w:szCs w:val="20"/>
          <w:color w:val="auto"/>
        </w:rPr>
      </w:pPr>
      <w:r>
        <w:rPr>
          <w:rFonts w:ascii="Arial" w:cs="Arial" w:eastAsia="Arial" w:hAnsi="Arial"/>
          <w:sz w:val="16"/>
          <w:szCs w:val="16"/>
          <w:color w:val="auto"/>
        </w:rPr>
        <w:t>Holden</w:t>
      </w:r>
    </w:p>
    <w:p>
      <w:pPr>
        <w:spacing w:after="0" w:line="20" w:lineRule="exact"/>
        <w:rPr>
          <w:sz w:val="20"/>
          <w:szCs w:val="20"/>
          <w:color w:val="auto"/>
        </w:rPr>
      </w:pPr>
      <w:r>
        <w:rPr>
          <w:sz w:val="20"/>
          <w:szCs w:val="20"/>
          <w:color w:val="auto"/>
        </w:rPr>
        <w:br w:type="column"/>
      </w:r>
    </w:p>
    <w:p>
      <w:pPr>
        <w:spacing w:after="0" w:line="161" w:lineRule="exact"/>
        <w:rPr>
          <w:sz w:val="20"/>
          <w:szCs w:val="20"/>
          <w:color w:val="auto"/>
        </w:rPr>
      </w:pPr>
    </w:p>
    <w:p>
      <w:pPr>
        <w:spacing w:after="0"/>
        <w:rPr>
          <w:sz w:val="20"/>
          <w:szCs w:val="20"/>
          <w:color w:val="auto"/>
        </w:rPr>
      </w:pPr>
      <w:r>
        <w:rPr>
          <w:rFonts w:ascii="Arial" w:cs="Arial" w:eastAsia="Arial" w:hAnsi="Arial"/>
          <w:sz w:val="16"/>
          <w:szCs w:val="16"/>
          <w:color w:val="auto"/>
        </w:rPr>
        <w:t>•</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w:t>
      </w:r>
    </w:p>
    <w:p>
      <w:pPr>
        <w:spacing w:after="0" w:line="20" w:lineRule="exact"/>
        <w:rPr>
          <w:sz w:val="20"/>
          <w:szCs w:val="20"/>
          <w:color w:val="auto"/>
        </w:rPr>
      </w:pPr>
      <w:r>
        <w:rPr>
          <w:sz w:val="20"/>
          <w:szCs w:val="20"/>
          <w:color w:val="auto"/>
        </w:rPr>
        <w:br w:type="column"/>
      </w:r>
    </w:p>
    <w:p>
      <w:pPr>
        <w:spacing w:after="0" w:line="161" w:lineRule="exact"/>
        <w:rPr>
          <w:sz w:val="20"/>
          <w:szCs w:val="20"/>
          <w:color w:val="auto"/>
        </w:rPr>
      </w:pPr>
    </w:p>
    <w:p>
      <w:pPr>
        <w:spacing w:after="0"/>
        <w:rPr>
          <w:sz w:val="20"/>
          <w:szCs w:val="20"/>
          <w:color w:val="auto"/>
        </w:rPr>
      </w:pPr>
      <w:r>
        <w:rPr>
          <w:rFonts w:ascii="Arial" w:cs="Arial" w:eastAsia="Arial" w:hAnsi="Arial"/>
          <w:sz w:val="16"/>
          <w:szCs w:val="16"/>
          <w:color w:val="auto"/>
        </w:rPr>
        <w:t>Jiefang</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Wuling</w:t>
      </w:r>
    </w:p>
    <w:p>
      <w:pPr>
        <w:spacing w:after="0" w:line="31" w:lineRule="exact"/>
        <w:rPr>
          <w:sz w:val="20"/>
          <w:szCs w:val="20"/>
          <w:color w:val="auto"/>
        </w:rPr>
      </w:pPr>
    </w:p>
    <w:p>
      <w:pPr>
        <w:sectPr>
          <w:pgSz w:w="11900" w:h="16838" w:orient="portrait"/>
          <w:cols w:equalWidth="0" w:num="8">
            <w:col w:w="320" w:space="320"/>
            <w:col w:w="2100" w:space="720"/>
            <w:col w:w="60" w:space="320"/>
            <w:col w:w="1780" w:space="720"/>
            <w:col w:w="60" w:space="300"/>
            <w:col w:w="1760" w:space="720"/>
            <w:col w:w="60" w:space="300"/>
            <w:col w:w="1760"/>
          </w:cols>
          <w:pgMar w:left="240" w:top="459" w:right="359" w:bottom="1440" w:gutter="0" w:footer="0" w:header="0"/>
          <w:type w:val="continuous"/>
        </w:sectPr>
      </w:pPr>
    </w:p>
    <w:p>
      <w:pPr>
        <w:ind w:left="640" w:hanging="373"/>
        <w:spacing w:after="0"/>
        <w:tabs>
          <w:tab w:leader="none" w:pos="640" w:val="left"/>
        </w:tabs>
        <w:numPr>
          <w:ilvl w:val="0"/>
          <w:numId w:val="56"/>
        </w:numPr>
        <w:rPr>
          <w:rFonts w:ascii="Arial" w:cs="Arial" w:eastAsia="Arial" w:hAnsi="Arial"/>
          <w:sz w:val="18"/>
          <w:szCs w:val="18"/>
          <w:color w:val="auto"/>
        </w:rPr>
      </w:pPr>
      <w:r>
        <w:rPr>
          <w:rFonts w:ascii="Arial" w:cs="Arial" w:eastAsia="Arial" w:hAnsi="Arial"/>
          <w:sz w:val="18"/>
          <w:szCs w:val="18"/>
          <w:color w:val="auto"/>
        </w:rPr>
        <w:t>Chevrolet</w:t>
      </w:r>
    </w:p>
    <w:p>
      <w:pPr>
        <w:spacing w:after="0" w:line="165" w:lineRule="exact"/>
        <w:rPr>
          <w:sz w:val="20"/>
          <w:szCs w:val="20"/>
          <w:color w:val="auto"/>
        </w:rPr>
      </w:pPr>
    </w:p>
    <w:p>
      <w:pPr>
        <w:jc w:val="both"/>
        <w:ind w:right="180" w:firstLine="228"/>
        <w:spacing w:after="0" w:line="259" w:lineRule="auto"/>
        <w:rPr>
          <w:sz w:val="20"/>
          <w:szCs w:val="20"/>
          <w:color w:val="auto"/>
        </w:rPr>
      </w:pPr>
      <w:r>
        <w:rPr>
          <w:rFonts w:ascii="Arial" w:cs="Arial" w:eastAsia="Arial" w:hAnsi="Arial"/>
          <w:sz w:val="18"/>
          <w:szCs w:val="18"/>
          <w:color w:val="auto"/>
        </w:rPr>
        <w:t>Nonsegment operations are classified as Corporate. Corporate includes investments in Ally Financial, certain centrally recorded income and costs, such as interest, income taxes and corporate expenditures, certain nonsegment specific revenues and expenses, including costs related to the Delphi Benefit Guarantee Agreements and a portfolio of automotive retail leases.</w:t>
      </w:r>
    </w:p>
    <w:p>
      <w:pPr>
        <w:spacing w:after="0" w:line="127"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73</w:t>
      </w:r>
    </w:p>
    <w:p>
      <w:pPr>
        <w:sectPr>
          <w:pgSz w:w="11900" w:h="16838" w:orient="portrait"/>
          <w:cols w:equalWidth="0" w:num="1">
            <w:col w:w="11300"/>
          </w:cols>
          <w:pgMar w:left="240" w:top="459" w:right="359" w:bottom="1440" w:gutter="0" w:footer="0" w:header="0"/>
          <w:type w:val="continuous"/>
        </w:sectPr>
      </w:pPr>
    </w:p>
    <w:bookmarkStart w:id="75" w:name="page76"/>
    <w:bookmarkEnd w:id="7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339" w:lineRule="exact"/>
        <w:rPr>
          <w:sz w:val="20"/>
          <w:szCs w:val="20"/>
          <w:color w:val="auto"/>
        </w:rPr>
      </w:pPr>
    </w:p>
    <w:p>
      <w:pPr>
        <w:ind w:left="240"/>
        <w:spacing w:after="0"/>
        <w:rPr>
          <w:sz w:val="20"/>
          <w:szCs w:val="20"/>
          <w:color w:val="auto"/>
        </w:rPr>
      </w:pPr>
      <w:r>
        <w:rPr>
          <w:rFonts w:ascii="Arial" w:cs="Arial" w:eastAsia="Arial" w:hAnsi="Arial"/>
          <w:sz w:val="18"/>
          <w:szCs w:val="18"/>
          <w:color w:val="auto"/>
        </w:rPr>
        <w:t>All intersegment balances and transactions have been eliminated in consolidation.</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4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1240" w:type="dxa"/>
            <w:vAlign w:val="bottom"/>
            <w:tcBorders>
              <w:bottom w:val="single" w:sz="8" w:color="auto"/>
            </w:tcBorders>
            <w:gridSpan w:val="5"/>
          </w:tcPr>
          <w:p>
            <w:pPr>
              <w:jc w:val="right"/>
              <w:ind w:right="660"/>
              <w:spacing w:after="0"/>
              <w:rPr>
                <w:sz w:val="20"/>
                <w:szCs w:val="20"/>
                <w:color w:val="auto"/>
              </w:rPr>
            </w:pPr>
            <w:r>
              <w:rPr>
                <w:rFonts w:ascii="Arial" w:cs="Arial" w:eastAsia="Arial" w:hAnsi="Arial"/>
                <w:sz w:val="14"/>
                <w:szCs w:val="14"/>
                <w:b w:val="1"/>
                <w:bCs w:val="1"/>
                <w:color w:val="auto"/>
                <w:w w:val="79"/>
              </w:rPr>
              <w:t>Successor</w:t>
            </w:r>
          </w:p>
        </w:tc>
        <w:tc>
          <w:tcPr>
            <w:tcW w:w="1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4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80" w:type="dxa"/>
            <w:vAlign w:val="bottom"/>
            <w:gridSpan w:val="3"/>
          </w:tcPr>
          <w:p>
            <w:pPr>
              <w:ind w:left="80"/>
              <w:spacing w:after="0" w:line="142" w:lineRule="exact"/>
              <w:rPr>
                <w:sz w:val="20"/>
                <w:szCs w:val="20"/>
                <w:color w:val="auto"/>
              </w:rPr>
            </w:pPr>
            <w:r>
              <w:rPr>
                <w:rFonts w:ascii="Arial" w:cs="Arial" w:eastAsia="Arial" w:hAnsi="Arial"/>
                <w:sz w:val="14"/>
                <w:szCs w:val="14"/>
                <w:b w:val="1"/>
                <w:bCs w:val="1"/>
                <w:color w:val="auto"/>
              </w:rPr>
              <w:t>GMNA</w:t>
            </w:r>
          </w:p>
        </w:tc>
        <w:tc>
          <w:tcPr>
            <w:tcW w:w="80" w:type="dxa"/>
            <w:vAlign w:val="bottom"/>
          </w:tcPr>
          <w:p>
            <w:pPr>
              <w:spacing w:after="0"/>
              <w:rPr>
                <w:sz w:val="12"/>
                <w:szCs w:val="12"/>
                <w:color w:val="auto"/>
              </w:rPr>
            </w:pPr>
          </w:p>
        </w:tc>
        <w:tc>
          <w:tcPr>
            <w:tcW w:w="500" w:type="dxa"/>
            <w:vAlign w:val="bottom"/>
          </w:tcPr>
          <w:p>
            <w:pPr>
              <w:jc w:val="right"/>
              <w:ind w:right="14"/>
              <w:spacing w:after="0" w:line="142" w:lineRule="exact"/>
              <w:rPr>
                <w:sz w:val="20"/>
                <w:szCs w:val="20"/>
                <w:color w:val="auto"/>
              </w:rPr>
            </w:pPr>
            <w:r>
              <w:rPr>
                <w:rFonts w:ascii="Arial" w:cs="Arial" w:eastAsia="Arial" w:hAnsi="Arial"/>
                <w:sz w:val="14"/>
                <w:szCs w:val="14"/>
                <w:b w:val="1"/>
                <w:bCs w:val="1"/>
                <w:color w:val="auto"/>
              </w:rPr>
              <w:t>GMIO</w:t>
            </w:r>
          </w:p>
        </w:tc>
        <w:tc>
          <w:tcPr>
            <w:tcW w:w="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gridSpan w:val="2"/>
          </w:tcPr>
          <w:p>
            <w:pPr>
              <w:jc w:val="right"/>
              <w:ind w:right="252"/>
              <w:spacing w:after="0" w:line="142" w:lineRule="exact"/>
              <w:rPr>
                <w:sz w:val="20"/>
                <w:szCs w:val="20"/>
                <w:color w:val="auto"/>
              </w:rPr>
            </w:pPr>
            <w:r>
              <w:rPr>
                <w:rFonts w:ascii="Arial" w:cs="Arial" w:eastAsia="Arial" w:hAnsi="Arial"/>
                <w:sz w:val="14"/>
                <w:szCs w:val="14"/>
                <w:b w:val="1"/>
                <w:bCs w:val="1"/>
                <w:color w:val="auto"/>
              </w:rPr>
              <w:t>GME</w:t>
            </w:r>
          </w:p>
        </w:tc>
        <w:tc>
          <w:tcPr>
            <w:tcW w:w="120" w:type="dxa"/>
            <w:vAlign w:val="bottom"/>
          </w:tcPr>
          <w:p>
            <w:pPr>
              <w:spacing w:after="0"/>
              <w:rPr>
                <w:sz w:val="12"/>
                <w:szCs w:val="12"/>
                <w:color w:val="auto"/>
              </w:rPr>
            </w:pPr>
          </w:p>
        </w:tc>
        <w:tc>
          <w:tcPr>
            <w:tcW w:w="940" w:type="dxa"/>
            <w:vAlign w:val="bottom"/>
            <w:gridSpan w:val="3"/>
          </w:tcPr>
          <w:p>
            <w:pPr>
              <w:spacing w:after="0" w:line="142" w:lineRule="exact"/>
              <w:rPr>
                <w:sz w:val="20"/>
                <w:szCs w:val="20"/>
                <w:color w:val="auto"/>
              </w:rPr>
            </w:pPr>
            <w:r>
              <w:rPr>
                <w:rFonts w:ascii="Arial" w:cs="Arial" w:eastAsia="Arial" w:hAnsi="Arial"/>
                <w:sz w:val="14"/>
                <w:szCs w:val="14"/>
                <w:b w:val="1"/>
                <w:bCs w:val="1"/>
                <w:color w:val="auto"/>
              </w:rPr>
              <w:t>Eliminations</w:t>
            </w:r>
          </w:p>
        </w:tc>
        <w:tc>
          <w:tcPr>
            <w:tcW w:w="120" w:type="dxa"/>
            <w:vAlign w:val="bottom"/>
          </w:tcPr>
          <w:p>
            <w:pPr>
              <w:spacing w:after="0"/>
              <w:rPr>
                <w:sz w:val="12"/>
                <w:szCs w:val="12"/>
                <w:color w:val="auto"/>
              </w:rPr>
            </w:pPr>
          </w:p>
        </w:tc>
        <w:tc>
          <w:tcPr>
            <w:tcW w:w="800" w:type="dxa"/>
            <w:vAlign w:val="bottom"/>
            <w:gridSpan w:val="3"/>
          </w:tcPr>
          <w:p>
            <w:pPr>
              <w:spacing w:after="0" w:line="142" w:lineRule="exact"/>
              <w:rPr>
                <w:sz w:val="20"/>
                <w:szCs w:val="20"/>
                <w:color w:val="auto"/>
              </w:rPr>
            </w:pPr>
            <w:r>
              <w:rPr>
                <w:rFonts w:ascii="Arial" w:cs="Arial" w:eastAsia="Arial" w:hAnsi="Arial"/>
                <w:sz w:val="14"/>
                <w:szCs w:val="14"/>
                <w:b w:val="1"/>
                <w:bCs w:val="1"/>
                <w:color w:val="auto"/>
              </w:rPr>
              <w:t>Corporate</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jc w:val="right"/>
              <w:ind w:right="113"/>
              <w:spacing w:after="0" w:line="142" w:lineRule="exact"/>
              <w:rPr>
                <w:sz w:val="20"/>
                <w:szCs w:val="20"/>
                <w:color w:val="auto"/>
              </w:rPr>
            </w:pPr>
            <w:r>
              <w:rPr>
                <w:rFonts w:ascii="Arial" w:cs="Arial" w:eastAsia="Arial" w:hAnsi="Arial"/>
                <w:sz w:val="14"/>
                <w:szCs w:val="14"/>
                <w:b w:val="1"/>
                <w:bCs w:val="1"/>
                <w:color w:val="auto"/>
              </w:rPr>
              <w:t>Total</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4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At and For the Three Months Ended September 30, 2010</w:t>
            </w:r>
          </w:p>
        </w:tc>
        <w:tc>
          <w:tcPr>
            <w:tcW w:w="54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60" w:type="dxa"/>
            <w:vAlign w:val="bottom"/>
          </w:tcPr>
          <w:p>
            <w:pPr>
              <w:spacing w:after="0"/>
              <w:rPr>
                <w:sz w:val="20"/>
                <w:szCs w:val="20"/>
                <w:color w:val="auto"/>
              </w:rPr>
            </w:pPr>
            <w:r>
              <w:rPr>
                <w:rFonts w:ascii="Arial" w:cs="Arial" w:eastAsia="Arial" w:hAnsi="Arial"/>
                <w:sz w:val="18"/>
                <w:szCs w:val="18"/>
                <w:color w:val="auto"/>
              </w:rPr>
              <w:t>Sales</w:t>
            </w: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External customers</w:t>
            </w: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83"/>
              </w:rPr>
              <w:t>20,676</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7,959</w:t>
            </w: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5,380</w:t>
            </w:r>
          </w:p>
        </w:tc>
        <w:tc>
          <w:tcPr>
            <w:tcW w:w="180" w:type="dxa"/>
            <w:vAlign w:val="bottom"/>
            <w:shd w:val="clear" w:color="auto" w:fill="CCEEFF"/>
          </w:tcPr>
          <w:p>
            <w:pPr>
              <w:spacing w:after="0"/>
              <w:rPr>
                <w:sz w:val="18"/>
                <w:szCs w:val="18"/>
                <w:color w:val="auto"/>
              </w:rPr>
            </w:pPr>
          </w:p>
        </w:tc>
        <w:tc>
          <w:tcPr>
            <w:tcW w:w="26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2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w w:val="79"/>
              </w:rPr>
              <w:t>$</w:t>
            </w:r>
          </w:p>
        </w:tc>
        <w:tc>
          <w:tcPr>
            <w:tcW w:w="7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34,015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60" w:type="dxa"/>
            <w:vAlign w:val="bottom"/>
          </w:tcPr>
          <w:p>
            <w:pPr>
              <w:ind w:left="200"/>
              <w:spacing w:after="0"/>
              <w:rPr>
                <w:sz w:val="20"/>
                <w:szCs w:val="20"/>
                <w:color w:val="auto"/>
              </w:rPr>
            </w:pPr>
            <w:r>
              <w:rPr>
                <w:rFonts w:ascii="Arial" w:cs="Arial" w:eastAsia="Arial" w:hAnsi="Arial"/>
                <w:sz w:val="18"/>
                <w:szCs w:val="18"/>
                <w:color w:val="auto"/>
              </w:rPr>
              <w:t>Intersegment</w:t>
            </w: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300"/>
              <w:spacing w:after="0"/>
              <w:rPr>
                <w:sz w:val="20"/>
                <w:szCs w:val="20"/>
                <w:color w:val="auto"/>
              </w:rPr>
            </w:pPr>
            <w:r>
              <w:rPr>
                <w:rFonts w:ascii="Arial" w:cs="Arial" w:eastAsia="Arial" w:hAnsi="Arial"/>
                <w:sz w:val="18"/>
                <w:szCs w:val="18"/>
                <w:color w:val="auto"/>
              </w:rPr>
              <w:t>817</w:t>
            </w: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743</w:t>
            </w: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277</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gridSpan w:val="2"/>
          </w:tcPr>
          <w:p>
            <w:pPr>
              <w:jc w:val="right"/>
              <w:ind w:right="140"/>
              <w:spacing w:after="0"/>
              <w:rPr>
                <w:sz w:val="20"/>
                <w:szCs w:val="20"/>
                <w:color w:val="auto"/>
              </w:rPr>
            </w:pPr>
            <w:r>
              <w:rPr>
                <w:rFonts w:ascii="Arial" w:cs="Arial" w:eastAsia="Arial" w:hAnsi="Arial"/>
                <w:sz w:val="18"/>
                <w:szCs w:val="18"/>
                <w:color w:val="auto"/>
              </w:rPr>
              <w:t>(1,837)</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Other revenue</w:t>
            </w: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45</w:t>
            </w:r>
          </w:p>
        </w:tc>
        <w:tc>
          <w:tcPr>
            <w:tcW w:w="0" w:type="dxa"/>
            <w:vAlign w:val="bottom"/>
          </w:tcPr>
          <w:p>
            <w:pPr>
              <w:spacing w:after="0"/>
              <w:rPr>
                <w:sz w:val="1"/>
                <w:szCs w:val="1"/>
                <w:color w:val="auto"/>
              </w:rPr>
            </w:pPr>
          </w:p>
        </w:tc>
      </w:tr>
      <w:tr>
        <w:trPr>
          <w:trHeight w:val="20"/>
        </w:trPr>
        <w:tc>
          <w:tcPr>
            <w:tcW w:w="5480" w:type="dxa"/>
            <w:vAlign w:val="bottom"/>
            <w:gridSpan w:val="2"/>
            <w:vMerge w:val="restart"/>
          </w:tcPr>
          <w:p>
            <w:pPr>
              <w:spacing w:after="0"/>
              <w:rPr>
                <w:sz w:val="20"/>
                <w:szCs w:val="20"/>
                <w:color w:val="auto"/>
              </w:rPr>
            </w:pPr>
            <w:r>
              <w:rPr>
                <w:rFonts w:ascii="Arial" w:cs="Arial" w:eastAsia="Arial" w:hAnsi="Arial"/>
                <w:sz w:val="18"/>
                <w:szCs w:val="18"/>
                <w:color w:val="auto"/>
              </w:rPr>
              <w:t>Total net sales and revenue</w:t>
            </w:r>
          </w:p>
        </w:tc>
        <w:tc>
          <w:tcPr>
            <w:tcW w:w="5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5480" w:type="dxa"/>
            <w:vAlign w:val="bottom"/>
            <w:gridSpan w:val="2"/>
            <w:vMerge w:val="continue"/>
          </w:tcPr>
          <w:p>
            <w:pPr>
              <w:spacing w:after="0"/>
              <w:rPr>
                <w:sz w:val="19"/>
                <w:szCs w:val="19"/>
                <w:color w:val="auto"/>
              </w:rPr>
            </w:pPr>
          </w:p>
        </w:tc>
        <w:tc>
          <w:tcPr>
            <w:tcW w:w="64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p>
        </w:tc>
        <w:tc>
          <w:tcPr>
            <w:tcW w:w="780" w:type="dxa"/>
            <w:vAlign w:val="bottom"/>
            <w:gridSpan w:val="2"/>
          </w:tcPr>
          <w:p>
            <w:pPr>
              <w:jc w:val="right"/>
              <w:ind w:right="300"/>
              <w:spacing w:after="0"/>
              <w:rPr>
                <w:sz w:val="20"/>
                <w:szCs w:val="20"/>
                <w:color w:val="auto"/>
              </w:rPr>
            </w:pPr>
            <w:r>
              <w:rPr>
                <w:rFonts w:ascii="Arial" w:cs="Arial" w:eastAsia="Arial" w:hAnsi="Arial"/>
                <w:sz w:val="18"/>
                <w:szCs w:val="18"/>
                <w:color w:val="auto"/>
                <w:w w:val="83"/>
              </w:rPr>
              <w:t>21,493</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8,702</w:t>
            </w:r>
          </w:p>
        </w:tc>
        <w:tc>
          <w:tcPr>
            <w:tcW w:w="3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5,657</w:t>
            </w:r>
          </w:p>
        </w:tc>
        <w:tc>
          <w:tcPr>
            <w:tcW w:w="180" w:type="dxa"/>
            <w:vAlign w:val="bottom"/>
          </w:tcPr>
          <w:p>
            <w:pPr>
              <w:spacing w:after="0"/>
              <w:rPr>
                <w:sz w:val="19"/>
                <w:szCs w:val="19"/>
                <w:color w:val="auto"/>
              </w:rPr>
            </w:pPr>
          </w:p>
        </w:tc>
        <w:tc>
          <w:tcPr>
            <w:tcW w:w="26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140"/>
              <w:spacing w:after="0"/>
              <w:rPr>
                <w:sz w:val="20"/>
                <w:szCs w:val="20"/>
                <w:color w:val="auto"/>
              </w:rPr>
            </w:pPr>
            <w:r>
              <w:rPr>
                <w:rFonts w:ascii="Arial" w:cs="Arial" w:eastAsia="Arial" w:hAnsi="Arial"/>
                <w:sz w:val="18"/>
                <w:szCs w:val="18"/>
                <w:color w:val="auto"/>
              </w:rPr>
              <w:t>(1,837)</w:t>
            </w:r>
          </w:p>
        </w:tc>
        <w:tc>
          <w:tcPr>
            <w:tcW w:w="220" w:type="dxa"/>
            <w:vAlign w:val="bottom"/>
            <w:gridSpan w:val="2"/>
          </w:tcPr>
          <w:p>
            <w:pPr>
              <w:ind w:left="120"/>
              <w:spacing w:after="0"/>
              <w:rPr>
                <w:sz w:val="20"/>
                <w:szCs w:val="20"/>
                <w:color w:val="auto"/>
              </w:rPr>
            </w:pPr>
            <w:r>
              <w:rPr>
                <w:rFonts w:ascii="Arial" w:cs="Arial" w:eastAsia="Arial" w:hAnsi="Arial"/>
                <w:sz w:val="18"/>
                <w:szCs w:val="18"/>
                <w:color w:val="auto"/>
                <w:w w:val="79"/>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45</w:t>
            </w:r>
          </w:p>
        </w:tc>
        <w:tc>
          <w:tcPr>
            <w:tcW w:w="200" w:type="dxa"/>
            <w:vAlign w:val="bottom"/>
          </w:tcPr>
          <w:p>
            <w:pPr>
              <w:spacing w:after="0"/>
              <w:rPr>
                <w:sz w:val="19"/>
                <w:szCs w:val="19"/>
                <w:color w:val="auto"/>
              </w:rPr>
            </w:pPr>
          </w:p>
        </w:tc>
        <w:tc>
          <w:tcPr>
            <w:tcW w:w="2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34,060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4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20" w:type="dxa"/>
            <w:vAlign w:val="bottom"/>
          </w:tcPr>
          <w:p>
            <w:pPr>
              <w:spacing w:after="0"/>
              <w:rPr>
                <w:sz w:val="18"/>
                <w:szCs w:val="18"/>
                <w:color w:val="auto"/>
              </w:rPr>
            </w:pPr>
          </w:p>
        </w:tc>
        <w:tc>
          <w:tcPr>
            <w:tcW w:w="5460" w:type="dxa"/>
            <w:vAlign w:val="bottom"/>
            <w:shd w:val="clear" w:color="auto" w:fill="CCEEFF"/>
          </w:tcPr>
          <w:p>
            <w:pPr>
              <w:spacing w:after="0"/>
              <w:rPr>
                <w:sz w:val="20"/>
                <w:szCs w:val="20"/>
                <w:color w:val="auto"/>
              </w:rPr>
            </w:pPr>
            <w:r>
              <w:rPr>
                <w:rFonts w:ascii="Arial" w:cs="Arial" w:eastAsia="Arial" w:hAnsi="Arial"/>
                <w:sz w:val="18"/>
                <w:szCs w:val="18"/>
                <w:color w:val="auto"/>
                <w:w w:val="89"/>
              </w:rPr>
              <w:t>Earnings (loss) attributable to stockholders before interest and income taxes</w:t>
            </w: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2,125</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646</w:t>
            </w: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52"/>
              <w:spacing w:after="0"/>
              <w:rPr>
                <w:sz w:val="20"/>
                <w:szCs w:val="20"/>
                <w:color w:val="auto"/>
              </w:rPr>
            </w:pPr>
            <w:r>
              <w:rPr>
                <w:rFonts w:ascii="Arial" w:cs="Arial" w:eastAsia="Arial" w:hAnsi="Arial"/>
                <w:sz w:val="18"/>
                <w:szCs w:val="18"/>
                <w:color w:val="auto"/>
              </w:rPr>
              <w:t>(559)</w:t>
            </w:r>
          </w:p>
        </w:tc>
        <w:tc>
          <w:tcPr>
            <w:tcW w:w="26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(19)</w:t>
            </w:r>
          </w:p>
        </w:tc>
        <w:tc>
          <w:tcPr>
            <w:tcW w:w="22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w w:val="7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w:t>
            </w:r>
          </w:p>
        </w:tc>
        <w:tc>
          <w:tcPr>
            <w:tcW w:w="200" w:type="dxa"/>
            <w:vAlign w:val="bottom"/>
            <w:shd w:val="clear" w:color="auto" w:fill="CCEEFF"/>
          </w:tcPr>
          <w:p>
            <w:pPr>
              <w:spacing w:after="0"/>
              <w:rPr>
                <w:sz w:val="18"/>
                <w:szCs w:val="18"/>
                <w:color w:val="auto"/>
              </w:rPr>
            </w:pPr>
          </w:p>
        </w:tc>
        <w:tc>
          <w:tcPr>
            <w:tcW w:w="2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2,275</w:t>
            </w:r>
          </w:p>
        </w:tc>
        <w:tc>
          <w:tcPr>
            <w:tcW w:w="0" w:type="dxa"/>
            <w:vAlign w:val="bottom"/>
          </w:tcPr>
          <w:p>
            <w:pPr>
              <w:spacing w:after="0"/>
              <w:rPr>
                <w:sz w:val="1"/>
                <w:szCs w:val="1"/>
                <w:color w:val="auto"/>
              </w:rPr>
            </w:pPr>
          </w:p>
        </w:tc>
      </w:tr>
      <w:tr>
        <w:trPr>
          <w:trHeight w:val="20"/>
        </w:trPr>
        <w:tc>
          <w:tcPr>
            <w:tcW w:w="5480" w:type="dxa"/>
            <w:vAlign w:val="bottom"/>
            <w:gridSpan w:val="2"/>
            <w:vMerge w:val="restart"/>
          </w:tcPr>
          <w:p>
            <w:pPr>
              <w:spacing w:after="0"/>
              <w:rPr>
                <w:sz w:val="20"/>
                <w:szCs w:val="20"/>
                <w:color w:val="auto"/>
              </w:rPr>
            </w:pPr>
            <w:r>
              <w:rPr>
                <w:rFonts w:ascii="Arial" w:cs="Arial" w:eastAsia="Arial" w:hAnsi="Arial"/>
                <w:sz w:val="18"/>
                <w:szCs w:val="18"/>
                <w:color w:val="auto"/>
              </w:rPr>
              <w:t>Interest income</w:t>
            </w:r>
          </w:p>
        </w:tc>
        <w:tc>
          <w:tcPr>
            <w:tcW w:w="5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vMerge w:val="restart"/>
          </w:tcPr>
          <w:p>
            <w:pPr>
              <w:jc w:val="right"/>
              <w:spacing w:after="0"/>
              <w:rPr>
                <w:sz w:val="20"/>
                <w:szCs w:val="20"/>
                <w:color w:val="auto"/>
              </w:rPr>
            </w:pPr>
            <w:r>
              <w:rPr>
                <w:rFonts w:ascii="Arial" w:cs="Arial" w:eastAsia="Arial" w:hAnsi="Arial"/>
                <w:sz w:val="18"/>
                <w:szCs w:val="18"/>
                <w:color w:val="auto"/>
              </w:rPr>
              <w:t>125</w:t>
            </w: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gridSpan w:val="2"/>
            <w:vMerge w:val="restart"/>
          </w:tcPr>
          <w:p>
            <w:pPr>
              <w:jc w:val="right"/>
              <w:ind w:right="100"/>
              <w:spacing w:after="0"/>
              <w:rPr>
                <w:sz w:val="20"/>
                <w:szCs w:val="20"/>
                <w:color w:val="auto"/>
              </w:rPr>
            </w:pPr>
            <w:r>
              <w:rPr>
                <w:rFonts w:ascii="Arial" w:cs="Arial" w:eastAsia="Arial" w:hAnsi="Arial"/>
                <w:sz w:val="18"/>
                <w:szCs w:val="18"/>
                <w:color w:val="auto"/>
              </w:rPr>
              <w:t>125</w:t>
            </w:r>
          </w:p>
        </w:tc>
        <w:tc>
          <w:tcPr>
            <w:tcW w:w="0" w:type="dxa"/>
            <w:vAlign w:val="bottom"/>
          </w:tcPr>
          <w:p>
            <w:pPr>
              <w:spacing w:after="0" w:line="20" w:lineRule="exact"/>
              <w:rPr>
                <w:sz w:val="1"/>
                <w:szCs w:val="1"/>
                <w:color w:val="auto"/>
              </w:rPr>
            </w:pPr>
          </w:p>
        </w:tc>
      </w:tr>
      <w:tr>
        <w:trPr>
          <w:trHeight w:val="208"/>
        </w:trPr>
        <w:tc>
          <w:tcPr>
            <w:tcW w:w="5480" w:type="dxa"/>
            <w:vAlign w:val="bottom"/>
            <w:gridSpan w:val="2"/>
            <w:vMerge w:val="continue"/>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vMerge w:val="continue"/>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5460" w:type="dxa"/>
            <w:vAlign w:val="bottom"/>
            <w:shd w:val="clear" w:color="auto" w:fill="CCEEFF"/>
          </w:tcPr>
          <w:p>
            <w:pPr>
              <w:spacing w:after="0"/>
              <w:rPr>
                <w:sz w:val="20"/>
                <w:szCs w:val="20"/>
                <w:color w:val="auto"/>
              </w:rPr>
            </w:pPr>
            <w:r>
              <w:rPr>
                <w:rFonts w:ascii="Arial" w:cs="Arial" w:eastAsia="Arial" w:hAnsi="Arial"/>
                <w:sz w:val="18"/>
                <w:szCs w:val="18"/>
                <w:color w:val="auto"/>
              </w:rPr>
              <w:t>Interest expense</w:t>
            </w: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263</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263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60" w:type="dxa"/>
            <w:vAlign w:val="bottom"/>
          </w:tcPr>
          <w:p>
            <w:pPr>
              <w:spacing w:after="0"/>
              <w:rPr>
                <w:sz w:val="20"/>
                <w:szCs w:val="20"/>
                <w:color w:val="auto"/>
              </w:rPr>
            </w:pPr>
            <w:r>
              <w:rPr>
                <w:rFonts w:ascii="Arial" w:cs="Arial" w:eastAsia="Arial" w:hAnsi="Arial"/>
                <w:sz w:val="18"/>
                <w:szCs w:val="18"/>
                <w:color w:val="auto"/>
              </w:rPr>
              <w:t>Income tax expense (benefit)</w:t>
            </w: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ind w:right="140"/>
              <w:spacing w:after="0"/>
              <w:rPr>
                <w:sz w:val="20"/>
                <w:szCs w:val="20"/>
                <w:color w:val="auto"/>
              </w:rPr>
            </w:pPr>
            <w:r>
              <w:rPr>
                <w:rFonts w:ascii="Arial" w:cs="Arial" w:eastAsia="Arial" w:hAnsi="Arial"/>
                <w:sz w:val="18"/>
                <w:szCs w:val="18"/>
                <w:color w:val="auto"/>
              </w:rPr>
              <w:t>(25)</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46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300" w:type="dxa"/>
            <w:vAlign w:val="bottom"/>
          </w:tcPr>
          <w:p>
            <w:pPr>
              <w:spacing w:after="0"/>
              <w:rPr>
                <w:sz w:val="2"/>
                <w:szCs w:val="2"/>
                <w:color w:val="auto"/>
              </w:rPr>
            </w:pPr>
          </w:p>
        </w:tc>
        <w:tc>
          <w:tcPr>
            <w:tcW w:w="80" w:type="dxa"/>
            <w:vAlign w:val="bottom"/>
          </w:tcPr>
          <w:p>
            <w:pPr>
              <w:spacing w:after="0"/>
              <w:rPr>
                <w:sz w:val="2"/>
                <w:szCs w:val="2"/>
                <w:color w:val="auto"/>
              </w:rPr>
            </w:pPr>
          </w:p>
        </w:tc>
        <w:tc>
          <w:tcPr>
            <w:tcW w:w="500" w:type="dxa"/>
            <w:vAlign w:val="bottom"/>
          </w:tcPr>
          <w:p>
            <w:pPr>
              <w:spacing w:after="0"/>
              <w:rPr>
                <w:sz w:val="2"/>
                <w:szCs w:val="2"/>
                <w:color w:val="auto"/>
              </w:rPr>
            </w:pPr>
          </w:p>
        </w:tc>
        <w:tc>
          <w:tcPr>
            <w:tcW w:w="300" w:type="dxa"/>
            <w:vAlign w:val="bottom"/>
          </w:tcPr>
          <w:p>
            <w:pPr>
              <w:spacing w:after="0"/>
              <w:rPr>
                <w:sz w:val="2"/>
                <w:szCs w:val="2"/>
                <w:color w:val="auto"/>
              </w:rPr>
            </w:pPr>
          </w:p>
        </w:tc>
        <w:tc>
          <w:tcPr>
            <w:tcW w:w="80" w:type="dxa"/>
            <w:vAlign w:val="bottom"/>
          </w:tcPr>
          <w:p>
            <w:pPr>
              <w:spacing w:after="0"/>
              <w:rPr>
                <w:sz w:val="2"/>
                <w:szCs w:val="2"/>
                <w:color w:val="auto"/>
              </w:rPr>
            </w:pPr>
          </w:p>
        </w:tc>
        <w:tc>
          <w:tcPr>
            <w:tcW w:w="5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6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460" w:type="dxa"/>
            <w:vAlign w:val="bottom"/>
            <w:shd w:val="clear" w:color="auto" w:fill="CCEEFF"/>
          </w:tcPr>
          <w:p>
            <w:pPr>
              <w:spacing w:after="0"/>
              <w:rPr>
                <w:sz w:val="20"/>
                <w:szCs w:val="20"/>
                <w:color w:val="auto"/>
              </w:rPr>
            </w:pPr>
            <w:r>
              <w:rPr>
                <w:rFonts w:ascii="Arial" w:cs="Arial" w:eastAsia="Arial" w:hAnsi="Arial"/>
                <w:sz w:val="18"/>
                <w:szCs w:val="18"/>
                <w:color w:val="auto"/>
              </w:rPr>
              <w:t>Net income (loss) attributable to stockholders</w:t>
            </w: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2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w w:val="79"/>
              </w:rPr>
              <w:t>$</w:t>
            </w:r>
          </w:p>
        </w:tc>
        <w:tc>
          <w:tcPr>
            <w:tcW w:w="7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(31)</w:t>
            </w:r>
          </w:p>
        </w:tc>
        <w:tc>
          <w:tcPr>
            <w:tcW w:w="2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2,162</w:t>
            </w:r>
          </w:p>
        </w:tc>
        <w:tc>
          <w:tcPr>
            <w:tcW w:w="0" w:type="dxa"/>
            <w:vAlign w:val="bottom"/>
          </w:tcPr>
          <w:p>
            <w:pPr>
              <w:spacing w:after="0"/>
              <w:rPr>
                <w:sz w:val="1"/>
                <w:szCs w:val="1"/>
                <w:color w:val="auto"/>
              </w:rPr>
            </w:pPr>
          </w:p>
        </w:tc>
      </w:tr>
      <w:tr>
        <w:trPr>
          <w:trHeight w:val="20"/>
        </w:trPr>
        <w:tc>
          <w:tcPr>
            <w:tcW w:w="5480" w:type="dxa"/>
            <w:vAlign w:val="bottom"/>
            <w:gridSpan w:val="2"/>
            <w:vMerge w:val="restart"/>
          </w:tcPr>
          <w:p>
            <w:pPr>
              <w:spacing w:after="0"/>
              <w:rPr>
                <w:sz w:val="20"/>
                <w:szCs w:val="20"/>
                <w:color w:val="auto"/>
              </w:rPr>
            </w:pPr>
            <w:r>
              <w:rPr>
                <w:rFonts w:ascii="Arial" w:cs="Arial" w:eastAsia="Arial" w:hAnsi="Arial"/>
                <w:sz w:val="18"/>
                <w:szCs w:val="18"/>
                <w:color w:val="auto"/>
              </w:rPr>
              <w:t>Equity in net assets of nonconsolidated affiliates</w:t>
            </w:r>
          </w:p>
        </w:tc>
        <w:tc>
          <w:tcPr>
            <w:tcW w:w="640" w:type="dxa"/>
            <w:vAlign w:val="bottom"/>
            <w:gridSpan w:val="2"/>
            <w:vMerge w:val="restart"/>
          </w:tcPr>
          <w:p>
            <w:pPr>
              <w:jc w:val="right"/>
              <w:spacing w:after="0"/>
              <w:rPr>
                <w:sz w:val="20"/>
                <w:szCs w:val="20"/>
                <w:color w:val="auto"/>
              </w:rPr>
            </w:pPr>
            <w:r>
              <w:rPr>
                <w:rFonts w:ascii="Arial" w:cs="Arial" w:eastAsia="Arial" w:hAnsi="Arial"/>
                <w:sz w:val="18"/>
                <w:szCs w:val="18"/>
                <w:color w:val="auto"/>
              </w:rPr>
              <w:t>$</w:t>
            </w:r>
          </w:p>
        </w:tc>
        <w:tc>
          <w:tcPr>
            <w:tcW w:w="780" w:type="dxa"/>
            <w:vAlign w:val="bottom"/>
            <w:gridSpan w:val="2"/>
            <w:vMerge w:val="restart"/>
          </w:tcPr>
          <w:p>
            <w:pPr>
              <w:jc w:val="right"/>
              <w:ind w:right="300"/>
              <w:spacing w:after="0"/>
              <w:rPr>
                <w:sz w:val="20"/>
                <w:szCs w:val="20"/>
                <w:color w:val="auto"/>
              </w:rPr>
            </w:pPr>
            <w:r>
              <w:rPr>
                <w:rFonts w:ascii="Arial" w:cs="Arial" w:eastAsia="Arial" w:hAnsi="Arial"/>
                <w:sz w:val="18"/>
                <w:szCs w:val="18"/>
                <w:color w:val="auto"/>
              </w:rPr>
              <w:t>2,045</w:t>
            </w:r>
          </w:p>
        </w:tc>
        <w:tc>
          <w:tcPr>
            <w:tcW w:w="80" w:type="dxa"/>
            <w:vAlign w:val="bottom"/>
            <w:vMerge w:val="restart"/>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vMerge w:val="restart"/>
          </w:tcPr>
          <w:p>
            <w:pPr>
              <w:jc w:val="right"/>
              <w:spacing w:after="0"/>
              <w:rPr>
                <w:sz w:val="20"/>
                <w:szCs w:val="20"/>
                <w:color w:val="auto"/>
              </w:rPr>
            </w:pPr>
            <w:r>
              <w:rPr>
                <w:rFonts w:ascii="Arial" w:cs="Arial" w:eastAsia="Arial" w:hAnsi="Arial"/>
                <w:sz w:val="18"/>
                <w:szCs w:val="18"/>
                <w:color w:val="auto"/>
              </w:rPr>
              <w:t>6,610</w:t>
            </w:r>
          </w:p>
        </w:tc>
        <w:tc>
          <w:tcPr>
            <w:tcW w:w="380" w:type="dxa"/>
            <w:vAlign w:val="bottom"/>
            <w:gridSpan w:val="2"/>
            <w:vMerge w:val="restart"/>
          </w:tcPr>
          <w:p>
            <w:pPr>
              <w:jc w:val="right"/>
              <w:spacing w:after="0"/>
              <w:rPr>
                <w:sz w:val="20"/>
                <w:szCs w:val="20"/>
                <w:color w:val="auto"/>
              </w:rPr>
            </w:pPr>
            <w:r>
              <w:rPr>
                <w:rFonts w:ascii="Arial" w:cs="Arial" w:eastAsia="Arial" w:hAnsi="Arial"/>
                <w:sz w:val="18"/>
                <w:szCs w:val="18"/>
                <w:color w:val="auto"/>
              </w:rPr>
              <w:t>$</w:t>
            </w:r>
          </w:p>
        </w:tc>
        <w:tc>
          <w:tcPr>
            <w:tcW w:w="500" w:type="dxa"/>
            <w:vAlign w:val="bottom"/>
            <w:vMerge w:val="restart"/>
          </w:tcPr>
          <w:p>
            <w:pPr>
              <w:jc w:val="right"/>
              <w:spacing w:after="0"/>
              <w:rPr>
                <w:sz w:val="20"/>
                <w:szCs w:val="20"/>
                <w:color w:val="auto"/>
              </w:rPr>
            </w:pPr>
            <w:r>
              <w:rPr>
                <w:rFonts w:ascii="Arial" w:cs="Arial" w:eastAsia="Arial" w:hAnsi="Arial"/>
                <w:sz w:val="18"/>
                <w:szCs w:val="18"/>
                <w:color w:val="auto"/>
              </w:rPr>
              <w:t>8</w:t>
            </w:r>
          </w:p>
        </w:tc>
        <w:tc>
          <w:tcPr>
            <w:tcW w:w="180" w:type="dxa"/>
            <w:vAlign w:val="bottom"/>
          </w:tcPr>
          <w:p>
            <w:pPr>
              <w:spacing w:after="0" w:line="20" w:lineRule="exact"/>
              <w:rPr>
                <w:sz w:val="1"/>
                <w:szCs w:val="1"/>
                <w:color w:val="auto"/>
              </w:rPr>
            </w:pPr>
          </w:p>
        </w:tc>
        <w:tc>
          <w:tcPr>
            <w:tcW w:w="260" w:type="dxa"/>
            <w:vAlign w:val="bottom"/>
            <w:gridSpan w:val="2"/>
            <w:vMerge w:val="restart"/>
          </w:tcPr>
          <w:p>
            <w:pPr>
              <w:ind w:left="120"/>
              <w:spacing w:after="0"/>
              <w:rPr>
                <w:sz w:val="20"/>
                <w:szCs w:val="20"/>
                <w:color w:val="auto"/>
              </w:rPr>
            </w:pPr>
            <w:r>
              <w:rPr>
                <w:rFonts w:ascii="Arial" w:cs="Arial" w:eastAsia="Arial" w:hAnsi="Arial"/>
                <w:sz w:val="18"/>
                <w:szCs w:val="18"/>
                <w:color w:val="auto"/>
              </w:rPr>
              <w:t>$</w:t>
            </w:r>
          </w:p>
        </w:tc>
        <w:tc>
          <w:tcPr>
            <w:tcW w:w="800" w:type="dxa"/>
            <w:vAlign w:val="bottom"/>
            <w:gridSpan w:val="2"/>
            <w:vMerge w:val="restart"/>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5480" w:type="dxa"/>
            <w:vAlign w:val="bottom"/>
            <w:gridSpan w:val="2"/>
            <w:vMerge w:val="continue"/>
          </w:tcPr>
          <w:p>
            <w:pPr>
              <w:spacing w:after="0"/>
              <w:rPr>
                <w:sz w:val="18"/>
                <w:szCs w:val="18"/>
                <w:color w:val="auto"/>
              </w:rPr>
            </w:pPr>
          </w:p>
        </w:tc>
        <w:tc>
          <w:tcPr>
            <w:tcW w:w="640" w:type="dxa"/>
            <w:vAlign w:val="bottom"/>
            <w:gridSpan w:val="2"/>
            <w:vMerge w:val="continue"/>
          </w:tcPr>
          <w:p>
            <w:pPr>
              <w:spacing w:after="0"/>
              <w:rPr>
                <w:sz w:val="18"/>
                <w:szCs w:val="18"/>
                <w:color w:val="auto"/>
              </w:rPr>
            </w:pPr>
          </w:p>
        </w:tc>
        <w:tc>
          <w:tcPr>
            <w:tcW w:w="780" w:type="dxa"/>
            <w:vAlign w:val="bottom"/>
            <w:gridSpan w:val="2"/>
            <w:vMerge w:val="continue"/>
          </w:tcPr>
          <w:p>
            <w:pPr>
              <w:spacing w:after="0"/>
              <w:rPr>
                <w:sz w:val="18"/>
                <w:szCs w:val="18"/>
                <w:color w:val="auto"/>
              </w:rPr>
            </w:pPr>
          </w:p>
        </w:tc>
        <w:tc>
          <w:tcPr>
            <w:tcW w:w="80" w:type="dxa"/>
            <w:vAlign w:val="bottom"/>
            <w:vMerge w:val="continue"/>
          </w:tcPr>
          <w:p>
            <w:pPr>
              <w:spacing w:after="0"/>
              <w:rPr>
                <w:sz w:val="18"/>
                <w:szCs w:val="18"/>
                <w:color w:val="auto"/>
              </w:rPr>
            </w:pPr>
          </w:p>
        </w:tc>
        <w:tc>
          <w:tcPr>
            <w:tcW w:w="500" w:type="dxa"/>
            <w:vAlign w:val="bottom"/>
            <w:vMerge w:val="continue"/>
          </w:tcPr>
          <w:p>
            <w:pPr>
              <w:spacing w:after="0"/>
              <w:rPr>
                <w:sz w:val="18"/>
                <w:szCs w:val="18"/>
                <w:color w:val="auto"/>
              </w:rPr>
            </w:pPr>
          </w:p>
        </w:tc>
        <w:tc>
          <w:tcPr>
            <w:tcW w:w="380" w:type="dxa"/>
            <w:vAlign w:val="bottom"/>
            <w:gridSpan w:val="2"/>
            <w:vMerge w:val="continue"/>
          </w:tcPr>
          <w:p>
            <w:pPr>
              <w:spacing w:after="0"/>
              <w:rPr>
                <w:sz w:val="18"/>
                <w:szCs w:val="18"/>
                <w:color w:val="auto"/>
              </w:rPr>
            </w:pPr>
          </w:p>
        </w:tc>
        <w:tc>
          <w:tcPr>
            <w:tcW w:w="500" w:type="dxa"/>
            <w:vAlign w:val="bottom"/>
            <w:vMerge w:val="continue"/>
          </w:tcPr>
          <w:p>
            <w:pPr>
              <w:spacing w:after="0"/>
              <w:rPr>
                <w:sz w:val="18"/>
                <w:szCs w:val="18"/>
                <w:color w:val="auto"/>
              </w:rPr>
            </w:pPr>
          </w:p>
        </w:tc>
        <w:tc>
          <w:tcPr>
            <w:tcW w:w="180" w:type="dxa"/>
            <w:vAlign w:val="bottom"/>
          </w:tcPr>
          <w:p>
            <w:pPr>
              <w:spacing w:after="0"/>
              <w:rPr>
                <w:sz w:val="18"/>
                <w:szCs w:val="18"/>
                <w:color w:val="auto"/>
              </w:rPr>
            </w:pPr>
          </w:p>
        </w:tc>
        <w:tc>
          <w:tcPr>
            <w:tcW w:w="260" w:type="dxa"/>
            <w:vAlign w:val="bottom"/>
            <w:gridSpan w:val="2"/>
            <w:vMerge w:val="continue"/>
          </w:tcPr>
          <w:p>
            <w:pPr>
              <w:spacing w:after="0"/>
              <w:rPr>
                <w:sz w:val="18"/>
                <w:szCs w:val="18"/>
                <w:color w:val="auto"/>
              </w:rPr>
            </w:pPr>
          </w:p>
        </w:tc>
        <w:tc>
          <w:tcPr>
            <w:tcW w:w="800" w:type="dxa"/>
            <w:vAlign w:val="bottom"/>
            <w:gridSpan w:val="2"/>
            <w:vMerge w:val="continue"/>
          </w:tcPr>
          <w:p>
            <w:pPr>
              <w:spacing w:after="0"/>
              <w:rPr>
                <w:sz w:val="18"/>
                <w:szCs w:val="18"/>
                <w:color w:val="auto"/>
              </w:rPr>
            </w:pPr>
          </w:p>
        </w:tc>
        <w:tc>
          <w:tcPr>
            <w:tcW w:w="220" w:type="dxa"/>
            <w:vAlign w:val="bottom"/>
            <w:gridSpan w:val="2"/>
          </w:tcPr>
          <w:p>
            <w:pPr>
              <w:ind w:left="120"/>
              <w:spacing w:after="0"/>
              <w:rPr>
                <w:sz w:val="20"/>
                <w:szCs w:val="20"/>
                <w:color w:val="auto"/>
              </w:rPr>
            </w:pPr>
            <w:r>
              <w:rPr>
                <w:rFonts w:ascii="Arial" w:cs="Arial" w:eastAsia="Arial" w:hAnsi="Arial"/>
                <w:sz w:val="18"/>
                <w:szCs w:val="18"/>
                <w:color w:val="auto"/>
                <w:w w:val="79"/>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28</w:t>
            </w:r>
          </w:p>
        </w:tc>
        <w:tc>
          <w:tcPr>
            <w:tcW w:w="200" w:type="dxa"/>
            <w:vAlign w:val="bottom"/>
          </w:tcPr>
          <w:p>
            <w:pPr>
              <w:spacing w:after="0"/>
              <w:rPr>
                <w:sz w:val="18"/>
                <w:szCs w:val="18"/>
                <w:color w:val="auto"/>
              </w:rPr>
            </w:pPr>
          </w:p>
        </w:tc>
        <w:tc>
          <w:tcPr>
            <w:tcW w:w="2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8,691</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5460" w:type="dxa"/>
            <w:vAlign w:val="bottom"/>
            <w:shd w:val="clear" w:color="auto" w:fill="CCEEFF"/>
          </w:tcPr>
          <w:p>
            <w:pPr>
              <w:spacing w:after="0"/>
              <w:rPr>
                <w:sz w:val="20"/>
                <w:szCs w:val="20"/>
                <w:color w:val="auto"/>
              </w:rPr>
            </w:pPr>
            <w:r>
              <w:rPr>
                <w:rFonts w:ascii="Arial" w:cs="Arial" w:eastAsia="Arial" w:hAnsi="Arial"/>
                <w:sz w:val="18"/>
                <w:szCs w:val="18"/>
                <w:color w:val="auto"/>
              </w:rPr>
              <w:t>Total assets</w:t>
            </w: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83"/>
              </w:rPr>
              <w:t>82,363</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29,933</w:t>
            </w: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18,881</w:t>
            </w:r>
          </w:p>
        </w:tc>
        <w:tc>
          <w:tcPr>
            <w:tcW w:w="180" w:type="dxa"/>
            <w:vAlign w:val="bottom"/>
            <w:shd w:val="clear" w:color="auto" w:fill="CCEEFF"/>
          </w:tcPr>
          <w:p>
            <w:pPr>
              <w:spacing w:after="0"/>
              <w:rPr>
                <w:sz w:val="18"/>
                <w:szCs w:val="18"/>
                <w:color w:val="auto"/>
              </w:rPr>
            </w:pPr>
          </w:p>
        </w:tc>
        <w:tc>
          <w:tcPr>
            <w:tcW w:w="26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95"/>
              </w:rPr>
              <w:t>(36,418)</w:t>
            </w:r>
          </w:p>
        </w:tc>
        <w:tc>
          <w:tcPr>
            <w:tcW w:w="22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w w:val="7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42,479</w:t>
            </w:r>
          </w:p>
        </w:tc>
        <w:tc>
          <w:tcPr>
            <w:tcW w:w="200" w:type="dxa"/>
            <w:vAlign w:val="bottom"/>
            <w:shd w:val="clear" w:color="auto" w:fill="CCEEFF"/>
          </w:tcPr>
          <w:p>
            <w:pPr>
              <w:spacing w:after="0"/>
              <w:rPr>
                <w:sz w:val="18"/>
                <w:szCs w:val="18"/>
                <w:color w:val="auto"/>
              </w:rPr>
            </w:pPr>
          </w:p>
        </w:tc>
        <w:tc>
          <w:tcPr>
            <w:tcW w:w="2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6"/>
              </w:rPr>
              <w:t>137,238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60" w:type="dxa"/>
            <w:vAlign w:val="bottom"/>
          </w:tcPr>
          <w:p>
            <w:pPr>
              <w:spacing w:after="0"/>
              <w:rPr>
                <w:sz w:val="20"/>
                <w:szCs w:val="20"/>
                <w:color w:val="auto"/>
              </w:rPr>
            </w:pPr>
            <w:r>
              <w:rPr>
                <w:rFonts w:ascii="Arial" w:cs="Arial" w:eastAsia="Arial" w:hAnsi="Arial"/>
                <w:sz w:val="18"/>
                <w:szCs w:val="18"/>
                <w:color w:val="auto"/>
              </w:rPr>
              <w:t>Depreciation, amortization and impairment</w:t>
            </w: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300"/>
              <w:spacing w:after="0"/>
              <w:rPr>
                <w:sz w:val="20"/>
                <w:szCs w:val="20"/>
                <w:color w:val="auto"/>
              </w:rPr>
            </w:pPr>
            <w:r>
              <w:rPr>
                <w:rFonts w:ascii="Arial" w:cs="Arial" w:eastAsia="Arial" w:hAnsi="Arial"/>
                <w:sz w:val="18"/>
                <w:szCs w:val="18"/>
                <w:color w:val="auto"/>
              </w:rPr>
              <w:t>1,161</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205</w:t>
            </w:r>
          </w:p>
        </w:tc>
        <w:tc>
          <w:tcPr>
            <w:tcW w:w="3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357</w:t>
            </w:r>
          </w:p>
        </w:tc>
        <w:tc>
          <w:tcPr>
            <w:tcW w:w="180" w:type="dxa"/>
            <w:vAlign w:val="bottom"/>
          </w:tcPr>
          <w:p>
            <w:pPr>
              <w:spacing w:after="0"/>
              <w:rPr>
                <w:sz w:val="18"/>
                <w:szCs w:val="18"/>
                <w:color w:val="auto"/>
              </w:rPr>
            </w:pPr>
          </w:p>
        </w:tc>
        <w:tc>
          <w:tcPr>
            <w:tcW w:w="26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20" w:type="dxa"/>
            <w:vAlign w:val="bottom"/>
            <w:gridSpan w:val="2"/>
          </w:tcPr>
          <w:p>
            <w:pPr>
              <w:ind w:left="120"/>
              <w:spacing w:after="0"/>
              <w:rPr>
                <w:sz w:val="20"/>
                <w:szCs w:val="20"/>
                <w:color w:val="auto"/>
              </w:rPr>
            </w:pPr>
            <w:r>
              <w:rPr>
                <w:rFonts w:ascii="Arial" w:cs="Arial" w:eastAsia="Arial" w:hAnsi="Arial"/>
                <w:sz w:val="18"/>
                <w:szCs w:val="18"/>
                <w:color w:val="auto"/>
                <w:w w:val="79"/>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15</w:t>
            </w:r>
          </w:p>
        </w:tc>
        <w:tc>
          <w:tcPr>
            <w:tcW w:w="200" w:type="dxa"/>
            <w:vAlign w:val="bottom"/>
          </w:tcPr>
          <w:p>
            <w:pPr>
              <w:spacing w:after="0"/>
              <w:rPr>
                <w:sz w:val="18"/>
                <w:szCs w:val="18"/>
                <w:color w:val="auto"/>
              </w:rPr>
            </w:pPr>
          </w:p>
        </w:tc>
        <w:tc>
          <w:tcPr>
            <w:tcW w:w="2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1,738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60" w:type="dxa"/>
            <w:vAlign w:val="bottom"/>
            <w:shd w:val="clear" w:color="auto" w:fill="CCEEFF"/>
          </w:tcPr>
          <w:p>
            <w:pPr>
              <w:spacing w:after="0"/>
              <w:rPr>
                <w:sz w:val="20"/>
                <w:szCs w:val="20"/>
                <w:color w:val="auto"/>
              </w:rPr>
            </w:pPr>
            <w:r>
              <w:rPr>
                <w:rFonts w:ascii="Arial" w:cs="Arial" w:eastAsia="Arial" w:hAnsi="Arial"/>
                <w:sz w:val="18"/>
                <w:szCs w:val="18"/>
                <w:color w:val="auto"/>
              </w:rPr>
              <w:t>Equity income, net of tax</w:t>
            </w: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22</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328</w:t>
            </w: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112"/>
              <w:spacing w:after="0"/>
              <w:rPr>
                <w:sz w:val="20"/>
                <w:szCs w:val="20"/>
                <w:color w:val="auto"/>
              </w:rPr>
            </w:pPr>
            <w:r>
              <w:rPr>
                <w:rFonts w:ascii="Arial" w:cs="Arial" w:eastAsia="Arial" w:hAnsi="Arial"/>
                <w:sz w:val="18"/>
                <w:szCs w:val="18"/>
                <w:color w:val="auto"/>
              </w:rPr>
              <w:t>—</w:t>
            </w:r>
          </w:p>
        </w:tc>
        <w:tc>
          <w:tcPr>
            <w:tcW w:w="26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2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w w:val="7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200" w:type="dxa"/>
            <w:vAlign w:val="bottom"/>
            <w:shd w:val="clear" w:color="auto" w:fill="CCEEFF"/>
          </w:tcPr>
          <w:p>
            <w:pPr>
              <w:spacing w:after="0"/>
              <w:rPr>
                <w:sz w:val="18"/>
                <w:szCs w:val="18"/>
                <w:color w:val="auto"/>
              </w:rPr>
            </w:pPr>
          </w:p>
        </w:tc>
        <w:tc>
          <w:tcPr>
            <w:tcW w:w="2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351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60" w:type="dxa"/>
            <w:vAlign w:val="bottom"/>
          </w:tcPr>
          <w:p>
            <w:pPr>
              <w:spacing w:after="0"/>
              <w:rPr>
                <w:sz w:val="20"/>
                <w:szCs w:val="20"/>
                <w:color w:val="auto"/>
              </w:rPr>
            </w:pPr>
            <w:r>
              <w:rPr>
                <w:rFonts w:ascii="Arial" w:cs="Arial" w:eastAsia="Arial" w:hAnsi="Arial"/>
                <w:sz w:val="18"/>
                <w:szCs w:val="18"/>
                <w:color w:val="auto"/>
              </w:rPr>
              <w:t>Significant non-cash charges</w:t>
            </w: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Impairment charges related to long-lived assets</w:t>
            </w: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140</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112"/>
              <w:spacing w:after="0"/>
              <w:rPr>
                <w:sz w:val="20"/>
                <w:szCs w:val="20"/>
                <w:color w:val="auto"/>
              </w:rPr>
            </w:pPr>
            <w:r>
              <w:rPr>
                <w:rFonts w:ascii="Arial" w:cs="Arial" w:eastAsia="Arial" w:hAnsi="Arial"/>
                <w:sz w:val="18"/>
                <w:szCs w:val="18"/>
                <w:color w:val="auto"/>
              </w:rPr>
              <w:t>—</w:t>
            </w:r>
          </w:p>
        </w:tc>
        <w:tc>
          <w:tcPr>
            <w:tcW w:w="26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2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w w:val="79"/>
              </w:rPr>
              <w:t>$</w:t>
            </w:r>
          </w:p>
        </w:tc>
        <w:tc>
          <w:tcPr>
            <w:tcW w:w="7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60" w:type="dxa"/>
            <w:vAlign w:val="bottom"/>
          </w:tcPr>
          <w:p>
            <w:pPr>
              <w:ind w:left="200"/>
              <w:spacing w:after="0"/>
              <w:rPr>
                <w:sz w:val="20"/>
                <w:szCs w:val="20"/>
                <w:color w:val="auto"/>
              </w:rPr>
            </w:pPr>
            <w:r>
              <w:rPr>
                <w:rFonts w:ascii="Arial" w:cs="Arial" w:eastAsia="Arial" w:hAnsi="Arial"/>
                <w:sz w:val="18"/>
                <w:szCs w:val="18"/>
                <w:color w:val="auto"/>
              </w:rPr>
              <w:t>Impairment charges related to equipment on operating leases</w:t>
            </w: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17</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46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460" w:type="dxa"/>
            <w:vAlign w:val="bottom"/>
            <w:shd w:val="clear" w:color="auto" w:fill="CCEEFF"/>
          </w:tcPr>
          <w:p>
            <w:pPr>
              <w:spacing w:after="0"/>
              <w:rPr>
                <w:sz w:val="20"/>
                <w:szCs w:val="20"/>
                <w:color w:val="auto"/>
              </w:rPr>
            </w:pPr>
            <w:r>
              <w:rPr>
                <w:rFonts w:ascii="Arial" w:cs="Arial" w:eastAsia="Arial" w:hAnsi="Arial"/>
                <w:sz w:val="18"/>
                <w:szCs w:val="18"/>
                <w:color w:val="auto"/>
              </w:rPr>
              <w:t>Total significant non-cash charges</w:t>
            </w: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140</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180" w:type="dxa"/>
            <w:vAlign w:val="bottom"/>
            <w:shd w:val="clear" w:color="auto" w:fill="CCEEFF"/>
          </w:tcPr>
          <w:p>
            <w:pPr>
              <w:spacing w:after="0"/>
              <w:rPr>
                <w:sz w:val="18"/>
                <w:szCs w:val="18"/>
                <w:color w:val="auto"/>
              </w:rPr>
            </w:pPr>
          </w:p>
        </w:tc>
        <w:tc>
          <w:tcPr>
            <w:tcW w:w="26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2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w w:val="79"/>
              </w:rPr>
              <w:t>$</w:t>
            </w:r>
          </w:p>
        </w:tc>
        <w:tc>
          <w:tcPr>
            <w:tcW w:w="7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460" w:type="dxa"/>
            <w:vAlign w:val="bottom"/>
          </w:tcPr>
          <w:p>
            <w:pPr>
              <w:spacing w:after="0" w:line="20" w:lineRule="exact"/>
              <w:rPr>
                <w:sz w:val="1"/>
                <w:szCs w:val="1"/>
                <w:color w:val="auto"/>
              </w:rPr>
            </w:pPr>
          </w:p>
        </w:tc>
        <w:tc>
          <w:tcPr>
            <w:tcW w:w="540" w:type="dxa"/>
            <w:vAlign w:val="bottom"/>
            <w:vMerge w:val="restart"/>
          </w:tcPr>
          <w:p>
            <w:pPr>
              <w:jc w:val="right"/>
              <w:ind w:right="132"/>
              <w:spacing w:after="0"/>
              <w:rPr>
                <w:sz w:val="20"/>
                <w:szCs w:val="20"/>
                <w:color w:val="auto"/>
              </w:rPr>
            </w:pPr>
            <w:r>
              <w:rPr>
                <w:rFonts w:ascii="Arial" w:cs="Arial" w:eastAsia="Arial" w:hAnsi="Arial"/>
                <w:sz w:val="18"/>
                <w:szCs w:val="18"/>
                <w:color w:val="auto"/>
              </w:rPr>
              <w:t>74</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7"/>
        </w:trPr>
        <w:tc>
          <w:tcPr>
            <w:tcW w:w="20" w:type="dxa"/>
            <w:vAlign w:val="bottom"/>
          </w:tcPr>
          <w:p>
            <w:pPr>
              <w:spacing w:after="0"/>
              <w:rPr>
                <w:sz w:val="24"/>
                <w:szCs w:val="24"/>
                <w:color w:val="auto"/>
              </w:rPr>
            </w:pPr>
          </w:p>
        </w:tc>
        <w:tc>
          <w:tcPr>
            <w:tcW w:w="5460" w:type="dxa"/>
            <w:vAlign w:val="bottom"/>
          </w:tcPr>
          <w:p>
            <w:pPr>
              <w:spacing w:after="0"/>
              <w:rPr>
                <w:sz w:val="24"/>
                <w:szCs w:val="24"/>
                <w:color w:val="auto"/>
              </w:rPr>
            </w:pPr>
          </w:p>
        </w:tc>
        <w:tc>
          <w:tcPr>
            <w:tcW w:w="54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76" w:name="page77"/>
    <w:bookmarkEnd w:id="7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33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4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gridSpan w:val="4"/>
          </w:tcPr>
          <w:p>
            <w:pPr>
              <w:ind w:left="20"/>
              <w:spacing w:after="0"/>
              <w:rPr>
                <w:sz w:val="20"/>
                <w:szCs w:val="20"/>
                <w:color w:val="auto"/>
              </w:rPr>
            </w:pPr>
            <w:r>
              <w:rPr>
                <w:rFonts w:ascii="Arial" w:cs="Arial" w:eastAsia="Arial" w:hAnsi="Arial"/>
                <w:sz w:val="14"/>
                <w:szCs w:val="14"/>
                <w:b w:val="1"/>
                <w:bCs w:val="1"/>
                <w:color w:val="auto"/>
                <w:w w:val="84"/>
              </w:rPr>
              <w:t>Successor</w:t>
            </w:r>
          </w:p>
        </w:tc>
        <w:tc>
          <w:tcPr>
            <w:tcW w:w="42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4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20" w:type="dxa"/>
            <w:vAlign w:val="bottom"/>
            <w:gridSpan w:val="5"/>
          </w:tcPr>
          <w:p>
            <w:pPr>
              <w:ind w:left="80"/>
              <w:spacing w:after="0" w:line="142" w:lineRule="exact"/>
              <w:rPr>
                <w:sz w:val="20"/>
                <w:szCs w:val="20"/>
                <w:color w:val="auto"/>
              </w:rPr>
            </w:pPr>
            <w:r>
              <w:rPr>
                <w:rFonts w:ascii="Arial" w:cs="Arial" w:eastAsia="Arial" w:hAnsi="Arial"/>
                <w:sz w:val="14"/>
                <w:szCs w:val="14"/>
                <w:b w:val="1"/>
                <w:bCs w:val="1"/>
                <w:color w:val="auto"/>
              </w:rPr>
              <w:t>GMNA</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gridSpan w:val="5"/>
          </w:tcPr>
          <w:p>
            <w:pPr>
              <w:spacing w:after="0" w:line="142" w:lineRule="exact"/>
              <w:rPr>
                <w:sz w:val="20"/>
                <w:szCs w:val="20"/>
                <w:color w:val="auto"/>
              </w:rPr>
            </w:pPr>
            <w:r>
              <w:rPr>
                <w:rFonts w:ascii="Arial" w:cs="Arial" w:eastAsia="Arial" w:hAnsi="Arial"/>
                <w:sz w:val="14"/>
                <w:szCs w:val="14"/>
                <w:b w:val="1"/>
                <w:bCs w:val="1"/>
                <w:color w:val="auto"/>
              </w:rPr>
              <w:t>GMIO</w:t>
            </w:r>
          </w:p>
        </w:tc>
        <w:tc>
          <w:tcPr>
            <w:tcW w:w="100" w:type="dxa"/>
            <w:vAlign w:val="bottom"/>
          </w:tcPr>
          <w:p>
            <w:pPr>
              <w:spacing w:after="0"/>
              <w:rPr>
                <w:sz w:val="12"/>
                <w:szCs w:val="12"/>
                <w:color w:val="auto"/>
              </w:rPr>
            </w:pPr>
          </w:p>
        </w:tc>
        <w:tc>
          <w:tcPr>
            <w:tcW w:w="620" w:type="dxa"/>
            <w:vAlign w:val="bottom"/>
            <w:gridSpan w:val="2"/>
          </w:tcPr>
          <w:p>
            <w:pPr>
              <w:jc w:val="right"/>
              <w:ind w:right="212"/>
              <w:spacing w:after="0" w:line="142" w:lineRule="exact"/>
              <w:rPr>
                <w:sz w:val="20"/>
                <w:szCs w:val="20"/>
                <w:color w:val="auto"/>
              </w:rPr>
            </w:pPr>
            <w:r>
              <w:rPr>
                <w:rFonts w:ascii="Arial" w:cs="Arial" w:eastAsia="Arial" w:hAnsi="Arial"/>
                <w:sz w:val="14"/>
                <w:szCs w:val="14"/>
                <w:b w:val="1"/>
                <w:bCs w:val="1"/>
                <w:color w:val="auto"/>
              </w:rPr>
              <w:t>GME</w:t>
            </w: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900" w:type="dxa"/>
            <w:vAlign w:val="bottom"/>
            <w:gridSpan w:val="3"/>
          </w:tcPr>
          <w:p>
            <w:pPr>
              <w:spacing w:after="0" w:line="142" w:lineRule="exact"/>
              <w:rPr>
                <w:sz w:val="20"/>
                <w:szCs w:val="20"/>
                <w:color w:val="auto"/>
              </w:rPr>
            </w:pPr>
            <w:r>
              <w:rPr>
                <w:rFonts w:ascii="Arial" w:cs="Arial" w:eastAsia="Arial" w:hAnsi="Arial"/>
                <w:sz w:val="14"/>
                <w:szCs w:val="14"/>
                <w:b w:val="1"/>
                <w:bCs w:val="1"/>
                <w:color w:val="auto"/>
              </w:rPr>
              <w:t>Eliminations</w:t>
            </w:r>
          </w:p>
        </w:tc>
        <w:tc>
          <w:tcPr>
            <w:tcW w:w="140" w:type="dxa"/>
            <w:vAlign w:val="bottom"/>
          </w:tcPr>
          <w:p>
            <w:pPr>
              <w:spacing w:after="0"/>
              <w:rPr>
                <w:sz w:val="12"/>
                <w:szCs w:val="12"/>
                <w:color w:val="auto"/>
              </w:rPr>
            </w:pPr>
          </w:p>
        </w:tc>
        <w:tc>
          <w:tcPr>
            <w:tcW w:w="900" w:type="dxa"/>
            <w:vAlign w:val="bottom"/>
            <w:gridSpan w:val="3"/>
          </w:tcPr>
          <w:p>
            <w:pPr>
              <w:jc w:val="right"/>
              <w:ind w:right="300"/>
              <w:spacing w:after="0" w:line="142" w:lineRule="exact"/>
              <w:rPr>
                <w:sz w:val="20"/>
                <w:szCs w:val="20"/>
                <w:color w:val="auto"/>
              </w:rPr>
            </w:pPr>
            <w:r>
              <w:rPr>
                <w:rFonts w:ascii="Arial" w:cs="Arial" w:eastAsia="Arial" w:hAnsi="Arial"/>
                <w:sz w:val="14"/>
                <w:szCs w:val="14"/>
                <w:b w:val="1"/>
                <w:bCs w:val="1"/>
                <w:color w:val="auto"/>
                <w:w w:val="86"/>
              </w:rPr>
              <w:t>Corporate</w:t>
            </w:r>
          </w:p>
        </w:tc>
        <w:tc>
          <w:tcPr>
            <w:tcW w:w="100" w:type="dxa"/>
            <w:vAlign w:val="bottom"/>
          </w:tcPr>
          <w:p>
            <w:pPr>
              <w:spacing w:after="0"/>
              <w:rPr>
                <w:sz w:val="12"/>
                <w:szCs w:val="12"/>
                <w:color w:val="auto"/>
              </w:rPr>
            </w:pPr>
          </w:p>
        </w:tc>
        <w:tc>
          <w:tcPr>
            <w:tcW w:w="480" w:type="dxa"/>
            <w:vAlign w:val="bottom"/>
          </w:tcPr>
          <w:p>
            <w:pPr>
              <w:jc w:val="right"/>
              <w:ind w:right="54"/>
              <w:spacing w:after="0" w:line="142" w:lineRule="exact"/>
              <w:rPr>
                <w:sz w:val="20"/>
                <w:szCs w:val="20"/>
                <w:color w:val="auto"/>
              </w:rPr>
            </w:pPr>
            <w:r>
              <w:rPr>
                <w:rFonts w:ascii="Arial" w:cs="Arial" w:eastAsia="Arial" w:hAnsi="Arial"/>
                <w:sz w:val="14"/>
                <w:szCs w:val="14"/>
                <w:b w:val="1"/>
                <w:bCs w:val="1"/>
                <w:color w:val="auto"/>
                <w:w w:val="95"/>
              </w:rPr>
              <w:t>Total</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4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For the Nine Months Ended September 30, 2010</w:t>
            </w:r>
          </w:p>
        </w:tc>
        <w:tc>
          <w:tcPr>
            <w:tcW w:w="68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80" w:type="dxa"/>
            <w:vAlign w:val="bottom"/>
            <w:tcBorders>
              <w:right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spacing w:after="0"/>
              <w:rPr>
                <w:sz w:val="18"/>
                <w:szCs w:val="18"/>
                <w:color w:val="auto"/>
              </w:rPr>
            </w:pPr>
          </w:p>
        </w:tc>
        <w:tc>
          <w:tcPr>
            <w:tcW w:w="220" w:type="dxa"/>
            <w:vAlign w:val="bottom"/>
            <w:tcBorders>
              <w:lef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spacing w:after="0"/>
              <w:rPr>
                <w:sz w:val="18"/>
                <w:szCs w:val="18"/>
                <w:color w:val="auto"/>
              </w:rPr>
            </w:pPr>
          </w:p>
        </w:tc>
        <w:tc>
          <w:tcPr>
            <w:tcW w:w="200" w:type="dxa"/>
            <w:vAlign w:val="bottom"/>
            <w:tcBorders>
              <w:left w:val="single" w:sz="8" w:color="CCEEFF"/>
            </w:tcBorders>
            <w:shd w:val="clear" w:color="auto" w:fill="CCEEFF"/>
          </w:tcPr>
          <w:p>
            <w:pPr>
              <w:spacing w:after="0"/>
              <w:rPr>
                <w:sz w:val="18"/>
                <w:szCs w:val="18"/>
                <w:color w:val="auto"/>
              </w:rPr>
            </w:pPr>
          </w:p>
        </w:tc>
        <w:tc>
          <w:tcPr>
            <w:tcW w:w="140" w:type="dxa"/>
            <w:vAlign w:val="bottom"/>
            <w:tcBorders>
              <w:right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spacing w:after="0"/>
              <w:rPr>
                <w:sz w:val="18"/>
                <w:szCs w:val="18"/>
                <w:color w:val="auto"/>
              </w:rPr>
            </w:pPr>
          </w:p>
        </w:tc>
        <w:tc>
          <w:tcPr>
            <w:tcW w:w="320" w:type="dxa"/>
            <w:vAlign w:val="bottom"/>
            <w:tcBorders>
              <w:left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spacing w:after="0"/>
              <w:rPr>
                <w:sz w:val="18"/>
                <w:szCs w:val="18"/>
                <w:color w:val="auto"/>
              </w:rPr>
            </w:pPr>
          </w:p>
        </w:tc>
        <w:tc>
          <w:tcPr>
            <w:tcW w:w="100" w:type="dxa"/>
            <w:vAlign w:val="bottom"/>
            <w:tcBorders>
              <w:left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60" w:type="dxa"/>
            <w:vAlign w:val="bottom"/>
          </w:tcPr>
          <w:p>
            <w:pPr>
              <w:spacing w:after="0"/>
              <w:rPr>
                <w:sz w:val="20"/>
                <w:szCs w:val="20"/>
                <w:color w:val="auto"/>
              </w:rPr>
            </w:pPr>
            <w:r>
              <w:rPr>
                <w:rFonts w:ascii="Arial" w:cs="Arial" w:eastAsia="Arial" w:hAnsi="Arial"/>
                <w:sz w:val="18"/>
                <w:szCs w:val="18"/>
                <w:color w:val="auto"/>
              </w:rPr>
              <w:t>Sales</w:t>
            </w: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External customers</w:t>
            </w:r>
          </w:p>
        </w:tc>
        <w:tc>
          <w:tcPr>
            <w:tcW w:w="1360" w:type="dxa"/>
            <w:vAlign w:val="bottom"/>
            <w:gridSpan w:val="5"/>
            <w:shd w:val="clear" w:color="auto" w:fill="CCEEFF"/>
          </w:tcPr>
          <w:p>
            <w:pPr>
              <w:jc w:val="right"/>
              <w:ind w:right="100"/>
              <w:spacing w:after="0"/>
              <w:rPr>
                <w:sz w:val="20"/>
                <w:szCs w:val="20"/>
                <w:color w:val="auto"/>
              </w:rPr>
            </w:pPr>
            <w:r>
              <w:rPr>
                <w:rFonts w:ascii="Arial" w:cs="Arial" w:eastAsia="Arial" w:hAnsi="Arial"/>
                <w:sz w:val="18"/>
                <w:szCs w:val="18"/>
                <w:color w:val="auto"/>
              </w:rPr>
              <w:t>$58,641</w:t>
            </w:r>
          </w:p>
        </w:tc>
        <w:tc>
          <w:tcPr>
            <w:tcW w:w="140" w:type="dxa"/>
            <w:vAlign w:val="bottom"/>
            <w:shd w:val="clear" w:color="auto" w:fill="CCEEFF"/>
          </w:tcPr>
          <w:p>
            <w:pPr>
              <w:spacing w:after="0"/>
              <w:rPr>
                <w:sz w:val="18"/>
                <w:szCs w:val="18"/>
                <w:color w:val="auto"/>
              </w:rPr>
            </w:pPr>
          </w:p>
        </w:tc>
        <w:tc>
          <w:tcPr>
            <w:tcW w:w="680" w:type="dxa"/>
            <w:vAlign w:val="bottom"/>
            <w:gridSpan w:val="6"/>
            <w:shd w:val="clear" w:color="auto" w:fill="CCEEFF"/>
          </w:tcPr>
          <w:p>
            <w:pPr>
              <w:jc w:val="right"/>
              <w:ind w:right="40"/>
              <w:spacing w:after="0"/>
              <w:rPr>
                <w:sz w:val="20"/>
                <w:szCs w:val="20"/>
                <w:color w:val="auto"/>
              </w:rPr>
            </w:pPr>
            <w:r>
              <w:rPr>
                <w:rFonts w:ascii="Arial" w:cs="Arial" w:eastAsia="Arial" w:hAnsi="Arial"/>
                <w:sz w:val="18"/>
                <w:szCs w:val="18"/>
                <w:color w:val="auto"/>
                <w:w w:val="95"/>
              </w:rPr>
              <w:t>$23,390</w:t>
            </w:r>
          </w:p>
        </w:tc>
        <w:tc>
          <w:tcPr>
            <w:tcW w:w="280" w:type="dxa"/>
            <w:vAlign w:val="bottom"/>
            <w:tcBorders>
              <w:right w:val="single" w:sz="8" w:color="CCEEFF"/>
            </w:tcBorders>
            <w:shd w:val="clear" w:color="auto" w:fill="CCEEFF"/>
          </w:tcPr>
          <w:p>
            <w:pPr>
              <w:spacing w:after="0"/>
              <w:rPr>
                <w:sz w:val="18"/>
                <w:szCs w:val="18"/>
                <w:color w:val="auto"/>
              </w:rPr>
            </w:pP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2"/>
              </w:rPr>
              <w:t>$16,537</w:t>
            </w:r>
          </w:p>
        </w:tc>
        <w:tc>
          <w:tcPr>
            <w:tcW w:w="220" w:type="dxa"/>
            <w:vAlign w:val="bottom"/>
            <w:tcBorders>
              <w:left w:val="single" w:sz="8" w:color="CCEEFF"/>
            </w:tcBorders>
            <w:shd w:val="clear" w:color="auto" w:fill="CCEEFF"/>
          </w:tcPr>
          <w:p>
            <w:pPr>
              <w:spacing w:after="0"/>
              <w:rPr>
                <w:sz w:val="18"/>
                <w:szCs w:val="18"/>
                <w:color w:val="auto"/>
              </w:rPr>
            </w:pPr>
          </w:p>
        </w:tc>
        <w:tc>
          <w:tcPr>
            <w:tcW w:w="420" w:type="dxa"/>
            <w:vAlign w:val="bottom"/>
            <w:gridSpan w:val="3"/>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6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32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98,568</w:t>
            </w:r>
          </w:p>
        </w:tc>
        <w:tc>
          <w:tcPr>
            <w:tcW w:w="100" w:type="dxa"/>
            <w:vAlign w:val="bottom"/>
            <w:tcBorders>
              <w:left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60" w:type="dxa"/>
            <w:vAlign w:val="bottom"/>
          </w:tcPr>
          <w:p>
            <w:pPr>
              <w:ind w:left="200"/>
              <w:spacing w:after="0"/>
              <w:rPr>
                <w:sz w:val="20"/>
                <w:szCs w:val="20"/>
                <w:color w:val="auto"/>
              </w:rPr>
            </w:pPr>
            <w:r>
              <w:rPr>
                <w:rFonts w:ascii="Arial" w:cs="Arial" w:eastAsia="Arial" w:hAnsi="Arial"/>
                <w:sz w:val="18"/>
                <w:szCs w:val="18"/>
                <w:color w:val="auto"/>
              </w:rPr>
              <w:t>Intersegment</w:t>
            </w: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gridSpan w:val="2"/>
          </w:tcPr>
          <w:p>
            <w:pPr>
              <w:jc w:val="right"/>
              <w:ind w:right="100"/>
              <w:spacing w:after="0"/>
              <w:rPr>
                <w:sz w:val="20"/>
                <w:szCs w:val="20"/>
                <w:color w:val="auto"/>
              </w:rPr>
            </w:pPr>
            <w:r>
              <w:rPr>
                <w:rFonts w:ascii="Arial" w:cs="Arial" w:eastAsia="Arial" w:hAnsi="Arial"/>
                <w:sz w:val="18"/>
                <w:szCs w:val="18"/>
                <w:color w:val="auto"/>
                <w:w w:val="79"/>
              </w:rPr>
              <w:t>2,404</w:t>
            </w: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gridSpan w:val="4"/>
          </w:tcPr>
          <w:p>
            <w:pPr>
              <w:jc w:val="right"/>
              <w:ind w:right="40"/>
              <w:spacing w:after="0"/>
              <w:rPr>
                <w:sz w:val="20"/>
                <w:szCs w:val="20"/>
                <w:color w:val="auto"/>
              </w:rPr>
            </w:pPr>
            <w:r>
              <w:rPr>
                <w:rFonts w:ascii="Arial" w:cs="Arial" w:eastAsia="Arial" w:hAnsi="Arial"/>
                <w:sz w:val="18"/>
                <w:szCs w:val="18"/>
                <w:color w:val="auto"/>
              </w:rPr>
              <w:t>1,976</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625</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20" w:type="dxa"/>
            <w:vAlign w:val="bottom"/>
            <w:gridSpan w:val="2"/>
          </w:tcPr>
          <w:p>
            <w:pPr>
              <w:jc w:val="right"/>
              <w:ind w:right="100"/>
              <w:spacing w:after="0"/>
              <w:rPr>
                <w:sz w:val="20"/>
                <w:szCs w:val="20"/>
                <w:color w:val="auto"/>
              </w:rPr>
            </w:pPr>
            <w:r>
              <w:rPr>
                <w:rFonts w:ascii="Arial" w:cs="Arial" w:eastAsia="Arial" w:hAnsi="Arial"/>
                <w:sz w:val="18"/>
                <w:szCs w:val="18"/>
                <w:color w:val="auto"/>
                <w:w w:val="87"/>
              </w:rPr>
              <w:t>(5,005)</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5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Other revenue</w:t>
            </w: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tcBorders>
              <w:right w:val="single" w:sz="8" w:color="CCEEFF"/>
            </w:tcBorders>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92"/>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tcBorders>
              <w:right w:val="single" w:sz="8" w:color="CCEEFF"/>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142</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142</w:t>
            </w:r>
          </w:p>
        </w:tc>
        <w:tc>
          <w:tcPr>
            <w:tcW w:w="100" w:type="dxa"/>
            <w:vAlign w:val="bottom"/>
            <w:tcBorders>
              <w:left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480" w:type="dxa"/>
            <w:vAlign w:val="bottom"/>
            <w:gridSpan w:val="2"/>
            <w:vMerge w:val="restart"/>
          </w:tcPr>
          <w:p>
            <w:pPr>
              <w:spacing w:after="0"/>
              <w:rPr>
                <w:sz w:val="20"/>
                <w:szCs w:val="20"/>
                <w:color w:val="auto"/>
              </w:rPr>
            </w:pPr>
            <w:r>
              <w:rPr>
                <w:rFonts w:ascii="Arial" w:cs="Arial" w:eastAsia="Arial" w:hAnsi="Arial"/>
                <w:sz w:val="18"/>
                <w:szCs w:val="18"/>
                <w:color w:val="auto"/>
              </w:rPr>
              <w:t>Total net sales and revenue</w:t>
            </w:r>
          </w:p>
        </w:tc>
        <w:tc>
          <w:tcPr>
            <w:tcW w:w="6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gridSpan w:val="2"/>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gridSpan w:val="2"/>
            <w:shd w:val="clear" w:color="auto" w:fill="000000"/>
          </w:tcPr>
          <w:p>
            <w:pPr>
              <w:spacing w:after="0" w:line="20" w:lineRule="exact"/>
              <w:rPr>
                <w:sz w:val="1"/>
                <w:szCs w:val="1"/>
                <w:color w:val="auto"/>
              </w:rPr>
            </w:pPr>
          </w:p>
        </w:tc>
        <w:tc>
          <w:tcPr>
            <w:tcW w:w="460" w:type="dxa"/>
            <w:vAlign w:val="bottom"/>
            <w:gridSpan w:val="2"/>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Borders>
              <w:right w:val="single" w:sz="8" w:color="auto"/>
            </w:tcBorders>
          </w:tcPr>
          <w:p>
            <w:pPr>
              <w:spacing w:after="0" w:line="20" w:lineRule="exact"/>
              <w:rPr>
                <w:sz w:val="1"/>
                <w:szCs w:val="1"/>
                <w:color w:val="auto"/>
              </w:rPr>
            </w:pPr>
          </w:p>
        </w:tc>
        <w:tc>
          <w:tcPr>
            <w:tcW w:w="500" w:type="dxa"/>
            <w:vAlign w:val="bottom"/>
            <w:gridSpan w:val="2"/>
            <w:shd w:val="clear" w:color="auto" w:fill="000000"/>
          </w:tcPr>
          <w:p>
            <w:pPr>
              <w:spacing w:after="0" w:line="20" w:lineRule="exact"/>
              <w:rPr>
                <w:sz w:val="1"/>
                <w:szCs w:val="1"/>
                <w:color w:val="auto"/>
              </w:rPr>
            </w:pPr>
          </w:p>
        </w:tc>
        <w:tc>
          <w:tcPr>
            <w:tcW w:w="220" w:type="dxa"/>
            <w:vAlign w:val="bottom"/>
            <w:tcBorders>
              <w:left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00" w:type="dxa"/>
            <w:vAlign w:val="bottom"/>
            <w:tcBorders>
              <w:left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320" w:type="dxa"/>
            <w:vAlign w:val="bottom"/>
            <w:tcBorders>
              <w:left w:val="single" w:sz="8" w:color="auto"/>
            </w:tcBorders>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00" w:type="dxa"/>
            <w:vAlign w:val="bottom"/>
            <w:tcBorders>
              <w:lef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5480" w:type="dxa"/>
            <w:vAlign w:val="bottom"/>
            <w:gridSpan w:val="2"/>
            <w:vMerge w:val="continue"/>
          </w:tcPr>
          <w:p>
            <w:pPr>
              <w:spacing w:after="0"/>
              <w:rPr>
                <w:sz w:val="19"/>
                <w:szCs w:val="19"/>
                <w:color w:val="auto"/>
              </w:rPr>
            </w:pPr>
          </w:p>
        </w:tc>
        <w:tc>
          <w:tcPr>
            <w:tcW w:w="680" w:type="dxa"/>
            <w:vAlign w:val="bottom"/>
          </w:tcPr>
          <w:p>
            <w:pPr>
              <w:spacing w:after="0"/>
              <w:rPr>
                <w:sz w:val="19"/>
                <w:szCs w:val="19"/>
                <w:color w:val="auto"/>
              </w:rPr>
            </w:pPr>
          </w:p>
        </w:tc>
        <w:tc>
          <w:tcPr>
            <w:tcW w:w="680" w:type="dxa"/>
            <w:vAlign w:val="bottom"/>
            <w:gridSpan w:val="4"/>
          </w:tcPr>
          <w:p>
            <w:pPr>
              <w:jc w:val="right"/>
              <w:ind w:right="100"/>
              <w:spacing w:after="0"/>
              <w:rPr>
                <w:sz w:val="20"/>
                <w:szCs w:val="20"/>
                <w:color w:val="auto"/>
              </w:rPr>
            </w:pPr>
            <w:r>
              <w:rPr>
                <w:rFonts w:ascii="Arial" w:cs="Arial" w:eastAsia="Arial" w:hAnsi="Arial"/>
                <w:sz w:val="18"/>
                <w:szCs w:val="18"/>
                <w:u w:val="single" w:color="auto"/>
                <w:color w:val="auto"/>
                <w:w w:val="86"/>
              </w:rPr>
              <w:t>$</w:t>
            </w:r>
            <w:r>
              <w:rPr>
                <w:rFonts w:ascii="Arial" w:cs="Arial" w:eastAsia="Arial" w:hAnsi="Arial"/>
                <w:sz w:val="18"/>
                <w:szCs w:val="18"/>
                <w:color w:val="auto"/>
                <w:w w:val="86"/>
              </w:rPr>
              <w:t>61,045</w:t>
            </w:r>
          </w:p>
        </w:tc>
        <w:tc>
          <w:tcPr>
            <w:tcW w:w="140" w:type="dxa"/>
            <w:vAlign w:val="bottom"/>
          </w:tcPr>
          <w:p>
            <w:pPr>
              <w:spacing w:after="0"/>
              <w:rPr>
                <w:sz w:val="19"/>
                <w:szCs w:val="19"/>
                <w:color w:val="auto"/>
              </w:rPr>
            </w:pPr>
          </w:p>
        </w:tc>
        <w:tc>
          <w:tcPr>
            <w:tcW w:w="680" w:type="dxa"/>
            <w:vAlign w:val="bottom"/>
            <w:gridSpan w:val="6"/>
          </w:tcPr>
          <w:p>
            <w:pPr>
              <w:jc w:val="right"/>
              <w:ind w:right="40"/>
              <w:spacing w:after="0"/>
              <w:rPr>
                <w:sz w:val="20"/>
                <w:szCs w:val="20"/>
                <w:color w:val="auto"/>
              </w:rPr>
            </w:pPr>
            <w:r>
              <w:rPr>
                <w:rFonts w:ascii="Arial" w:cs="Arial" w:eastAsia="Arial" w:hAnsi="Arial"/>
                <w:sz w:val="18"/>
                <w:szCs w:val="18"/>
                <w:u w:val="single" w:color="auto"/>
                <w:color w:val="auto"/>
                <w:w w:val="95"/>
              </w:rPr>
              <w:t>$</w:t>
            </w:r>
            <w:r>
              <w:rPr>
                <w:rFonts w:ascii="Arial" w:cs="Arial" w:eastAsia="Arial" w:hAnsi="Arial"/>
                <w:sz w:val="18"/>
                <w:szCs w:val="18"/>
                <w:color w:val="auto"/>
                <w:w w:val="95"/>
              </w:rPr>
              <w:t>25,366</w:t>
            </w:r>
          </w:p>
        </w:tc>
        <w:tc>
          <w:tcPr>
            <w:tcW w:w="280" w:type="dxa"/>
            <w:vAlign w:val="bottom"/>
          </w:tcPr>
          <w:p>
            <w:pPr>
              <w:spacing w:after="0"/>
              <w:rPr>
                <w:sz w:val="19"/>
                <w:szCs w:val="19"/>
                <w:color w:val="auto"/>
              </w:rPr>
            </w:pPr>
          </w:p>
        </w:tc>
        <w:tc>
          <w:tcPr>
            <w:tcW w:w="500" w:type="dxa"/>
            <w:vAlign w:val="bottom"/>
            <w:gridSpan w:val="2"/>
          </w:tcPr>
          <w:p>
            <w:pPr>
              <w:jc w:val="right"/>
              <w:spacing w:after="0"/>
              <w:rPr>
                <w:sz w:val="20"/>
                <w:szCs w:val="20"/>
                <w:color w:val="auto"/>
              </w:rPr>
            </w:pPr>
            <w:r>
              <w:rPr>
                <w:rFonts w:ascii="Arial" w:cs="Arial" w:eastAsia="Arial" w:hAnsi="Arial"/>
                <w:sz w:val="18"/>
                <w:szCs w:val="18"/>
                <w:u w:val="single" w:color="auto"/>
                <w:color w:val="auto"/>
                <w:w w:val="82"/>
              </w:rPr>
              <w:t>$</w:t>
            </w:r>
            <w:r>
              <w:rPr>
                <w:rFonts w:ascii="Arial" w:cs="Arial" w:eastAsia="Arial" w:hAnsi="Arial"/>
                <w:sz w:val="18"/>
                <w:szCs w:val="18"/>
                <w:color w:val="auto"/>
                <w:w w:val="82"/>
              </w:rPr>
              <w:t>17,162</w:t>
            </w:r>
          </w:p>
        </w:tc>
        <w:tc>
          <w:tcPr>
            <w:tcW w:w="220" w:type="dxa"/>
            <w:vAlign w:val="bottom"/>
          </w:tcPr>
          <w:p>
            <w:pPr>
              <w:spacing w:after="0"/>
              <w:rPr>
                <w:sz w:val="19"/>
                <w:szCs w:val="19"/>
                <w:color w:val="auto"/>
              </w:rPr>
            </w:pPr>
          </w:p>
        </w:tc>
        <w:tc>
          <w:tcPr>
            <w:tcW w:w="420" w:type="dxa"/>
            <w:vAlign w:val="bottom"/>
            <w:gridSpan w:val="3"/>
          </w:tcPr>
          <w:p>
            <w:pPr>
              <w:ind w:left="140"/>
              <w:spacing w:after="0"/>
              <w:rPr>
                <w:sz w:val="20"/>
                <w:szCs w:val="20"/>
                <w:color w:val="auto"/>
              </w:rPr>
            </w:pPr>
            <w:r>
              <w:rPr>
                <w:rFonts w:ascii="Arial" w:cs="Arial" w:eastAsia="Arial" w:hAnsi="Arial"/>
                <w:sz w:val="18"/>
                <w:szCs w:val="18"/>
                <w:color w:val="auto"/>
              </w:rPr>
              <w:t>$</w:t>
            </w:r>
          </w:p>
        </w:tc>
        <w:tc>
          <w:tcPr>
            <w:tcW w:w="620" w:type="dxa"/>
            <w:vAlign w:val="bottom"/>
            <w:gridSpan w:val="2"/>
          </w:tcPr>
          <w:p>
            <w:pPr>
              <w:jc w:val="right"/>
              <w:ind w:right="100"/>
              <w:spacing w:after="0"/>
              <w:rPr>
                <w:sz w:val="20"/>
                <w:szCs w:val="20"/>
                <w:color w:val="auto"/>
              </w:rPr>
            </w:pPr>
            <w:r>
              <w:rPr>
                <w:rFonts w:ascii="Arial" w:cs="Arial" w:eastAsia="Arial" w:hAnsi="Arial"/>
                <w:sz w:val="18"/>
                <w:szCs w:val="18"/>
                <w:color w:val="auto"/>
                <w:w w:val="87"/>
              </w:rPr>
              <w:t>(5,005)</w:t>
            </w:r>
          </w:p>
        </w:tc>
        <w:tc>
          <w:tcPr>
            <w:tcW w:w="320" w:type="dxa"/>
            <w:vAlign w:val="bottom"/>
            <w:gridSpan w:val="2"/>
          </w:tcPr>
          <w:p>
            <w:pPr>
              <w:ind w:left="140"/>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ind w:right="300"/>
              <w:spacing w:after="0"/>
              <w:rPr>
                <w:sz w:val="20"/>
                <w:szCs w:val="20"/>
                <w:color w:val="auto"/>
              </w:rPr>
            </w:pPr>
            <w:r>
              <w:rPr>
                <w:rFonts w:ascii="Arial" w:cs="Arial" w:eastAsia="Arial" w:hAnsi="Arial"/>
                <w:sz w:val="18"/>
                <w:szCs w:val="18"/>
                <w:color w:val="auto"/>
              </w:rPr>
              <w:t>142</w:t>
            </w:r>
          </w:p>
        </w:tc>
        <w:tc>
          <w:tcPr>
            <w:tcW w:w="100" w:type="dxa"/>
            <w:vAlign w:val="bottom"/>
          </w:tcPr>
          <w:p>
            <w:pPr>
              <w:spacing w:after="0"/>
              <w:rPr>
                <w:sz w:val="20"/>
                <w:szCs w:val="20"/>
                <w:color w:val="auto"/>
              </w:rPr>
            </w:pPr>
            <w:r>
              <w:rPr>
                <w:rFonts w:ascii="Arial" w:cs="Arial" w:eastAsia="Arial" w:hAnsi="Arial"/>
                <w:sz w:val="18"/>
                <w:szCs w:val="18"/>
                <w:u w:val="single" w:color="auto"/>
                <w:color w:val="auto"/>
                <w:w w:val="79"/>
              </w:rPr>
              <w:t>$</w:t>
            </w:r>
          </w:p>
        </w:tc>
        <w:tc>
          <w:tcPr>
            <w:tcW w:w="480" w:type="dxa"/>
            <w:vAlign w:val="bottom"/>
          </w:tcPr>
          <w:p>
            <w:pPr>
              <w:jc w:val="right"/>
              <w:spacing w:after="0"/>
              <w:rPr>
                <w:sz w:val="20"/>
                <w:szCs w:val="20"/>
                <w:color w:val="auto"/>
              </w:rPr>
            </w:pPr>
            <w:r>
              <w:rPr>
                <w:rFonts w:ascii="Arial" w:cs="Arial" w:eastAsia="Arial" w:hAnsi="Arial"/>
                <w:sz w:val="18"/>
                <w:szCs w:val="18"/>
                <w:color w:val="auto"/>
                <w:w w:val="83"/>
              </w:rPr>
              <w:t>98,710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4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20" w:type="dxa"/>
            <w:vAlign w:val="bottom"/>
          </w:tcPr>
          <w:p>
            <w:pPr>
              <w:spacing w:after="0"/>
              <w:rPr>
                <w:sz w:val="18"/>
                <w:szCs w:val="18"/>
                <w:color w:val="auto"/>
              </w:rPr>
            </w:pPr>
          </w:p>
        </w:tc>
        <w:tc>
          <w:tcPr>
            <w:tcW w:w="5460" w:type="dxa"/>
            <w:vAlign w:val="bottom"/>
            <w:shd w:val="clear" w:color="auto" w:fill="CCEEFF"/>
          </w:tcPr>
          <w:p>
            <w:pPr>
              <w:spacing w:after="0"/>
              <w:rPr>
                <w:sz w:val="20"/>
                <w:szCs w:val="20"/>
                <w:color w:val="auto"/>
              </w:rPr>
            </w:pPr>
            <w:r>
              <w:rPr>
                <w:rFonts w:ascii="Arial" w:cs="Arial" w:eastAsia="Arial" w:hAnsi="Arial"/>
                <w:sz w:val="18"/>
                <w:szCs w:val="18"/>
                <w:color w:val="auto"/>
                <w:w w:val="89"/>
              </w:rPr>
              <w:t>Earnings (loss) attributable to stockholders before interest and income taxes</w:t>
            </w: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79"/>
              </w:rPr>
              <w:t>4,935</w:t>
            </w:r>
          </w:p>
        </w:tc>
        <w:tc>
          <w:tcPr>
            <w:tcW w:w="140" w:type="dxa"/>
            <w:vAlign w:val="bottom"/>
            <w:shd w:val="clear" w:color="auto" w:fill="CCEEFF"/>
          </w:tcPr>
          <w:p>
            <w:pPr>
              <w:spacing w:after="0"/>
              <w:rPr>
                <w:sz w:val="18"/>
                <w:szCs w:val="18"/>
                <w:color w:val="auto"/>
              </w:rPr>
            </w:pP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20" w:type="dxa"/>
            <w:vAlign w:val="bottom"/>
            <w:gridSpan w:val="4"/>
            <w:shd w:val="clear" w:color="auto" w:fill="CCEEFF"/>
          </w:tcPr>
          <w:p>
            <w:pPr>
              <w:jc w:val="right"/>
              <w:ind w:right="40"/>
              <w:spacing w:after="0"/>
              <w:rPr>
                <w:sz w:val="20"/>
                <w:szCs w:val="20"/>
                <w:color w:val="auto"/>
              </w:rPr>
            </w:pPr>
            <w:r>
              <w:rPr>
                <w:rFonts w:ascii="Arial" w:cs="Arial" w:eastAsia="Arial" w:hAnsi="Arial"/>
                <w:sz w:val="18"/>
                <w:szCs w:val="18"/>
                <w:color w:val="auto"/>
              </w:rPr>
              <w:t>2,484</w:t>
            </w:r>
          </w:p>
        </w:tc>
        <w:tc>
          <w:tcPr>
            <w:tcW w:w="28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620" w:type="dxa"/>
            <w:vAlign w:val="bottom"/>
            <w:gridSpan w:val="2"/>
            <w:shd w:val="clear" w:color="auto" w:fill="CCEEFF"/>
          </w:tcPr>
          <w:p>
            <w:pPr>
              <w:jc w:val="right"/>
              <w:ind w:right="32"/>
              <w:spacing w:after="0"/>
              <w:rPr>
                <w:sz w:val="20"/>
                <w:szCs w:val="20"/>
                <w:color w:val="auto"/>
              </w:rPr>
            </w:pPr>
            <w:r>
              <w:rPr>
                <w:rFonts w:ascii="Arial" w:cs="Arial" w:eastAsia="Arial" w:hAnsi="Arial"/>
                <w:sz w:val="18"/>
                <w:szCs w:val="18"/>
                <w:color w:val="auto"/>
                <w:w w:val="87"/>
              </w:rPr>
              <w:t>(1,196)</w:t>
            </w:r>
          </w:p>
        </w:tc>
        <w:tc>
          <w:tcPr>
            <w:tcW w:w="420" w:type="dxa"/>
            <w:vAlign w:val="bottom"/>
            <w:gridSpan w:val="3"/>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6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(49)</w:t>
            </w:r>
          </w:p>
        </w:tc>
        <w:tc>
          <w:tcPr>
            <w:tcW w:w="32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(42)</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6,132</w:t>
            </w:r>
          </w:p>
        </w:tc>
        <w:tc>
          <w:tcPr>
            <w:tcW w:w="100" w:type="dxa"/>
            <w:vAlign w:val="bottom"/>
            <w:tcBorders>
              <w:left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480" w:type="dxa"/>
            <w:vAlign w:val="bottom"/>
            <w:gridSpan w:val="2"/>
            <w:vMerge w:val="restart"/>
          </w:tcPr>
          <w:p>
            <w:pPr>
              <w:spacing w:after="0"/>
              <w:rPr>
                <w:sz w:val="20"/>
                <w:szCs w:val="20"/>
                <w:color w:val="auto"/>
              </w:rPr>
            </w:pPr>
            <w:r>
              <w:rPr>
                <w:rFonts w:ascii="Arial" w:cs="Arial" w:eastAsia="Arial" w:hAnsi="Arial"/>
                <w:sz w:val="18"/>
                <w:szCs w:val="18"/>
                <w:color w:val="auto"/>
              </w:rPr>
              <w:t>Interest income</w:t>
            </w:r>
          </w:p>
        </w:tc>
        <w:tc>
          <w:tcPr>
            <w:tcW w:w="6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20" w:type="dxa"/>
            <w:vAlign w:val="bottom"/>
            <w:gridSpan w:val="2"/>
            <w:vMerge w:val="restart"/>
          </w:tcPr>
          <w:p>
            <w:pPr>
              <w:jc w:val="right"/>
              <w:ind w:right="300"/>
              <w:spacing w:after="0"/>
              <w:rPr>
                <w:sz w:val="20"/>
                <w:szCs w:val="20"/>
                <w:color w:val="auto"/>
              </w:rPr>
            </w:pPr>
            <w:r>
              <w:rPr>
                <w:rFonts w:ascii="Arial" w:cs="Arial" w:eastAsia="Arial" w:hAnsi="Arial"/>
                <w:sz w:val="18"/>
                <w:szCs w:val="18"/>
                <w:color w:val="auto"/>
              </w:rPr>
              <w:t>329</w:t>
            </w:r>
          </w:p>
        </w:tc>
        <w:tc>
          <w:tcPr>
            <w:tcW w:w="100" w:type="dxa"/>
            <w:vAlign w:val="bottom"/>
          </w:tcPr>
          <w:p>
            <w:pPr>
              <w:spacing w:after="0" w:line="20" w:lineRule="exact"/>
              <w:rPr>
                <w:sz w:val="1"/>
                <w:szCs w:val="1"/>
                <w:color w:val="auto"/>
              </w:rPr>
            </w:pPr>
          </w:p>
        </w:tc>
        <w:tc>
          <w:tcPr>
            <w:tcW w:w="480" w:type="dxa"/>
            <w:vAlign w:val="bottom"/>
            <w:vMerge w:val="restart"/>
          </w:tcPr>
          <w:p>
            <w:pPr>
              <w:jc w:val="right"/>
              <w:spacing w:after="0"/>
              <w:rPr>
                <w:sz w:val="20"/>
                <w:szCs w:val="20"/>
                <w:color w:val="auto"/>
              </w:rPr>
            </w:pPr>
            <w:r>
              <w:rPr>
                <w:rFonts w:ascii="Arial" w:cs="Arial" w:eastAsia="Arial" w:hAnsi="Arial"/>
                <w:sz w:val="18"/>
                <w:szCs w:val="18"/>
                <w:color w:val="auto"/>
              </w:rPr>
              <w:t>329</w:t>
            </w: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5480" w:type="dxa"/>
            <w:vAlign w:val="bottom"/>
            <w:gridSpan w:val="2"/>
            <w:vMerge w:val="continue"/>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gridSpan w:val="2"/>
            <w:vMerge w:val="continue"/>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5460" w:type="dxa"/>
            <w:vAlign w:val="bottom"/>
            <w:shd w:val="clear" w:color="auto" w:fill="CCEEFF"/>
          </w:tcPr>
          <w:p>
            <w:pPr>
              <w:spacing w:after="0"/>
              <w:rPr>
                <w:sz w:val="20"/>
                <w:szCs w:val="20"/>
                <w:color w:val="auto"/>
              </w:rPr>
            </w:pPr>
            <w:r>
              <w:rPr>
                <w:rFonts w:ascii="Arial" w:cs="Arial" w:eastAsia="Arial" w:hAnsi="Arial"/>
                <w:sz w:val="18"/>
                <w:szCs w:val="18"/>
                <w:color w:val="auto"/>
              </w:rPr>
              <w:t>Interest expense</w:t>
            </w: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8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20" w:type="dxa"/>
            <w:vAlign w:val="bottom"/>
            <w:tcBorders>
              <w:lef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00" w:type="dxa"/>
            <w:vAlign w:val="bottom"/>
            <w:tcBorders>
              <w:left w:val="single" w:sz="8" w:color="CCEEFF"/>
            </w:tcBorders>
            <w:shd w:val="clear" w:color="auto" w:fill="CCEEFF"/>
          </w:tcPr>
          <w:p>
            <w:pPr>
              <w:spacing w:after="0"/>
              <w:rPr>
                <w:sz w:val="18"/>
                <w:szCs w:val="18"/>
                <w:color w:val="auto"/>
              </w:rPr>
            </w:pPr>
          </w:p>
        </w:tc>
        <w:tc>
          <w:tcPr>
            <w:tcW w:w="140" w:type="dxa"/>
            <w:vAlign w:val="bottom"/>
            <w:tcBorders>
              <w:right w:val="single" w:sz="8" w:color="CCEEFF"/>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850</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850</w:t>
            </w:r>
          </w:p>
        </w:tc>
        <w:tc>
          <w:tcPr>
            <w:tcW w:w="100" w:type="dxa"/>
            <w:vAlign w:val="bottom"/>
            <w:tcBorders>
              <w:left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60" w:type="dxa"/>
            <w:vAlign w:val="bottom"/>
          </w:tcPr>
          <w:p>
            <w:pPr>
              <w:spacing w:after="0"/>
              <w:rPr>
                <w:sz w:val="20"/>
                <w:szCs w:val="20"/>
                <w:color w:val="auto"/>
              </w:rPr>
            </w:pPr>
            <w:r>
              <w:rPr>
                <w:rFonts w:ascii="Arial" w:cs="Arial" w:eastAsia="Arial" w:hAnsi="Arial"/>
                <w:sz w:val="18"/>
                <w:szCs w:val="18"/>
                <w:color w:val="auto"/>
              </w:rPr>
              <w:t>Income tax expense (benefit)</w:t>
            </w: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gridSpan w:val="2"/>
          </w:tcPr>
          <w:p>
            <w:pPr>
              <w:jc w:val="right"/>
              <w:ind w:right="300"/>
              <w:spacing w:after="0"/>
              <w:rPr>
                <w:sz w:val="20"/>
                <w:szCs w:val="20"/>
                <w:color w:val="auto"/>
              </w:rPr>
            </w:pPr>
            <w:r>
              <w:rPr>
                <w:rFonts w:ascii="Arial" w:cs="Arial" w:eastAsia="Arial" w:hAnsi="Arial"/>
                <w:sz w:val="18"/>
                <w:szCs w:val="18"/>
                <w:color w:val="auto"/>
              </w:rPr>
              <w:t>845</w:t>
            </w: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845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46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320" w:type="dxa"/>
            <w:vAlign w:val="bottom"/>
          </w:tcPr>
          <w:p>
            <w:pPr>
              <w:spacing w:after="0"/>
              <w:rPr>
                <w:sz w:val="2"/>
                <w:szCs w:val="2"/>
                <w:color w:val="auto"/>
              </w:rPr>
            </w:pPr>
          </w:p>
        </w:tc>
        <w:tc>
          <w:tcPr>
            <w:tcW w:w="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c>
          <w:tcPr>
            <w:tcW w:w="280" w:type="dxa"/>
            <w:vAlign w:val="bottom"/>
          </w:tcPr>
          <w:p>
            <w:pPr>
              <w:spacing w:after="0"/>
              <w:rPr>
                <w:sz w:val="2"/>
                <w:szCs w:val="2"/>
                <w:color w:val="auto"/>
              </w:rPr>
            </w:pPr>
          </w:p>
        </w:tc>
        <w:tc>
          <w:tcPr>
            <w:tcW w:w="4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320" w:type="dxa"/>
            <w:vAlign w:val="bottom"/>
            <w:tcBorders>
              <w:left w:val="single" w:sz="8" w:color="auto"/>
            </w:tcBorders>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100" w:type="dxa"/>
            <w:vAlign w:val="bottom"/>
            <w:tcBorders>
              <w:left w:val="single" w:sz="8" w:color="auto"/>
            </w:tcBorders>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460" w:type="dxa"/>
            <w:vAlign w:val="bottom"/>
            <w:shd w:val="clear" w:color="auto" w:fill="CCEEFF"/>
          </w:tcPr>
          <w:p>
            <w:pPr>
              <w:spacing w:after="0"/>
              <w:rPr>
                <w:sz w:val="20"/>
                <w:szCs w:val="20"/>
                <w:color w:val="auto"/>
              </w:rPr>
            </w:pPr>
            <w:r>
              <w:rPr>
                <w:rFonts w:ascii="Arial" w:cs="Arial" w:eastAsia="Arial" w:hAnsi="Arial"/>
                <w:sz w:val="18"/>
                <w:szCs w:val="18"/>
                <w:color w:val="auto"/>
              </w:rPr>
              <w:t>Net income (loss) attributable to stockholders</w:t>
            </w: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8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20" w:type="dxa"/>
            <w:vAlign w:val="bottom"/>
            <w:tcBorders>
              <w:lef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00" w:type="dxa"/>
            <w:vAlign w:val="bottom"/>
            <w:tcBorders>
              <w:left w:val="single" w:sz="8" w:color="CCEEFF"/>
            </w:tcBorders>
            <w:shd w:val="clear" w:color="auto" w:fill="CCEEFF"/>
          </w:tcPr>
          <w:p>
            <w:pPr>
              <w:spacing w:after="0"/>
              <w:rPr>
                <w:sz w:val="18"/>
                <w:szCs w:val="18"/>
                <w:color w:val="auto"/>
              </w:rPr>
            </w:pPr>
          </w:p>
        </w:tc>
        <w:tc>
          <w:tcPr>
            <w:tcW w:w="1040" w:type="dxa"/>
            <w:vAlign w:val="bottom"/>
            <w:gridSpan w:val="4"/>
            <w:shd w:val="clear" w:color="auto" w:fill="CCEEFF"/>
          </w:tcPr>
          <w:p>
            <w:pPr>
              <w:jc w:val="right"/>
              <w:ind w:right="240"/>
              <w:spacing w:after="0"/>
              <w:rPr>
                <w:sz w:val="20"/>
                <w:szCs w:val="20"/>
                <w:color w:val="auto"/>
              </w:rPr>
            </w:pPr>
            <w:r>
              <w:rPr>
                <w:rFonts w:ascii="Arial" w:cs="Arial" w:eastAsia="Arial" w:hAnsi="Arial"/>
                <w:sz w:val="18"/>
                <w:szCs w:val="18"/>
                <w:color w:val="auto"/>
              </w:rPr>
              <w:t>$ (1,408)</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4,766</w:t>
            </w:r>
          </w:p>
        </w:tc>
        <w:tc>
          <w:tcPr>
            <w:tcW w:w="100" w:type="dxa"/>
            <w:vAlign w:val="bottom"/>
            <w:tcBorders>
              <w:left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480" w:type="dxa"/>
            <w:vAlign w:val="bottom"/>
            <w:gridSpan w:val="2"/>
            <w:vMerge w:val="restart"/>
          </w:tcPr>
          <w:p>
            <w:pPr>
              <w:spacing w:after="0"/>
              <w:rPr>
                <w:sz w:val="20"/>
                <w:szCs w:val="20"/>
                <w:color w:val="auto"/>
              </w:rPr>
            </w:pPr>
            <w:r>
              <w:rPr>
                <w:rFonts w:ascii="Arial" w:cs="Arial" w:eastAsia="Arial" w:hAnsi="Arial"/>
                <w:sz w:val="18"/>
                <w:szCs w:val="18"/>
                <w:color w:val="auto"/>
              </w:rPr>
              <w:t>Depreciation, amortization and impairment</w:t>
            </w:r>
          </w:p>
        </w:tc>
        <w:tc>
          <w:tcPr>
            <w:tcW w:w="780" w:type="dxa"/>
            <w:vAlign w:val="bottom"/>
            <w:gridSpan w:val="2"/>
            <w:vMerge w:val="restart"/>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line="20" w:lineRule="exact"/>
              <w:rPr>
                <w:sz w:val="1"/>
                <w:szCs w:val="1"/>
                <w:color w:val="auto"/>
              </w:rPr>
            </w:pPr>
          </w:p>
        </w:tc>
        <w:tc>
          <w:tcPr>
            <w:tcW w:w="480" w:type="dxa"/>
            <w:vAlign w:val="bottom"/>
            <w:gridSpan w:val="2"/>
            <w:vMerge w:val="restart"/>
          </w:tcPr>
          <w:p>
            <w:pPr>
              <w:jc w:val="right"/>
              <w:ind w:right="100"/>
              <w:spacing w:after="0"/>
              <w:rPr>
                <w:sz w:val="20"/>
                <w:szCs w:val="20"/>
                <w:color w:val="auto"/>
              </w:rPr>
            </w:pPr>
            <w:r>
              <w:rPr>
                <w:rFonts w:ascii="Arial" w:cs="Arial" w:eastAsia="Arial" w:hAnsi="Arial"/>
                <w:sz w:val="18"/>
                <w:szCs w:val="18"/>
                <w:color w:val="auto"/>
                <w:w w:val="79"/>
              </w:rPr>
              <w:t>3,384</w:t>
            </w:r>
          </w:p>
        </w:tc>
        <w:tc>
          <w:tcPr>
            <w:tcW w:w="140" w:type="dxa"/>
            <w:vAlign w:val="bottom"/>
          </w:tcPr>
          <w:p>
            <w:pPr>
              <w:spacing w:after="0" w:line="20" w:lineRule="exact"/>
              <w:rPr>
                <w:sz w:val="1"/>
                <w:szCs w:val="1"/>
                <w:color w:val="auto"/>
              </w:rPr>
            </w:pPr>
          </w:p>
        </w:tc>
        <w:tc>
          <w:tcPr>
            <w:tcW w:w="160" w:type="dxa"/>
            <w:vAlign w:val="bottom"/>
            <w:gridSpan w:val="2"/>
            <w:vMerge w:val="restart"/>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gridSpan w:val="2"/>
            <w:vMerge w:val="restart"/>
          </w:tcPr>
          <w:p>
            <w:pPr>
              <w:jc w:val="right"/>
              <w:ind w:right="40"/>
              <w:spacing w:after="0"/>
              <w:rPr>
                <w:sz w:val="20"/>
                <w:szCs w:val="20"/>
                <w:color w:val="auto"/>
              </w:rPr>
            </w:pPr>
            <w:r>
              <w:rPr>
                <w:rFonts w:ascii="Arial" w:cs="Arial" w:eastAsia="Arial" w:hAnsi="Arial"/>
                <w:sz w:val="18"/>
                <w:szCs w:val="18"/>
                <w:color w:val="auto"/>
                <w:w w:val="99"/>
              </w:rPr>
              <w:t>625</w:t>
            </w:r>
          </w:p>
        </w:tc>
        <w:tc>
          <w:tcPr>
            <w:tcW w:w="280" w:type="dxa"/>
            <w:vAlign w:val="bottom"/>
          </w:tcPr>
          <w:p>
            <w:pPr>
              <w:spacing w:after="0" w:line="20" w:lineRule="exact"/>
              <w:rPr>
                <w:sz w:val="1"/>
                <w:szCs w:val="1"/>
                <w:color w:val="auto"/>
              </w:rPr>
            </w:pPr>
          </w:p>
        </w:tc>
        <w:tc>
          <w:tcPr>
            <w:tcW w:w="100" w:type="dxa"/>
            <w:vAlign w:val="bottom"/>
            <w:vMerge w:val="restart"/>
          </w:tcPr>
          <w:p>
            <w:pPr>
              <w:jc w:val="right"/>
              <w:spacing w:after="0"/>
              <w:rPr>
                <w:sz w:val="20"/>
                <w:szCs w:val="20"/>
                <w:color w:val="auto"/>
              </w:rPr>
            </w:pPr>
            <w:r>
              <w:rPr>
                <w:rFonts w:ascii="Arial" w:cs="Arial" w:eastAsia="Arial" w:hAnsi="Arial"/>
                <w:sz w:val="10"/>
                <w:szCs w:val="10"/>
                <w:color w:val="auto"/>
                <w:w w:val="71"/>
              </w:rPr>
              <w:t>$</w:t>
            </w:r>
          </w:p>
        </w:tc>
        <w:tc>
          <w:tcPr>
            <w:tcW w:w="400" w:type="dxa"/>
            <w:vAlign w:val="bottom"/>
            <w:vMerge w:val="restart"/>
          </w:tcPr>
          <w:p>
            <w:pPr>
              <w:jc w:val="right"/>
              <w:spacing w:after="0"/>
              <w:rPr>
                <w:sz w:val="20"/>
                <w:szCs w:val="20"/>
                <w:color w:val="auto"/>
              </w:rPr>
            </w:pPr>
            <w:r>
              <w:rPr>
                <w:rFonts w:ascii="Arial" w:cs="Arial" w:eastAsia="Arial" w:hAnsi="Arial"/>
                <w:sz w:val="18"/>
                <w:szCs w:val="18"/>
                <w:color w:val="auto"/>
                <w:w w:val="97"/>
              </w:rPr>
              <w:t>1,101</w:t>
            </w:r>
          </w:p>
        </w:tc>
        <w:tc>
          <w:tcPr>
            <w:tcW w:w="220" w:type="dxa"/>
            <w:vAlign w:val="bottom"/>
          </w:tcPr>
          <w:p>
            <w:pPr>
              <w:spacing w:after="0" w:line="20" w:lineRule="exact"/>
              <w:rPr>
                <w:sz w:val="1"/>
                <w:szCs w:val="1"/>
                <w:color w:val="auto"/>
              </w:rPr>
            </w:pPr>
          </w:p>
        </w:tc>
        <w:tc>
          <w:tcPr>
            <w:tcW w:w="420" w:type="dxa"/>
            <w:vAlign w:val="bottom"/>
            <w:gridSpan w:val="3"/>
            <w:vMerge w:val="restart"/>
          </w:tcPr>
          <w:p>
            <w:pPr>
              <w:ind w:left="140"/>
              <w:spacing w:after="0"/>
              <w:rPr>
                <w:sz w:val="20"/>
                <w:szCs w:val="20"/>
                <w:color w:val="auto"/>
              </w:rPr>
            </w:pPr>
            <w:r>
              <w:rPr>
                <w:rFonts w:ascii="Arial" w:cs="Arial" w:eastAsia="Arial" w:hAnsi="Arial"/>
                <w:sz w:val="18"/>
                <w:szCs w:val="18"/>
                <w:color w:val="auto"/>
              </w:rPr>
              <w:t>$</w:t>
            </w:r>
          </w:p>
        </w:tc>
        <w:tc>
          <w:tcPr>
            <w:tcW w:w="620" w:type="dxa"/>
            <w:vAlign w:val="bottom"/>
            <w:gridSpan w:val="2"/>
            <w:vMerge w:val="restart"/>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5480" w:type="dxa"/>
            <w:vAlign w:val="bottom"/>
            <w:gridSpan w:val="2"/>
            <w:vMerge w:val="continue"/>
          </w:tcPr>
          <w:p>
            <w:pPr>
              <w:spacing w:after="0"/>
              <w:rPr>
                <w:sz w:val="18"/>
                <w:szCs w:val="18"/>
                <w:color w:val="auto"/>
              </w:rPr>
            </w:pPr>
          </w:p>
        </w:tc>
        <w:tc>
          <w:tcPr>
            <w:tcW w:w="780" w:type="dxa"/>
            <w:vAlign w:val="bottom"/>
            <w:gridSpan w:val="2"/>
            <w:vMerge w:val="continue"/>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gridSpan w:val="2"/>
            <w:vMerge w:val="continue"/>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60" w:type="dxa"/>
            <w:vAlign w:val="bottom"/>
            <w:gridSpan w:val="2"/>
            <w:vMerge w:val="continue"/>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vMerge w:val="continue"/>
          </w:tcPr>
          <w:p>
            <w:pPr>
              <w:spacing w:after="0"/>
              <w:rPr>
                <w:sz w:val="18"/>
                <w:szCs w:val="18"/>
                <w:color w:val="auto"/>
              </w:rPr>
            </w:pPr>
          </w:p>
        </w:tc>
        <w:tc>
          <w:tcPr>
            <w:tcW w:w="400" w:type="dxa"/>
            <w:vAlign w:val="bottom"/>
            <w:vMerge w:val="continue"/>
          </w:tcPr>
          <w:p>
            <w:pPr>
              <w:spacing w:after="0"/>
              <w:rPr>
                <w:sz w:val="18"/>
                <w:szCs w:val="18"/>
                <w:color w:val="auto"/>
              </w:rPr>
            </w:pPr>
          </w:p>
        </w:tc>
        <w:tc>
          <w:tcPr>
            <w:tcW w:w="220" w:type="dxa"/>
            <w:vAlign w:val="bottom"/>
          </w:tcPr>
          <w:p>
            <w:pPr>
              <w:spacing w:after="0"/>
              <w:rPr>
                <w:sz w:val="18"/>
                <w:szCs w:val="18"/>
                <w:color w:val="auto"/>
              </w:rPr>
            </w:pPr>
          </w:p>
        </w:tc>
        <w:tc>
          <w:tcPr>
            <w:tcW w:w="420" w:type="dxa"/>
            <w:vAlign w:val="bottom"/>
            <w:gridSpan w:val="3"/>
            <w:vMerge w:val="continue"/>
          </w:tcPr>
          <w:p>
            <w:pPr>
              <w:spacing w:after="0"/>
              <w:rPr>
                <w:sz w:val="18"/>
                <w:szCs w:val="18"/>
                <w:color w:val="auto"/>
              </w:rPr>
            </w:pPr>
          </w:p>
        </w:tc>
        <w:tc>
          <w:tcPr>
            <w:tcW w:w="620" w:type="dxa"/>
            <w:vAlign w:val="bottom"/>
            <w:gridSpan w:val="2"/>
            <w:vMerge w:val="continue"/>
          </w:tcPr>
          <w:p>
            <w:pPr>
              <w:spacing w:after="0"/>
              <w:rPr>
                <w:sz w:val="18"/>
                <w:szCs w:val="18"/>
                <w:color w:val="auto"/>
              </w:rPr>
            </w:pPr>
          </w:p>
        </w:tc>
        <w:tc>
          <w:tcPr>
            <w:tcW w:w="320" w:type="dxa"/>
            <w:vAlign w:val="bottom"/>
            <w:gridSpan w:val="2"/>
          </w:tcPr>
          <w:p>
            <w:pPr>
              <w:ind w:left="140"/>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ind w:right="300"/>
              <w:spacing w:after="0"/>
              <w:rPr>
                <w:sz w:val="20"/>
                <w:szCs w:val="20"/>
                <w:color w:val="auto"/>
              </w:rPr>
            </w:pPr>
            <w:r>
              <w:rPr>
                <w:rFonts w:ascii="Arial" w:cs="Arial" w:eastAsia="Arial" w:hAnsi="Arial"/>
                <w:sz w:val="18"/>
                <w:szCs w:val="18"/>
                <w:color w:val="auto"/>
              </w:rPr>
              <w:t>81</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5,191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5460" w:type="dxa"/>
            <w:vAlign w:val="bottom"/>
            <w:shd w:val="clear" w:color="auto" w:fill="CCEEFF"/>
          </w:tcPr>
          <w:p>
            <w:pPr>
              <w:spacing w:after="0"/>
              <w:rPr>
                <w:sz w:val="20"/>
                <w:szCs w:val="20"/>
                <w:color w:val="auto"/>
              </w:rPr>
            </w:pPr>
            <w:r>
              <w:rPr>
                <w:rFonts w:ascii="Arial" w:cs="Arial" w:eastAsia="Arial" w:hAnsi="Arial"/>
                <w:sz w:val="18"/>
                <w:szCs w:val="18"/>
                <w:color w:val="auto"/>
              </w:rPr>
              <w:t>Equity income, net of tax</w:t>
            </w: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97</w:t>
            </w:r>
          </w:p>
        </w:tc>
        <w:tc>
          <w:tcPr>
            <w:tcW w:w="140" w:type="dxa"/>
            <w:vAlign w:val="bottom"/>
            <w:shd w:val="clear" w:color="auto" w:fill="CCEEFF"/>
          </w:tcPr>
          <w:p>
            <w:pPr>
              <w:spacing w:after="0"/>
              <w:rPr>
                <w:sz w:val="18"/>
                <w:szCs w:val="18"/>
                <w:color w:val="auto"/>
              </w:rPr>
            </w:pP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20" w:type="dxa"/>
            <w:vAlign w:val="bottom"/>
            <w:gridSpan w:val="4"/>
            <w:shd w:val="clear" w:color="auto" w:fill="CCEEFF"/>
          </w:tcPr>
          <w:p>
            <w:pPr>
              <w:jc w:val="right"/>
              <w:ind w:right="40"/>
              <w:spacing w:after="0"/>
              <w:rPr>
                <w:sz w:val="20"/>
                <w:szCs w:val="20"/>
                <w:color w:val="auto"/>
              </w:rPr>
            </w:pPr>
            <w:r>
              <w:rPr>
                <w:rFonts w:ascii="Arial" w:cs="Arial" w:eastAsia="Arial" w:hAnsi="Arial"/>
                <w:sz w:val="18"/>
                <w:szCs w:val="18"/>
                <w:color w:val="auto"/>
              </w:rPr>
              <w:t>1,055</w:t>
            </w:r>
          </w:p>
        </w:tc>
        <w:tc>
          <w:tcPr>
            <w:tcW w:w="28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220" w:type="dxa"/>
            <w:vAlign w:val="bottom"/>
            <w:tcBorders>
              <w:left w:val="single" w:sz="8" w:color="CCEEFF"/>
            </w:tcBorders>
            <w:shd w:val="clear" w:color="auto" w:fill="CCEEFF"/>
          </w:tcPr>
          <w:p>
            <w:pPr>
              <w:spacing w:after="0"/>
              <w:rPr>
                <w:sz w:val="18"/>
                <w:szCs w:val="18"/>
                <w:color w:val="auto"/>
              </w:rPr>
            </w:pPr>
          </w:p>
        </w:tc>
        <w:tc>
          <w:tcPr>
            <w:tcW w:w="420" w:type="dxa"/>
            <w:vAlign w:val="bottom"/>
            <w:gridSpan w:val="3"/>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6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32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1,165</w:t>
            </w:r>
          </w:p>
        </w:tc>
        <w:tc>
          <w:tcPr>
            <w:tcW w:w="100" w:type="dxa"/>
            <w:vAlign w:val="bottom"/>
            <w:tcBorders>
              <w:left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60" w:type="dxa"/>
            <w:vAlign w:val="bottom"/>
          </w:tcPr>
          <w:p>
            <w:pPr>
              <w:spacing w:after="0"/>
              <w:rPr>
                <w:sz w:val="20"/>
                <w:szCs w:val="20"/>
                <w:color w:val="auto"/>
              </w:rPr>
            </w:pPr>
            <w:r>
              <w:rPr>
                <w:rFonts w:ascii="Arial" w:cs="Arial" w:eastAsia="Arial" w:hAnsi="Arial"/>
                <w:sz w:val="18"/>
                <w:szCs w:val="18"/>
                <w:color w:val="auto"/>
              </w:rPr>
              <w:t>Significant non-cash charges</w:t>
            </w: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Impairment charges related to long-lived assets</w:t>
            </w: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188</w:t>
            </w:r>
          </w:p>
        </w:tc>
        <w:tc>
          <w:tcPr>
            <w:tcW w:w="140" w:type="dxa"/>
            <w:vAlign w:val="bottom"/>
            <w:shd w:val="clear" w:color="auto" w:fill="CCEEFF"/>
          </w:tcPr>
          <w:p>
            <w:pPr>
              <w:spacing w:after="0"/>
              <w:rPr>
                <w:sz w:val="18"/>
                <w:szCs w:val="18"/>
                <w:color w:val="auto"/>
              </w:rPr>
            </w:pP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w:t>
            </w:r>
          </w:p>
        </w:tc>
        <w:tc>
          <w:tcPr>
            <w:tcW w:w="28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620" w:type="dxa"/>
            <w:vAlign w:val="bottom"/>
            <w:gridSpan w:val="2"/>
            <w:shd w:val="clear" w:color="auto" w:fill="CCEEFF"/>
          </w:tcPr>
          <w:p>
            <w:pPr>
              <w:jc w:val="right"/>
              <w:ind w:right="92"/>
              <w:spacing w:after="0"/>
              <w:rPr>
                <w:sz w:val="20"/>
                <w:szCs w:val="20"/>
                <w:color w:val="auto"/>
              </w:rPr>
            </w:pPr>
            <w:r>
              <w:rPr>
                <w:rFonts w:ascii="Arial" w:cs="Arial" w:eastAsia="Arial" w:hAnsi="Arial"/>
                <w:sz w:val="18"/>
                <w:szCs w:val="18"/>
                <w:color w:val="auto"/>
              </w:rPr>
              <w:t>—</w:t>
            </w:r>
          </w:p>
        </w:tc>
        <w:tc>
          <w:tcPr>
            <w:tcW w:w="420" w:type="dxa"/>
            <w:vAlign w:val="bottom"/>
            <w:gridSpan w:val="3"/>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6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32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194</w:t>
            </w:r>
          </w:p>
        </w:tc>
        <w:tc>
          <w:tcPr>
            <w:tcW w:w="100" w:type="dxa"/>
            <w:vAlign w:val="bottom"/>
            <w:tcBorders>
              <w:left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60" w:type="dxa"/>
            <w:vAlign w:val="bottom"/>
          </w:tcPr>
          <w:p>
            <w:pPr>
              <w:ind w:left="200"/>
              <w:spacing w:after="0"/>
              <w:rPr>
                <w:sz w:val="20"/>
                <w:szCs w:val="20"/>
                <w:color w:val="auto"/>
              </w:rPr>
            </w:pPr>
            <w:r>
              <w:rPr>
                <w:rFonts w:ascii="Arial" w:cs="Arial" w:eastAsia="Arial" w:hAnsi="Arial"/>
                <w:sz w:val="18"/>
                <w:szCs w:val="18"/>
                <w:color w:val="auto"/>
              </w:rPr>
              <w:t>Impairment charges related to equipment on operating leases</w:t>
            </w:r>
          </w:p>
        </w:tc>
        <w:tc>
          <w:tcPr>
            <w:tcW w:w="68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0" w:type="dxa"/>
            <w:vAlign w:val="bottom"/>
          </w:tcPr>
          <w:p>
            <w:pPr>
              <w:spacing w:after="0"/>
              <w:rPr>
                <w:sz w:val="18"/>
                <w:szCs w:val="18"/>
                <w:color w:val="auto"/>
              </w:rPr>
            </w:pPr>
          </w:p>
        </w:tc>
        <w:tc>
          <w:tcPr>
            <w:tcW w:w="620" w:type="dxa"/>
            <w:vAlign w:val="bottom"/>
            <w:gridSpan w:val="3"/>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3"/>
          </w:tcPr>
          <w:p>
            <w:pPr>
              <w:jc w:val="right"/>
              <w:ind w:right="320"/>
              <w:spacing w:after="0"/>
              <w:rPr>
                <w:sz w:val="20"/>
                <w:szCs w:val="20"/>
                <w:color w:val="auto"/>
              </w:rPr>
            </w:pPr>
            <w:r>
              <w:rPr>
                <w:rFonts w:ascii="Arial" w:cs="Arial" w:eastAsia="Arial" w:hAnsi="Arial"/>
                <w:sz w:val="18"/>
                <w:szCs w:val="18"/>
                <w:color w:val="auto"/>
              </w:rPr>
              <w:t>—</w:t>
            </w: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400" w:type="dxa"/>
            <w:vAlign w:val="bottom"/>
          </w:tcPr>
          <w:p>
            <w:pPr>
              <w:jc w:val="right"/>
              <w:spacing w:after="0"/>
              <w:rPr>
                <w:sz w:val="20"/>
                <w:szCs w:val="20"/>
                <w:color w:val="auto"/>
              </w:rPr>
            </w:pPr>
            <w:r>
              <w:rPr>
                <w:rFonts w:ascii="Arial" w:cs="Arial" w:eastAsia="Arial" w:hAnsi="Arial"/>
                <w:sz w:val="18"/>
                <w:szCs w:val="18"/>
                <w:color w:val="auto"/>
              </w:rPr>
              <w:t>32</w:t>
            </w:r>
          </w:p>
        </w:tc>
        <w:tc>
          <w:tcPr>
            <w:tcW w:w="220" w:type="dxa"/>
            <w:vAlign w:val="bottom"/>
          </w:tcPr>
          <w:p>
            <w:pPr>
              <w:spacing w:after="0"/>
              <w:rPr>
                <w:sz w:val="18"/>
                <w:szCs w:val="18"/>
                <w:color w:val="auto"/>
              </w:rPr>
            </w:pPr>
          </w:p>
        </w:tc>
        <w:tc>
          <w:tcPr>
            <w:tcW w:w="420" w:type="dxa"/>
            <w:vAlign w:val="bottom"/>
            <w:gridSpan w:val="3"/>
          </w:tcPr>
          <w:p>
            <w:pPr>
              <w:ind w:left="140"/>
              <w:spacing w:after="0"/>
              <w:rPr>
                <w:sz w:val="20"/>
                <w:szCs w:val="20"/>
                <w:color w:val="auto"/>
              </w:rPr>
            </w:pPr>
            <w:r>
              <w:rPr>
                <w:rFonts w:ascii="Arial" w:cs="Arial" w:eastAsia="Arial" w:hAnsi="Arial"/>
                <w:sz w:val="18"/>
                <w:szCs w:val="18"/>
                <w:color w:val="auto"/>
              </w:rPr>
              <w:t>$</w:t>
            </w:r>
          </w:p>
        </w:tc>
        <w:tc>
          <w:tcPr>
            <w:tcW w:w="6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320" w:type="dxa"/>
            <w:vAlign w:val="bottom"/>
            <w:gridSpan w:val="2"/>
          </w:tcPr>
          <w:p>
            <w:pPr>
              <w:ind w:left="140"/>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32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46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20" w:type="dxa"/>
            <w:vAlign w:val="bottom"/>
            <w:shd w:val="clear" w:color="auto" w:fill="000000"/>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280" w:type="dxa"/>
            <w:vAlign w:val="bottom"/>
            <w:tcBorders>
              <w:right w:val="single" w:sz="8" w:color="auto"/>
            </w:tcBorders>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220" w:type="dxa"/>
            <w:vAlign w:val="bottom"/>
            <w:tcBorders>
              <w:left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200" w:type="dxa"/>
            <w:vAlign w:val="bottom"/>
            <w:tcBorders>
              <w:left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320" w:type="dxa"/>
            <w:vAlign w:val="bottom"/>
            <w:tcBorders>
              <w:left w:val="single" w:sz="8" w:color="auto"/>
            </w:tcBorders>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100" w:type="dxa"/>
            <w:vAlign w:val="bottom"/>
            <w:tcBorders>
              <w:left w:val="single" w:sz="8" w:color="auto"/>
            </w:tcBorders>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460" w:type="dxa"/>
            <w:vAlign w:val="bottom"/>
            <w:shd w:val="clear" w:color="auto" w:fill="CCEEFF"/>
          </w:tcPr>
          <w:p>
            <w:pPr>
              <w:spacing w:after="0"/>
              <w:rPr>
                <w:sz w:val="20"/>
                <w:szCs w:val="20"/>
                <w:color w:val="auto"/>
              </w:rPr>
            </w:pPr>
            <w:r>
              <w:rPr>
                <w:rFonts w:ascii="Arial" w:cs="Arial" w:eastAsia="Arial" w:hAnsi="Arial"/>
                <w:sz w:val="18"/>
                <w:szCs w:val="18"/>
                <w:color w:val="auto"/>
              </w:rPr>
              <w:t>Total significant non-cash charges</w:t>
            </w: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188</w:t>
            </w:r>
          </w:p>
        </w:tc>
        <w:tc>
          <w:tcPr>
            <w:tcW w:w="140" w:type="dxa"/>
            <w:vAlign w:val="bottom"/>
            <w:shd w:val="clear" w:color="auto" w:fill="CCEEFF"/>
          </w:tcPr>
          <w:p>
            <w:pPr>
              <w:spacing w:after="0"/>
              <w:rPr>
                <w:sz w:val="18"/>
                <w:szCs w:val="18"/>
                <w:color w:val="auto"/>
              </w:rPr>
            </w:pP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w:t>
            </w:r>
          </w:p>
        </w:tc>
        <w:tc>
          <w:tcPr>
            <w:tcW w:w="28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w:t>
            </w:r>
          </w:p>
        </w:tc>
        <w:tc>
          <w:tcPr>
            <w:tcW w:w="220" w:type="dxa"/>
            <w:vAlign w:val="bottom"/>
            <w:tcBorders>
              <w:left w:val="single" w:sz="8" w:color="CCEEFF"/>
            </w:tcBorders>
            <w:shd w:val="clear" w:color="auto" w:fill="CCEEFF"/>
          </w:tcPr>
          <w:p>
            <w:pPr>
              <w:spacing w:after="0"/>
              <w:rPr>
                <w:sz w:val="18"/>
                <w:szCs w:val="18"/>
                <w:color w:val="auto"/>
              </w:rPr>
            </w:pPr>
          </w:p>
        </w:tc>
        <w:tc>
          <w:tcPr>
            <w:tcW w:w="420" w:type="dxa"/>
            <w:vAlign w:val="bottom"/>
            <w:gridSpan w:val="3"/>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6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32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226</w:t>
            </w:r>
          </w:p>
        </w:tc>
        <w:tc>
          <w:tcPr>
            <w:tcW w:w="100" w:type="dxa"/>
            <w:vAlign w:val="bottom"/>
            <w:tcBorders>
              <w:left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4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5"/>
        </w:trPr>
        <w:tc>
          <w:tcPr>
            <w:tcW w:w="20" w:type="dxa"/>
            <w:vAlign w:val="bottom"/>
          </w:tcPr>
          <w:p>
            <w:pPr>
              <w:spacing w:after="0"/>
              <w:rPr>
                <w:sz w:val="24"/>
                <w:szCs w:val="24"/>
                <w:color w:val="auto"/>
              </w:rPr>
            </w:pPr>
          </w:p>
        </w:tc>
        <w:tc>
          <w:tcPr>
            <w:tcW w:w="54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gridSpan w:val="4"/>
          </w:tcPr>
          <w:p>
            <w:pPr>
              <w:ind w:left="60"/>
              <w:spacing w:after="0"/>
              <w:rPr>
                <w:sz w:val="20"/>
                <w:szCs w:val="20"/>
                <w:color w:val="auto"/>
              </w:rPr>
            </w:pPr>
            <w:r>
              <w:rPr>
                <w:rFonts w:ascii="Arial" w:cs="Arial" w:eastAsia="Arial" w:hAnsi="Arial"/>
                <w:sz w:val="14"/>
                <w:szCs w:val="14"/>
                <w:b w:val="1"/>
                <w:bCs w:val="1"/>
                <w:color w:val="auto"/>
                <w:w w:val="79"/>
              </w:rPr>
              <w:t>Successor</w:t>
            </w:r>
          </w:p>
        </w:tc>
        <w:tc>
          <w:tcPr>
            <w:tcW w:w="4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4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gridSpan w:val="4"/>
          </w:tcPr>
          <w:p>
            <w:pPr>
              <w:jc w:val="right"/>
              <w:ind w:right="220"/>
              <w:spacing w:after="0" w:line="142" w:lineRule="exact"/>
              <w:rPr>
                <w:sz w:val="20"/>
                <w:szCs w:val="20"/>
                <w:color w:val="auto"/>
              </w:rPr>
            </w:pPr>
            <w:r>
              <w:rPr>
                <w:rFonts w:ascii="Arial" w:cs="Arial" w:eastAsia="Arial" w:hAnsi="Arial"/>
                <w:sz w:val="14"/>
                <w:szCs w:val="14"/>
                <w:b w:val="1"/>
                <w:bCs w:val="1"/>
                <w:color w:val="auto"/>
              </w:rPr>
              <w:t>GMNA</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80" w:type="dxa"/>
            <w:vAlign w:val="bottom"/>
            <w:gridSpan w:val="4"/>
          </w:tcPr>
          <w:p>
            <w:pPr>
              <w:ind w:left="40"/>
              <w:spacing w:after="0" w:line="142" w:lineRule="exact"/>
              <w:rPr>
                <w:sz w:val="20"/>
                <w:szCs w:val="20"/>
                <w:color w:val="auto"/>
              </w:rPr>
            </w:pPr>
            <w:r>
              <w:rPr>
                <w:rFonts w:ascii="Arial" w:cs="Arial" w:eastAsia="Arial" w:hAnsi="Arial"/>
                <w:sz w:val="14"/>
                <w:szCs w:val="14"/>
                <w:b w:val="1"/>
                <w:bCs w:val="1"/>
                <w:color w:val="auto"/>
              </w:rPr>
              <w:t>GMIO</w:t>
            </w:r>
          </w:p>
        </w:tc>
        <w:tc>
          <w:tcPr>
            <w:tcW w:w="100" w:type="dxa"/>
            <w:vAlign w:val="bottom"/>
          </w:tcPr>
          <w:p>
            <w:pPr>
              <w:spacing w:after="0"/>
              <w:rPr>
                <w:sz w:val="12"/>
                <w:szCs w:val="12"/>
                <w:color w:val="auto"/>
              </w:rPr>
            </w:pPr>
          </w:p>
        </w:tc>
        <w:tc>
          <w:tcPr>
            <w:tcW w:w="620" w:type="dxa"/>
            <w:vAlign w:val="bottom"/>
            <w:gridSpan w:val="2"/>
          </w:tcPr>
          <w:p>
            <w:pPr>
              <w:jc w:val="right"/>
              <w:ind w:right="232"/>
              <w:spacing w:after="0" w:line="142" w:lineRule="exact"/>
              <w:rPr>
                <w:sz w:val="20"/>
                <w:szCs w:val="20"/>
                <w:color w:val="auto"/>
              </w:rPr>
            </w:pPr>
            <w:r>
              <w:rPr>
                <w:rFonts w:ascii="Arial" w:cs="Arial" w:eastAsia="Arial" w:hAnsi="Arial"/>
                <w:sz w:val="14"/>
                <w:szCs w:val="14"/>
                <w:b w:val="1"/>
                <w:bCs w:val="1"/>
                <w:color w:val="auto"/>
                <w:w w:val="93"/>
              </w:rPr>
              <w:t>GME</w:t>
            </w:r>
          </w:p>
        </w:tc>
        <w:tc>
          <w:tcPr>
            <w:tcW w:w="100" w:type="dxa"/>
            <w:vAlign w:val="bottom"/>
          </w:tcPr>
          <w:p>
            <w:pPr>
              <w:spacing w:after="0"/>
              <w:rPr>
                <w:sz w:val="12"/>
                <w:szCs w:val="12"/>
                <w:color w:val="auto"/>
              </w:rPr>
            </w:pPr>
          </w:p>
        </w:tc>
        <w:tc>
          <w:tcPr>
            <w:tcW w:w="940" w:type="dxa"/>
            <w:vAlign w:val="bottom"/>
            <w:gridSpan w:val="4"/>
          </w:tcPr>
          <w:p>
            <w:pPr>
              <w:spacing w:after="0" w:line="142" w:lineRule="exact"/>
              <w:rPr>
                <w:sz w:val="20"/>
                <w:szCs w:val="20"/>
                <w:color w:val="auto"/>
              </w:rPr>
            </w:pPr>
            <w:r>
              <w:rPr>
                <w:rFonts w:ascii="Arial" w:cs="Arial" w:eastAsia="Arial" w:hAnsi="Arial"/>
                <w:sz w:val="14"/>
                <w:szCs w:val="14"/>
                <w:b w:val="1"/>
                <w:bCs w:val="1"/>
                <w:color w:val="auto"/>
              </w:rPr>
              <w:t>Eliminations</w:t>
            </w:r>
          </w:p>
        </w:tc>
        <w:tc>
          <w:tcPr>
            <w:tcW w:w="140" w:type="dxa"/>
            <w:vAlign w:val="bottom"/>
          </w:tcPr>
          <w:p>
            <w:pPr>
              <w:spacing w:after="0"/>
              <w:rPr>
                <w:sz w:val="12"/>
                <w:szCs w:val="12"/>
                <w:color w:val="auto"/>
              </w:rPr>
            </w:pPr>
          </w:p>
        </w:tc>
        <w:tc>
          <w:tcPr>
            <w:tcW w:w="900" w:type="dxa"/>
            <w:vAlign w:val="bottom"/>
            <w:gridSpan w:val="3"/>
          </w:tcPr>
          <w:p>
            <w:pPr>
              <w:spacing w:after="0" w:line="142" w:lineRule="exact"/>
              <w:rPr>
                <w:sz w:val="20"/>
                <w:szCs w:val="20"/>
                <w:color w:val="auto"/>
              </w:rPr>
            </w:pPr>
            <w:r>
              <w:rPr>
                <w:rFonts w:ascii="Arial" w:cs="Arial" w:eastAsia="Arial" w:hAnsi="Arial"/>
                <w:sz w:val="14"/>
                <w:szCs w:val="14"/>
                <w:b w:val="1"/>
                <w:bCs w:val="1"/>
                <w:color w:val="auto"/>
              </w:rPr>
              <w:t>Corporate</w:t>
            </w:r>
          </w:p>
        </w:tc>
        <w:tc>
          <w:tcPr>
            <w:tcW w:w="100" w:type="dxa"/>
            <w:vAlign w:val="bottom"/>
          </w:tcPr>
          <w:p>
            <w:pPr>
              <w:spacing w:after="0"/>
              <w:rPr>
                <w:sz w:val="12"/>
                <w:szCs w:val="12"/>
                <w:color w:val="auto"/>
              </w:rPr>
            </w:pPr>
          </w:p>
        </w:tc>
        <w:tc>
          <w:tcPr>
            <w:tcW w:w="480" w:type="dxa"/>
            <w:vAlign w:val="bottom"/>
          </w:tcPr>
          <w:p>
            <w:pPr>
              <w:jc w:val="right"/>
              <w:ind w:right="74"/>
              <w:spacing w:after="0" w:line="142" w:lineRule="exact"/>
              <w:rPr>
                <w:sz w:val="20"/>
                <w:szCs w:val="20"/>
                <w:color w:val="auto"/>
              </w:rPr>
            </w:pPr>
            <w:r>
              <w:rPr>
                <w:rFonts w:ascii="Arial" w:cs="Arial" w:eastAsia="Arial" w:hAnsi="Arial"/>
                <w:sz w:val="14"/>
                <w:szCs w:val="14"/>
                <w:b w:val="1"/>
                <w:bCs w:val="1"/>
                <w:color w:val="auto"/>
                <w:w w:val="89"/>
              </w:rPr>
              <w:t>Total</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4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For the Period July 10, 2009 Through September 30, 2009</w:t>
            </w: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40" w:type="dxa"/>
            <w:vAlign w:val="bottom"/>
            <w:tcBorders>
              <w:top w:val="single" w:sz="8" w:color="auto"/>
            </w:tcBorders>
            <w:shd w:val="clear" w:color="auto" w:fill="CCEEFF"/>
          </w:tcPr>
          <w:p>
            <w:pPr>
              <w:spacing w:after="0"/>
              <w:rPr>
                <w:sz w:val="18"/>
                <w:szCs w:val="18"/>
                <w:color w:val="auto"/>
              </w:rPr>
            </w:pPr>
          </w:p>
        </w:tc>
        <w:tc>
          <w:tcPr>
            <w:tcW w:w="280" w:type="dxa"/>
            <w:vAlign w:val="bottom"/>
            <w:tcBorders>
              <w:right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spacing w:after="0"/>
              <w:rPr>
                <w:sz w:val="18"/>
                <w:szCs w:val="18"/>
                <w:color w:val="auto"/>
              </w:rPr>
            </w:pPr>
          </w:p>
        </w:tc>
        <w:tc>
          <w:tcPr>
            <w:tcW w:w="220" w:type="dxa"/>
            <w:vAlign w:val="bottom"/>
            <w:tcBorders>
              <w:lef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tcBorders>
              <w:top w:val="single" w:sz="8" w:color="auto"/>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spacing w:after="0"/>
              <w:rPr>
                <w:sz w:val="18"/>
                <w:szCs w:val="18"/>
                <w:color w:val="auto"/>
              </w:rPr>
            </w:pPr>
          </w:p>
        </w:tc>
        <w:tc>
          <w:tcPr>
            <w:tcW w:w="200" w:type="dxa"/>
            <w:vAlign w:val="bottom"/>
            <w:tcBorders>
              <w:left w:val="single" w:sz="8" w:color="CCEEFF"/>
            </w:tcBorders>
            <w:shd w:val="clear" w:color="auto" w:fill="CCEEFF"/>
          </w:tcPr>
          <w:p>
            <w:pPr>
              <w:spacing w:after="0"/>
              <w:rPr>
                <w:sz w:val="18"/>
                <w:szCs w:val="18"/>
                <w:color w:val="auto"/>
              </w:rPr>
            </w:pPr>
          </w:p>
        </w:tc>
        <w:tc>
          <w:tcPr>
            <w:tcW w:w="140" w:type="dxa"/>
            <w:vAlign w:val="bottom"/>
            <w:tcBorders>
              <w:right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spacing w:after="0"/>
              <w:rPr>
                <w:sz w:val="18"/>
                <w:szCs w:val="18"/>
                <w:color w:val="auto"/>
              </w:rPr>
            </w:pPr>
          </w:p>
        </w:tc>
        <w:tc>
          <w:tcPr>
            <w:tcW w:w="320" w:type="dxa"/>
            <w:vAlign w:val="bottom"/>
            <w:tcBorders>
              <w:left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spacing w:after="0"/>
              <w:rPr>
                <w:sz w:val="18"/>
                <w:szCs w:val="18"/>
                <w:color w:val="auto"/>
              </w:rPr>
            </w:pPr>
          </w:p>
        </w:tc>
        <w:tc>
          <w:tcPr>
            <w:tcW w:w="100" w:type="dxa"/>
            <w:vAlign w:val="bottom"/>
            <w:tcBorders>
              <w:left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60" w:type="dxa"/>
            <w:vAlign w:val="bottom"/>
          </w:tcPr>
          <w:p>
            <w:pPr>
              <w:spacing w:after="0"/>
              <w:rPr>
                <w:sz w:val="20"/>
                <w:szCs w:val="20"/>
                <w:color w:val="auto"/>
              </w:rPr>
            </w:pPr>
            <w:r>
              <w:rPr>
                <w:rFonts w:ascii="Arial" w:cs="Arial" w:eastAsia="Arial" w:hAnsi="Arial"/>
                <w:sz w:val="18"/>
                <w:szCs w:val="18"/>
                <w:color w:val="auto"/>
              </w:rPr>
              <w:t>Sales</w:t>
            </w: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External customers</w:t>
            </w:r>
          </w:p>
        </w:tc>
        <w:tc>
          <w:tcPr>
            <w:tcW w:w="1360" w:type="dxa"/>
            <w:vAlign w:val="bottom"/>
            <w:gridSpan w:val="5"/>
            <w:shd w:val="clear" w:color="auto" w:fill="CCEEFF"/>
          </w:tcPr>
          <w:p>
            <w:pPr>
              <w:jc w:val="right"/>
              <w:spacing w:after="0"/>
              <w:rPr>
                <w:sz w:val="20"/>
                <w:szCs w:val="20"/>
                <w:color w:val="auto"/>
              </w:rPr>
            </w:pPr>
            <w:r>
              <w:rPr>
                <w:rFonts w:ascii="Arial" w:cs="Arial" w:eastAsia="Arial" w:hAnsi="Arial"/>
                <w:sz w:val="18"/>
                <w:szCs w:val="18"/>
                <w:color w:val="auto"/>
              </w:rPr>
              <w:t>$13,871</w:t>
            </w: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tcBorders>
              <w:right w:val="single" w:sz="8" w:color="CCEEFF"/>
            </w:tcBorders>
            <w:gridSpan w:val="5"/>
            <w:shd w:val="clear" w:color="auto" w:fill="CCEEFF"/>
          </w:tcPr>
          <w:p>
            <w:pPr>
              <w:jc w:val="right"/>
              <w:ind w:right="280"/>
              <w:spacing w:after="0"/>
              <w:rPr>
                <w:sz w:val="20"/>
                <w:szCs w:val="20"/>
                <w:color w:val="auto"/>
              </w:rPr>
            </w:pPr>
            <w:r>
              <w:rPr>
                <w:rFonts w:ascii="Arial" w:cs="Arial" w:eastAsia="Arial" w:hAnsi="Arial"/>
                <w:sz w:val="18"/>
                <w:szCs w:val="18"/>
                <w:color w:val="auto"/>
                <w:w w:val="90"/>
              </w:rPr>
              <w:t>$6,003</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5,186</w:t>
            </w:r>
          </w:p>
        </w:tc>
        <w:tc>
          <w:tcPr>
            <w:tcW w:w="220" w:type="dxa"/>
            <w:vAlign w:val="bottom"/>
            <w:tcBorders>
              <w:left w:val="single" w:sz="8" w:color="CCEEFF"/>
            </w:tcBorders>
            <w:shd w:val="clear" w:color="auto" w:fill="CCEEFF"/>
          </w:tcPr>
          <w:p>
            <w:pPr>
              <w:spacing w:after="0"/>
              <w:rPr>
                <w:sz w:val="18"/>
                <w:szCs w:val="18"/>
                <w:color w:val="auto"/>
              </w:rPr>
            </w:pPr>
          </w:p>
        </w:tc>
        <w:tc>
          <w:tcPr>
            <w:tcW w:w="420" w:type="dxa"/>
            <w:vAlign w:val="bottom"/>
            <w:gridSpan w:val="3"/>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6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2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58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82"/>
              </w:rPr>
              <w:t>$25,060</w:t>
            </w:r>
          </w:p>
        </w:tc>
        <w:tc>
          <w:tcPr>
            <w:tcW w:w="100" w:type="dxa"/>
            <w:vAlign w:val="bottom"/>
            <w:tcBorders>
              <w:left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60" w:type="dxa"/>
            <w:vAlign w:val="bottom"/>
          </w:tcPr>
          <w:p>
            <w:pPr>
              <w:ind w:left="200"/>
              <w:spacing w:after="0"/>
              <w:rPr>
                <w:sz w:val="20"/>
                <w:szCs w:val="20"/>
                <w:color w:val="auto"/>
              </w:rPr>
            </w:pPr>
            <w:r>
              <w:rPr>
                <w:rFonts w:ascii="Arial" w:cs="Arial" w:eastAsia="Arial" w:hAnsi="Arial"/>
                <w:sz w:val="18"/>
                <w:szCs w:val="18"/>
                <w:color w:val="auto"/>
              </w:rPr>
              <w:t>Intersegment</w:t>
            </w: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gridSpan w:val="2"/>
          </w:tcPr>
          <w:p>
            <w:pPr>
              <w:jc w:val="right"/>
              <w:spacing w:after="0"/>
              <w:rPr>
                <w:sz w:val="20"/>
                <w:szCs w:val="20"/>
                <w:color w:val="auto"/>
              </w:rPr>
            </w:pPr>
            <w:r>
              <w:rPr>
                <w:rFonts w:ascii="Arial" w:cs="Arial" w:eastAsia="Arial" w:hAnsi="Arial"/>
                <w:sz w:val="18"/>
                <w:szCs w:val="18"/>
                <w:color w:val="auto"/>
              </w:rPr>
              <w:t>280</w:t>
            </w: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3"/>
          </w:tcPr>
          <w:p>
            <w:pPr>
              <w:jc w:val="right"/>
              <w:ind w:right="280"/>
              <w:spacing w:after="0"/>
              <w:rPr>
                <w:sz w:val="20"/>
                <w:szCs w:val="20"/>
                <w:color w:val="auto"/>
              </w:rPr>
            </w:pPr>
            <w:r>
              <w:rPr>
                <w:rFonts w:ascii="Arial" w:cs="Arial" w:eastAsia="Arial" w:hAnsi="Arial"/>
                <w:sz w:val="18"/>
                <w:szCs w:val="18"/>
                <w:color w:val="auto"/>
              </w:rPr>
              <w:t>392</w:t>
            </w: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52</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20" w:type="dxa"/>
            <w:vAlign w:val="bottom"/>
            <w:gridSpan w:val="2"/>
          </w:tcPr>
          <w:p>
            <w:pPr>
              <w:jc w:val="right"/>
              <w:ind w:right="140"/>
              <w:spacing w:after="0"/>
              <w:rPr>
                <w:sz w:val="20"/>
                <w:szCs w:val="20"/>
                <w:color w:val="auto"/>
              </w:rPr>
            </w:pPr>
            <w:r>
              <w:rPr>
                <w:rFonts w:ascii="Arial" w:cs="Arial" w:eastAsia="Arial" w:hAnsi="Arial"/>
                <w:sz w:val="18"/>
                <w:szCs w:val="18"/>
                <w:color w:val="auto"/>
              </w:rPr>
              <w:t>(724)</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5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Other revenue</w:t>
            </w: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tcBorders>
              <w:right w:val="single" w:sz="8" w:color="CCEEFF"/>
            </w:tcBorders>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52"/>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Borders>
              <w:right w:val="single" w:sz="8" w:color="CCEEFF"/>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w:t>
            </w:r>
          </w:p>
        </w:tc>
        <w:tc>
          <w:tcPr>
            <w:tcW w:w="320" w:type="dxa"/>
            <w:vAlign w:val="bottom"/>
            <w:tcBorders>
              <w:lef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w:t>
            </w:r>
          </w:p>
        </w:tc>
        <w:tc>
          <w:tcPr>
            <w:tcW w:w="100" w:type="dxa"/>
            <w:vAlign w:val="bottom"/>
            <w:tcBorders>
              <w:left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480" w:type="dxa"/>
            <w:vAlign w:val="bottom"/>
            <w:gridSpan w:val="2"/>
            <w:vMerge w:val="restart"/>
          </w:tcPr>
          <w:p>
            <w:pPr>
              <w:spacing w:after="0"/>
              <w:rPr>
                <w:sz w:val="20"/>
                <w:szCs w:val="20"/>
                <w:color w:val="auto"/>
              </w:rPr>
            </w:pPr>
            <w:r>
              <w:rPr>
                <w:rFonts w:ascii="Arial" w:cs="Arial" w:eastAsia="Arial" w:hAnsi="Arial"/>
                <w:sz w:val="18"/>
                <w:szCs w:val="18"/>
                <w:color w:val="auto"/>
              </w:rPr>
              <w:t>Total net sales and revenue</w:t>
            </w:r>
          </w:p>
        </w:tc>
        <w:tc>
          <w:tcPr>
            <w:tcW w:w="780" w:type="dxa"/>
            <w:vAlign w:val="bottom"/>
            <w:gridSpan w:val="2"/>
          </w:tcPr>
          <w:p>
            <w:pPr>
              <w:spacing w:after="0" w:line="20" w:lineRule="exact"/>
              <w:rPr>
                <w:sz w:val="1"/>
                <w:szCs w:val="1"/>
                <w:color w:val="auto"/>
              </w:rPr>
            </w:pPr>
          </w:p>
        </w:tc>
        <w:tc>
          <w:tcPr>
            <w:tcW w:w="580" w:type="dxa"/>
            <w:vAlign w:val="bottom"/>
            <w:gridSpan w:val="3"/>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gridSpan w:val="3"/>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gridSpan w:val="2"/>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right w:val="single" w:sz="8" w:color="auto"/>
            </w:tcBorders>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80" w:type="dxa"/>
            <w:vAlign w:val="bottom"/>
            <w:gridSpan w:val="2"/>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5480" w:type="dxa"/>
            <w:vAlign w:val="bottom"/>
            <w:gridSpan w:val="2"/>
            <w:vMerge w:val="continue"/>
          </w:tcPr>
          <w:p>
            <w:pPr>
              <w:spacing w:after="0"/>
              <w:rPr>
                <w:sz w:val="19"/>
                <w:szCs w:val="19"/>
                <w:color w:val="auto"/>
              </w:rPr>
            </w:pPr>
          </w:p>
        </w:tc>
        <w:tc>
          <w:tcPr>
            <w:tcW w:w="780" w:type="dxa"/>
            <w:vAlign w:val="bottom"/>
            <w:gridSpan w:val="2"/>
          </w:tcPr>
          <w:p>
            <w:pPr>
              <w:spacing w:after="0"/>
              <w:rPr>
                <w:sz w:val="19"/>
                <w:szCs w:val="19"/>
                <w:color w:val="auto"/>
              </w:rPr>
            </w:pPr>
          </w:p>
        </w:tc>
        <w:tc>
          <w:tcPr>
            <w:tcW w:w="580" w:type="dxa"/>
            <w:vAlign w:val="bottom"/>
            <w:gridSpan w:val="3"/>
          </w:tcPr>
          <w:p>
            <w:pPr>
              <w:jc w:val="right"/>
              <w:spacing w:after="0"/>
              <w:rPr>
                <w:sz w:val="20"/>
                <w:szCs w:val="20"/>
                <w:color w:val="auto"/>
              </w:rPr>
            </w:pPr>
            <w:r>
              <w:rPr>
                <w:rFonts w:ascii="Arial" w:cs="Arial" w:eastAsia="Arial" w:hAnsi="Arial"/>
                <w:sz w:val="18"/>
                <w:szCs w:val="18"/>
                <w:u w:val="single" w:color="auto"/>
                <w:color w:val="auto"/>
                <w:w w:val="86"/>
              </w:rPr>
              <w:t>$</w:t>
            </w:r>
            <w:r>
              <w:rPr>
                <w:rFonts w:ascii="Arial" w:cs="Arial" w:eastAsia="Arial" w:hAnsi="Arial"/>
                <w:sz w:val="18"/>
                <w:szCs w:val="18"/>
                <w:color w:val="auto"/>
                <w:w w:val="86"/>
              </w:rPr>
              <w:t>14,151</w:t>
            </w:r>
          </w:p>
        </w:tc>
        <w:tc>
          <w:tcPr>
            <w:tcW w:w="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gridSpan w:val="5"/>
          </w:tcPr>
          <w:p>
            <w:pPr>
              <w:jc w:val="right"/>
              <w:ind w:right="280"/>
              <w:spacing w:after="0"/>
              <w:rPr>
                <w:sz w:val="20"/>
                <w:szCs w:val="20"/>
                <w:color w:val="auto"/>
              </w:rPr>
            </w:pPr>
            <w:r>
              <w:rPr>
                <w:rFonts w:ascii="Arial" w:cs="Arial" w:eastAsia="Arial" w:hAnsi="Arial"/>
                <w:sz w:val="18"/>
                <w:szCs w:val="18"/>
                <w:u w:val="single" w:color="auto"/>
                <w:color w:val="auto"/>
                <w:w w:val="90"/>
              </w:rPr>
              <w:t>$</w:t>
            </w:r>
            <w:r>
              <w:rPr>
                <w:rFonts w:ascii="Arial" w:cs="Arial" w:eastAsia="Arial" w:hAnsi="Arial"/>
                <w:sz w:val="18"/>
                <w:szCs w:val="18"/>
                <w:color w:val="auto"/>
                <w:w w:val="90"/>
              </w:rPr>
              <w:t>6,395</w:t>
            </w:r>
          </w:p>
        </w:tc>
        <w:tc>
          <w:tcPr>
            <w:tcW w:w="100" w:type="dxa"/>
            <w:vAlign w:val="bottom"/>
          </w:tcPr>
          <w:p>
            <w:pPr>
              <w:jc w:val="right"/>
              <w:spacing w:after="0"/>
              <w:rPr>
                <w:sz w:val="20"/>
                <w:szCs w:val="20"/>
                <w:color w:val="auto"/>
              </w:rPr>
            </w:pPr>
            <w:r>
              <w:rPr>
                <w:rFonts w:ascii="Arial" w:cs="Arial" w:eastAsia="Arial" w:hAnsi="Arial"/>
                <w:sz w:val="18"/>
                <w:szCs w:val="18"/>
                <w:u w:val="single" w:color="auto"/>
                <w:color w:val="auto"/>
                <w:w w:val="79"/>
              </w:rPr>
              <w:t>$</w:t>
            </w:r>
          </w:p>
        </w:tc>
        <w:tc>
          <w:tcPr>
            <w:tcW w:w="400" w:type="dxa"/>
            <w:vAlign w:val="bottom"/>
          </w:tcPr>
          <w:p>
            <w:pPr>
              <w:jc w:val="right"/>
              <w:spacing w:after="0"/>
              <w:rPr>
                <w:sz w:val="20"/>
                <w:szCs w:val="20"/>
                <w:color w:val="auto"/>
              </w:rPr>
            </w:pPr>
            <w:r>
              <w:rPr>
                <w:rFonts w:ascii="Arial" w:cs="Arial" w:eastAsia="Arial" w:hAnsi="Arial"/>
                <w:sz w:val="18"/>
                <w:szCs w:val="18"/>
                <w:color w:val="auto"/>
                <w:w w:val="84"/>
              </w:rPr>
              <w:t>5,238</w:t>
            </w:r>
          </w:p>
        </w:tc>
        <w:tc>
          <w:tcPr>
            <w:tcW w:w="220" w:type="dxa"/>
            <w:vAlign w:val="bottom"/>
          </w:tcPr>
          <w:p>
            <w:pPr>
              <w:spacing w:after="0"/>
              <w:rPr>
                <w:sz w:val="19"/>
                <w:szCs w:val="19"/>
                <w:color w:val="auto"/>
              </w:rPr>
            </w:pPr>
          </w:p>
        </w:tc>
        <w:tc>
          <w:tcPr>
            <w:tcW w:w="420" w:type="dxa"/>
            <w:vAlign w:val="bottom"/>
            <w:gridSpan w:val="3"/>
          </w:tcPr>
          <w:p>
            <w:pPr>
              <w:ind w:left="100"/>
              <w:spacing w:after="0"/>
              <w:rPr>
                <w:sz w:val="20"/>
                <w:szCs w:val="20"/>
                <w:color w:val="auto"/>
              </w:rPr>
            </w:pPr>
            <w:r>
              <w:rPr>
                <w:rFonts w:ascii="Arial" w:cs="Arial" w:eastAsia="Arial" w:hAnsi="Arial"/>
                <w:sz w:val="18"/>
                <w:szCs w:val="18"/>
                <w:color w:val="auto"/>
              </w:rPr>
              <w:t>$</w:t>
            </w:r>
          </w:p>
        </w:tc>
        <w:tc>
          <w:tcPr>
            <w:tcW w:w="620" w:type="dxa"/>
            <w:vAlign w:val="bottom"/>
            <w:gridSpan w:val="2"/>
          </w:tcPr>
          <w:p>
            <w:pPr>
              <w:jc w:val="right"/>
              <w:ind w:right="140"/>
              <w:spacing w:after="0"/>
              <w:rPr>
                <w:sz w:val="20"/>
                <w:szCs w:val="20"/>
                <w:color w:val="auto"/>
              </w:rPr>
            </w:pPr>
            <w:r>
              <w:rPr>
                <w:rFonts w:ascii="Arial" w:cs="Arial" w:eastAsia="Arial" w:hAnsi="Arial"/>
                <w:sz w:val="18"/>
                <w:szCs w:val="18"/>
                <w:color w:val="auto"/>
              </w:rPr>
              <w:t>(724)</w:t>
            </w:r>
          </w:p>
        </w:tc>
        <w:tc>
          <w:tcPr>
            <w:tcW w:w="32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400" w:type="dxa"/>
            <w:vAlign w:val="bottom"/>
          </w:tcPr>
          <w:p>
            <w:pPr>
              <w:jc w:val="right"/>
              <w:spacing w:after="0"/>
              <w:rPr>
                <w:sz w:val="20"/>
                <w:szCs w:val="20"/>
                <w:color w:val="auto"/>
              </w:rPr>
            </w:pPr>
            <w:r>
              <w:rPr>
                <w:rFonts w:ascii="Arial" w:cs="Arial" w:eastAsia="Arial" w:hAnsi="Arial"/>
                <w:sz w:val="18"/>
                <w:szCs w:val="18"/>
                <w:color w:val="auto"/>
              </w:rPr>
              <w:t>87</w:t>
            </w:r>
          </w:p>
        </w:tc>
        <w:tc>
          <w:tcPr>
            <w:tcW w:w="320" w:type="dxa"/>
            <w:vAlign w:val="bottom"/>
          </w:tcPr>
          <w:p>
            <w:pPr>
              <w:spacing w:after="0"/>
              <w:rPr>
                <w:sz w:val="19"/>
                <w:szCs w:val="19"/>
                <w:color w:val="auto"/>
              </w:rPr>
            </w:pPr>
          </w:p>
        </w:tc>
        <w:tc>
          <w:tcPr>
            <w:tcW w:w="580" w:type="dxa"/>
            <w:vAlign w:val="bottom"/>
            <w:gridSpan w:val="2"/>
          </w:tcPr>
          <w:p>
            <w:pPr>
              <w:spacing w:after="0"/>
              <w:rPr>
                <w:sz w:val="20"/>
                <w:szCs w:val="20"/>
                <w:color w:val="auto"/>
              </w:rPr>
            </w:pPr>
            <w:r>
              <w:rPr>
                <w:rFonts w:ascii="Arial" w:cs="Arial" w:eastAsia="Arial" w:hAnsi="Arial"/>
                <w:sz w:val="18"/>
                <w:szCs w:val="18"/>
                <w:u w:val="single" w:color="auto"/>
                <w:color w:val="auto"/>
                <w:w w:val="82"/>
              </w:rPr>
              <w:t>$</w:t>
            </w:r>
            <w:r>
              <w:rPr>
                <w:rFonts w:ascii="Arial" w:cs="Arial" w:eastAsia="Arial" w:hAnsi="Arial"/>
                <w:sz w:val="18"/>
                <w:szCs w:val="18"/>
                <w:color w:val="auto"/>
                <w:w w:val="82"/>
              </w:rPr>
              <w:t>25,147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4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20" w:type="dxa"/>
            <w:vAlign w:val="bottom"/>
          </w:tcPr>
          <w:p>
            <w:pPr>
              <w:spacing w:after="0"/>
              <w:rPr>
                <w:sz w:val="18"/>
                <w:szCs w:val="18"/>
                <w:color w:val="auto"/>
              </w:rPr>
            </w:pPr>
          </w:p>
        </w:tc>
        <w:tc>
          <w:tcPr>
            <w:tcW w:w="5460" w:type="dxa"/>
            <w:vAlign w:val="bottom"/>
            <w:shd w:val="clear" w:color="auto" w:fill="CCEEFF"/>
          </w:tcPr>
          <w:p>
            <w:pPr>
              <w:spacing w:after="0"/>
              <w:rPr>
                <w:sz w:val="20"/>
                <w:szCs w:val="20"/>
                <w:color w:val="auto"/>
              </w:rPr>
            </w:pPr>
            <w:r>
              <w:rPr>
                <w:rFonts w:ascii="Arial" w:cs="Arial" w:eastAsia="Arial" w:hAnsi="Arial"/>
                <w:sz w:val="18"/>
                <w:szCs w:val="18"/>
                <w:color w:val="auto"/>
                <w:w w:val="91"/>
              </w:rPr>
              <w:t>Income (loss) attributable to stockholders before interest and income taxes</w:t>
            </w:r>
          </w:p>
        </w:tc>
        <w:tc>
          <w:tcPr>
            <w:tcW w:w="1500" w:type="dxa"/>
            <w:vAlign w:val="bottom"/>
            <w:gridSpan w:val="6"/>
            <w:shd w:val="clear" w:color="auto" w:fill="CCEEFF"/>
          </w:tcPr>
          <w:p>
            <w:pPr>
              <w:jc w:val="right"/>
              <w:ind w:right="80"/>
              <w:spacing w:after="0"/>
              <w:rPr>
                <w:sz w:val="20"/>
                <w:szCs w:val="20"/>
                <w:color w:val="auto"/>
              </w:rPr>
            </w:pPr>
            <w:r>
              <w:rPr>
                <w:rFonts w:ascii="Arial" w:cs="Arial" w:eastAsia="Arial" w:hAnsi="Arial"/>
                <w:sz w:val="18"/>
                <w:szCs w:val="18"/>
                <w:color w:val="auto"/>
              </w:rPr>
              <w:t>$ (1,377)</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w:t>
            </w:r>
          </w:p>
        </w:tc>
        <w:tc>
          <w:tcPr>
            <w:tcW w:w="640" w:type="dxa"/>
            <w:vAlign w:val="bottom"/>
            <w:tcBorders>
              <w:right w:val="single" w:sz="8" w:color="CCEEFF"/>
            </w:tcBorders>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474</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gridSpan w:val="2"/>
            <w:shd w:val="clear" w:color="auto" w:fill="CCEEFF"/>
          </w:tcPr>
          <w:p>
            <w:pPr>
              <w:jc w:val="right"/>
              <w:ind w:right="92"/>
              <w:spacing w:after="0"/>
              <w:rPr>
                <w:sz w:val="20"/>
                <w:szCs w:val="20"/>
                <w:color w:val="auto"/>
              </w:rPr>
            </w:pPr>
            <w:r>
              <w:rPr>
                <w:rFonts w:ascii="Arial" w:cs="Arial" w:eastAsia="Arial" w:hAnsi="Arial"/>
                <w:sz w:val="18"/>
                <w:szCs w:val="18"/>
                <w:color w:val="auto"/>
              </w:rPr>
              <w:t>(15)</w:t>
            </w:r>
          </w:p>
        </w:tc>
        <w:tc>
          <w:tcPr>
            <w:tcW w:w="420" w:type="dxa"/>
            <w:vAlign w:val="bottom"/>
            <w:gridSpan w:val="3"/>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6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(33)</w:t>
            </w:r>
          </w:p>
        </w:tc>
        <w:tc>
          <w:tcPr>
            <w:tcW w:w="32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210</w:t>
            </w:r>
          </w:p>
        </w:tc>
        <w:tc>
          <w:tcPr>
            <w:tcW w:w="320" w:type="dxa"/>
            <w:vAlign w:val="bottom"/>
            <w:tcBorders>
              <w:lef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5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(741)</w:t>
            </w:r>
          </w:p>
        </w:tc>
        <w:tc>
          <w:tcPr>
            <w:tcW w:w="0" w:type="dxa"/>
            <w:vAlign w:val="bottom"/>
          </w:tcPr>
          <w:p>
            <w:pPr>
              <w:spacing w:after="0"/>
              <w:rPr>
                <w:sz w:val="1"/>
                <w:szCs w:val="1"/>
                <w:color w:val="auto"/>
              </w:rPr>
            </w:pPr>
          </w:p>
        </w:tc>
      </w:tr>
      <w:tr>
        <w:trPr>
          <w:trHeight w:val="20"/>
        </w:trPr>
        <w:tc>
          <w:tcPr>
            <w:tcW w:w="5480" w:type="dxa"/>
            <w:vAlign w:val="bottom"/>
            <w:gridSpan w:val="2"/>
            <w:vMerge w:val="restart"/>
          </w:tcPr>
          <w:p>
            <w:pPr>
              <w:spacing w:after="0"/>
              <w:rPr>
                <w:sz w:val="20"/>
                <w:szCs w:val="20"/>
                <w:color w:val="auto"/>
              </w:rPr>
            </w:pPr>
            <w:r>
              <w:rPr>
                <w:rFonts w:ascii="Arial" w:cs="Arial" w:eastAsia="Arial" w:hAnsi="Arial"/>
                <w:sz w:val="18"/>
                <w:szCs w:val="18"/>
                <w:color w:val="auto"/>
              </w:rPr>
              <w:t>Interest income</w:t>
            </w:r>
          </w:p>
        </w:tc>
        <w:tc>
          <w:tcPr>
            <w:tcW w:w="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0" w:type="dxa"/>
            <w:vAlign w:val="bottom"/>
            <w:vMerge w:val="restart"/>
          </w:tcPr>
          <w:p>
            <w:pPr>
              <w:jc w:val="right"/>
              <w:spacing w:after="0"/>
              <w:rPr>
                <w:sz w:val="20"/>
                <w:szCs w:val="20"/>
                <w:color w:val="auto"/>
              </w:rPr>
            </w:pPr>
            <w:r>
              <w:rPr>
                <w:rFonts w:ascii="Arial" w:cs="Arial" w:eastAsia="Arial" w:hAnsi="Arial"/>
                <w:sz w:val="18"/>
                <w:szCs w:val="18"/>
                <w:color w:val="auto"/>
              </w:rPr>
              <w:t>109</w:t>
            </w:r>
          </w:p>
        </w:tc>
        <w:tc>
          <w:tcPr>
            <w:tcW w:w="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vMerge w:val="restart"/>
          </w:tcPr>
          <w:p>
            <w:pPr>
              <w:jc w:val="right"/>
              <w:spacing w:after="0"/>
              <w:rPr>
                <w:sz w:val="20"/>
                <w:szCs w:val="20"/>
                <w:color w:val="auto"/>
              </w:rPr>
            </w:pPr>
            <w:r>
              <w:rPr>
                <w:rFonts w:ascii="Arial" w:cs="Arial" w:eastAsia="Arial" w:hAnsi="Arial"/>
                <w:sz w:val="18"/>
                <w:szCs w:val="18"/>
                <w:color w:val="auto"/>
              </w:rPr>
              <w:t>109</w:t>
            </w: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5480" w:type="dxa"/>
            <w:vAlign w:val="bottom"/>
            <w:gridSpan w:val="2"/>
            <w:vMerge w:val="continue"/>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0" w:type="dxa"/>
            <w:vAlign w:val="bottom"/>
            <w:vMerge w:val="continue"/>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5460" w:type="dxa"/>
            <w:vAlign w:val="bottom"/>
            <w:shd w:val="clear" w:color="auto" w:fill="CCEEFF"/>
          </w:tcPr>
          <w:p>
            <w:pPr>
              <w:spacing w:after="0"/>
              <w:rPr>
                <w:sz w:val="20"/>
                <w:szCs w:val="20"/>
                <w:color w:val="auto"/>
              </w:rPr>
            </w:pPr>
            <w:r>
              <w:rPr>
                <w:rFonts w:ascii="Arial" w:cs="Arial" w:eastAsia="Arial" w:hAnsi="Arial"/>
                <w:sz w:val="18"/>
                <w:szCs w:val="18"/>
                <w:color w:val="auto"/>
              </w:rPr>
              <w:t>Interest expense</w:t>
            </w: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8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20" w:type="dxa"/>
            <w:vAlign w:val="bottom"/>
            <w:tcBorders>
              <w:lef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00" w:type="dxa"/>
            <w:vAlign w:val="bottom"/>
            <w:tcBorders>
              <w:left w:val="single" w:sz="8" w:color="CCEEFF"/>
            </w:tcBorders>
            <w:shd w:val="clear" w:color="auto" w:fill="CCEEFF"/>
          </w:tcPr>
          <w:p>
            <w:pPr>
              <w:spacing w:after="0"/>
              <w:rPr>
                <w:sz w:val="18"/>
                <w:szCs w:val="18"/>
                <w:color w:val="auto"/>
              </w:rPr>
            </w:pPr>
          </w:p>
        </w:tc>
        <w:tc>
          <w:tcPr>
            <w:tcW w:w="140" w:type="dxa"/>
            <w:vAlign w:val="bottom"/>
            <w:tcBorders>
              <w:right w:val="single" w:sz="8" w:color="CCEEFF"/>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365</w:t>
            </w:r>
          </w:p>
        </w:tc>
        <w:tc>
          <w:tcPr>
            <w:tcW w:w="320" w:type="dxa"/>
            <w:vAlign w:val="bottom"/>
            <w:tcBorders>
              <w:lef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365</w:t>
            </w:r>
          </w:p>
        </w:tc>
        <w:tc>
          <w:tcPr>
            <w:tcW w:w="100" w:type="dxa"/>
            <w:vAlign w:val="bottom"/>
            <w:tcBorders>
              <w:left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60" w:type="dxa"/>
            <w:vAlign w:val="bottom"/>
          </w:tcPr>
          <w:p>
            <w:pPr>
              <w:spacing w:after="0"/>
              <w:rPr>
                <w:sz w:val="20"/>
                <w:szCs w:val="20"/>
                <w:color w:val="auto"/>
              </w:rPr>
            </w:pPr>
            <w:r>
              <w:rPr>
                <w:rFonts w:ascii="Arial" w:cs="Arial" w:eastAsia="Arial" w:hAnsi="Arial"/>
                <w:sz w:val="18"/>
                <w:szCs w:val="18"/>
                <w:color w:val="auto"/>
              </w:rPr>
              <w:t>Income tax expense (benefit)</w:t>
            </w: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gridSpan w:val="2"/>
          </w:tcPr>
          <w:p>
            <w:pPr>
              <w:jc w:val="right"/>
              <w:ind w:right="260"/>
              <w:spacing w:after="0"/>
              <w:rPr>
                <w:sz w:val="20"/>
                <w:szCs w:val="20"/>
                <w:color w:val="auto"/>
              </w:rPr>
            </w:pPr>
            <w:r>
              <w:rPr>
                <w:rFonts w:ascii="Arial" w:cs="Arial" w:eastAsia="Arial" w:hAnsi="Arial"/>
                <w:sz w:val="18"/>
                <w:szCs w:val="18"/>
                <w:color w:val="auto"/>
              </w:rPr>
              <w:t>(139)</w:t>
            </w:r>
          </w:p>
        </w:tc>
        <w:tc>
          <w:tcPr>
            <w:tcW w:w="100" w:type="dxa"/>
            <w:vAlign w:val="bottom"/>
          </w:tcPr>
          <w:p>
            <w:pPr>
              <w:spacing w:after="0"/>
              <w:rPr>
                <w:sz w:val="18"/>
                <w:szCs w:val="18"/>
                <w:color w:val="auto"/>
              </w:rPr>
            </w:pPr>
          </w:p>
        </w:tc>
        <w:tc>
          <w:tcPr>
            <w:tcW w:w="580" w:type="dxa"/>
            <w:vAlign w:val="bottom"/>
            <w:gridSpan w:val="2"/>
          </w:tcPr>
          <w:p>
            <w:pPr>
              <w:jc w:val="right"/>
              <w:ind w:right="40"/>
              <w:spacing w:after="0"/>
              <w:rPr>
                <w:sz w:val="20"/>
                <w:szCs w:val="20"/>
                <w:color w:val="auto"/>
              </w:rPr>
            </w:pPr>
            <w:r>
              <w:rPr>
                <w:rFonts w:ascii="Arial" w:cs="Arial" w:eastAsia="Arial" w:hAnsi="Arial"/>
                <w:sz w:val="18"/>
                <w:szCs w:val="18"/>
                <w:color w:val="auto"/>
              </w:rPr>
              <w:t>(139)</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46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320" w:type="dxa"/>
            <w:vAlign w:val="bottom"/>
          </w:tcPr>
          <w:p>
            <w:pPr>
              <w:spacing w:after="0"/>
              <w:rPr>
                <w:sz w:val="2"/>
                <w:szCs w:val="2"/>
                <w:color w:val="auto"/>
              </w:rPr>
            </w:pPr>
          </w:p>
        </w:tc>
        <w:tc>
          <w:tcPr>
            <w:tcW w:w="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c>
          <w:tcPr>
            <w:tcW w:w="280" w:type="dxa"/>
            <w:vAlign w:val="bottom"/>
          </w:tcPr>
          <w:p>
            <w:pPr>
              <w:spacing w:after="0"/>
              <w:rPr>
                <w:sz w:val="2"/>
                <w:szCs w:val="2"/>
                <w:color w:val="auto"/>
              </w:rPr>
            </w:pPr>
          </w:p>
        </w:tc>
        <w:tc>
          <w:tcPr>
            <w:tcW w:w="4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tcBorders>
              <w:right w:val="single" w:sz="8" w:color="auto"/>
            </w:tcBorders>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460" w:type="dxa"/>
            <w:vAlign w:val="bottom"/>
            <w:shd w:val="clear" w:color="auto" w:fill="CCEEFF"/>
          </w:tcPr>
          <w:p>
            <w:pPr>
              <w:spacing w:after="0"/>
              <w:rPr>
                <w:sz w:val="20"/>
                <w:szCs w:val="20"/>
                <w:color w:val="auto"/>
              </w:rPr>
            </w:pPr>
            <w:r>
              <w:rPr>
                <w:rFonts w:ascii="Arial" w:cs="Arial" w:eastAsia="Arial" w:hAnsi="Arial"/>
                <w:sz w:val="18"/>
                <w:szCs w:val="18"/>
                <w:color w:val="auto"/>
              </w:rPr>
              <w:t>Net income (loss) attributable to stockholders</w:t>
            </w: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8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20" w:type="dxa"/>
            <w:vAlign w:val="bottom"/>
            <w:tcBorders>
              <w:lef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00" w:type="dxa"/>
            <w:vAlign w:val="bottom"/>
            <w:tcBorders>
              <w:left w:val="single" w:sz="8" w:color="CCEEFF"/>
            </w:tcBorders>
            <w:shd w:val="clear" w:color="auto" w:fill="CCEEFF"/>
          </w:tcPr>
          <w:p>
            <w:pPr>
              <w:spacing w:after="0"/>
              <w:rPr>
                <w:sz w:val="18"/>
                <w:szCs w:val="18"/>
                <w:color w:val="auto"/>
              </w:rPr>
            </w:pPr>
          </w:p>
        </w:tc>
        <w:tc>
          <w:tcPr>
            <w:tcW w:w="32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w:t>
            </w:r>
          </w:p>
        </w:tc>
        <w:tc>
          <w:tcPr>
            <w:tcW w:w="320" w:type="dxa"/>
            <w:vAlign w:val="bottom"/>
            <w:tcBorders>
              <w:lef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5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(858)</w:t>
            </w:r>
          </w:p>
        </w:tc>
        <w:tc>
          <w:tcPr>
            <w:tcW w:w="0" w:type="dxa"/>
            <w:vAlign w:val="bottom"/>
          </w:tcPr>
          <w:p>
            <w:pPr>
              <w:spacing w:after="0"/>
              <w:rPr>
                <w:sz w:val="1"/>
                <w:szCs w:val="1"/>
                <w:color w:val="auto"/>
              </w:rPr>
            </w:pPr>
          </w:p>
        </w:tc>
      </w:tr>
      <w:tr>
        <w:trPr>
          <w:trHeight w:val="20"/>
        </w:trPr>
        <w:tc>
          <w:tcPr>
            <w:tcW w:w="5480" w:type="dxa"/>
            <w:vAlign w:val="bottom"/>
            <w:gridSpan w:val="2"/>
            <w:vMerge w:val="restart"/>
          </w:tcPr>
          <w:p>
            <w:pPr>
              <w:spacing w:after="0"/>
              <w:rPr>
                <w:sz w:val="20"/>
                <w:szCs w:val="20"/>
                <w:color w:val="auto"/>
              </w:rPr>
            </w:pPr>
            <w:r>
              <w:rPr>
                <w:rFonts w:ascii="Arial" w:cs="Arial" w:eastAsia="Arial" w:hAnsi="Arial"/>
                <w:sz w:val="18"/>
                <w:szCs w:val="18"/>
                <w:color w:val="auto"/>
              </w:rPr>
              <w:t>Depreciation, amortization and impairment</w:t>
            </w:r>
          </w:p>
        </w:tc>
        <w:tc>
          <w:tcPr>
            <w:tcW w:w="880" w:type="dxa"/>
            <w:vAlign w:val="bottom"/>
            <w:gridSpan w:val="3"/>
            <w:vMerge w:val="restart"/>
          </w:tcPr>
          <w:p>
            <w:pPr>
              <w:ind w:left="780"/>
              <w:spacing w:after="0"/>
              <w:rPr>
                <w:sz w:val="20"/>
                <w:szCs w:val="20"/>
                <w:color w:val="auto"/>
              </w:rPr>
            </w:pPr>
            <w:r>
              <w:rPr>
                <w:rFonts w:ascii="Arial" w:cs="Arial" w:eastAsia="Arial" w:hAnsi="Arial"/>
                <w:sz w:val="18"/>
                <w:szCs w:val="18"/>
                <w:color w:val="auto"/>
                <w:w w:val="79"/>
              </w:rPr>
              <w:t>$</w:t>
            </w:r>
          </w:p>
        </w:tc>
        <w:tc>
          <w:tcPr>
            <w:tcW w:w="480" w:type="dxa"/>
            <w:vAlign w:val="bottom"/>
            <w:gridSpan w:val="2"/>
            <w:vMerge w:val="restart"/>
          </w:tcPr>
          <w:p>
            <w:pPr>
              <w:jc w:val="right"/>
              <w:spacing w:after="0"/>
              <w:rPr>
                <w:sz w:val="20"/>
                <w:szCs w:val="20"/>
                <w:color w:val="auto"/>
              </w:rPr>
            </w:pPr>
            <w:r>
              <w:rPr>
                <w:rFonts w:ascii="Arial" w:cs="Arial" w:eastAsia="Arial" w:hAnsi="Arial"/>
                <w:sz w:val="18"/>
                <w:szCs w:val="18"/>
                <w:color w:val="auto"/>
              </w:rPr>
              <w:t>1,348</w:t>
            </w: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gridSpan w:val="2"/>
            <w:vMerge w:val="restart"/>
          </w:tcPr>
          <w:p>
            <w:pPr>
              <w:ind w:left="20"/>
              <w:spacing w:after="0"/>
              <w:rPr>
                <w:sz w:val="20"/>
                <w:szCs w:val="20"/>
                <w:color w:val="auto"/>
              </w:rPr>
            </w:pPr>
            <w:r>
              <w:rPr>
                <w:rFonts w:ascii="Arial" w:cs="Arial" w:eastAsia="Arial" w:hAnsi="Arial"/>
                <w:sz w:val="18"/>
                <w:szCs w:val="18"/>
                <w:color w:val="auto"/>
              </w:rPr>
              <w:t>$</w:t>
            </w:r>
          </w:p>
        </w:tc>
        <w:tc>
          <w:tcPr>
            <w:tcW w:w="640" w:type="dxa"/>
            <w:vAlign w:val="bottom"/>
            <w:gridSpan w:val="3"/>
            <w:vMerge w:val="restart"/>
          </w:tcPr>
          <w:p>
            <w:pPr>
              <w:jc w:val="right"/>
              <w:ind w:right="280"/>
              <w:spacing w:after="0"/>
              <w:rPr>
                <w:sz w:val="20"/>
                <w:szCs w:val="20"/>
                <w:color w:val="auto"/>
              </w:rPr>
            </w:pPr>
            <w:r>
              <w:rPr>
                <w:rFonts w:ascii="Arial" w:cs="Arial" w:eastAsia="Arial" w:hAnsi="Arial"/>
                <w:sz w:val="18"/>
                <w:szCs w:val="18"/>
                <w:color w:val="auto"/>
              </w:rPr>
              <w:t>177</w:t>
            </w:r>
          </w:p>
        </w:tc>
        <w:tc>
          <w:tcPr>
            <w:tcW w:w="100" w:type="dxa"/>
            <w:vAlign w:val="bottom"/>
            <w:vMerge w:val="restart"/>
          </w:tcPr>
          <w:p>
            <w:pPr>
              <w:jc w:val="right"/>
              <w:spacing w:after="0"/>
              <w:rPr>
                <w:sz w:val="20"/>
                <w:szCs w:val="20"/>
                <w:color w:val="auto"/>
              </w:rPr>
            </w:pPr>
            <w:r>
              <w:rPr>
                <w:rFonts w:ascii="Arial" w:cs="Arial" w:eastAsia="Arial" w:hAnsi="Arial"/>
                <w:sz w:val="18"/>
                <w:szCs w:val="18"/>
                <w:color w:val="auto"/>
                <w:w w:val="79"/>
              </w:rPr>
              <w:t>$</w:t>
            </w:r>
          </w:p>
        </w:tc>
        <w:tc>
          <w:tcPr>
            <w:tcW w:w="400" w:type="dxa"/>
            <w:vAlign w:val="bottom"/>
            <w:vMerge w:val="restart"/>
          </w:tcPr>
          <w:p>
            <w:pPr>
              <w:jc w:val="right"/>
              <w:spacing w:after="0"/>
              <w:rPr>
                <w:sz w:val="20"/>
                <w:szCs w:val="20"/>
                <w:color w:val="auto"/>
              </w:rPr>
            </w:pPr>
            <w:r>
              <w:rPr>
                <w:rFonts w:ascii="Arial" w:cs="Arial" w:eastAsia="Arial" w:hAnsi="Arial"/>
                <w:sz w:val="18"/>
                <w:szCs w:val="18"/>
                <w:color w:val="auto"/>
              </w:rPr>
              <w:t>394</w:t>
            </w:r>
          </w:p>
        </w:tc>
        <w:tc>
          <w:tcPr>
            <w:tcW w:w="220" w:type="dxa"/>
            <w:vAlign w:val="bottom"/>
          </w:tcPr>
          <w:p>
            <w:pPr>
              <w:spacing w:after="0" w:line="20" w:lineRule="exact"/>
              <w:rPr>
                <w:sz w:val="1"/>
                <w:szCs w:val="1"/>
                <w:color w:val="auto"/>
              </w:rPr>
            </w:pPr>
          </w:p>
        </w:tc>
        <w:tc>
          <w:tcPr>
            <w:tcW w:w="420" w:type="dxa"/>
            <w:vAlign w:val="bottom"/>
            <w:gridSpan w:val="3"/>
            <w:vMerge w:val="restart"/>
          </w:tcPr>
          <w:p>
            <w:pPr>
              <w:ind w:left="100"/>
              <w:spacing w:after="0"/>
              <w:rPr>
                <w:sz w:val="20"/>
                <w:szCs w:val="20"/>
                <w:color w:val="auto"/>
              </w:rPr>
            </w:pPr>
            <w:r>
              <w:rPr>
                <w:rFonts w:ascii="Arial" w:cs="Arial" w:eastAsia="Arial" w:hAnsi="Arial"/>
                <w:sz w:val="18"/>
                <w:szCs w:val="18"/>
                <w:color w:val="auto"/>
              </w:rPr>
              <w:t>$</w:t>
            </w:r>
          </w:p>
        </w:tc>
        <w:tc>
          <w:tcPr>
            <w:tcW w:w="620" w:type="dxa"/>
            <w:vAlign w:val="bottom"/>
            <w:gridSpan w:val="2"/>
            <w:vMerge w:val="restart"/>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5480" w:type="dxa"/>
            <w:vAlign w:val="bottom"/>
            <w:gridSpan w:val="2"/>
            <w:vMerge w:val="continue"/>
          </w:tcPr>
          <w:p>
            <w:pPr>
              <w:spacing w:after="0"/>
              <w:rPr>
                <w:sz w:val="18"/>
                <w:szCs w:val="18"/>
                <w:color w:val="auto"/>
              </w:rPr>
            </w:pPr>
          </w:p>
        </w:tc>
        <w:tc>
          <w:tcPr>
            <w:tcW w:w="880" w:type="dxa"/>
            <w:vAlign w:val="bottom"/>
            <w:gridSpan w:val="3"/>
            <w:vMerge w:val="continue"/>
          </w:tcPr>
          <w:p>
            <w:pPr>
              <w:spacing w:after="0"/>
              <w:rPr>
                <w:sz w:val="18"/>
                <w:szCs w:val="18"/>
                <w:color w:val="auto"/>
              </w:rPr>
            </w:pPr>
          </w:p>
        </w:tc>
        <w:tc>
          <w:tcPr>
            <w:tcW w:w="48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gridSpan w:val="2"/>
            <w:vMerge w:val="continue"/>
          </w:tcPr>
          <w:p>
            <w:pPr>
              <w:spacing w:after="0"/>
              <w:rPr>
                <w:sz w:val="18"/>
                <w:szCs w:val="18"/>
                <w:color w:val="auto"/>
              </w:rPr>
            </w:pPr>
          </w:p>
        </w:tc>
        <w:tc>
          <w:tcPr>
            <w:tcW w:w="640" w:type="dxa"/>
            <w:vAlign w:val="bottom"/>
            <w:gridSpan w:val="3"/>
            <w:vMerge w:val="continue"/>
          </w:tcPr>
          <w:p>
            <w:pPr>
              <w:spacing w:after="0"/>
              <w:rPr>
                <w:sz w:val="18"/>
                <w:szCs w:val="18"/>
                <w:color w:val="auto"/>
              </w:rPr>
            </w:pPr>
          </w:p>
        </w:tc>
        <w:tc>
          <w:tcPr>
            <w:tcW w:w="100" w:type="dxa"/>
            <w:vAlign w:val="bottom"/>
            <w:vMerge w:val="continue"/>
          </w:tcPr>
          <w:p>
            <w:pPr>
              <w:spacing w:after="0"/>
              <w:rPr>
                <w:sz w:val="18"/>
                <w:szCs w:val="18"/>
                <w:color w:val="auto"/>
              </w:rPr>
            </w:pPr>
          </w:p>
        </w:tc>
        <w:tc>
          <w:tcPr>
            <w:tcW w:w="400" w:type="dxa"/>
            <w:vAlign w:val="bottom"/>
            <w:vMerge w:val="continue"/>
          </w:tcPr>
          <w:p>
            <w:pPr>
              <w:spacing w:after="0"/>
              <w:rPr>
                <w:sz w:val="18"/>
                <w:szCs w:val="18"/>
                <w:color w:val="auto"/>
              </w:rPr>
            </w:pPr>
          </w:p>
        </w:tc>
        <w:tc>
          <w:tcPr>
            <w:tcW w:w="220" w:type="dxa"/>
            <w:vAlign w:val="bottom"/>
          </w:tcPr>
          <w:p>
            <w:pPr>
              <w:spacing w:after="0"/>
              <w:rPr>
                <w:sz w:val="18"/>
                <w:szCs w:val="18"/>
                <w:color w:val="auto"/>
              </w:rPr>
            </w:pPr>
          </w:p>
        </w:tc>
        <w:tc>
          <w:tcPr>
            <w:tcW w:w="420" w:type="dxa"/>
            <w:vAlign w:val="bottom"/>
            <w:gridSpan w:val="3"/>
            <w:vMerge w:val="continue"/>
          </w:tcPr>
          <w:p>
            <w:pPr>
              <w:spacing w:after="0"/>
              <w:rPr>
                <w:sz w:val="18"/>
                <w:szCs w:val="18"/>
                <w:color w:val="auto"/>
              </w:rPr>
            </w:pPr>
          </w:p>
        </w:tc>
        <w:tc>
          <w:tcPr>
            <w:tcW w:w="620" w:type="dxa"/>
            <w:vAlign w:val="bottom"/>
            <w:gridSpan w:val="2"/>
            <w:vMerge w:val="continue"/>
          </w:tcPr>
          <w:p>
            <w:pPr>
              <w:spacing w:after="0"/>
              <w:rPr>
                <w:sz w:val="18"/>
                <w:szCs w:val="18"/>
                <w:color w:val="auto"/>
              </w:rPr>
            </w:pPr>
          </w:p>
        </w:tc>
        <w:tc>
          <w:tcPr>
            <w:tcW w:w="32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400" w:type="dxa"/>
            <w:vAlign w:val="bottom"/>
          </w:tcPr>
          <w:p>
            <w:pPr>
              <w:jc w:val="right"/>
              <w:spacing w:after="0"/>
              <w:rPr>
                <w:sz w:val="20"/>
                <w:szCs w:val="20"/>
                <w:color w:val="auto"/>
              </w:rPr>
            </w:pPr>
            <w:r>
              <w:rPr>
                <w:rFonts w:ascii="Arial" w:cs="Arial" w:eastAsia="Arial" w:hAnsi="Arial"/>
                <w:sz w:val="18"/>
                <w:szCs w:val="18"/>
                <w:color w:val="auto"/>
              </w:rPr>
              <w:t>66</w:t>
            </w:r>
          </w:p>
        </w:tc>
        <w:tc>
          <w:tcPr>
            <w:tcW w:w="320" w:type="dxa"/>
            <w:vAlign w:val="bottom"/>
          </w:tcPr>
          <w:p>
            <w:pPr>
              <w:spacing w:after="0"/>
              <w:rPr>
                <w:sz w:val="18"/>
                <w:szCs w:val="18"/>
                <w:color w:val="auto"/>
              </w:rPr>
            </w:pP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1,985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5460" w:type="dxa"/>
            <w:vAlign w:val="bottom"/>
            <w:shd w:val="clear" w:color="auto" w:fill="CCEEFF"/>
          </w:tcPr>
          <w:p>
            <w:pPr>
              <w:spacing w:after="0"/>
              <w:rPr>
                <w:sz w:val="20"/>
                <w:szCs w:val="20"/>
                <w:color w:val="auto"/>
              </w:rPr>
            </w:pPr>
            <w:r>
              <w:rPr>
                <w:rFonts w:ascii="Arial" w:cs="Arial" w:eastAsia="Arial" w:hAnsi="Arial"/>
                <w:sz w:val="18"/>
                <w:szCs w:val="18"/>
                <w:color w:val="auto"/>
              </w:rPr>
              <w:t>Equity income (loss), net of tax</w:t>
            </w:r>
          </w:p>
        </w:tc>
        <w:tc>
          <w:tcPr>
            <w:tcW w:w="880" w:type="dxa"/>
            <w:vAlign w:val="bottom"/>
            <w:gridSpan w:val="3"/>
            <w:shd w:val="clear" w:color="auto" w:fill="CCEEFF"/>
          </w:tcPr>
          <w:p>
            <w:pPr>
              <w:ind w:left="780"/>
              <w:spacing w:after="0"/>
              <w:rPr>
                <w:sz w:val="20"/>
                <w:szCs w:val="20"/>
                <w:color w:val="auto"/>
              </w:rPr>
            </w:pPr>
            <w:r>
              <w:rPr>
                <w:rFonts w:ascii="Arial" w:cs="Arial" w:eastAsia="Arial" w:hAnsi="Arial"/>
                <w:sz w:val="18"/>
                <w:szCs w:val="18"/>
                <w:color w:val="auto"/>
                <w:w w:val="79"/>
              </w:rPr>
              <w:t>$</w:t>
            </w:r>
          </w:p>
        </w:tc>
        <w:tc>
          <w:tcPr>
            <w:tcW w:w="62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(5)</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w:t>
            </w:r>
          </w:p>
        </w:tc>
        <w:tc>
          <w:tcPr>
            <w:tcW w:w="640" w:type="dxa"/>
            <w:vAlign w:val="bottom"/>
            <w:tcBorders>
              <w:right w:val="single" w:sz="8" w:color="CCEEFF"/>
            </w:tcBorders>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204</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220" w:type="dxa"/>
            <w:vAlign w:val="bottom"/>
            <w:tcBorders>
              <w:left w:val="single" w:sz="8" w:color="CCEEFF"/>
            </w:tcBorders>
            <w:shd w:val="clear" w:color="auto" w:fill="CCEEFF"/>
          </w:tcPr>
          <w:p>
            <w:pPr>
              <w:spacing w:after="0"/>
              <w:rPr>
                <w:sz w:val="18"/>
                <w:szCs w:val="18"/>
                <w:color w:val="auto"/>
              </w:rPr>
            </w:pPr>
          </w:p>
        </w:tc>
        <w:tc>
          <w:tcPr>
            <w:tcW w:w="420" w:type="dxa"/>
            <w:vAlign w:val="bottom"/>
            <w:gridSpan w:val="3"/>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6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2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204</w:t>
            </w:r>
          </w:p>
        </w:tc>
        <w:tc>
          <w:tcPr>
            <w:tcW w:w="100" w:type="dxa"/>
            <w:vAlign w:val="bottom"/>
            <w:tcBorders>
              <w:left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63"/>
        </w:trPr>
        <w:tc>
          <w:tcPr>
            <w:tcW w:w="20" w:type="dxa"/>
            <w:vAlign w:val="bottom"/>
          </w:tcPr>
          <w:p>
            <w:pPr>
              <w:spacing w:after="0"/>
              <w:rPr>
                <w:sz w:val="24"/>
                <w:szCs w:val="24"/>
                <w:color w:val="auto"/>
              </w:rPr>
            </w:pPr>
          </w:p>
        </w:tc>
        <w:tc>
          <w:tcPr>
            <w:tcW w:w="5460" w:type="dxa"/>
            <w:vAlign w:val="bottom"/>
          </w:tcPr>
          <w:p>
            <w:pPr>
              <w:spacing w:after="0"/>
              <w:rPr>
                <w:sz w:val="24"/>
                <w:szCs w:val="24"/>
                <w:color w:val="auto"/>
              </w:rPr>
            </w:pPr>
          </w:p>
        </w:tc>
        <w:tc>
          <w:tcPr>
            <w:tcW w:w="680" w:type="dxa"/>
            <w:vAlign w:val="bottom"/>
          </w:tcPr>
          <w:p>
            <w:pPr>
              <w:jc w:val="right"/>
              <w:ind w:right="272"/>
              <w:spacing w:after="0"/>
              <w:rPr>
                <w:sz w:val="20"/>
                <w:szCs w:val="20"/>
                <w:color w:val="auto"/>
              </w:rPr>
            </w:pPr>
            <w:r>
              <w:rPr>
                <w:rFonts w:ascii="Arial" w:cs="Arial" w:eastAsia="Arial" w:hAnsi="Arial"/>
                <w:sz w:val="18"/>
                <w:szCs w:val="18"/>
                <w:color w:val="auto"/>
              </w:rPr>
              <w:t>75</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77" w:name="page78"/>
    <w:bookmarkEnd w:id="7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33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46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gridSpan w:val="3"/>
          </w:tcPr>
          <w:p>
            <w:pPr>
              <w:ind w:left="100"/>
              <w:spacing w:after="0"/>
              <w:rPr>
                <w:sz w:val="20"/>
                <w:szCs w:val="20"/>
                <w:color w:val="auto"/>
              </w:rPr>
            </w:pPr>
            <w:r>
              <w:rPr>
                <w:rFonts w:ascii="Arial" w:cs="Arial" w:eastAsia="Arial" w:hAnsi="Arial"/>
                <w:sz w:val="14"/>
                <w:szCs w:val="14"/>
                <w:b w:val="1"/>
                <w:bCs w:val="1"/>
                <w:color w:val="auto"/>
                <w:w w:val="90"/>
              </w:rPr>
              <w:t>Predecessor</w:t>
            </w:r>
          </w:p>
        </w:tc>
        <w:tc>
          <w:tcPr>
            <w:tcW w:w="3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46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620" w:type="dxa"/>
            <w:vAlign w:val="bottom"/>
            <w:gridSpan w:val="3"/>
          </w:tcPr>
          <w:p>
            <w:pPr>
              <w:spacing w:after="0" w:line="142" w:lineRule="exact"/>
              <w:rPr>
                <w:sz w:val="20"/>
                <w:szCs w:val="20"/>
                <w:color w:val="auto"/>
              </w:rPr>
            </w:pPr>
            <w:r>
              <w:rPr>
                <w:rFonts w:ascii="Arial" w:cs="Arial" w:eastAsia="Arial" w:hAnsi="Arial"/>
                <w:sz w:val="14"/>
                <w:szCs w:val="14"/>
                <w:b w:val="1"/>
                <w:bCs w:val="1"/>
                <w:color w:val="auto"/>
              </w:rPr>
              <w:t>GMNA</w:t>
            </w:r>
          </w:p>
        </w:tc>
        <w:tc>
          <w:tcPr>
            <w:tcW w:w="120" w:type="dxa"/>
            <w:vAlign w:val="bottom"/>
          </w:tcPr>
          <w:p>
            <w:pPr>
              <w:spacing w:after="0"/>
              <w:rPr>
                <w:sz w:val="12"/>
                <w:szCs w:val="12"/>
                <w:color w:val="auto"/>
              </w:rPr>
            </w:pPr>
          </w:p>
        </w:tc>
        <w:tc>
          <w:tcPr>
            <w:tcW w:w="740" w:type="dxa"/>
            <w:vAlign w:val="bottom"/>
            <w:gridSpan w:val="3"/>
          </w:tcPr>
          <w:p>
            <w:pPr>
              <w:ind w:left="20"/>
              <w:spacing w:after="0" w:line="142" w:lineRule="exact"/>
              <w:rPr>
                <w:sz w:val="20"/>
                <w:szCs w:val="20"/>
                <w:color w:val="auto"/>
              </w:rPr>
            </w:pPr>
            <w:r>
              <w:rPr>
                <w:rFonts w:ascii="Arial" w:cs="Arial" w:eastAsia="Arial" w:hAnsi="Arial"/>
                <w:sz w:val="14"/>
                <w:szCs w:val="14"/>
                <w:b w:val="1"/>
                <w:bCs w:val="1"/>
                <w:color w:val="auto"/>
              </w:rPr>
              <w:t>GMIO</w:t>
            </w:r>
          </w:p>
        </w:tc>
        <w:tc>
          <w:tcPr>
            <w:tcW w:w="580" w:type="dxa"/>
            <w:vAlign w:val="bottom"/>
            <w:gridSpan w:val="3"/>
          </w:tcPr>
          <w:p>
            <w:pPr>
              <w:jc w:val="right"/>
              <w:ind w:right="220"/>
              <w:spacing w:after="0" w:line="142" w:lineRule="exact"/>
              <w:rPr>
                <w:sz w:val="20"/>
                <w:szCs w:val="20"/>
                <w:color w:val="auto"/>
              </w:rPr>
            </w:pPr>
            <w:r>
              <w:rPr>
                <w:rFonts w:ascii="Arial" w:cs="Arial" w:eastAsia="Arial" w:hAnsi="Arial"/>
                <w:sz w:val="14"/>
                <w:szCs w:val="14"/>
                <w:b w:val="1"/>
                <w:bCs w:val="1"/>
                <w:color w:val="auto"/>
              </w:rPr>
              <w:t>GME</w:t>
            </w:r>
          </w:p>
        </w:tc>
        <w:tc>
          <w:tcPr>
            <w:tcW w:w="140" w:type="dxa"/>
            <w:vAlign w:val="bottom"/>
          </w:tcPr>
          <w:p>
            <w:pPr>
              <w:spacing w:after="0"/>
              <w:rPr>
                <w:sz w:val="12"/>
                <w:szCs w:val="12"/>
                <w:color w:val="auto"/>
              </w:rPr>
            </w:pPr>
          </w:p>
        </w:tc>
        <w:tc>
          <w:tcPr>
            <w:tcW w:w="740" w:type="dxa"/>
            <w:vAlign w:val="bottom"/>
            <w:gridSpan w:val="2"/>
          </w:tcPr>
          <w:p>
            <w:pPr>
              <w:spacing w:after="0" w:line="142" w:lineRule="exact"/>
              <w:rPr>
                <w:sz w:val="20"/>
                <w:szCs w:val="20"/>
                <w:color w:val="auto"/>
              </w:rPr>
            </w:pPr>
            <w:r>
              <w:rPr>
                <w:rFonts w:ascii="Arial" w:cs="Arial" w:eastAsia="Arial" w:hAnsi="Arial"/>
                <w:sz w:val="14"/>
                <w:szCs w:val="14"/>
                <w:b w:val="1"/>
                <w:bCs w:val="1"/>
                <w:color w:val="auto"/>
                <w:w w:val="86"/>
              </w:rPr>
              <w:t>Eliminations</w:t>
            </w:r>
          </w:p>
        </w:tc>
        <w:tc>
          <w:tcPr>
            <w:tcW w:w="300" w:type="dxa"/>
            <w:vAlign w:val="bottom"/>
          </w:tcPr>
          <w:p>
            <w:pPr>
              <w:spacing w:after="0"/>
              <w:rPr>
                <w:sz w:val="12"/>
                <w:szCs w:val="12"/>
                <w:color w:val="auto"/>
              </w:rPr>
            </w:pPr>
          </w:p>
        </w:tc>
        <w:tc>
          <w:tcPr>
            <w:tcW w:w="920" w:type="dxa"/>
            <w:vAlign w:val="bottom"/>
            <w:gridSpan w:val="3"/>
          </w:tcPr>
          <w:p>
            <w:pPr>
              <w:jc w:val="right"/>
              <w:ind w:right="260"/>
              <w:spacing w:after="0" w:line="142" w:lineRule="exact"/>
              <w:rPr>
                <w:sz w:val="20"/>
                <w:szCs w:val="20"/>
                <w:color w:val="auto"/>
              </w:rPr>
            </w:pPr>
            <w:r>
              <w:rPr>
                <w:rFonts w:ascii="Arial" w:cs="Arial" w:eastAsia="Arial" w:hAnsi="Arial"/>
                <w:sz w:val="14"/>
                <w:szCs w:val="14"/>
                <w:b w:val="1"/>
                <w:bCs w:val="1"/>
                <w:color w:val="auto"/>
                <w:w w:val="95"/>
              </w:rPr>
              <w:t>Corporate</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jc w:val="right"/>
              <w:ind w:right="134"/>
              <w:spacing w:after="0" w:line="142" w:lineRule="exact"/>
              <w:rPr>
                <w:sz w:val="20"/>
                <w:szCs w:val="20"/>
                <w:color w:val="auto"/>
              </w:rPr>
            </w:pPr>
            <w:r>
              <w:rPr>
                <w:rFonts w:ascii="Arial" w:cs="Arial" w:eastAsia="Arial" w:hAnsi="Arial"/>
                <w:sz w:val="14"/>
                <w:szCs w:val="14"/>
                <w:b w:val="1"/>
                <w:bCs w:val="1"/>
                <w:color w:val="auto"/>
              </w:rPr>
              <w:t>Total</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76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For the Period July 1, 2009 Through July 9, 2009</w:t>
            </w:r>
          </w:p>
        </w:tc>
        <w:tc>
          <w:tcPr>
            <w:tcW w:w="5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60" w:type="dxa"/>
            <w:vAlign w:val="bottom"/>
            <w:gridSpan w:val="2"/>
          </w:tcPr>
          <w:p>
            <w:pPr>
              <w:spacing w:after="0"/>
              <w:rPr>
                <w:sz w:val="20"/>
                <w:szCs w:val="20"/>
                <w:color w:val="auto"/>
              </w:rPr>
            </w:pPr>
            <w:r>
              <w:rPr>
                <w:rFonts w:ascii="Arial" w:cs="Arial" w:eastAsia="Arial" w:hAnsi="Arial"/>
                <w:sz w:val="18"/>
                <w:szCs w:val="18"/>
                <w:color w:val="auto"/>
              </w:rPr>
              <w:t>Sales</w:t>
            </w: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6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External customers</w:t>
            </w:r>
          </w:p>
        </w:tc>
        <w:tc>
          <w:tcPr>
            <w:tcW w:w="620" w:type="dxa"/>
            <w:vAlign w:val="bottom"/>
            <w:gridSpan w:val="2"/>
            <w:shd w:val="clear" w:color="auto" w:fill="CCEEFF"/>
          </w:tcPr>
          <w:p>
            <w:pPr>
              <w:ind w:left="520"/>
              <w:spacing w:after="0"/>
              <w:rPr>
                <w:sz w:val="20"/>
                <w:szCs w:val="20"/>
                <w:color w:val="auto"/>
              </w:rPr>
            </w:pPr>
            <w:r>
              <w:rPr>
                <w:rFonts w:ascii="Arial" w:cs="Arial" w:eastAsia="Arial" w:hAnsi="Arial"/>
                <w:sz w:val="18"/>
                <w:szCs w:val="18"/>
                <w:color w:val="auto"/>
                <w:w w:val="79"/>
              </w:rPr>
              <w:t>$</w:t>
            </w: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501</w:t>
            </w:r>
          </w:p>
        </w:tc>
        <w:tc>
          <w:tcPr>
            <w:tcW w:w="180" w:type="dxa"/>
            <w:vAlign w:val="bottom"/>
            <w:shd w:val="clear" w:color="auto" w:fill="CCEEFF"/>
          </w:tcPr>
          <w:p>
            <w:pPr>
              <w:spacing w:after="0"/>
              <w:rPr>
                <w:sz w:val="18"/>
                <w:szCs w:val="18"/>
                <w:color w:val="auto"/>
              </w:rPr>
            </w:pPr>
          </w:p>
        </w:tc>
        <w:tc>
          <w:tcPr>
            <w:tcW w:w="22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w w:val="79"/>
              </w:rPr>
              <w:t>$</w:t>
            </w:r>
          </w:p>
        </w:tc>
        <w:tc>
          <w:tcPr>
            <w:tcW w:w="6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99"/>
              </w:rPr>
              <w:t>519</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610</w:t>
            </w:r>
          </w:p>
        </w:tc>
        <w:tc>
          <w:tcPr>
            <w:tcW w:w="160" w:type="dxa"/>
            <w:vAlign w:val="bottom"/>
            <w:shd w:val="clear" w:color="auto" w:fill="CCEEFF"/>
          </w:tcPr>
          <w:p>
            <w:pPr>
              <w:spacing w:after="0"/>
              <w:rPr>
                <w:sz w:val="18"/>
                <w:szCs w:val="18"/>
                <w:color w:val="auto"/>
              </w:rPr>
            </w:pPr>
          </w:p>
        </w:tc>
        <w:tc>
          <w:tcPr>
            <w:tcW w:w="48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ind w:left="240"/>
              <w:spacing w:after="0"/>
              <w:rPr>
                <w:sz w:val="20"/>
                <w:szCs w:val="20"/>
                <w:color w:val="auto"/>
              </w:rPr>
            </w:pPr>
            <w:r>
              <w:rPr>
                <w:rFonts w:ascii="Arial" w:cs="Arial" w:eastAsia="Arial" w:hAnsi="Arial"/>
                <w:sz w:val="18"/>
                <w:szCs w:val="18"/>
                <w:color w:val="auto"/>
                <w:w w:val="77"/>
              </w:rPr>
              <w:t>—</w:t>
            </w: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1,630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60" w:type="dxa"/>
            <w:vAlign w:val="bottom"/>
            <w:gridSpan w:val="2"/>
          </w:tcPr>
          <w:p>
            <w:pPr>
              <w:ind w:left="200"/>
              <w:spacing w:after="0"/>
              <w:rPr>
                <w:sz w:val="20"/>
                <w:szCs w:val="20"/>
                <w:color w:val="auto"/>
              </w:rPr>
            </w:pPr>
            <w:r>
              <w:rPr>
                <w:rFonts w:ascii="Arial" w:cs="Arial" w:eastAsia="Arial" w:hAnsi="Arial"/>
                <w:sz w:val="18"/>
                <w:szCs w:val="18"/>
                <w:color w:val="auto"/>
              </w:rPr>
              <w:t>Intersegment</w:t>
            </w: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gridSpan w:val="2"/>
          </w:tcPr>
          <w:p>
            <w:pPr>
              <w:jc w:val="right"/>
              <w:ind w:right="120"/>
              <w:spacing w:after="0"/>
              <w:rPr>
                <w:sz w:val="20"/>
                <w:szCs w:val="20"/>
                <w:color w:val="auto"/>
              </w:rPr>
            </w:pPr>
            <w:r>
              <w:rPr>
                <w:rFonts w:ascii="Arial" w:cs="Arial" w:eastAsia="Arial" w:hAnsi="Arial"/>
                <w:sz w:val="18"/>
                <w:szCs w:val="18"/>
                <w:color w:val="auto"/>
              </w:rPr>
              <w:t>(74)</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gridSpan w:val="2"/>
          </w:tcPr>
          <w:p>
            <w:pPr>
              <w:jc w:val="right"/>
              <w:ind w:right="320"/>
              <w:spacing w:after="0"/>
              <w:rPr>
                <w:sz w:val="20"/>
                <w:szCs w:val="20"/>
                <w:color w:val="auto"/>
              </w:rPr>
            </w:pPr>
            <w:r>
              <w:rPr>
                <w:rFonts w:ascii="Arial" w:cs="Arial" w:eastAsia="Arial" w:hAnsi="Arial"/>
                <w:sz w:val="18"/>
                <w:szCs w:val="18"/>
                <w:color w:val="auto"/>
              </w:rPr>
              <w:t>24</w:t>
            </w:r>
          </w:p>
        </w:tc>
        <w:tc>
          <w:tcPr>
            <w:tcW w:w="80" w:type="dxa"/>
            <w:vAlign w:val="bottom"/>
          </w:tcPr>
          <w:p>
            <w:pPr>
              <w:spacing w:after="0"/>
              <w:rPr>
                <w:sz w:val="18"/>
                <w:szCs w:val="18"/>
                <w:color w:val="auto"/>
              </w:rPr>
            </w:pPr>
          </w:p>
        </w:tc>
        <w:tc>
          <w:tcPr>
            <w:tcW w:w="500" w:type="dxa"/>
            <w:vAlign w:val="bottom"/>
            <w:gridSpan w:val="2"/>
          </w:tcPr>
          <w:p>
            <w:pPr>
              <w:jc w:val="right"/>
              <w:ind w:right="100"/>
              <w:spacing w:after="0"/>
              <w:rPr>
                <w:sz w:val="20"/>
                <w:szCs w:val="20"/>
                <w:color w:val="auto"/>
              </w:rPr>
            </w:pPr>
            <w:r>
              <w:rPr>
                <w:rFonts w:ascii="Arial" w:cs="Arial" w:eastAsia="Arial" w:hAnsi="Arial"/>
                <w:sz w:val="18"/>
                <w:szCs w:val="18"/>
                <w:color w:val="auto"/>
              </w:rPr>
              <w:t>(4)</w:t>
            </w:r>
          </w:p>
        </w:tc>
        <w:tc>
          <w:tcPr>
            <w:tcW w:w="1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00" w:type="dxa"/>
            <w:vAlign w:val="bottom"/>
          </w:tcPr>
          <w:p>
            <w:pPr>
              <w:ind w:left="240"/>
              <w:spacing w:after="0"/>
              <w:rPr>
                <w:sz w:val="20"/>
                <w:szCs w:val="20"/>
                <w:color w:val="auto"/>
              </w:rPr>
            </w:pPr>
            <w:r>
              <w:rPr>
                <w:rFonts w:ascii="Arial" w:cs="Arial" w:eastAsia="Arial" w:hAnsi="Arial"/>
                <w:sz w:val="16"/>
                <w:szCs w:val="16"/>
                <w:color w:val="auto"/>
                <w:w w:val="78"/>
              </w:rPr>
              <w:t>54</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6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Other revenue</w:t>
            </w: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400" w:type="dxa"/>
            <w:vAlign w:val="bottom"/>
            <w:shd w:val="clear" w:color="auto" w:fill="CCEEFF"/>
          </w:tcPr>
          <w:p>
            <w:pPr>
              <w:ind w:left="240"/>
              <w:spacing w:after="0"/>
              <w:rPr>
                <w:sz w:val="20"/>
                <w:szCs w:val="20"/>
                <w:color w:val="auto"/>
              </w:rPr>
            </w:pPr>
            <w:r>
              <w:rPr>
                <w:rFonts w:ascii="Arial" w:cs="Arial" w:eastAsia="Arial" w:hAnsi="Arial"/>
                <w:sz w:val="18"/>
                <w:szCs w:val="18"/>
                <w:color w:val="auto"/>
                <w:w w:val="77"/>
              </w:rPr>
              <w:t>—</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0"/>
        </w:trPr>
        <w:tc>
          <w:tcPr>
            <w:tcW w:w="5780" w:type="dxa"/>
            <w:vAlign w:val="bottom"/>
            <w:gridSpan w:val="3"/>
            <w:vMerge w:val="restart"/>
          </w:tcPr>
          <w:p>
            <w:pPr>
              <w:spacing w:after="0"/>
              <w:rPr>
                <w:sz w:val="20"/>
                <w:szCs w:val="20"/>
                <w:color w:val="auto"/>
              </w:rPr>
            </w:pPr>
            <w:r>
              <w:rPr>
                <w:rFonts w:ascii="Arial" w:cs="Arial" w:eastAsia="Arial" w:hAnsi="Arial"/>
                <w:sz w:val="18"/>
                <w:szCs w:val="18"/>
                <w:color w:val="auto"/>
              </w:rPr>
              <w:t>Total net sales and revenue</w:t>
            </w:r>
          </w:p>
        </w:tc>
        <w:tc>
          <w:tcPr>
            <w:tcW w:w="5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5780" w:type="dxa"/>
            <w:vAlign w:val="bottom"/>
            <w:gridSpan w:val="3"/>
            <w:vMerge w:val="continue"/>
          </w:tcPr>
          <w:p>
            <w:pPr>
              <w:spacing w:after="0"/>
              <w:rPr>
                <w:sz w:val="19"/>
                <w:szCs w:val="19"/>
                <w:color w:val="auto"/>
              </w:rPr>
            </w:pPr>
          </w:p>
        </w:tc>
        <w:tc>
          <w:tcPr>
            <w:tcW w:w="520" w:type="dxa"/>
            <w:vAlign w:val="bottom"/>
          </w:tcPr>
          <w:p>
            <w:pPr>
              <w:spacing w:after="0"/>
              <w:rPr>
                <w:sz w:val="19"/>
                <w:szCs w:val="19"/>
                <w:color w:val="auto"/>
              </w:rPr>
            </w:pP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340" w:type="dxa"/>
            <w:vAlign w:val="bottom"/>
          </w:tcPr>
          <w:p>
            <w:pPr>
              <w:jc w:val="right"/>
              <w:spacing w:after="0"/>
              <w:rPr>
                <w:sz w:val="20"/>
                <w:szCs w:val="20"/>
                <w:color w:val="auto"/>
              </w:rPr>
            </w:pPr>
            <w:r>
              <w:rPr>
                <w:rFonts w:ascii="Arial" w:cs="Arial" w:eastAsia="Arial" w:hAnsi="Arial"/>
                <w:sz w:val="18"/>
                <w:szCs w:val="18"/>
                <w:color w:val="auto"/>
              </w:rPr>
              <w:t>427</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640" w:type="dxa"/>
            <w:vAlign w:val="bottom"/>
            <w:gridSpan w:val="2"/>
          </w:tcPr>
          <w:p>
            <w:pPr>
              <w:jc w:val="right"/>
              <w:ind w:right="320"/>
              <w:spacing w:after="0"/>
              <w:rPr>
                <w:sz w:val="20"/>
                <w:szCs w:val="20"/>
                <w:color w:val="auto"/>
              </w:rPr>
            </w:pPr>
            <w:r>
              <w:rPr>
                <w:rFonts w:ascii="Arial" w:cs="Arial" w:eastAsia="Arial" w:hAnsi="Arial"/>
                <w:sz w:val="18"/>
                <w:szCs w:val="18"/>
                <w:color w:val="auto"/>
                <w:w w:val="99"/>
              </w:rPr>
              <w:t>543</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340" w:type="dxa"/>
            <w:vAlign w:val="bottom"/>
          </w:tcPr>
          <w:p>
            <w:pPr>
              <w:jc w:val="right"/>
              <w:spacing w:after="0"/>
              <w:rPr>
                <w:sz w:val="20"/>
                <w:szCs w:val="20"/>
                <w:color w:val="auto"/>
              </w:rPr>
            </w:pPr>
            <w:r>
              <w:rPr>
                <w:rFonts w:ascii="Arial" w:cs="Arial" w:eastAsia="Arial" w:hAnsi="Arial"/>
                <w:sz w:val="18"/>
                <w:szCs w:val="18"/>
                <w:color w:val="auto"/>
              </w:rPr>
              <w:t>606</w:t>
            </w:r>
          </w:p>
        </w:tc>
        <w:tc>
          <w:tcPr>
            <w:tcW w:w="160" w:type="dxa"/>
            <w:vAlign w:val="bottom"/>
          </w:tcPr>
          <w:p>
            <w:pPr>
              <w:spacing w:after="0"/>
              <w:rPr>
                <w:sz w:val="19"/>
                <w:szCs w:val="19"/>
                <w:color w:val="auto"/>
              </w:rPr>
            </w:pPr>
          </w:p>
        </w:tc>
        <w:tc>
          <w:tcPr>
            <w:tcW w:w="480" w:type="dxa"/>
            <w:vAlign w:val="bottom"/>
            <w:gridSpan w:val="2"/>
          </w:tcPr>
          <w:p>
            <w:pPr>
              <w:ind w:left="140"/>
              <w:spacing w:after="0"/>
              <w:rPr>
                <w:sz w:val="20"/>
                <w:szCs w:val="20"/>
                <w:color w:val="auto"/>
              </w:rPr>
            </w:pPr>
            <w:r>
              <w:rPr>
                <w:rFonts w:ascii="Arial" w:cs="Arial" w:eastAsia="Arial" w:hAnsi="Arial"/>
                <w:sz w:val="18"/>
                <w:szCs w:val="18"/>
                <w:color w:val="auto"/>
              </w:rPr>
              <w:t>$</w:t>
            </w:r>
          </w:p>
        </w:tc>
        <w:tc>
          <w:tcPr>
            <w:tcW w:w="400" w:type="dxa"/>
            <w:vAlign w:val="bottom"/>
          </w:tcPr>
          <w:p>
            <w:pPr>
              <w:ind w:left="240"/>
              <w:spacing w:after="0"/>
              <w:rPr>
                <w:sz w:val="20"/>
                <w:szCs w:val="20"/>
                <w:color w:val="auto"/>
              </w:rPr>
            </w:pPr>
            <w:r>
              <w:rPr>
                <w:rFonts w:ascii="Arial" w:cs="Arial" w:eastAsia="Arial" w:hAnsi="Arial"/>
                <w:sz w:val="16"/>
                <w:szCs w:val="16"/>
                <w:color w:val="auto"/>
                <w:w w:val="78"/>
              </w:rPr>
              <w:t>54</w:t>
            </w:r>
          </w:p>
        </w:tc>
        <w:tc>
          <w:tcPr>
            <w:tcW w:w="4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7</w:t>
            </w:r>
          </w:p>
        </w:tc>
        <w:tc>
          <w:tcPr>
            <w:tcW w:w="180" w:type="dxa"/>
            <w:vAlign w:val="bottom"/>
          </w:tcPr>
          <w:p>
            <w:pPr>
              <w:spacing w:after="0"/>
              <w:rPr>
                <w:sz w:val="19"/>
                <w:szCs w:val="19"/>
                <w:color w:val="auto"/>
              </w:rPr>
            </w:pP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1,637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46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20" w:type="dxa"/>
            <w:vAlign w:val="bottom"/>
          </w:tcPr>
          <w:p>
            <w:pPr>
              <w:spacing w:after="0"/>
              <w:rPr>
                <w:sz w:val="18"/>
                <w:szCs w:val="18"/>
                <w:color w:val="auto"/>
              </w:rPr>
            </w:pPr>
          </w:p>
        </w:tc>
        <w:tc>
          <w:tcPr>
            <w:tcW w:w="576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6"/>
              </w:rPr>
              <w:t>Income (loss) attributable to stockholders before interest and income taxes</w:t>
            </w:r>
          </w:p>
        </w:tc>
        <w:tc>
          <w:tcPr>
            <w:tcW w:w="620" w:type="dxa"/>
            <w:vAlign w:val="bottom"/>
            <w:gridSpan w:val="2"/>
            <w:shd w:val="clear" w:color="auto" w:fill="CCEEFF"/>
          </w:tcPr>
          <w:p>
            <w:pPr>
              <w:ind w:left="520"/>
              <w:spacing w:after="0"/>
              <w:rPr>
                <w:sz w:val="20"/>
                <w:szCs w:val="20"/>
                <w:color w:val="auto"/>
              </w:rPr>
            </w:pPr>
            <w:r>
              <w:rPr>
                <w:rFonts w:ascii="Arial" w:cs="Arial" w:eastAsia="Arial" w:hAnsi="Arial"/>
                <w:sz w:val="18"/>
                <w:szCs w:val="18"/>
                <w:color w:val="auto"/>
                <w:w w:val="79"/>
              </w:rPr>
              <w:t>$</w:t>
            </w:r>
          </w:p>
        </w:tc>
        <w:tc>
          <w:tcPr>
            <w:tcW w:w="5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0"/>
              </w:rPr>
              <w:t>(640)</w:t>
            </w:r>
          </w:p>
        </w:tc>
        <w:tc>
          <w:tcPr>
            <w:tcW w:w="220" w:type="dxa"/>
            <w:vAlign w:val="bottom"/>
            <w:gridSpan w:val="2"/>
            <w:shd w:val="clear" w:color="auto" w:fill="CCEEFF"/>
          </w:tcPr>
          <w:p>
            <w:pPr>
              <w:ind w:left="120"/>
              <w:spacing w:after="0"/>
              <w:rPr>
                <w:sz w:val="20"/>
                <w:szCs w:val="20"/>
                <w:color w:val="auto"/>
              </w:rPr>
            </w:pPr>
            <w:r>
              <w:rPr>
                <w:rFonts w:ascii="Arial" w:cs="Arial" w:eastAsia="Arial" w:hAnsi="Arial"/>
                <w:sz w:val="18"/>
                <w:szCs w:val="18"/>
                <w:u w:val="single" w:color="auto"/>
                <w:color w:val="auto"/>
                <w:w w:val="79"/>
              </w:rPr>
              <w:t>$</w:t>
            </w:r>
          </w:p>
        </w:tc>
        <w:tc>
          <w:tcPr>
            <w:tcW w:w="6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85"/>
              </w:rPr>
              <w:t>(265)</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u w:val="single" w:color="auto"/>
                <w:color w:val="auto"/>
                <w:w w:val="71"/>
              </w:rPr>
              <w:t>$</w:t>
            </w:r>
          </w:p>
        </w:tc>
        <w:tc>
          <w:tcPr>
            <w:tcW w:w="5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0"/>
              </w:rPr>
              <w:t>(104)</w:t>
            </w:r>
          </w:p>
        </w:tc>
        <w:tc>
          <w:tcPr>
            <w:tcW w:w="48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ind w:left="240"/>
              <w:spacing w:after="0"/>
              <w:rPr>
                <w:sz w:val="20"/>
                <w:szCs w:val="20"/>
                <w:color w:val="auto"/>
              </w:rPr>
            </w:pPr>
            <w:r>
              <w:rPr>
                <w:rFonts w:ascii="Arial" w:cs="Arial" w:eastAsia="Arial" w:hAnsi="Arial"/>
                <w:sz w:val="16"/>
                <w:szCs w:val="16"/>
                <w:color w:val="auto"/>
                <w:w w:val="78"/>
              </w:rPr>
              <w:t>38</w:t>
            </w: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129,175</w:t>
            </w:r>
          </w:p>
        </w:tc>
        <w:tc>
          <w:tcPr>
            <w:tcW w:w="180" w:type="dxa"/>
            <w:vAlign w:val="bottom"/>
            <w:shd w:val="clear" w:color="auto" w:fill="CCEEFF"/>
          </w:tcPr>
          <w:p>
            <w:pPr>
              <w:spacing w:after="0"/>
              <w:rPr>
                <w:sz w:val="18"/>
                <w:szCs w:val="18"/>
                <w:color w:val="auto"/>
              </w:rPr>
            </w:pP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5"/>
              </w:rPr>
              <w:t>128,204</w:t>
            </w:r>
          </w:p>
        </w:tc>
        <w:tc>
          <w:tcPr>
            <w:tcW w:w="0" w:type="dxa"/>
            <w:vAlign w:val="bottom"/>
          </w:tcPr>
          <w:p>
            <w:pPr>
              <w:spacing w:after="0"/>
              <w:rPr>
                <w:sz w:val="1"/>
                <w:szCs w:val="1"/>
                <w:color w:val="auto"/>
              </w:rPr>
            </w:pPr>
          </w:p>
        </w:tc>
      </w:tr>
      <w:tr>
        <w:trPr>
          <w:trHeight w:val="20"/>
        </w:trPr>
        <w:tc>
          <w:tcPr>
            <w:tcW w:w="5780" w:type="dxa"/>
            <w:vAlign w:val="bottom"/>
            <w:gridSpan w:val="3"/>
            <w:vMerge w:val="restart"/>
          </w:tcPr>
          <w:p>
            <w:pPr>
              <w:spacing w:after="0"/>
              <w:rPr>
                <w:sz w:val="20"/>
                <w:szCs w:val="20"/>
                <w:color w:val="auto"/>
              </w:rPr>
            </w:pPr>
            <w:r>
              <w:rPr>
                <w:rFonts w:ascii="Arial" w:cs="Arial" w:eastAsia="Arial" w:hAnsi="Arial"/>
                <w:sz w:val="18"/>
                <w:szCs w:val="18"/>
                <w:color w:val="auto"/>
              </w:rPr>
              <w:t>Interest income</w:t>
            </w:r>
          </w:p>
        </w:tc>
        <w:tc>
          <w:tcPr>
            <w:tcW w:w="5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vMerge w:val="restart"/>
          </w:tcPr>
          <w:p>
            <w:pPr>
              <w:jc w:val="right"/>
              <w:spacing w:after="0"/>
              <w:rPr>
                <w:sz w:val="20"/>
                <w:szCs w:val="20"/>
                <w:color w:val="auto"/>
              </w:rPr>
            </w:pPr>
            <w:r>
              <w:rPr>
                <w:rFonts w:ascii="Arial" w:cs="Arial" w:eastAsia="Arial" w:hAnsi="Arial"/>
                <w:sz w:val="18"/>
                <w:szCs w:val="18"/>
                <w:color w:val="auto"/>
              </w:rPr>
              <w:t>10</w:t>
            </w: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gridSpan w:val="2"/>
            <w:vMerge w:val="restart"/>
          </w:tcPr>
          <w:p>
            <w:pPr>
              <w:jc w:val="right"/>
              <w:ind w:right="100"/>
              <w:spacing w:after="0"/>
              <w:rPr>
                <w:sz w:val="20"/>
                <w:szCs w:val="20"/>
                <w:color w:val="auto"/>
              </w:rPr>
            </w:pPr>
            <w:r>
              <w:rPr>
                <w:rFonts w:ascii="Arial" w:cs="Arial" w:eastAsia="Arial" w:hAnsi="Arial"/>
                <w:sz w:val="18"/>
                <w:szCs w:val="18"/>
                <w:color w:val="auto"/>
              </w:rPr>
              <w:t>10</w:t>
            </w:r>
          </w:p>
        </w:tc>
        <w:tc>
          <w:tcPr>
            <w:tcW w:w="0" w:type="dxa"/>
            <w:vAlign w:val="bottom"/>
          </w:tcPr>
          <w:p>
            <w:pPr>
              <w:spacing w:after="0" w:line="20" w:lineRule="exact"/>
              <w:rPr>
                <w:sz w:val="1"/>
                <w:szCs w:val="1"/>
                <w:color w:val="auto"/>
              </w:rPr>
            </w:pPr>
          </w:p>
        </w:tc>
      </w:tr>
      <w:tr>
        <w:trPr>
          <w:trHeight w:val="208"/>
        </w:trPr>
        <w:tc>
          <w:tcPr>
            <w:tcW w:w="5780" w:type="dxa"/>
            <w:vAlign w:val="bottom"/>
            <w:gridSpan w:val="3"/>
            <w:vMerge w:val="continue"/>
          </w:tcPr>
          <w:p>
            <w:pPr>
              <w:spacing w:after="0"/>
              <w:rPr>
                <w:sz w:val="18"/>
                <w:szCs w:val="18"/>
                <w:color w:val="auto"/>
              </w:rPr>
            </w:pP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vMerge w:val="continue"/>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57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Interest expense</w:t>
            </w: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823</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823</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760" w:type="dxa"/>
            <w:vAlign w:val="bottom"/>
            <w:gridSpan w:val="2"/>
          </w:tcPr>
          <w:p>
            <w:pPr>
              <w:spacing w:after="0"/>
              <w:rPr>
                <w:sz w:val="20"/>
                <w:szCs w:val="20"/>
                <w:color w:val="auto"/>
              </w:rPr>
            </w:pPr>
            <w:r>
              <w:rPr>
                <w:rFonts w:ascii="Arial" w:cs="Arial" w:eastAsia="Arial" w:hAnsi="Arial"/>
                <w:sz w:val="18"/>
                <w:szCs w:val="18"/>
                <w:color w:val="auto"/>
              </w:rPr>
              <w:t>Income tax expense (benefit)</w:t>
            </w:r>
          </w:p>
        </w:tc>
        <w:tc>
          <w:tcPr>
            <w:tcW w:w="5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8"/>
                <w:szCs w:val="18"/>
                <w:color w:val="auto"/>
              </w:rPr>
              <w:t>(607)</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rPr>
              <w:t>(607)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income (loss) attributable to stockholders</w:t>
            </w: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128,969</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127,998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780" w:type="dxa"/>
            <w:vAlign w:val="bottom"/>
            <w:gridSpan w:val="3"/>
            <w:vMerge w:val="restart"/>
          </w:tcPr>
          <w:p>
            <w:pPr>
              <w:spacing w:after="0"/>
              <w:rPr>
                <w:sz w:val="20"/>
                <w:szCs w:val="20"/>
                <w:color w:val="auto"/>
              </w:rPr>
            </w:pPr>
            <w:r>
              <w:rPr>
                <w:rFonts w:ascii="Arial" w:cs="Arial" w:eastAsia="Arial" w:hAnsi="Arial"/>
                <w:sz w:val="18"/>
                <w:szCs w:val="18"/>
                <w:color w:val="auto"/>
              </w:rPr>
              <w:t>Depreciation, amortization and impairment</w:t>
            </w:r>
          </w:p>
        </w:tc>
        <w:tc>
          <w:tcPr>
            <w:tcW w:w="620" w:type="dxa"/>
            <w:vAlign w:val="bottom"/>
            <w:gridSpan w:val="2"/>
            <w:vMerge w:val="restart"/>
          </w:tcPr>
          <w:p>
            <w:pPr>
              <w:ind w:left="520"/>
              <w:spacing w:after="0"/>
              <w:rPr>
                <w:sz w:val="20"/>
                <w:szCs w:val="20"/>
                <w:color w:val="auto"/>
              </w:rPr>
            </w:pPr>
            <w:r>
              <w:rPr>
                <w:rFonts w:ascii="Arial" w:cs="Arial" w:eastAsia="Arial" w:hAnsi="Arial"/>
                <w:sz w:val="18"/>
                <w:szCs w:val="18"/>
                <w:color w:val="auto"/>
                <w:w w:val="79"/>
              </w:rPr>
              <w:t>$</w:t>
            </w:r>
          </w:p>
        </w:tc>
        <w:tc>
          <w:tcPr>
            <w:tcW w:w="340" w:type="dxa"/>
            <w:vAlign w:val="bottom"/>
            <w:vMerge w:val="restart"/>
          </w:tcPr>
          <w:p>
            <w:pPr>
              <w:jc w:val="right"/>
              <w:spacing w:after="0"/>
              <w:rPr>
                <w:sz w:val="20"/>
                <w:szCs w:val="20"/>
                <w:color w:val="auto"/>
              </w:rPr>
            </w:pPr>
            <w:r>
              <w:rPr>
                <w:rFonts w:ascii="Arial" w:cs="Arial" w:eastAsia="Arial" w:hAnsi="Arial"/>
                <w:sz w:val="18"/>
                <w:szCs w:val="18"/>
                <w:color w:val="auto"/>
              </w:rPr>
              <w:t>437</w:t>
            </w:r>
          </w:p>
        </w:tc>
        <w:tc>
          <w:tcPr>
            <w:tcW w:w="180" w:type="dxa"/>
            <w:vAlign w:val="bottom"/>
          </w:tcPr>
          <w:p>
            <w:pPr>
              <w:spacing w:after="0" w:line="20" w:lineRule="exact"/>
              <w:rPr>
                <w:sz w:val="1"/>
                <w:szCs w:val="1"/>
                <w:color w:val="auto"/>
              </w:rPr>
            </w:pPr>
          </w:p>
        </w:tc>
        <w:tc>
          <w:tcPr>
            <w:tcW w:w="220" w:type="dxa"/>
            <w:vAlign w:val="bottom"/>
            <w:gridSpan w:val="2"/>
            <w:vMerge w:val="restart"/>
          </w:tcPr>
          <w:p>
            <w:pPr>
              <w:ind w:left="120"/>
              <w:spacing w:after="0"/>
              <w:rPr>
                <w:sz w:val="20"/>
                <w:szCs w:val="20"/>
                <w:color w:val="auto"/>
              </w:rPr>
            </w:pPr>
            <w:r>
              <w:rPr>
                <w:rFonts w:ascii="Arial" w:cs="Arial" w:eastAsia="Arial" w:hAnsi="Arial"/>
                <w:sz w:val="18"/>
                <w:szCs w:val="18"/>
                <w:color w:val="auto"/>
                <w:w w:val="79"/>
              </w:rPr>
              <w:t>$</w:t>
            </w:r>
          </w:p>
        </w:tc>
        <w:tc>
          <w:tcPr>
            <w:tcW w:w="640" w:type="dxa"/>
            <w:vAlign w:val="bottom"/>
            <w:gridSpan w:val="2"/>
            <w:vMerge w:val="restart"/>
          </w:tcPr>
          <w:p>
            <w:pPr>
              <w:jc w:val="right"/>
              <w:ind w:right="320"/>
              <w:spacing w:after="0"/>
              <w:rPr>
                <w:sz w:val="20"/>
                <w:szCs w:val="20"/>
                <w:color w:val="auto"/>
              </w:rPr>
            </w:pPr>
            <w:r>
              <w:rPr>
                <w:rFonts w:ascii="Arial" w:cs="Arial" w:eastAsia="Arial" w:hAnsi="Arial"/>
                <w:sz w:val="18"/>
                <w:szCs w:val="18"/>
                <w:color w:val="auto"/>
              </w:rPr>
              <w:t>11</w:t>
            </w:r>
          </w:p>
        </w:tc>
        <w:tc>
          <w:tcPr>
            <w:tcW w:w="80" w:type="dxa"/>
            <w:vAlign w:val="bottom"/>
            <w:vMerge w:val="restart"/>
          </w:tcPr>
          <w:p>
            <w:pPr>
              <w:jc w:val="right"/>
              <w:spacing w:after="0"/>
              <w:rPr>
                <w:sz w:val="20"/>
                <w:szCs w:val="20"/>
                <w:color w:val="auto"/>
              </w:rPr>
            </w:pPr>
            <w:r>
              <w:rPr>
                <w:rFonts w:ascii="Arial" w:cs="Arial" w:eastAsia="Arial" w:hAnsi="Arial"/>
                <w:sz w:val="15"/>
                <w:szCs w:val="15"/>
                <w:color w:val="auto"/>
                <w:w w:val="71"/>
              </w:rPr>
              <w:t>$</w:t>
            </w:r>
          </w:p>
        </w:tc>
        <w:tc>
          <w:tcPr>
            <w:tcW w:w="340" w:type="dxa"/>
            <w:vAlign w:val="bottom"/>
            <w:vMerge w:val="restart"/>
          </w:tcPr>
          <w:p>
            <w:pPr>
              <w:jc w:val="right"/>
              <w:spacing w:after="0"/>
              <w:rPr>
                <w:sz w:val="20"/>
                <w:szCs w:val="20"/>
                <w:color w:val="auto"/>
              </w:rPr>
            </w:pPr>
            <w:r>
              <w:rPr>
                <w:rFonts w:ascii="Arial" w:cs="Arial" w:eastAsia="Arial" w:hAnsi="Arial"/>
                <w:sz w:val="18"/>
                <w:szCs w:val="18"/>
                <w:color w:val="auto"/>
              </w:rPr>
              <w:t>115</w:t>
            </w:r>
          </w:p>
        </w:tc>
        <w:tc>
          <w:tcPr>
            <w:tcW w:w="160" w:type="dxa"/>
            <w:vAlign w:val="bottom"/>
          </w:tcPr>
          <w:p>
            <w:pPr>
              <w:spacing w:after="0" w:line="20" w:lineRule="exact"/>
              <w:rPr>
                <w:sz w:val="1"/>
                <w:szCs w:val="1"/>
                <w:color w:val="auto"/>
              </w:rPr>
            </w:pPr>
          </w:p>
        </w:tc>
        <w:tc>
          <w:tcPr>
            <w:tcW w:w="480" w:type="dxa"/>
            <w:vAlign w:val="bottom"/>
            <w:gridSpan w:val="2"/>
            <w:vMerge w:val="restart"/>
          </w:tcPr>
          <w:p>
            <w:pPr>
              <w:ind w:left="140"/>
              <w:spacing w:after="0"/>
              <w:rPr>
                <w:sz w:val="20"/>
                <w:szCs w:val="20"/>
                <w:color w:val="auto"/>
              </w:rPr>
            </w:pPr>
            <w:r>
              <w:rPr>
                <w:rFonts w:ascii="Arial" w:cs="Arial" w:eastAsia="Arial" w:hAnsi="Arial"/>
                <w:sz w:val="18"/>
                <w:szCs w:val="18"/>
                <w:color w:val="auto"/>
              </w:rPr>
              <w:t>$</w:t>
            </w:r>
          </w:p>
        </w:tc>
        <w:tc>
          <w:tcPr>
            <w:tcW w:w="400" w:type="dxa"/>
            <w:vAlign w:val="bottom"/>
            <w:vMerge w:val="restart"/>
          </w:tcPr>
          <w:p>
            <w:pPr>
              <w:ind w:left="240"/>
              <w:spacing w:after="0"/>
              <w:rPr>
                <w:sz w:val="20"/>
                <w:szCs w:val="20"/>
                <w:color w:val="auto"/>
              </w:rPr>
            </w:pPr>
            <w:r>
              <w:rPr>
                <w:rFonts w:ascii="Arial" w:cs="Arial" w:eastAsia="Arial" w:hAnsi="Arial"/>
                <w:sz w:val="18"/>
                <w:szCs w:val="18"/>
                <w:color w:val="auto"/>
                <w:w w:val="77"/>
              </w:rPr>
              <w:t>—</w:t>
            </w:r>
          </w:p>
        </w:tc>
        <w:tc>
          <w:tcPr>
            <w:tcW w:w="3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5780" w:type="dxa"/>
            <w:vAlign w:val="bottom"/>
            <w:gridSpan w:val="3"/>
            <w:vMerge w:val="continue"/>
          </w:tcPr>
          <w:p>
            <w:pPr>
              <w:spacing w:after="0"/>
              <w:rPr>
                <w:sz w:val="18"/>
                <w:szCs w:val="18"/>
                <w:color w:val="auto"/>
              </w:rPr>
            </w:pPr>
          </w:p>
        </w:tc>
        <w:tc>
          <w:tcPr>
            <w:tcW w:w="620" w:type="dxa"/>
            <w:vAlign w:val="bottom"/>
            <w:gridSpan w:val="2"/>
            <w:vMerge w:val="continue"/>
          </w:tcPr>
          <w:p>
            <w:pPr>
              <w:spacing w:after="0"/>
              <w:rPr>
                <w:sz w:val="18"/>
                <w:szCs w:val="18"/>
                <w:color w:val="auto"/>
              </w:rPr>
            </w:pPr>
          </w:p>
        </w:tc>
        <w:tc>
          <w:tcPr>
            <w:tcW w:w="340" w:type="dxa"/>
            <w:vAlign w:val="bottom"/>
            <w:vMerge w:val="continue"/>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gridSpan w:val="2"/>
            <w:vMerge w:val="continue"/>
          </w:tcPr>
          <w:p>
            <w:pPr>
              <w:spacing w:after="0"/>
              <w:rPr>
                <w:sz w:val="18"/>
                <w:szCs w:val="18"/>
                <w:color w:val="auto"/>
              </w:rPr>
            </w:pPr>
          </w:p>
        </w:tc>
        <w:tc>
          <w:tcPr>
            <w:tcW w:w="640" w:type="dxa"/>
            <w:vAlign w:val="bottom"/>
            <w:gridSpan w:val="2"/>
            <w:vMerge w:val="continue"/>
          </w:tcPr>
          <w:p>
            <w:pPr>
              <w:spacing w:after="0"/>
              <w:rPr>
                <w:sz w:val="18"/>
                <w:szCs w:val="18"/>
                <w:color w:val="auto"/>
              </w:rPr>
            </w:pPr>
          </w:p>
        </w:tc>
        <w:tc>
          <w:tcPr>
            <w:tcW w:w="80" w:type="dxa"/>
            <w:vAlign w:val="bottom"/>
            <w:vMerge w:val="continue"/>
          </w:tcPr>
          <w:p>
            <w:pPr>
              <w:spacing w:after="0"/>
              <w:rPr>
                <w:sz w:val="18"/>
                <w:szCs w:val="18"/>
                <w:color w:val="auto"/>
              </w:rPr>
            </w:pPr>
          </w:p>
        </w:tc>
        <w:tc>
          <w:tcPr>
            <w:tcW w:w="340" w:type="dxa"/>
            <w:vAlign w:val="bottom"/>
            <w:vMerge w:val="continue"/>
          </w:tcPr>
          <w:p>
            <w:pPr>
              <w:spacing w:after="0"/>
              <w:rPr>
                <w:sz w:val="18"/>
                <w:szCs w:val="18"/>
                <w:color w:val="auto"/>
              </w:rPr>
            </w:pPr>
          </w:p>
        </w:tc>
        <w:tc>
          <w:tcPr>
            <w:tcW w:w="160" w:type="dxa"/>
            <w:vAlign w:val="bottom"/>
          </w:tcPr>
          <w:p>
            <w:pPr>
              <w:spacing w:after="0"/>
              <w:rPr>
                <w:sz w:val="18"/>
                <w:szCs w:val="18"/>
                <w:color w:val="auto"/>
              </w:rPr>
            </w:pPr>
          </w:p>
        </w:tc>
        <w:tc>
          <w:tcPr>
            <w:tcW w:w="480" w:type="dxa"/>
            <w:vAlign w:val="bottom"/>
            <w:gridSpan w:val="2"/>
            <w:vMerge w:val="continue"/>
          </w:tcPr>
          <w:p>
            <w:pPr>
              <w:spacing w:after="0"/>
              <w:rPr>
                <w:sz w:val="18"/>
                <w:szCs w:val="18"/>
                <w:color w:val="auto"/>
              </w:rPr>
            </w:pPr>
          </w:p>
        </w:tc>
        <w:tc>
          <w:tcPr>
            <w:tcW w:w="400" w:type="dxa"/>
            <w:vAlign w:val="bottom"/>
            <w:vMerge w:val="continue"/>
          </w:tcPr>
          <w:p>
            <w:pPr>
              <w:spacing w:after="0"/>
              <w:rPr>
                <w:sz w:val="18"/>
                <w:szCs w:val="18"/>
                <w:color w:val="auto"/>
              </w:rPr>
            </w:pPr>
          </w:p>
        </w:tc>
        <w:tc>
          <w:tcPr>
            <w:tcW w:w="4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6</w:t>
            </w:r>
          </w:p>
        </w:tc>
        <w:tc>
          <w:tcPr>
            <w:tcW w:w="180" w:type="dxa"/>
            <w:vAlign w:val="bottom"/>
          </w:tcPr>
          <w:p>
            <w:pPr>
              <w:spacing w:after="0"/>
              <w:rPr>
                <w:sz w:val="18"/>
                <w:szCs w:val="18"/>
                <w:color w:val="auto"/>
              </w:rPr>
            </w:pP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569</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57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Equity income (loss), net of tax</w:t>
            </w:r>
          </w:p>
        </w:tc>
        <w:tc>
          <w:tcPr>
            <w:tcW w:w="620" w:type="dxa"/>
            <w:vAlign w:val="bottom"/>
            <w:gridSpan w:val="2"/>
            <w:shd w:val="clear" w:color="auto" w:fill="CCEEFF"/>
          </w:tcPr>
          <w:p>
            <w:pPr>
              <w:ind w:left="520"/>
              <w:spacing w:after="0"/>
              <w:rPr>
                <w:sz w:val="20"/>
                <w:szCs w:val="20"/>
                <w:color w:val="auto"/>
              </w:rPr>
            </w:pPr>
            <w:r>
              <w:rPr>
                <w:rFonts w:ascii="Arial" w:cs="Arial" w:eastAsia="Arial" w:hAnsi="Arial"/>
                <w:sz w:val="18"/>
                <w:szCs w:val="18"/>
                <w:color w:val="auto"/>
                <w:w w:val="79"/>
              </w:rPr>
              <w:t>$</w:t>
            </w: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180" w:type="dxa"/>
            <w:vAlign w:val="bottom"/>
            <w:shd w:val="clear" w:color="auto" w:fill="CCEEFF"/>
          </w:tcPr>
          <w:p>
            <w:pPr>
              <w:spacing w:after="0"/>
              <w:rPr>
                <w:sz w:val="18"/>
                <w:szCs w:val="18"/>
                <w:color w:val="auto"/>
              </w:rPr>
            </w:pPr>
          </w:p>
        </w:tc>
        <w:tc>
          <w:tcPr>
            <w:tcW w:w="22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w w:val="79"/>
              </w:rPr>
              <w:t>$</w:t>
            </w:r>
          </w:p>
        </w:tc>
        <w:tc>
          <w:tcPr>
            <w:tcW w:w="6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8</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w:t>
            </w:r>
          </w:p>
        </w:tc>
        <w:tc>
          <w:tcPr>
            <w:tcW w:w="48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ind w:left="240"/>
              <w:spacing w:after="0"/>
              <w:rPr>
                <w:sz w:val="20"/>
                <w:szCs w:val="20"/>
                <w:color w:val="auto"/>
              </w:rPr>
            </w:pPr>
            <w:r>
              <w:rPr>
                <w:rFonts w:ascii="Arial" w:cs="Arial" w:eastAsia="Arial" w:hAnsi="Arial"/>
                <w:sz w:val="18"/>
                <w:szCs w:val="18"/>
                <w:color w:val="auto"/>
                <w:w w:val="77"/>
              </w:rPr>
              <w:t>—</w:t>
            </w: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80" w:type="dxa"/>
            <w:vAlign w:val="bottom"/>
            <w:shd w:val="clear" w:color="auto" w:fill="CCEEFF"/>
          </w:tcPr>
          <w:p>
            <w:pPr>
              <w:spacing w:after="0"/>
              <w:rPr>
                <w:sz w:val="18"/>
                <w:szCs w:val="18"/>
                <w:color w:val="auto"/>
              </w:rPr>
            </w:pP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60" w:type="dxa"/>
            <w:vAlign w:val="bottom"/>
            <w:gridSpan w:val="2"/>
          </w:tcPr>
          <w:p>
            <w:pPr>
              <w:spacing w:after="0"/>
              <w:rPr>
                <w:sz w:val="20"/>
                <w:szCs w:val="20"/>
                <w:color w:val="auto"/>
              </w:rPr>
            </w:pPr>
            <w:r>
              <w:rPr>
                <w:rFonts w:ascii="Arial" w:cs="Arial" w:eastAsia="Arial" w:hAnsi="Arial"/>
                <w:sz w:val="18"/>
                <w:szCs w:val="18"/>
                <w:color w:val="auto"/>
              </w:rPr>
              <w:t>Significant non-cash (gains)</w:t>
            </w: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6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Reorganization gains, net (a)</w:t>
            </w:r>
          </w:p>
        </w:tc>
        <w:tc>
          <w:tcPr>
            <w:tcW w:w="620" w:type="dxa"/>
            <w:vAlign w:val="bottom"/>
            <w:gridSpan w:val="2"/>
            <w:shd w:val="clear" w:color="auto" w:fill="CCEEFF"/>
          </w:tcPr>
          <w:p>
            <w:pPr>
              <w:ind w:left="520"/>
              <w:spacing w:after="0"/>
              <w:rPr>
                <w:sz w:val="20"/>
                <w:szCs w:val="20"/>
                <w:color w:val="auto"/>
              </w:rPr>
            </w:pPr>
            <w:r>
              <w:rPr>
                <w:rFonts w:ascii="Arial" w:cs="Arial" w:eastAsia="Arial" w:hAnsi="Arial"/>
                <w:sz w:val="18"/>
                <w:szCs w:val="18"/>
                <w:color w:val="auto"/>
                <w:w w:val="79"/>
              </w:rPr>
              <w:t>$</w:t>
            </w:r>
          </w:p>
        </w:tc>
        <w:tc>
          <w:tcPr>
            <w:tcW w:w="5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w w:val="79"/>
              </w:rPr>
              <w:t>$</w:t>
            </w:r>
          </w:p>
        </w:tc>
        <w:tc>
          <w:tcPr>
            <w:tcW w:w="6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48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ind w:left="240"/>
              <w:spacing w:after="0"/>
              <w:rPr>
                <w:sz w:val="20"/>
                <w:szCs w:val="20"/>
                <w:color w:val="auto"/>
              </w:rPr>
            </w:pPr>
            <w:r>
              <w:rPr>
                <w:rFonts w:ascii="Arial" w:cs="Arial" w:eastAsia="Arial" w:hAnsi="Arial"/>
                <w:sz w:val="18"/>
                <w:szCs w:val="18"/>
                <w:color w:val="auto"/>
                <w:w w:val="77"/>
              </w:rPr>
              <w:t>—</w:t>
            </w: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88"/>
              </w:rPr>
              <w:t>(129,312)</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88"/>
              </w:rPr>
              <w:t>(129,312)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60" w:type="dxa"/>
            <w:vAlign w:val="bottom"/>
            <w:gridSpan w:val="2"/>
          </w:tcPr>
          <w:p>
            <w:pPr>
              <w:ind w:left="200"/>
              <w:spacing w:after="0"/>
              <w:rPr>
                <w:sz w:val="20"/>
                <w:szCs w:val="20"/>
                <w:color w:val="auto"/>
              </w:rPr>
            </w:pPr>
            <w:r>
              <w:rPr>
                <w:rFonts w:ascii="Arial" w:cs="Arial" w:eastAsia="Arial" w:hAnsi="Arial"/>
                <w:sz w:val="18"/>
                <w:szCs w:val="18"/>
                <w:color w:val="auto"/>
              </w:rPr>
              <w:t>Reversal of valuation allowances against deferred tax assets</w:t>
            </w: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5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00" w:type="dxa"/>
            <w:vAlign w:val="bottom"/>
          </w:tcPr>
          <w:p>
            <w:pPr>
              <w:ind w:left="240"/>
              <w:spacing w:after="0"/>
              <w:rPr>
                <w:sz w:val="20"/>
                <w:szCs w:val="20"/>
                <w:color w:val="auto"/>
              </w:rPr>
            </w:pPr>
            <w:r>
              <w:rPr>
                <w:rFonts w:ascii="Arial" w:cs="Arial" w:eastAsia="Arial" w:hAnsi="Arial"/>
                <w:sz w:val="18"/>
                <w:szCs w:val="18"/>
                <w:color w:val="auto"/>
                <w:w w:val="77"/>
              </w:rPr>
              <w:t>—</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8"/>
                <w:szCs w:val="18"/>
                <w:color w:val="auto"/>
              </w:rPr>
              <w:t>(751)</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rPr>
              <w:t>(751)</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1140" w:type="dxa"/>
            <w:vAlign w:val="bottom"/>
          </w:tcPr>
          <w:p>
            <w:pPr>
              <w:spacing w:after="0"/>
              <w:rPr>
                <w:sz w:val="2"/>
                <w:szCs w:val="2"/>
                <w:color w:val="auto"/>
              </w:rPr>
            </w:pPr>
          </w:p>
        </w:tc>
        <w:tc>
          <w:tcPr>
            <w:tcW w:w="462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7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significant non-cash (gains)</w:t>
            </w: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6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48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ind w:left="240"/>
              <w:spacing w:after="0"/>
              <w:rPr>
                <w:sz w:val="20"/>
                <w:szCs w:val="20"/>
                <w:color w:val="auto"/>
              </w:rPr>
            </w:pPr>
            <w:r>
              <w:rPr>
                <w:rFonts w:ascii="Arial" w:cs="Arial" w:eastAsia="Arial" w:hAnsi="Arial"/>
                <w:sz w:val="18"/>
                <w:szCs w:val="18"/>
                <w:color w:val="auto"/>
                <w:w w:val="77"/>
              </w:rPr>
              <w:t>—</w:t>
            </w: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88"/>
              </w:rPr>
              <w:t>(130,063)</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88"/>
              </w:rPr>
              <w:t>(130,063)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46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2"/>
        </w:trPr>
        <w:tc>
          <w:tcPr>
            <w:tcW w:w="20" w:type="dxa"/>
            <w:vAlign w:val="bottom"/>
          </w:tcPr>
          <w:p>
            <w:pPr>
              <w:spacing w:after="0"/>
              <w:rPr>
                <w:sz w:val="8"/>
                <w:szCs w:val="8"/>
                <w:color w:val="auto"/>
              </w:rPr>
            </w:pPr>
          </w:p>
        </w:tc>
        <w:tc>
          <w:tcPr>
            <w:tcW w:w="1140" w:type="dxa"/>
            <w:vAlign w:val="bottom"/>
            <w:tcBorders>
              <w:bottom w:val="single" w:sz="8" w:color="auto"/>
            </w:tcBorders>
          </w:tcPr>
          <w:p>
            <w:pPr>
              <w:spacing w:after="0"/>
              <w:rPr>
                <w:sz w:val="8"/>
                <w:szCs w:val="8"/>
                <w:color w:val="auto"/>
              </w:rPr>
            </w:pPr>
          </w:p>
        </w:tc>
        <w:tc>
          <w:tcPr>
            <w:tcW w:w="4620" w:type="dxa"/>
            <w:vAlign w:val="bottom"/>
          </w:tcPr>
          <w:p>
            <w:pPr>
              <w:spacing w:after="0"/>
              <w:rPr>
                <w:sz w:val="8"/>
                <w:szCs w:val="8"/>
                <w:color w:val="auto"/>
              </w:rPr>
            </w:pPr>
          </w:p>
        </w:tc>
        <w:tc>
          <w:tcPr>
            <w:tcW w:w="520" w:type="dxa"/>
            <w:vAlign w:val="bottom"/>
          </w:tcPr>
          <w:p>
            <w:pPr>
              <w:spacing w:after="0"/>
              <w:rPr>
                <w:sz w:val="8"/>
                <w:szCs w:val="8"/>
                <w:color w:val="auto"/>
              </w:rPr>
            </w:pPr>
          </w:p>
        </w:tc>
        <w:tc>
          <w:tcPr>
            <w:tcW w:w="100" w:type="dxa"/>
            <w:vAlign w:val="bottom"/>
          </w:tcPr>
          <w:p>
            <w:pPr>
              <w:spacing w:after="0"/>
              <w:rPr>
                <w:sz w:val="8"/>
                <w:szCs w:val="8"/>
                <w:color w:val="auto"/>
              </w:rPr>
            </w:pPr>
          </w:p>
        </w:tc>
        <w:tc>
          <w:tcPr>
            <w:tcW w:w="340" w:type="dxa"/>
            <w:vAlign w:val="bottom"/>
          </w:tcPr>
          <w:p>
            <w:pPr>
              <w:spacing w:after="0"/>
              <w:rPr>
                <w:sz w:val="8"/>
                <w:szCs w:val="8"/>
                <w:color w:val="auto"/>
              </w:rPr>
            </w:pPr>
          </w:p>
        </w:tc>
        <w:tc>
          <w:tcPr>
            <w:tcW w:w="18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320" w:type="dxa"/>
            <w:vAlign w:val="bottom"/>
          </w:tcPr>
          <w:p>
            <w:pPr>
              <w:spacing w:after="0"/>
              <w:rPr>
                <w:sz w:val="8"/>
                <w:szCs w:val="8"/>
                <w:color w:val="auto"/>
              </w:rPr>
            </w:pPr>
          </w:p>
        </w:tc>
        <w:tc>
          <w:tcPr>
            <w:tcW w:w="320" w:type="dxa"/>
            <w:vAlign w:val="bottom"/>
          </w:tcPr>
          <w:p>
            <w:pPr>
              <w:spacing w:after="0"/>
              <w:rPr>
                <w:sz w:val="8"/>
                <w:szCs w:val="8"/>
                <w:color w:val="auto"/>
              </w:rPr>
            </w:pPr>
          </w:p>
        </w:tc>
        <w:tc>
          <w:tcPr>
            <w:tcW w:w="80" w:type="dxa"/>
            <w:vAlign w:val="bottom"/>
          </w:tcPr>
          <w:p>
            <w:pPr>
              <w:spacing w:after="0"/>
              <w:rPr>
                <w:sz w:val="8"/>
                <w:szCs w:val="8"/>
                <w:color w:val="auto"/>
              </w:rPr>
            </w:pPr>
          </w:p>
        </w:tc>
        <w:tc>
          <w:tcPr>
            <w:tcW w:w="340" w:type="dxa"/>
            <w:vAlign w:val="bottom"/>
          </w:tcPr>
          <w:p>
            <w:pPr>
              <w:spacing w:after="0"/>
              <w:rPr>
                <w:sz w:val="8"/>
                <w:szCs w:val="8"/>
                <w:color w:val="auto"/>
              </w:rPr>
            </w:pPr>
          </w:p>
        </w:tc>
        <w:tc>
          <w:tcPr>
            <w:tcW w:w="160" w:type="dxa"/>
            <w:vAlign w:val="bottom"/>
          </w:tcPr>
          <w:p>
            <w:pPr>
              <w:spacing w:after="0"/>
              <w:rPr>
                <w:sz w:val="8"/>
                <w:szCs w:val="8"/>
                <w:color w:val="auto"/>
              </w:rPr>
            </w:pPr>
          </w:p>
        </w:tc>
        <w:tc>
          <w:tcPr>
            <w:tcW w:w="140" w:type="dxa"/>
            <w:vAlign w:val="bottom"/>
          </w:tcPr>
          <w:p>
            <w:pPr>
              <w:spacing w:after="0"/>
              <w:rPr>
                <w:sz w:val="8"/>
                <w:szCs w:val="8"/>
                <w:color w:val="auto"/>
              </w:rPr>
            </w:pPr>
          </w:p>
        </w:tc>
        <w:tc>
          <w:tcPr>
            <w:tcW w:w="340" w:type="dxa"/>
            <w:vAlign w:val="bottom"/>
          </w:tcPr>
          <w:p>
            <w:pPr>
              <w:spacing w:after="0"/>
              <w:rPr>
                <w:sz w:val="8"/>
                <w:szCs w:val="8"/>
                <w:color w:val="auto"/>
              </w:rPr>
            </w:pPr>
          </w:p>
        </w:tc>
        <w:tc>
          <w:tcPr>
            <w:tcW w:w="400" w:type="dxa"/>
            <w:vAlign w:val="bottom"/>
          </w:tcPr>
          <w:p>
            <w:pPr>
              <w:spacing w:after="0"/>
              <w:rPr>
                <w:sz w:val="8"/>
                <w:szCs w:val="8"/>
                <w:color w:val="auto"/>
              </w:rPr>
            </w:pPr>
          </w:p>
        </w:tc>
        <w:tc>
          <w:tcPr>
            <w:tcW w:w="30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18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19" w:lineRule="exact"/>
        <w:rPr>
          <w:sz w:val="20"/>
          <w:szCs w:val="20"/>
          <w:color w:val="auto"/>
        </w:rPr>
      </w:pPr>
    </w:p>
    <w:p>
      <w:pPr>
        <w:ind w:left="460" w:hanging="452"/>
        <w:spacing w:after="0"/>
        <w:tabs>
          <w:tab w:leader="none" w:pos="460" w:val="left"/>
        </w:tabs>
        <w:numPr>
          <w:ilvl w:val="0"/>
          <w:numId w:val="57"/>
        </w:numPr>
        <w:rPr>
          <w:rFonts w:ascii="Arial" w:cs="Arial" w:eastAsia="Arial" w:hAnsi="Arial"/>
          <w:sz w:val="18"/>
          <w:szCs w:val="18"/>
          <w:color w:val="auto"/>
        </w:rPr>
      </w:pPr>
      <w:r>
        <w:rPr>
          <w:rFonts w:ascii="Arial" w:cs="Arial" w:eastAsia="Arial" w:hAnsi="Arial"/>
          <w:sz w:val="18"/>
          <w:szCs w:val="18"/>
          <w:color w:val="auto"/>
        </w:rPr>
        <w:t>Refer to Note 2 for additional information on Reorganization gains, net.</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76</w:t>
      </w:r>
    </w:p>
    <w:p>
      <w:pPr>
        <w:sectPr>
          <w:pgSz w:w="11900" w:h="16838" w:orient="portrait"/>
          <w:cols w:equalWidth="0" w:num="1">
            <w:col w:w="11420"/>
          </w:cols>
          <w:pgMar w:left="240" w:top="459" w:right="239" w:bottom="1440" w:gutter="0" w:footer="0" w:header="0"/>
        </w:sectPr>
      </w:pPr>
    </w:p>
    <w:bookmarkStart w:id="78" w:name="page79"/>
    <w:bookmarkEnd w:id="7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33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46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gridSpan w:val="4"/>
          </w:tcPr>
          <w:p>
            <w:pPr>
              <w:jc w:val="right"/>
              <w:ind w:right="520"/>
              <w:spacing w:after="0"/>
              <w:rPr>
                <w:sz w:val="20"/>
                <w:szCs w:val="20"/>
                <w:color w:val="auto"/>
              </w:rPr>
            </w:pPr>
            <w:r>
              <w:rPr>
                <w:rFonts w:ascii="Arial" w:cs="Arial" w:eastAsia="Arial" w:hAnsi="Arial"/>
                <w:sz w:val="14"/>
                <w:szCs w:val="14"/>
                <w:b w:val="1"/>
                <w:bCs w:val="1"/>
                <w:color w:val="auto"/>
                <w:w w:val="80"/>
              </w:rPr>
              <w:t>Predecessor</w:t>
            </w:r>
          </w:p>
        </w:tc>
        <w:tc>
          <w:tcPr>
            <w:tcW w:w="1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4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gridSpan w:val="2"/>
          </w:tcPr>
          <w:p>
            <w:pPr>
              <w:jc w:val="right"/>
              <w:ind w:right="280"/>
              <w:spacing w:after="0" w:line="142" w:lineRule="exact"/>
              <w:rPr>
                <w:sz w:val="20"/>
                <w:szCs w:val="20"/>
                <w:color w:val="auto"/>
              </w:rPr>
            </w:pPr>
            <w:r>
              <w:rPr>
                <w:rFonts w:ascii="Arial" w:cs="Arial" w:eastAsia="Arial" w:hAnsi="Arial"/>
                <w:sz w:val="14"/>
                <w:szCs w:val="14"/>
                <w:b w:val="1"/>
                <w:bCs w:val="1"/>
                <w:color w:val="auto"/>
                <w:w w:val="98"/>
              </w:rPr>
              <w:t>GMNA</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gridSpan w:val="2"/>
          </w:tcPr>
          <w:p>
            <w:pPr>
              <w:jc w:val="right"/>
              <w:ind w:right="280"/>
              <w:spacing w:after="0" w:line="142" w:lineRule="exact"/>
              <w:rPr>
                <w:sz w:val="20"/>
                <w:szCs w:val="20"/>
                <w:color w:val="auto"/>
              </w:rPr>
            </w:pPr>
            <w:r>
              <w:rPr>
                <w:rFonts w:ascii="Arial" w:cs="Arial" w:eastAsia="Arial" w:hAnsi="Arial"/>
                <w:sz w:val="14"/>
                <w:szCs w:val="14"/>
                <w:b w:val="1"/>
                <w:bCs w:val="1"/>
                <w:color w:val="auto"/>
                <w:w w:val="96"/>
              </w:rPr>
              <w:t>GMIO</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gridSpan w:val="2"/>
          </w:tcPr>
          <w:p>
            <w:pPr>
              <w:jc w:val="right"/>
              <w:ind w:right="352"/>
              <w:spacing w:after="0" w:line="142" w:lineRule="exact"/>
              <w:rPr>
                <w:sz w:val="20"/>
                <w:szCs w:val="20"/>
                <w:color w:val="auto"/>
              </w:rPr>
            </w:pPr>
            <w:r>
              <w:rPr>
                <w:rFonts w:ascii="Arial" w:cs="Arial" w:eastAsia="Arial" w:hAnsi="Arial"/>
                <w:sz w:val="14"/>
                <w:szCs w:val="14"/>
                <w:b w:val="1"/>
                <w:bCs w:val="1"/>
                <w:color w:val="auto"/>
              </w:rPr>
              <w:t>GME</w:t>
            </w:r>
          </w:p>
        </w:tc>
        <w:tc>
          <w:tcPr>
            <w:tcW w:w="920" w:type="dxa"/>
            <w:vAlign w:val="bottom"/>
            <w:gridSpan w:val="3"/>
          </w:tcPr>
          <w:p>
            <w:pPr>
              <w:spacing w:after="0" w:line="142" w:lineRule="exact"/>
              <w:rPr>
                <w:sz w:val="20"/>
                <w:szCs w:val="20"/>
                <w:color w:val="auto"/>
              </w:rPr>
            </w:pPr>
            <w:r>
              <w:rPr>
                <w:rFonts w:ascii="Arial" w:cs="Arial" w:eastAsia="Arial" w:hAnsi="Arial"/>
                <w:sz w:val="14"/>
                <w:szCs w:val="14"/>
                <w:b w:val="1"/>
                <w:bCs w:val="1"/>
                <w:color w:val="auto"/>
              </w:rPr>
              <w:t>Eliminations</w:t>
            </w:r>
          </w:p>
        </w:tc>
        <w:tc>
          <w:tcPr>
            <w:tcW w:w="120" w:type="dxa"/>
            <w:vAlign w:val="bottom"/>
          </w:tcPr>
          <w:p>
            <w:pPr>
              <w:spacing w:after="0"/>
              <w:rPr>
                <w:sz w:val="12"/>
                <w:szCs w:val="12"/>
                <w:color w:val="auto"/>
              </w:rPr>
            </w:pPr>
          </w:p>
        </w:tc>
        <w:tc>
          <w:tcPr>
            <w:tcW w:w="900" w:type="dxa"/>
            <w:vAlign w:val="bottom"/>
            <w:gridSpan w:val="3"/>
          </w:tcPr>
          <w:p>
            <w:pPr>
              <w:jc w:val="right"/>
              <w:ind w:right="240"/>
              <w:spacing w:after="0" w:line="142" w:lineRule="exact"/>
              <w:rPr>
                <w:sz w:val="20"/>
                <w:szCs w:val="20"/>
                <w:color w:val="auto"/>
              </w:rPr>
            </w:pPr>
            <w:r>
              <w:rPr>
                <w:rFonts w:ascii="Arial" w:cs="Arial" w:eastAsia="Arial" w:hAnsi="Arial"/>
                <w:sz w:val="14"/>
                <w:szCs w:val="14"/>
                <w:b w:val="1"/>
                <w:bCs w:val="1"/>
                <w:color w:val="auto"/>
                <w:w w:val="95"/>
              </w:rPr>
              <w:t>Corporate</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jc w:val="right"/>
              <w:ind w:right="133"/>
              <w:spacing w:after="0" w:line="142" w:lineRule="exact"/>
              <w:rPr>
                <w:sz w:val="20"/>
                <w:szCs w:val="20"/>
                <w:color w:val="auto"/>
              </w:rPr>
            </w:pPr>
            <w:r>
              <w:rPr>
                <w:rFonts w:ascii="Arial" w:cs="Arial" w:eastAsia="Arial" w:hAnsi="Arial"/>
                <w:sz w:val="14"/>
                <w:szCs w:val="14"/>
                <w:b w:val="1"/>
                <w:bCs w:val="1"/>
                <w:color w:val="auto"/>
              </w:rPr>
              <w:t>Total</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80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For the Period January 1, 2009 Through July 9, 2009</w:t>
            </w:r>
          </w:p>
        </w:tc>
        <w:tc>
          <w:tcPr>
            <w:tcW w:w="100" w:type="dxa"/>
            <w:vAlign w:val="bottom"/>
            <w:tcBorders>
              <w:top w:val="single" w:sz="8" w:color="auto"/>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00" w:type="dxa"/>
            <w:vAlign w:val="bottom"/>
            <w:gridSpan w:val="2"/>
          </w:tcPr>
          <w:p>
            <w:pPr>
              <w:spacing w:after="0"/>
              <w:rPr>
                <w:sz w:val="20"/>
                <w:szCs w:val="20"/>
                <w:color w:val="auto"/>
              </w:rPr>
            </w:pPr>
            <w:r>
              <w:rPr>
                <w:rFonts w:ascii="Arial" w:cs="Arial" w:eastAsia="Arial" w:hAnsi="Arial"/>
                <w:sz w:val="18"/>
                <w:szCs w:val="18"/>
                <w:color w:val="auto"/>
              </w:rPr>
              <w:t>Sales</w:t>
            </w: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0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External customers</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94"/>
              </w:rPr>
              <w:t>23,490</w:t>
            </w:r>
          </w:p>
        </w:tc>
        <w:tc>
          <w:tcPr>
            <w:tcW w:w="2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83"/>
              </w:rPr>
              <w:t>10,878</w:t>
            </w:r>
          </w:p>
        </w:tc>
        <w:tc>
          <w:tcPr>
            <w:tcW w:w="2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12,419</w:t>
            </w:r>
          </w:p>
        </w:tc>
        <w:tc>
          <w:tcPr>
            <w:tcW w:w="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46,787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00" w:type="dxa"/>
            <w:vAlign w:val="bottom"/>
            <w:gridSpan w:val="2"/>
          </w:tcPr>
          <w:p>
            <w:pPr>
              <w:ind w:left="200"/>
              <w:spacing w:after="0"/>
              <w:rPr>
                <w:sz w:val="20"/>
                <w:szCs w:val="20"/>
                <w:color w:val="auto"/>
              </w:rPr>
            </w:pPr>
            <w:r>
              <w:rPr>
                <w:rFonts w:ascii="Arial" w:cs="Arial" w:eastAsia="Arial" w:hAnsi="Arial"/>
                <w:sz w:val="18"/>
                <w:szCs w:val="18"/>
                <w:color w:val="auto"/>
              </w:rPr>
              <w:t>Intersegment</w:t>
            </w:r>
          </w:p>
        </w:tc>
        <w:tc>
          <w:tcPr>
            <w:tcW w:w="100" w:type="dxa"/>
            <w:vAlign w:val="bottom"/>
          </w:tcPr>
          <w:p>
            <w:pPr>
              <w:spacing w:after="0"/>
              <w:rPr>
                <w:sz w:val="18"/>
                <w:szCs w:val="18"/>
                <w:color w:val="auto"/>
              </w:rPr>
            </w:pPr>
          </w:p>
        </w:tc>
        <w:tc>
          <w:tcPr>
            <w:tcW w:w="720" w:type="dxa"/>
            <w:vAlign w:val="bottom"/>
            <w:gridSpan w:val="2"/>
          </w:tcPr>
          <w:p>
            <w:pPr>
              <w:jc w:val="right"/>
              <w:ind w:right="180"/>
              <w:spacing w:after="0"/>
              <w:rPr>
                <w:sz w:val="20"/>
                <w:szCs w:val="20"/>
                <w:color w:val="auto"/>
              </w:rPr>
            </w:pPr>
            <w:r>
              <w:rPr>
                <w:rFonts w:ascii="Arial" w:cs="Arial" w:eastAsia="Arial" w:hAnsi="Arial"/>
                <w:sz w:val="18"/>
                <w:szCs w:val="18"/>
                <w:color w:val="auto"/>
              </w:rPr>
              <w:t>701</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180"/>
              <w:spacing w:after="0"/>
              <w:rPr>
                <w:sz w:val="20"/>
                <w:szCs w:val="20"/>
                <w:color w:val="auto"/>
              </w:rPr>
            </w:pPr>
            <w:r>
              <w:rPr>
                <w:rFonts w:ascii="Arial" w:cs="Arial" w:eastAsia="Arial" w:hAnsi="Arial"/>
                <w:sz w:val="18"/>
                <w:szCs w:val="18"/>
                <w:color w:val="auto"/>
              </w:rPr>
              <w:t>820</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133</w:t>
            </w: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gridSpan w:val="2"/>
          </w:tcPr>
          <w:p>
            <w:pPr>
              <w:jc w:val="right"/>
              <w:ind w:right="120"/>
              <w:spacing w:after="0"/>
              <w:rPr>
                <w:sz w:val="20"/>
                <w:szCs w:val="20"/>
                <w:color w:val="auto"/>
              </w:rPr>
            </w:pPr>
            <w:r>
              <w:rPr>
                <w:rFonts w:ascii="Arial" w:cs="Arial" w:eastAsia="Arial" w:hAnsi="Arial"/>
                <w:sz w:val="18"/>
                <w:szCs w:val="18"/>
                <w:color w:val="auto"/>
              </w:rPr>
              <w:t>(1,654)</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0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Other revenue</w:t>
            </w: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32"/>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328</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328</w:t>
            </w:r>
          </w:p>
        </w:tc>
        <w:tc>
          <w:tcPr>
            <w:tcW w:w="0" w:type="dxa"/>
            <w:vAlign w:val="bottom"/>
          </w:tcPr>
          <w:p>
            <w:pPr>
              <w:spacing w:after="0"/>
              <w:rPr>
                <w:sz w:val="1"/>
                <w:szCs w:val="1"/>
                <w:color w:val="auto"/>
              </w:rPr>
            </w:pPr>
          </w:p>
        </w:tc>
      </w:tr>
      <w:tr>
        <w:trPr>
          <w:trHeight w:val="20"/>
        </w:trPr>
        <w:tc>
          <w:tcPr>
            <w:tcW w:w="5820" w:type="dxa"/>
            <w:vAlign w:val="bottom"/>
            <w:gridSpan w:val="3"/>
            <w:vMerge w:val="restart"/>
          </w:tcPr>
          <w:p>
            <w:pPr>
              <w:spacing w:after="0"/>
              <w:rPr>
                <w:sz w:val="20"/>
                <w:szCs w:val="20"/>
                <w:color w:val="auto"/>
              </w:rPr>
            </w:pPr>
            <w:r>
              <w:rPr>
                <w:rFonts w:ascii="Arial" w:cs="Arial" w:eastAsia="Arial" w:hAnsi="Arial"/>
                <w:sz w:val="18"/>
                <w:szCs w:val="18"/>
                <w:color w:val="auto"/>
              </w:rPr>
              <w:t>Total net sales and revenue</w:t>
            </w:r>
          </w:p>
        </w:tc>
        <w:tc>
          <w:tcPr>
            <w:tcW w:w="10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5820" w:type="dxa"/>
            <w:vAlign w:val="bottom"/>
            <w:gridSpan w:val="3"/>
            <w:vMerge w:val="continue"/>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gridSpan w:val="2"/>
          </w:tcPr>
          <w:p>
            <w:pPr>
              <w:jc w:val="right"/>
              <w:ind w:right="180"/>
              <w:spacing w:after="0"/>
              <w:rPr>
                <w:sz w:val="20"/>
                <w:szCs w:val="20"/>
                <w:color w:val="auto"/>
              </w:rPr>
            </w:pPr>
            <w:r>
              <w:rPr>
                <w:rFonts w:ascii="Arial" w:cs="Arial" w:eastAsia="Arial" w:hAnsi="Arial"/>
                <w:sz w:val="18"/>
                <w:szCs w:val="18"/>
                <w:color w:val="auto"/>
                <w:w w:val="94"/>
              </w:rPr>
              <w:t>24,191</w:t>
            </w:r>
          </w:p>
        </w:tc>
        <w:tc>
          <w:tcPr>
            <w:tcW w:w="220" w:type="dxa"/>
            <w:vAlign w:val="bottom"/>
            <w:gridSpan w:val="2"/>
          </w:tcPr>
          <w:p>
            <w:pPr>
              <w:jc w:val="right"/>
              <w:ind w:right="20"/>
              <w:spacing w:after="0"/>
              <w:rPr>
                <w:sz w:val="20"/>
                <w:szCs w:val="20"/>
                <w:color w:val="auto"/>
              </w:rPr>
            </w:pPr>
            <w:r>
              <w:rPr>
                <w:rFonts w:ascii="Arial" w:cs="Arial" w:eastAsia="Arial" w:hAnsi="Arial"/>
                <w:sz w:val="18"/>
                <w:szCs w:val="18"/>
                <w:u w:val="single" w:color="auto"/>
                <w:color w:val="auto"/>
              </w:rPr>
              <w:t>$</w:t>
            </w:r>
          </w:p>
        </w:tc>
        <w:tc>
          <w:tcPr>
            <w:tcW w:w="660" w:type="dxa"/>
            <w:vAlign w:val="bottom"/>
            <w:gridSpan w:val="2"/>
          </w:tcPr>
          <w:p>
            <w:pPr>
              <w:jc w:val="right"/>
              <w:ind w:right="180"/>
              <w:spacing w:after="0"/>
              <w:rPr>
                <w:sz w:val="20"/>
                <w:szCs w:val="20"/>
                <w:color w:val="auto"/>
              </w:rPr>
            </w:pPr>
            <w:r>
              <w:rPr>
                <w:rFonts w:ascii="Arial" w:cs="Arial" w:eastAsia="Arial" w:hAnsi="Arial"/>
                <w:sz w:val="18"/>
                <w:szCs w:val="18"/>
                <w:color w:val="auto"/>
                <w:w w:val="83"/>
              </w:rPr>
              <w:t>11,698</w:t>
            </w:r>
          </w:p>
        </w:tc>
        <w:tc>
          <w:tcPr>
            <w:tcW w:w="220" w:type="dxa"/>
            <w:vAlign w:val="bottom"/>
            <w:gridSpan w:val="2"/>
          </w:tcPr>
          <w:p>
            <w:pPr>
              <w:jc w:val="right"/>
              <w:ind w:right="20"/>
              <w:spacing w:after="0"/>
              <w:rPr>
                <w:sz w:val="20"/>
                <w:szCs w:val="20"/>
                <w:color w:val="auto"/>
              </w:rPr>
            </w:pPr>
            <w:r>
              <w:rPr>
                <w:rFonts w:ascii="Arial" w:cs="Arial" w:eastAsia="Arial" w:hAnsi="Arial"/>
                <w:sz w:val="18"/>
                <w:szCs w:val="18"/>
                <w:u w:val="single" w:color="auto"/>
                <w:color w:val="auto"/>
              </w:rPr>
              <w:t>$</w:t>
            </w:r>
          </w:p>
        </w:tc>
        <w:tc>
          <w:tcPr>
            <w:tcW w:w="480" w:type="dxa"/>
            <w:vAlign w:val="bottom"/>
          </w:tcPr>
          <w:p>
            <w:pPr>
              <w:jc w:val="right"/>
              <w:spacing w:after="0"/>
              <w:rPr>
                <w:sz w:val="20"/>
                <w:szCs w:val="20"/>
                <w:color w:val="auto"/>
              </w:rPr>
            </w:pPr>
            <w:r>
              <w:rPr>
                <w:rFonts w:ascii="Arial" w:cs="Arial" w:eastAsia="Arial" w:hAnsi="Arial"/>
                <w:sz w:val="18"/>
                <w:szCs w:val="18"/>
                <w:color w:val="auto"/>
                <w:w w:val="83"/>
              </w:rPr>
              <w:t>12,552</w:t>
            </w:r>
          </w:p>
        </w:tc>
        <w:tc>
          <w:tcPr>
            <w:tcW w:w="300" w:type="dxa"/>
            <w:vAlign w:val="bottom"/>
          </w:tcPr>
          <w:p>
            <w:pPr>
              <w:spacing w:after="0"/>
              <w:rPr>
                <w:sz w:val="19"/>
                <w:szCs w:val="19"/>
                <w:color w:val="auto"/>
              </w:rPr>
            </w:pP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120"/>
              <w:spacing w:after="0"/>
              <w:rPr>
                <w:sz w:val="20"/>
                <w:szCs w:val="20"/>
                <w:color w:val="auto"/>
              </w:rPr>
            </w:pPr>
            <w:r>
              <w:rPr>
                <w:rFonts w:ascii="Arial" w:cs="Arial" w:eastAsia="Arial" w:hAnsi="Arial"/>
                <w:sz w:val="18"/>
                <w:szCs w:val="18"/>
                <w:color w:val="auto"/>
              </w:rPr>
              <w:t>(1,654)</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180"/>
              <w:spacing w:after="0"/>
              <w:rPr>
                <w:sz w:val="20"/>
                <w:szCs w:val="20"/>
                <w:color w:val="auto"/>
              </w:rPr>
            </w:pPr>
            <w:r>
              <w:rPr>
                <w:rFonts w:ascii="Arial" w:cs="Arial" w:eastAsia="Arial" w:hAnsi="Arial"/>
                <w:sz w:val="18"/>
                <w:szCs w:val="18"/>
                <w:color w:val="auto"/>
              </w:rPr>
              <w:t>328</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47,115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46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20" w:type="dxa"/>
            <w:vAlign w:val="bottom"/>
          </w:tcPr>
          <w:p>
            <w:pPr>
              <w:spacing w:after="0"/>
              <w:rPr>
                <w:sz w:val="18"/>
                <w:szCs w:val="18"/>
                <w:color w:val="auto"/>
              </w:rPr>
            </w:pPr>
          </w:p>
        </w:tc>
        <w:tc>
          <w:tcPr>
            <w:tcW w:w="580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7"/>
              </w:rPr>
              <w:t>Income (loss) attributable to stockholders before interest and income taxes</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79"/>
              </w:rPr>
              <w:t>$</w:t>
            </w:r>
          </w:p>
        </w:tc>
        <w:tc>
          <w:tcPr>
            <w:tcW w:w="7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86"/>
              </w:rPr>
              <w:t>(11,092)</w:t>
            </w:r>
          </w:p>
        </w:tc>
        <w:tc>
          <w:tcPr>
            <w:tcW w:w="2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(964)</w:t>
            </w:r>
          </w:p>
        </w:tc>
        <w:tc>
          <w:tcPr>
            <w:tcW w:w="2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172"/>
              <w:spacing w:after="0"/>
              <w:rPr>
                <w:sz w:val="20"/>
                <w:szCs w:val="20"/>
                <w:color w:val="auto"/>
              </w:rPr>
            </w:pPr>
            <w:r>
              <w:rPr>
                <w:rFonts w:ascii="Arial" w:cs="Arial" w:eastAsia="Arial" w:hAnsi="Arial"/>
                <w:sz w:val="18"/>
                <w:szCs w:val="18"/>
                <w:color w:val="auto"/>
                <w:w w:val="91"/>
              </w:rPr>
              <w:t>(2,815)</w:t>
            </w: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102</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92"/>
              </w:rPr>
              <w:t>127,966</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5"/>
              </w:rPr>
              <w:t>113,197</w:t>
            </w:r>
          </w:p>
        </w:tc>
        <w:tc>
          <w:tcPr>
            <w:tcW w:w="0" w:type="dxa"/>
            <w:vAlign w:val="bottom"/>
          </w:tcPr>
          <w:p>
            <w:pPr>
              <w:spacing w:after="0"/>
              <w:rPr>
                <w:sz w:val="1"/>
                <w:szCs w:val="1"/>
                <w:color w:val="auto"/>
              </w:rPr>
            </w:pPr>
          </w:p>
        </w:tc>
      </w:tr>
      <w:tr>
        <w:trPr>
          <w:trHeight w:val="20"/>
        </w:trPr>
        <w:tc>
          <w:tcPr>
            <w:tcW w:w="5820" w:type="dxa"/>
            <w:vAlign w:val="bottom"/>
            <w:gridSpan w:val="3"/>
            <w:vMerge w:val="restart"/>
          </w:tcPr>
          <w:p>
            <w:pPr>
              <w:spacing w:after="0"/>
              <w:rPr>
                <w:sz w:val="20"/>
                <w:szCs w:val="20"/>
                <w:color w:val="auto"/>
              </w:rPr>
            </w:pPr>
            <w:r>
              <w:rPr>
                <w:rFonts w:ascii="Arial" w:cs="Arial" w:eastAsia="Arial" w:hAnsi="Arial"/>
                <w:sz w:val="18"/>
                <w:szCs w:val="18"/>
                <w:color w:val="auto"/>
              </w:rPr>
              <w:t>Interest income</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gridSpan w:val="2"/>
            <w:vMerge w:val="restart"/>
          </w:tcPr>
          <w:p>
            <w:pPr>
              <w:jc w:val="right"/>
              <w:ind w:right="180"/>
              <w:spacing w:after="0"/>
              <w:rPr>
                <w:sz w:val="20"/>
                <w:szCs w:val="20"/>
                <w:color w:val="auto"/>
              </w:rPr>
            </w:pPr>
            <w:r>
              <w:rPr>
                <w:rFonts w:ascii="Arial" w:cs="Arial" w:eastAsia="Arial" w:hAnsi="Arial"/>
                <w:sz w:val="18"/>
                <w:szCs w:val="18"/>
                <w:color w:val="auto"/>
              </w:rPr>
              <w:t>183</w:t>
            </w: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gridSpan w:val="2"/>
            <w:vMerge w:val="restart"/>
          </w:tcPr>
          <w:p>
            <w:pPr>
              <w:jc w:val="right"/>
              <w:ind w:right="100"/>
              <w:spacing w:after="0"/>
              <w:rPr>
                <w:sz w:val="20"/>
                <w:szCs w:val="20"/>
                <w:color w:val="auto"/>
              </w:rPr>
            </w:pPr>
            <w:r>
              <w:rPr>
                <w:rFonts w:ascii="Arial" w:cs="Arial" w:eastAsia="Arial" w:hAnsi="Arial"/>
                <w:sz w:val="18"/>
                <w:szCs w:val="18"/>
                <w:color w:val="auto"/>
              </w:rPr>
              <w:t>183</w:t>
            </w:r>
          </w:p>
        </w:tc>
        <w:tc>
          <w:tcPr>
            <w:tcW w:w="0" w:type="dxa"/>
            <w:vAlign w:val="bottom"/>
          </w:tcPr>
          <w:p>
            <w:pPr>
              <w:spacing w:after="0" w:line="20" w:lineRule="exact"/>
              <w:rPr>
                <w:sz w:val="1"/>
                <w:szCs w:val="1"/>
                <w:color w:val="auto"/>
              </w:rPr>
            </w:pPr>
          </w:p>
        </w:tc>
      </w:tr>
      <w:tr>
        <w:trPr>
          <w:trHeight w:val="208"/>
        </w:trPr>
        <w:tc>
          <w:tcPr>
            <w:tcW w:w="5820" w:type="dxa"/>
            <w:vAlign w:val="bottom"/>
            <w:gridSpan w:val="3"/>
            <w:vMerge w:val="continue"/>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58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Interest expense</w:t>
            </w: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5,428</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5,428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00" w:type="dxa"/>
            <w:vAlign w:val="bottom"/>
            <w:gridSpan w:val="2"/>
          </w:tcPr>
          <w:p>
            <w:pPr>
              <w:spacing w:after="0"/>
              <w:rPr>
                <w:sz w:val="20"/>
                <w:szCs w:val="20"/>
                <w:color w:val="auto"/>
              </w:rPr>
            </w:pPr>
            <w:r>
              <w:rPr>
                <w:rFonts w:ascii="Arial" w:cs="Arial" w:eastAsia="Arial" w:hAnsi="Arial"/>
                <w:sz w:val="18"/>
                <w:szCs w:val="18"/>
                <w:color w:val="auto"/>
              </w:rPr>
              <w:t>Income tax expense (benefit)</w:t>
            </w: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jc w:val="right"/>
              <w:ind w:right="120"/>
              <w:spacing w:after="0"/>
              <w:rPr>
                <w:sz w:val="20"/>
                <w:szCs w:val="20"/>
                <w:color w:val="auto"/>
              </w:rPr>
            </w:pPr>
            <w:r>
              <w:rPr>
                <w:rFonts w:ascii="Arial" w:cs="Arial" w:eastAsia="Arial" w:hAnsi="Arial"/>
                <w:sz w:val="18"/>
                <w:szCs w:val="18"/>
                <w:color w:val="auto"/>
              </w:rPr>
              <w:t>(1,166)</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rPr>
              <w:t>(1,166)</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1140" w:type="dxa"/>
            <w:vAlign w:val="bottom"/>
          </w:tcPr>
          <w:p>
            <w:pPr>
              <w:spacing w:after="0"/>
              <w:rPr>
                <w:sz w:val="2"/>
                <w:szCs w:val="2"/>
                <w:color w:val="auto"/>
              </w:rPr>
            </w:pPr>
          </w:p>
        </w:tc>
        <w:tc>
          <w:tcPr>
            <w:tcW w:w="4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80" w:type="dxa"/>
            <w:vAlign w:val="bottom"/>
          </w:tcPr>
          <w:p>
            <w:pPr>
              <w:spacing w:after="0"/>
              <w:rPr>
                <w:sz w:val="2"/>
                <w:szCs w:val="2"/>
                <w:color w:val="auto"/>
              </w:rPr>
            </w:pPr>
          </w:p>
        </w:tc>
        <w:tc>
          <w:tcPr>
            <w:tcW w:w="5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8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income (loss) attributable to stockholders</w:t>
            </w: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92"/>
              </w:rPr>
              <w:t>123,887</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5"/>
              </w:rPr>
              <w:t>109,118</w:t>
            </w:r>
          </w:p>
        </w:tc>
        <w:tc>
          <w:tcPr>
            <w:tcW w:w="0" w:type="dxa"/>
            <w:vAlign w:val="bottom"/>
          </w:tcPr>
          <w:p>
            <w:pPr>
              <w:spacing w:after="0"/>
              <w:rPr>
                <w:sz w:val="1"/>
                <w:szCs w:val="1"/>
                <w:color w:val="auto"/>
              </w:rPr>
            </w:pPr>
          </w:p>
        </w:tc>
      </w:tr>
      <w:tr>
        <w:trPr>
          <w:trHeight w:val="20"/>
        </w:trPr>
        <w:tc>
          <w:tcPr>
            <w:tcW w:w="5820" w:type="dxa"/>
            <w:vAlign w:val="bottom"/>
            <w:gridSpan w:val="3"/>
            <w:vMerge w:val="restart"/>
          </w:tcPr>
          <w:p>
            <w:pPr>
              <w:spacing w:after="0"/>
              <w:rPr>
                <w:sz w:val="20"/>
                <w:szCs w:val="20"/>
                <w:color w:val="auto"/>
              </w:rPr>
            </w:pPr>
            <w:r>
              <w:rPr>
                <w:rFonts w:ascii="Arial" w:cs="Arial" w:eastAsia="Arial" w:hAnsi="Arial"/>
                <w:sz w:val="18"/>
                <w:szCs w:val="18"/>
                <w:color w:val="auto"/>
              </w:rPr>
              <w:t>Depreciation, amortization and impairment</w:t>
            </w:r>
          </w:p>
        </w:tc>
        <w:tc>
          <w:tcPr>
            <w:tcW w:w="100" w:type="dxa"/>
            <w:vAlign w:val="bottom"/>
            <w:vMerge w:val="restart"/>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gridSpan w:val="2"/>
            <w:vMerge w:val="restart"/>
          </w:tcPr>
          <w:p>
            <w:pPr>
              <w:jc w:val="right"/>
              <w:ind w:right="180"/>
              <w:spacing w:after="0"/>
              <w:rPr>
                <w:sz w:val="20"/>
                <w:szCs w:val="20"/>
                <w:color w:val="auto"/>
              </w:rPr>
            </w:pPr>
            <w:r>
              <w:rPr>
                <w:rFonts w:ascii="Arial" w:cs="Arial" w:eastAsia="Arial" w:hAnsi="Arial"/>
                <w:sz w:val="18"/>
                <w:szCs w:val="18"/>
                <w:color w:val="auto"/>
              </w:rPr>
              <w:t>4,759</w:t>
            </w:r>
          </w:p>
        </w:tc>
        <w:tc>
          <w:tcPr>
            <w:tcW w:w="220" w:type="dxa"/>
            <w:vAlign w:val="bottom"/>
            <w:gridSpan w:val="2"/>
            <w:vMerge w:val="restart"/>
          </w:tcPr>
          <w:p>
            <w:pPr>
              <w:jc w:val="right"/>
              <w:ind w:right="20"/>
              <w:spacing w:after="0"/>
              <w:rPr>
                <w:sz w:val="20"/>
                <w:szCs w:val="20"/>
                <w:color w:val="auto"/>
              </w:rPr>
            </w:pPr>
            <w:r>
              <w:rPr>
                <w:rFonts w:ascii="Arial" w:cs="Arial" w:eastAsia="Arial" w:hAnsi="Arial"/>
                <w:sz w:val="18"/>
                <w:szCs w:val="18"/>
                <w:color w:val="auto"/>
              </w:rPr>
              <w:t>$</w:t>
            </w:r>
          </w:p>
        </w:tc>
        <w:tc>
          <w:tcPr>
            <w:tcW w:w="660" w:type="dxa"/>
            <w:vAlign w:val="bottom"/>
            <w:gridSpan w:val="2"/>
            <w:vMerge w:val="restart"/>
          </w:tcPr>
          <w:p>
            <w:pPr>
              <w:jc w:val="right"/>
              <w:ind w:right="180"/>
              <w:spacing w:after="0"/>
              <w:rPr>
                <w:sz w:val="20"/>
                <w:szCs w:val="20"/>
                <w:color w:val="auto"/>
              </w:rPr>
            </w:pPr>
            <w:r>
              <w:rPr>
                <w:rFonts w:ascii="Arial" w:cs="Arial" w:eastAsia="Arial" w:hAnsi="Arial"/>
                <w:sz w:val="18"/>
                <w:szCs w:val="18"/>
                <w:color w:val="auto"/>
              </w:rPr>
              <w:t>480</w:t>
            </w:r>
          </w:p>
        </w:tc>
        <w:tc>
          <w:tcPr>
            <w:tcW w:w="220" w:type="dxa"/>
            <w:vAlign w:val="bottom"/>
            <w:gridSpan w:val="2"/>
            <w:vMerge w:val="restart"/>
          </w:tcPr>
          <w:p>
            <w:pPr>
              <w:jc w:val="right"/>
              <w:ind w:right="20"/>
              <w:spacing w:after="0"/>
              <w:rPr>
                <w:sz w:val="20"/>
                <w:szCs w:val="20"/>
                <w:color w:val="auto"/>
              </w:rPr>
            </w:pPr>
            <w:r>
              <w:rPr>
                <w:rFonts w:ascii="Arial" w:cs="Arial" w:eastAsia="Arial" w:hAnsi="Arial"/>
                <w:sz w:val="18"/>
                <w:szCs w:val="18"/>
                <w:color w:val="auto"/>
              </w:rPr>
              <w:t>$</w:t>
            </w:r>
          </w:p>
        </w:tc>
        <w:tc>
          <w:tcPr>
            <w:tcW w:w="480" w:type="dxa"/>
            <w:vAlign w:val="bottom"/>
            <w:vMerge w:val="restart"/>
          </w:tcPr>
          <w:p>
            <w:pPr>
              <w:jc w:val="right"/>
              <w:spacing w:after="0"/>
              <w:rPr>
                <w:sz w:val="20"/>
                <w:szCs w:val="20"/>
                <w:color w:val="auto"/>
              </w:rPr>
            </w:pPr>
            <w:r>
              <w:rPr>
                <w:rFonts w:ascii="Arial" w:cs="Arial" w:eastAsia="Arial" w:hAnsi="Arial"/>
                <w:sz w:val="18"/>
                <w:szCs w:val="18"/>
                <w:color w:val="auto"/>
              </w:rPr>
              <w:t>1,492</w:t>
            </w:r>
          </w:p>
        </w:tc>
        <w:tc>
          <w:tcPr>
            <w:tcW w:w="300" w:type="dxa"/>
            <w:vAlign w:val="bottom"/>
          </w:tcPr>
          <w:p>
            <w:pPr>
              <w:spacing w:after="0" w:line="20" w:lineRule="exact"/>
              <w:rPr>
                <w:sz w:val="1"/>
                <w:szCs w:val="1"/>
                <w:color w:val="auto"/>
              </w:rPr>
            </w:pPr>
          </w:p>
        </w:tc>
        <w:tc>
          <w:tcPr>
            <w:tcW w:w="180" w:type="dxa"/>
            <w:vAlign w:val="bottom"/>
            <w:vMerge w:val="restart"/>
          </w:tcPr>
          <w:p>
            <w:pPr>
              <w:spacing w:after="0"/>
              <w:rPr>
                <w:sz w:val="20"/>
                <w:szCs w:val="20"/>
                <w:color w:val="auto"/>
              </w:rPr>
            </w:pPr>
            <w:r>
              <w:rPr>
                <w:rFonts w:ascii="Arial" w:cs="Arial" w:eastAsia="Arial" w:hAnsi="Arial"/>
                <w:sz w:val="18"/>
                <w:szCs w:val="18"/>
                <w:color w:val="auto"/>
              </w:rPr>
              <w:t>$</w:t>
            </w:r>
          </w:p>
        </w:tc>
        <w:tc>
          <w:tcPr>
            <w:tcW w:w="740" w:type="dxa"/>
            <w:vAlign w:val="bottom"/>
            <w:gridSpan w:val="2"/>
            <w:vMerge w:val="restart"/>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5820" w:type="dxa"/>
            <w:vAlign w:val="bottom"/>
            <w:gridSpan w:val="3"/>
            <w:vMerge w:val="continue"/>
          </w:tcPr>
          <w:p>
            <w:pPr>
              <w:spacing w:after="0"/>
              <w:rPr>
                <w:sz w:val="18"/>
                <w:szCs w:val="18"/>
                <w:color w:val="auto"/>
              </w:rPr>
            </w:pPr>
          </w:p>
        </w:tc>
        <w:tc>
          <w:tcPr>
            <w:tcW w:w="100" w:type="dxa"/>
            <w:vAlign w:val="bottom"/>
            <w:vMerge w:val="continue"/>
          </w:tcPr>
          <w:p>
            <w:pPr>
              <w:spacing w:after="0"/>
              <w:rPr>
                <w:sz w:val="18"/>
                <w:szCs w:val="18"/>
                <w:color w:val="auto"/>
              </w:rPr>
            </w:pPr>
          </w:p>
        </w:tc>
        <w:tc>
          <w:tcPr>
            <w:tcW w:w="720" w:type="dxa"/>
            <w:vAlign w:val="bottom"/>
            <w:gridSpan w:val="2"/>
            <w:vMerge w:val="continue"/>
          </w:tcPr>
          <w:p>
            <w:pPr>
              <w:spacing w:after="0"/>
              <w:rPr>
                <w:sz w:val="18"/>
                <w:szCs w:val="18"/>
                <w:color w:val="auto"/>
              </w:rPr>
            </w:pPr>
          </w:p>
        </w:tc>
        <w:tc>
          <w:tcPr>
            <w:tcW w:w="220" w:type="dxa"/>
            <w:vAlign w:val="bottom"/>
            <w:gridSpan w:val="2"/>
            <w:vMerge w:val="continue"/>
          </w:tcPr>
          <w:p>
            <w:pPr>
              <w:spacing w:after="0"/>
              <w:rPr>
                <w:sz w:val="18"/>
                <w:szCs w:val="18"/>
                <w:color w:val="auto"/>
              </w:rPr>
            </w:pPr>
          </w:p>
        </w:tc>
        <w:tc>
          <w:tcPr>
            <w:tcW w:w="660" w:type="dxa"/>
            <w:vAlign w:val="bottom"/>
            <w:gridSpan w:val="2"/>
            <w:vMerge w:val="continue"/>
          </w:tcPr>
          <w:p>
            <w:pPr>
              <w:spacing w:after="0"/>
              <w:rPr>
                <w:sz w:val="18"/>
                <w:szCs w:val="18"/>
                <w:color w:val="auto"/>
              </w:rPr>
            </w:pPr>
          </w:p>
        </w:tc>
        <w:tc>
          <w:tcPr>
            <w:tcW w:w="220" w:type="dxa"/>
            <w:vAlign w:val="bottom"/>
            <w:gridSpan w:val="2"/>
            <w:vMerge w:val="continue"/>
          </w:tcPr>
          <w:p>
            <w:pPr>
              <w:spacing w:after="0"/>
              <w:rPr>
                <w:sz w:val="18"/>
                <w:szCs w:val="18"/>
                <w:color w:val="auto"/>
              </w:rPr>
            </w:pPr>
          </w:p>
        </w:tc>
        <w:tc>
          <w:tcPr>
            <w:tcW w:w="480" w:type="dxa"/>
            <w:vAlign w:val="bottom"/>
            <w:vMerge w:val="continue"/>
          </w:tcPr>
          <w:p>
            <w:pPr>
              <w:spacing w:after="0"/>
              <w:rPr>
                <w:sz w:val="18"/>
                <w:szCs w:val="18"/>
                <w:color w:val="auto"/>
              </w:rPr>
            </w:pPr>
          </w:p>
        </w:tc>
        <w:tc>
          <w:tcPr>
            <w:tcW w:w="300" w:type="dxa"/>
            <w:vAlign w:val="bottom"/>
          </w:tcPr>
          <w:p>
            <w:pPr>
              <w:spacing w:after="0"/>
              <w:rPr>
                <w:sz w:val="18"/>
                <w:szCs w:val="18"/>
                <w:color w:val="auto"/>
              </w:rPr>
            </w:pPr>
          </w:p>
        </w:tc>
        <w:tc>
          <w:tcPr>
            <w:tcW w:w="180" w:type="dxa"/>
            <w:vAlign w:val="bottom"/>
            <w:vMerge w:val="continue"/>
          </w:tcPr>
          <w:p>
            <w:pPr>
              <w:spacing w:after="0"/>
              <w:rPr>
                <w:sz w:val="18"/>
                <w:szCs w:val="18"/>
                <w:color w:val="auto"/>
              </w:rPr>
            </w:pPr>
          </w:p>
        </w:tc>
        <w:tc>
          <w:tcPr>
            <w:tcW w:w="740" w:type="dxa"/>
            <w:vAlign w:val="bottom"/>
            <w:gridSpan w:val="2"/>
            <w:vMerge w:val="continue"/>
          </w:tcPr>
          <w:p>
            <w:pPr>
              <w:spacing w:after="0"/>
              <w:rPr>
                <w:sz w:val="18"/>
                <w:szCs w:val="18"/>
                <w:color w:val="auto"/>
              </w:rPr>
            </w:pP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180"/>
              <w:spacing w:after="0"/>
              <w:rPr>
                <w:sz w:val="20"/>
                <w:szCs w:val="20"/>
                <w:color w:val="auto"/>
              </w:rPr>
            </w:pPr>
            <w:r>
              <w:rPr>
                <w:rFonts w:ascii="Arial" w:cs="Arial" w:eastAsia="Arial" w:hAnsi="Arial"/>
                <w:sz w:val="18"/>
                <w:szCs w:val="18"/>
                <w:color w:val="auto"/>
              </w:rPr>
              <w:t>142</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6,873</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58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Equity in income of and disposition of interest in Ally Financial</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232"/>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1,380</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1,380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00" w:type="dxa"/>
            <w:vAlign w:val="bottom"/>
            <w:gridSpan w:val="2"/>
          </w:tcPr>
          <w:p>
            <w:pPr>
              <w:spacing w:after="0"/>
              <w:rPr>
                <w:sz w:val="20"/>
                <w:szCs w:val="20"/>
                <w:color w:val="auto"/>
              </w:rPr>
            </w:pPr>
            <w:r>
              <w:rPr>
                <w:rFonts w:ascii="Arial" w:cs="Arial" w:eastAsia="Arial" w:hAnsi="Arial"/>
                <w:sz w:val="18"/>
                <w:szCs w:val="18"/>
                <w:color w:val="auto"/>
              </w:rPr>
              <w:t>Equity income (loss), net of tax</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gridSpan w:val="2"/>
          </w:tcPr>
          <w:p>
            <w:pPr>
              <w:jc w:val="right"/>
              <w:ind w:right="120"/>
              <w:spacing w:after="0"/>
              <w:rPr>
                <w:sz w:val="20"/>
                <w:szCs w:val="20"/>
                <w:color w:val="auto"/>
              </w:rPr>
            </w:pPr>
            <w:r>
              <w:rPr>
                <w:rFonts w:ascii="Arial" w:cs="Arial" w:eastAsia="Arial" w:hAnsi="Arial"/>
                <w:sz w:val="18"/>
                <w:szCs w:val="18"/>
                <w:color w:val="auto"/>
              </w:rPr>
              <w:t>(277)</w:t>
            </w:r>
          </w:p>
        </w:tc>
        <w:tc>
          <w:tcPr>
            <w:tcW w:w="2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660" w:type="dxa"/>
            <w:vAlign w:val="bottom"/>
            <w:gridSpan w:val="2"/>
          </w:tcPr>
          <w:p>
            <w:pPr>
              <w:jc w:val="right"/>
              <w:ind w:right="180"/>
              <w:spacing w:after="0"/>
              <w:rPr>
                <w:sz w:val="20"/>
                <w:szCs w:val="20"/>
                <w:color w:val="auto"/>
              </w:rPr>
            </w:pPr>
            <w:r>
              <w:rPr>
                <w:rFonts w:ascii="Arial" w:cs="Arial" w:eastAsia="Arial" w:hAnsi="Arial"/>
                <w:sz w:val="18"/>
                <w:szCs w:val="18"/>
                <w:color w:val="auto"/>
              </w:rPr>
              <w:t>334</w:t>
            </w:r>
          </w:p>
        </w:tc>
        <w:tc>
          <w:tcPr>
            <w:tcW w:w="2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3</w:t>
            </w:r>
          </w:p>
        </w:tc>
        <w:tc>
          <w:tcPr>
            <w:tcW w:w="300" w:type="dxa"/>
            <w:vAlign w:val="bottom"/>
          </w:tcPr>
          <w:p>
            <w:pPr>
              <w:spacing w:after="0"/>
              <w:rPr>
                <w:sz w:val="18"/>
                <w:szCs w:val="18"/>
                <w:color w:val="auto"/>
              </w:rPr>
            </w:pP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180"/>
              <w:spacing w:after="0"/>
              <w:rPr>
                <w:sz w:val="20"/>
                <w:szCs w:val="20"/>
                <w:color w:val="auto"/>
              </w:rPr>
            </w:pPr>
            <w:r>
              <w:rPr>
                <w:rFonts w:ascii="Arial" w:cs="Arial" w:eastAsia="Arial" w:hAnsi="Arial"/>
                <w:sz w:val="18"/>
                <w:szCs w:val="18"/>
                <w:color w:val="auto"/>
              </w:rPr>
              <w:t>1</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61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Significant non-cash charges (gains)</w:t>
            </w: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00" w:type="dxa"/>
            <w:vAlign w:val="bottom"/>
            <w:gridSpan w:val="2"/>
          </w:tcPr>
          <w:p>
            <w:pPr>
              <w:ind w:left="200"/>
              <w:spacing w:after="0"/>
              <w:rPr>
                <w:sz w:val="20"/>
                <w:szCs w:val="20"/>
                <w:color w:val="auto"/>
              </w:rPr>
            </w:pPr>
            <w:r>
              <w:rPr>
                <w:rFonts w:ascii="Arial" w:cs="Arial" w:eastAsia="Arial" w:hAnsi="Arial"/>
                <w:sz w:val="18"/>
                <w:szCs w:val="18"/>
                <w:color w:val="auto"/>
              </w:rPr>
              <w:t>Gain on extinguishment of debt</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6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232"/>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120"/>
              <w:spacing w:after="0"/>
              <w:rPr>
                <w:sz w:val="20"/>
                <w:szCs w:val="20"/>
                <w:color w:val="auto"/>
              </w:rPr>
            </w:pPr>
            <w:r>
              <w:rPr>
                <w:rFonts w:ascii="Arial" w:cs="Arial" w:eastAsia="Arial" w:hAnsi="Arial"/>
                <w:sz w:val="18"/>
                <w:szCs w:val="18"/>
                <w:color w:val="auto"/>
              </w:rPr>
              <w:t>(906)</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rPr>
              <w:t>(906)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0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Loss on extinguishment of UST Ally Financial Loan</w:t>
            </w: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32"/>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1,994</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1,994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00" w:type="dxa"/>
            <w:vAlign w:val="bottom"/>
            <w:gridSpan w:val="2"/>
          </w:tcPr>
          <w:p>
            <w:pPr>
              <w:ind w:left="200"/>
              <w:spacing w:after="0"/>
              <w:rPr>
                <w:sz w:val="20"/>
                <w:szCs w:val="20"/>
                <w:color w:val="auto"/>
              </w:rPr>
            </w:pPr>
            <w:r>
              <w:rPr>
                <w:rFonts w:ascii="Arial" w:cs="Arial" w:eastAsia="Arial" w:hAnsi="Arial"/>
                <w:sz w:val="18"/>
                <w:szCs w:val="18"/>
                <w:color w:val="auto"/>
              </w:rPr>
              <w:t>Gain on conversion of UST Ally Financial Loan</w:t>
            </w:r>
          </w:p>
        </w:tc>
        <w:tc>
          <w:tcPr>
            <w:tcW w:w="100" w:type="dxa"/>
            <w:vAlign w:val="bottom"/>
          </w:tcPr>
          <w:p>
            <w:pPr>
              <w:spacing w:after="0"/>
              <w:rPr>
                <w:sz w:val="18"/>
                <w:szCs w:val="18"/>
                <w:color w:val="auto"/>
              </w:rPr>
            </w:pPr>
          </w:p>
        </w:tc>
        <w:tc>
          <w:tcPr>
            <w:tcW w:w="7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232"/>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7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jc w:val="right"/>
              <w:ind w:right="120"/>
              <w:spacing w:after="0"/>
              <w:rPr>
                <w:sz w:val="20"/>
                <w:szCs w:val="20"/>
                <w:color w:val="auto"/>
              </w:rPr>
            </w:pPr>
            <w:r>
              <w:rPr>
                <w:rFonts w:ascii="Arial" w:cs="Arial" w:eastAsia="Arial" w:hAnsi="Arial"/>
                <w:sz w:val="18"/>
                <w:szCs w:val="18"/>
                <w:color w:val="auto"/>
              </w:rPr>
              <w:t>(2,477)</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rPr>
              <w:t>(2,477)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0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Reorganization gains, net (a)</w:t>
            </w: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32"/>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85"/>
              </w:rPr>
              <w:t>(128,563)</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88"/>
              </w:rPr>
              <w:t>(128,563)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00" w:type="dxa"/>
            <w:vAlign w:val="bottom"/>
            <w:gridSpan w:val="2"/>
          </w:tcPr>
          <w:p>
            <w:pPr>
              <w:ind w:left="200"/>
              <w:spacing w:after="0"/>
              <w:rPr>
                <w:sz w:val="20"/>
                <w:szCs w:val="20"/>
                <w:color w:val="auto"/>
              </w:rPr>
            </w:pPr>
            <w:r>
              <w:rPr>
                <w:rFonts w:ascii="Arial" w:cs="Arial" w:eastAsia="Arial" w:hAnsi="Arial"/>
                <w:sz w:val="18"/>
                <w:szCs w:val="18"/>
                <w:color w:val="auto"/>
              </w:rPr>
              <w:t>Reversal of valuation allowances against deferred tax assets</w:t>
            </w:r>
          </w:p>
        </w:tc>
        <w:tc>
          <w:tcPr>
            <w:tcW w:w="100" w:type="dxa"/>
            <w:vAlign w:val="bottom"/>
          </w:tcPr>
          <w:p>
            <w:pPr>
              <w:spacing w:after="0"/>
              <w:rPr>
                <w:sz w:val="18"/>
                <w:szCs w:val="18"/>
                <w:color w:val="auto"/>
              </w:rPr>
            </w:pPr>
          </w:p>
        </w:tc>
        <w:tc>
          <w:tcPr>
            <w:tcW w:w="7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232"/>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7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jc w:val="right"/>
              <w:ind w:right="120"/>
              <w:spacing w:after="0"/>
              <w:rPr>
                <w:sz w:val="20"/>
                <w:szCs w:val="20"/>
                <w:color w:val="auto"/>
              </w:rPr>
            </w:pPr>
            <w:r>
              <w:rPr>
                <w:rFonts w:ascii="Arial" w:cs="Arial" w:eastAsia="Arial" w:hAnsi="Arial"/>
                <w:sz w:val="18"/>
                <w:szCs w:val="18"/>
                <w:color w:val="auto"/>
              </w:rPr>
              <w:t>(751)</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rPr>
              <w:t>(751)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0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Impairment charges related to equipment on operating leases</w:t>
            </w: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11</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w:t>
            </w:r>
          </w:p>
        </w:tc>
        <w:tc>
          <w:tcPr>
            <w:tcW w:w="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16</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00" w:type="dxa"/>
            <w:vAlign w:val="bottom"/>
            <w:gridSpan w:val="2"/>
          </w:tcPr>
          <w:p>
            <w:pPr>
              <w:ind w:left="200"/>
              <w:spacing w:after="0"/>
              <w:rPr>
                <w:sz w:val="20"/>
                <w:szCs w:val="20"/>
                <w:color w:val="auto"/>
              </w:rPr>
            </w:pPr>
            <w:r>
              <w:rPr>
                <w:rFonts w:ascii="Arial" w:cs="Arial" w:eastAsia="Arial" w:hAnsi="Arial"/>
                <w:sz w:val="18"/>
                <w:szCs w:val="18"/>
                <w:color w:val="auto"/>
              </w:rPr>
              <w:t>Impairment charges related to long-lived assets</w:t>
            </w:r>
          </w:p>
        </w:tc>
        <w:tc>
          <w:tcPr>
            <w:tcW w:w="100" w:type="dxa"/>
            <w:vAlign w:val="bottom"/>
          </w:tcPr>
          <w:p>
            <w:pPr>
              <w:spacing w:after="0"/>
              <w:rPr>
                <w:sz w:val="18"/>
                <w:szCs w:val="18"/>
                <w:color w:val="auto"/>
              </w:rPr>
            </w:pPr>
          </w:p>
        </w:tc>
        <w:tc>
          <w:tcPr>
            <w:tcW w:w="720" w:type="dxa"/>
            <w:vAlign w:val="bottom"/>
            <w:gridSpan w:val="2"/>
          </w:tcPr>
          <w:p>
            <w:pPr>
              <w:jc w:val="right"/>
              <w:ind w:right="180"/>
              <w:spacing w:after="0"/>
              <w:rPr>
                <w:sz w:val="20"/>
                <w:szCs w:val="20"/>
                <w:color w:val="auto"/>
              </w:rPr>
            </w:pPr>
            <w:r>
              <w:rPr>
                <w:rFonts w:ascii="Arial" w:cs="Arial" w:eastAsia="Arial" w:hAnsi="Arial"/>
                <w:sz w:val="18"/>
                <w:szCs w:val="18"/>
                <w:color w:val="auto"/>
              </w:rPr>
              <w:t>320</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180"/>
              <w:spacing w:after="0"/>
              <w:rPr>
                <w:sz w:val="20"/>
                <w:szCs w:val="20"/>
                <w:color w:val="auto"/>
              </w:rPr>
            </w:pPr>
            <w:r>
              <w:rPr>
                <w:rFonts w:ascii="Arial" w:cs="Arial" w:eastAsia="Arial" w:hAnsi="Arial"/>
                <w:sz w:val="18"/>
                <w:szCs w:val="18"/>
                <w:color w:val="auto"/>
              </w:rPr>
              <w:t>9</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237</w:t>
            </w: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566</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1140" w:type="dxa"/>
            <w:vAlign w:val="bottom"/>
          </w:tcPr>
          <w:p>
            <w:pPr>
              <w:spacing w:after="0"/>
              <w:rPr>
                <w:sz w:val="2"/>
                <w:szCs w:val="2"/>
                <w:color w:val="auto"/>
              </w:rPr>
            </w:pPr>
          </w:p>
        </w:tc>
        <w:tc>
          <w:tcPr>
            <w:tcW w:w="46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8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significant non-cash charges (gains)</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331</w:t>
            </w:r>
          </w:p>
        </w:tc>
        <w:tc>
          <w:tcPr>
            <w:tcW w:w="2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9</w:t>
            </w:r>
          </w:p>
        </w:tc>
        <w:tc>
          <w:tcPr>
            <w:tcW w:w="2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273</w:t>
            </w:r>
          </w:p>
        </w:tc>
        <w:tc>
          <w:tcPr>
            <w:tcW w:w="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85"/>
              </w:rPr>
              <w:t>(130,687)</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88"/>
              </w:rPr>
              <w:t>(130,074)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46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2"/>
        </w:trPr>
        <w:tc>
          <w:tcPr>
            <w:tcW w:w="20" w:type="dxa"/>
            <w:vAlign w:val="bottom"/>
          </w:tcPr>
          <w:p>
            <w:pPr>
              <w:spacing w:after="0"/>
              <w:rPr>
                <w:sz w:val="8"/>
                <w:szCs w:val="8"/>
                <w:color w:val="auto"/>
              </w:rPr>
            </w:pPr>
          </w:p>
        </w:tc>
        <w:tc>
          <w:tcPr>
            <w:tcW w:w="1140" w:type="dxa"/>
            <w:vAlign w:val="bottom"/>
            <w:tcBorders>
              <w:bottom w:val="single" w:sz="8" w:color="auto"/>
            </w:tcBorders>
          </w:tcPr>
          <w:p>
            <w:pPr>
              <w:spacing w:after="0"/>
              <w:rPr>
                <w:sz w:val="8"/>
                <w:szCs w:val="8"/>
                <w:color w:val="auto"/>
              </w:rPr>
            </w:pPr>
          </w:p>
        </w:tc>
        <w:tc>
          <w:tcPr>
            <w:tcW w:w="4660" w:type="dxa"/>
            <w:vAlign w:val="bottom"/>
          </w:tcPr>
          <w:p>
            <w:pPr>
              <w:spacing w:after="0"/>
              <w:rPr>
                <w:sz w:val="8"/>
                <w:szCs w:val="8"/>
                <w:color w:val="auto"/>
              </w:rPr>
            </w:pPr>
          </w:p>
        </w:tc>
        <w:tc>
          <w:tcPr>
            <w:tcW w:w="100" w:type="dxa"/>
            <w:vAlign w:val="bottom"/>
          </w:tcPr>
          <w:p>
            <w:pPr>
              <w:spacing w:after="0"/>
              <w:rPr>
                <w:sz w:val="8"/>
                <w:szCs w:val="8"/>
                <w:color w:val="auto"/>
              </w:rPr>
            </w:pPr>
          </w:p>
        </w:tc>
        <w:tc>
          <w:tcPr>
            <w:tcW w:w="540" w:type="dxa"/>
            <w:vAlign w:val="bottom"/>
          </w:tcPr>
          <w:p>
            <w:pPr>
              <w:spacing w:after="0"/>
              <w:rPr>
                <w:sz w:val="8"/>
                <w:szCs w:val="8"/>
                <w:color w:val="auto"/>
              </w:rPr>
            </w:pPr>
          </w:p>
        </w:tc>
        <w:tc>
          <w:tcPr>
            <w:tcW w:w="18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480" w:type="dxa"/>
            <w:vAlign w:val="bottom"/>
          </w:tcPr>
          <w:p>
            <w:pPr>
              <w:spacing w:after="0"/>
              <w:rPr>
                <w:sz w:val="8"/>
                <w:szCs w:val="8"/>
                <w:color w:val="auto"/>
              </w:rPr>
            </w:pPr>
          </w:p>
        </w:tc>
        <w:tc>
          <w:tcPr>
            <w:tcW w:w="18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480" w:type="dxa"/>
            <w:vAlign w:val="bottom"/>
          </w:tcPr>
          <w:p>
            <w:pPr>
              <w:spacing w:after="0"/>
              <w:rPr>
                <w:sz w:val="8"/>
                <w:szCs w:val="8"/>
                <w:color w:val="auto"/>
              </w:rPr>
            </w:pPr>
          </w:p>
        </w:tc>
        <w:tc>
          <w:tcPr>
            <w:tcW w:w="300" w:type="dxa"/>
            <w:vAlign w:val="bottom"/>
          </w:tcPr>
          <w:p>
            <w:pPr>
              <w:spacing w:after="0"/>
              <w:rPr>
                <w:sz w:val="8"/>
                <w:szCs w:val="8"/>
                <w:color w:val="auto"/>
              </w:rPr>
            </w:pPr>
          </w:p>
        </w:tc>
        <w:tc>
          <w:tcPr>
            <w:tcW w:w="180" w:type="dxa"/>
            <w:vAlign w:val="bottom"/>
          </w:tcPr>
          <w:p>
            <w:pPr>
              <w:spacing w:after="0"/>
              <w:rPr>
                <w:sz w:val="8"/>
                <w:szCs w:val="8"/>
                <w:color w:val="auto"/>
              </w:rPr>
            </w:pPr>
          </w:p>
        </w:tc>
        <w:tc>
          <w:tcPr>
            <w:tcW w:w="560" w:type="dxa"/>
            <w:vAlign w:val="bottom"/>
          </w:tcPr>
          <w:p>
            <w:pPr>
              <w:spacing w:after="0"/>
              <w:rPr>
                <w:sz w:val="8"/>
                <w:szCs w:val="8"/>
                <w:color w:val="auto"/>
              </w:rPr>
            </w:pPr>
          </w:p>
        </w:tc>
        <w:tc>
          <w:tcPr>
            <w:tcW w:w="18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18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19" w:lineRule="exact"/>
        <w:rPr>
          <w:sz w:val="20"/>
          <w:szCs w:val="20"/>
          <w:color w:val="auto"/>
        </w:rPr>
      </w:pPr>
    </w:p>
    <w:p>
      <w:pPr>
        <w:ind w:left="460" w:hanging="452"/>
        <w:spacing w:after="0"/>
        <w:tabs>
          <w:tab w:leader="none" w:pos="460" w:val="left"/>
        </w:tabs>
        <w:numPr>
          <w:ilvl w:val="0"/>
          <w:numId w:val="58"/>
        </w:numPr>
        <w:rPr>
          <w:rFonts w:ascii="Arial" w:cs="Arial" w:eastAsia="Arial" w:hAnsi="Arial"/>
          <w:sz w:val="18"/>
          <w:szCs w:val="18"/>
          <w:color w:val="auto"/>
        </w:rPr>
      </w:pPr>
      <w:r>
        <w:rPr>
          <w:rFonts w:ascii="Arial" w:cs="Arial" w:eastAsia="Arial" w:hAnsi="Arial"/>
          <w:sz w:val="18"/>
          <w:szCs w:val="18"/>
          <w:color w:val="auto"/>
        </w:rPr>
        <w:t>Refer to Note 2 for additional information on Reorganization gains, net.</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26. Stock Incentive Plans</w:t>
      </w:r>
    </w:p>
    <w:p>
      <w:pPr>
        <w:spacing w:after="0" w:line="177" w:lineRule="exact"/>
        <w:rPr>
          <w:sz w:val="20"/>
          <w:szCs w:val="20"/>
          <w:color w:val="auto"/>
        </w:rPr>
      </w:pPr>
    </w:p>
    <w:p>
      <w:pPr>
        <w:ind w:left="240"/>
        <w:spacing w:after="0"/>
        <w:rPr>
          <w:sz w:val="20"/>
          <w:szCs w:val="20"/>
          <w:color w:val="auto"/>
        </w:rPr>
      </w:pPr>
      <w:r>
        <w:rPr>
          <w:rFonts w:ascii="Arial" w:cs="Arial" w:eastAsia="Arial" w:hAnsi="Arial"/>
          <w:sz w:val="18"/>
          <w:szCs w:val="18"/>
          <w:color w:val="auto"/>
        </w:rPr>
        <w:t>Our and Old GM’s stock incentive plans are more fully discussed in our Form S-1.</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GM</w:t>
      </w:r>
    </w:p>
    <w:p>
      <w:pPr>
        <w:spacing w:after="0" w:line="177" w:lineRule="exact"/>
        <w:rPr>
          <w:sz w:val="20"/>
          <w:szCs w:val="20"/>
          <w:color w:val="auto"/>
        </w:rPr>
      </w:pPr>
    </w:p>
    <w:p>
      <w:pPr>
        <w:ind w:right="160" w:firstLine="228"/>
        <w:spacing w:after="0" w:line="332" w:lineRule="auto"/>
        <w:rPr>
          <w:sz w:val="20"/>
          <w:szCs w:val="20"/>
          <w:color w:val="auto"/>
        </w:rPr>
      </w:pPr>
      <w:r>
        <w:rPr>
          <w:rFonts w:ascii="Arial" w:cs="Arial" w:eastAsia="Arial" w:hAnsi="Arial"/>
          <w:sz w:val="16"/>
          <w:szCs w:val="16"/>
          <w:color w:val="auto"/>
        </w:rPr>
        <w:t>Our stock incentive plans consist of the 2009 Long-Term Incentive Plan as amended October 5, 2010 (2009 GMLTIP) and the Salary Stock Plan as amended October 5, 2010 (GMSSP). Both plans are administered by the Executive Compensation Committee of our Board of Directors.</w:t>
      </w:r>
    </w:p>
    <w:p>
      <w:pPr>
        <w:spacing w:after="0" w:line="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77</w:t>
      </w:r>
    </w:p>
    <w:p>
      <w:pPr>
        <w:sectPr>
          <w:pgSz w:w="11900" w:h="16838" w:orient="portrait"/>
          <w:cols w:equalWidth="0" w:num="1">
            <w:col w:w="11420"/>
          </w:cols>
          <w:pgMar w:left="240" w:top="459" w:right="239" w:bottom="1440" w:gutter="0" w:footer="0" w:header="0"/>
        </w:sectPr>
      </w:pPr>
    </w:p>
    <w:bookmarkStart w:id="79" w:name="page80"/>
    <w:bookmarkEnd w:id="7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339" w:lineRule="exact"/>
        <w:rPr>
          <w:sz w:val="20"/>
          <w:szCs w:val="20"/>
          <w:color w:val="auto"/>
        </w:rPr>
      </w:pPr>
    </w:p>
    <w:p>
      <w:pPr>
        <w:ind w:left="240"/>
        <w:spacing w:after="0"/>
        <w:rPr>
          <w:sz w:val="20"/>
          <w:szCs w:val="20"/>
          <w:color w:val="auto"/>
        </w:rPr>
      </w:pPr>
      <w:r>
        <w:rPr>
          <w:rFonts w:ascii="Arial" w:cs="Arial" w:eastAsia="Arial" w:hAnsi="Arial"/>
          <w:sz w:val="16"/>
          <w:szCs w:val="16"/>
          <w:color w:val="auto"/>
        </w:rPr>
        <w:t>The following table summarizes compensation expense and total Income tax expense recorded for our stock incentive plans (dollars in millions):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86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2020" w:type="dxa"/>
            <w:vAlign w:val="bottom"/>
            <w:tcBorders>
              <w:bottom w:val="single" w:sz="8" w:color="auto"/>
            </w:tcBorders>
            <w:gridSpan w:val="2"/>
          </w:tcPr>
          <w:p>
            <w:pPr>
              <w:jc w:val="center"/>
              <w:ind w:right="1180"/>
              <w:spacing w:after="0"/>
              <w:rPr>
                <w:sz w:val="20"/>
                <w:szCs w:val="20"/>
                <w:color w:val="auto"/>
              </w:rPr>
            </w:pPr>
            <w:r>
              <w:rPr>
                <w:rFonts w:ascii="Arial" w:cs="Arial" w:eastAsia="Arial" w:hAnsi="Arial"/>
                <w:sz w:val="14"/>
                <w:szCs w:val="14"/>
                <w:b w:val="1"/>
                <w:bCs w:val="1"/>
                <w:color w:val="auto"/>
                <w:w w:val="79"/>
              </w:rPr>
              <w:t>Successor</w:t>
            </w:r>
          </w:p>
        </w:tc>
        <w:tc>
          <w:tcPr>
            <w:tcW w:w="14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29"/>
        </w:trPr>
        <w:tc>
          <w:tcPr>
            <w:tcW w:w="58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040" w:type="dxa"/>
            <w:vAlign w:val="bottom"/>
            <w:gridSpan w:val="2"/>
          </w:tcPr>
          <w:p>
            <w:pPr>
              <w:jc w:val="right"/>
              <w:ind w:right="1200"/>
              <w:spacing w:after="0" w:line="129" w:lineRule="exact"/>
              <w:rPr>
                <w:sz w:val="20"/>
                <w:szCs w:val="20"/>
                <w:color w:val="auto"/>
              </w:rPr>
            </w:pPr>
            <w:r>
              <w:rPr>
                <w:rFonts w:ascii="Arial" w:cs="Arial" w:eastAsia="Arial" w:hAnsi="Arial"/>
                <w:sz w:val="14"/>
                <w:szCs w:val="14"/>
                <w:b w:val="1"/>
                <w:bCs w:val="1"/>
                <w:color w:val="auto"/>
                <w:w w:val="89"/>
              </w:rPr>
              <w:t>Three Months</w:t>
            </w:r>
          </w:p>
        </w:tc>
        <w:tc>
          <w:tcPr>
            <w:tcW w:w="140" w:type="dxa"/>
            <w:vAlign w:val="bottom"/>
          </w:tcPr>
          <w:p>
            <w:pPr>
              <w:spacing w:after="0"/>
              <w:rPr>
                <w:sz w:val="11"/>
                <w:szCs w:val="11"/>
                <w:color w:val="auto"/>
              </w:rPr>
            </w:pPr>
          </w:p>
        </w:tc>
        <w:tc>
          <w:tcPr>
            <w:tcW w:w="2020" w:type="dxa"/>
            <w:vAlign w:val="bottom"/>
            <w:gridSpan w:val="2"/>
          </w:tcPr>
          <w:p>
            <w:pPr>
              <w:jc w:val="center"/>
              <w:ind w:right="1180"/>
              <w:spacing w:after="0" w:line="129" w:lineRule="exact"/>
              <w:rPr>
                <w:sz w:val="20"/>
                <w:szCs w:val="20"/>
                <w:color w:val="auto"/>
              </w:rPr>
            </w:pPr>
            <w:r>
              <w:rPr>
                <w:rFonts w:ascii="Arial" w:cs="Arial" w:eastAsia="Arial" w:hAnsi="Arial"/>
                <w:sz w:val="14"/>
                <w:szCs w:val="14"/>
                <w:b w:val="1"/>
                <w:bCs w:val="1"/>
                <w:color w:val="auto"/>
                <w:w w:val="90"/>
              </w:rPr>
              <w:t>Nine Months</w:t>
            </w:r>
          </w:p>
        </w:tc>
        <w:tc>
          <w:tcPr>
            <w:tcW w:w="140" w:type="dxa"/>
            <w:vAlign w:val="bottom"/>
          </w:tcPr>
          <w:p>
            <w:pPr>
              <w:spacing w:after="0"/>
              <w:rPr>
                <w:sz w:val="11"/>
                <w:szCs w:val="11"/>
                <w:color w:val="auto"/>
              </w:rPr>
            </w:pPr>
          </w:p>
        </w:tc>
        <w:tc>
          <w:tcPr>
            <w:tcW w:w="980" w:type="dxa"/>
            <w:vAlign w:val="bottom"/>
          </w:tcPr>
          <w:p>
            <w:pPr>
              <w:jc w:val="center"/>
              <w:ind w:right="62"/>
              <w:spacing w:after="0" w:line="129" w:lineRule="exact"/>
              <w:rPr>
                <w:sz w:val="20"/>
                <w:szCs w:val="20"/>
                <w:color w:val="auto"/>
              </w:rPr>
            </w:pPr>
            <w:r>
              <w:rPr>
                <w:rFonts w:ascii="Arial" w:cs="Arial" w:eastAsia="Arial" w:hAnsi="Arial"/>
                <w:sz w:val="14"/>
                <w:szCs w:val="14"/>
                <w:b w:val="1"/>
                <w:bCs w:val="1"/>
                <w:color w:val="auto"/>
                <w:w w:val="87"/>
              </w:rPr>
              <w:t>July 10, 2009</w:t>
            </w:r>
          </w:p>
        </w:tc>
        <w:tc>
          <w:tcPr>
            <w:tcW w:w="100" w:type="dxa"/>
            <w:vAlign w:val="bottom"/>
          </w:tcPr>
          <w:p>
            <w:pPr>
              <w:spacing w:after="0"/>
              <w:rPr>
                <w:sz w:val="11"/>
                <w:szCs w:val="11"/>
                <w:color w:val="auto"/>
              </w:rPr>
            </w:pPr>
          </w:p>
        </w:tc>
      </w:tr>
      <w:tr>
        <w:trPr>
          <w:trHeight w:val="149"/>
        </w:trPr>
        <w:tc>
          <w:tcPr>
            <w:tcW w:w="58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40" w:type="dxa"/>
            <w:vAlign w:val="bottom"/>
            <w:gridSpan w:val="2"/>
          </w:tcPr>
          <w:p>
            <w:pPr>
              <w:jc w:val="right"/>
              <w:ind w:right="1420"/>
              <w:spacing w:after="0" w:line="149" w:lineRule="exact"/>
              <w:rPr>
                <w:sz w:val="20"/>
                <w:szCs w:val="20"/>
                <w:color w:val="auto"/>
              </w:rPr>
            </w:pPr>
            <w:r>
              <w:rPr>
                <w:rFonts w:ascii="Arial" w:cs="Arial" w:eastAsia="Arial" w:hAnsi="Arial"/>
                <w:sz w:val="14"/>
                <w:szCs w:val="14"/>
                <w:b w:val="1"/>
                <w:bCs w:val="1"/>
                <w:color w:val="auto"/>
              </w:rPr>
              <w:t>Ended</w:t>
            </w:r>
          </w:p>
        </w:tc>
        <w:tc>
          <w:tcPr>
            <w:tcW w:w="140" w:type="dxa"/>
            <w:vAlign w:val="bottom"/>
          </w:tcPr>
          <w:p>
            <w:pPr>
              <w:spacing w:after="0"/>
              <w:rPr>
                <w:sz w:val="12"/>
                <w:szCs w:val="12"/>
                <w:color w:val="auto"/>
              </w:rPr>
            </w:pPr>
          </w:p>
        </w:tc>
        <w:tc>
          <w:tcPr>
            <w:tcW w:w="2020" w:type="dxa"/>
            <w:vAlign w:val="bottom"/>
            <w:gridSpan w:val="2"/>
          </w:tcPr>
          <w:p>
            <w:pPr>
              <w:jc w:val="center"/>
              <w:ind w:right="1200"/>
              <w:spacing w:after="0" w:line="149" w:lineRule="exact"/>
              <w:rPr>
                <w:sz w:val="20"/>
                <w:szCs w:val="20"/>
                <w:color w:val="auto"/>
              </w:rPr>
            </w:pPr>
            <w:r>
              <w:rPr>
                <w:rFonts w:ascii="Arial" w:cs="Arial" w:eastAsia="Arial" w:hAnsi="Arial"/>
                <w:sz w:val="14"/>
                <w:szCs w:val="14"/>
                <w:b w:val="1"/>
                <w:bCs w:val="1"/>
                <w:color w:val="auto"/>
                <w:w w:val="88"/>
              </w:rPr>
              <w:t>Ended</w:t>
            </w:r>
          </w:p>
        </w:tc>
        <w:tc>
          <w:tcPr>
            <w:tcW w:w="140" w:type="dxa"/>
            <w:vAlign w:val="bottom"/>
          </w:tcPr>
          <w:p>
            <w:pPr>
              <w:spacing w:after="0"/>
              <w:rPr>
                <w:sz w:val="12"/>
                <w:szCs w:val="12"/>
                <w:color w:val="auto"/>
              </w:rPr>
            </w:pPr>
          </w:p>
        </w:tc>
        <w:tc>
          <w:tcPr>
            <w:tcW w:w="108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1"/>
              </w:rPr>
              <w:t>Through</w:t>
            </w:r>
          </w:p>
        </w:tc>
      </w:tr>
      <w:tr>
        <w:trPr>
          <w:trHeight w:val="161"/>
        </w:trPr>
        <w:tc>
          <w:tcPr>
            <w:tcW w:w="5860" w:type="dxa"/>
            <w:vAlign w:val="bottom"/>
          </w:tcPr>
          <w:p>
            <w:pPr>
              <w:spacing w:after="0"/>
              <w:rPr>
                <w:sz w:val="14"/>
                <w:szCs w:val="14"/>
                <w:color w:val="auto"/>
              </w:rPr>
            </w:pPr>
          </w:p>
        </w:tc>
        <w:tc>
          <w:tcPr>
            <w:tcW w:w="1140" w:type="dxa"/>
            <w:vAlign w:val="bottom"/>
            <w:gridSpan w:val="2"/>
          </w:tcPr>
          <w:p>
            <w:pPr>
              <w:ind w:left="20"/>
              <w:spacing w:after="0"/>
              <w:rPr>
                <w:sz w:val="20"/>
                <w:szCs w:val="20"/>
                <w:color w:val="auto"/>
              </w:rPr>
            </w:pPr>
            <w:r>
              <w:rPr>
                <w:rFonts w:ascii="Arial" w:cs="Arial" w:eastAsia="Arial" w:hAnsi="Arial"/>
                <w:sz w:val="14"/>
                <w:szCs w:val="14"/>
                <w:b w:val="1"/>
                <w:bCs w:val="1"/>
                <w:color w:val="auto"/>
                <w:w w:val="84"/>
              </w:rPr>
              <w:t>September 30, 2010</w:t>
            </w:r>
          </w:p>
        </w:tc>
        <w:tc>
          <w:tcPr>
            <w:tcW w:w="1040" w:type="dxa"/>
            <w:vAlign w:val="bottom"/>
          </w:tcPr>
          <w:p>
            <w:pPr>
              <w:spacing w:after="0"/>
              <w:rPr>
                <w:sz w:val="14"/>
                <w:szCs w:val="14"/>
                <w:color w:val="auto"/>
              </w:rPr>
            </w:pPr>
          </w:p>
        </w:tc>
        <w:tc>
          <w:tcPr>
            <w:tcW w:w="2160" w:type="dxa"/>
            <w:vAlign w:val="bottom"/>
            <w:gridSpan w:val="3"/>
          </w:tcPr>
          <w:p>
            <w:pPr>
              <w:jc w:val="center"/>
              <w:ind w:right="1040"/>
              <w:spacing w:after="0"/>
              <w:rPr>
                <w:sz w:val="20"/>
                <w:szCs w:val="20"/>
                <w:color w:val="auto"/>
              </w:rPr>
            </w:pPr>
            <w:r>
              <w:rPr>
                <w:rFonts w:ascii="Arial" w:cs="Arial" w:eastAsia="Arial" w:hAnsi="Arial"/>
                <w:sz w:val="14"/>
                <w:szCs w:val="14"/>
                <w:b w:val="1"/>
                <w:bCs w:val="1"/>
                <w:color w:val="auto"/>
                <w:w w:val="85"/>
              </w:rPr>
              <w:t>September 30, 2010</w:t>
            </w:r>
          </w:p>
        </w:tc>
        <w:tc>
          <w:tcPr>
            <w:tcW w:w="1220" w:type="dxa"/>
            <w:vAlign w:val="bottom"/>
            <w:gridSpan w:val="3"/>
          </w:tcPr>
          <w:p>
            <w:pPr>
              <w:spacing w:after="0"/>
              <w:rPr>
                <w:sz w:val="20"/>
                <w:szCs w:val="20"/>
                <w:color w:val="auto"/>
              </w:rPr>
            </w:pPr>
            <w:r>
              <w:rPr>
                <w:rFonts w:ascii="Arial" w:cs="Arial" w:eastAsia="Arial" w:hAnsi="Arial"/>
                <w:sz w:val="14"/>
                <w:szCs w:val="14"/>
                <w:b w:val="1"/>
                <w:bCs w:val="1"/>
                <w:color w:val="auto"/>
                <w:w w:val="91"/>
              </w:rPr>
              <w:t>September 30, 2009</w:t>
            </w:r>
          </w:p>
        </w:tc>
      </w:tr>
      <w:tr>
        <w:trPr>
          <w:trHeight w:val="20"/>
        </w:trPr>
        <w:tc>
          <w:tcPr>
            <w:tcW w:w="58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5860" w:type="dxa"/>
            <w:vAlign w:val="bottom"/>
            <w:shd w:val="clear" w:color="auto" w:fill="CCEEFF"/>
          </w:tcPr>
          <w:p>
            <w:pPr>
              <w:spacing w:after="0"/>
              <w:rPr>
                <w:sz w:val="20"/>
                <w:szCs w:val="20"/>
                <w:color w:val="auto"/>
              </w:rPr>
            </w:pPr>
            <w:r>
              <w:rPr>
                <w:rFonts w:ascii="Arial" w:cs="Arial" w:eastAsia="Arial" w:hAnsi="Arial"/>
                <w:sz w:val="18"/>
                <w:szCs w:val="18"/>
                <w:color w:val="auto"/>
              </w:rPr>
              <w:t>Compensation expense</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2040" w:type="dxa"/>
            <w:vAlign w:val="bottom"/>
            <w:gridSpan w:val="2"/>
            <w:shd w:val="clear" w:color="auto" w:fill="CCEEFF"/>
          </w:tcPr>
          <w:p>
            <w:pPr>
              <w:jc w:val="right"/>
              <w:ind w:right="1040"/>
              <w:spacing w:after="0"/>
              <w:rPr>
                <w:sz w:val="20"/>
                <w:szCs w:val="20"/>
                <w:color w:val="auto"/>
              </w:rPr>
            </w:pPr>
            <w:r>
              <w:rPr>
                <w:rFonts w:ascii="Arial" w:cs="Arial" w:eastAsia="Arial" w:hAnsi="Arial"/>
                <w:sz w:val="18"/>
                <w:szCs w:val="18"/>
                <w:color w:val="auto"/>
              </w:rPr>
              <w:t>84</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2020" w:type="dxa"/>
            <w:vAlign w:val="bottom"/>
            <w:gridSpan w:val="2"/>
            <w:shd w:val="clear" w:color="auto" w:fill="CCEEFF"/>
          </w:tcPr>
          <w:p>
            <w:pPr>
              <w:jc w:val="right"/>
              <w:ind w:right="1040"/>
              <w:spacing w:after="0"/>
              <w:rPr>
                <w:sz w:val="20"/>
                <w:szCs w:val="20"/>
                <w:color w:val="auto"/>
              </w:rPr>
            </w:pPr>
            <w:r>
              <w:rPr>
                <w:rFonts w:ascii="Arial" w:cs="Arial" w:eastAsia="Arial" w:hAnsi="Arial"/>
                <w:sz w:val="18"/>
                <w:szCs w:val="18"/>
                <w:color w:val="auto"/>
              </w:rPr>
              <w:t>136</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ind w:left="800"/>
              <w:spacing w:after="0"/>
              <w:rPr>
                <w:sz w:val="20"/>
                <w:szCs w:val="20"/>
                <w:color w:val="auto"/>
              </w:rPr>
            </w:pPr>
            <w:r>
              <w:rPr>
                <w:rFonts w:ascii="Arial" w:cs="Arial" w:eastAsia="Arial" w:hAnsi="Arial"/>
                <w:sz w:val="18"/>
                <w:szCs w:val="18"/>
                <w:color w:val="auto"/>
              </w:rPr>
              <w:t>—</w:t>
            </w:r>
          </w:p>
        </w:tc>
      </w:tr>
      <w:tr>
        <w:trPr>
          <w:trHeight w:val="222"/>
        </w:trPr>
        <w:tc>
          <w:tcPr>
            <w:tcW w:w="5860" w:type="dxa"/>
            <w:vAlign w:val="bottom"/>
          </w:tcPr>
          <w:p>
            <w:pPr>
              <w:spacing w:after="0"/>
              <w:rPr>
                <w:sz w:val="20"/>
                <w:szCs w:val="20"/>
                <w:color w:val="auto"/>
              </w:rPr>
            </w:pPr>
            <w:r>
              <w:rPr>
                <w:rFonts w:ascii="Arial" w:cs="Arial" w:eastAsia="Arial" w:hAnsi="Arial"/>
                <w:sz w:val="18"/>
                <w:szCs w:val="18"/>
                <w:color w:val="auto"/>
              </w:rPr>
              <w:t>Income tax expense (a)</w:t>
            </w: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2040" w:type="dxa"/>
            <w:vAlign w:val="bottom"/>
            <w:gridSpan w:val="2"/>
          </w:tcPr>
          <w:p>
            <w:pPr>
              <w:jc w:val="right"/>
              <w:ind w:right="1040"/>
              <w:spacing w:after="0"/>
              <w:rPr>
                <w:sz w:val="20"/>
                <w:szCs w:val="20"/>
                <w:color w:val="auto"/>
              </w:rPr>
            </w:pPr>
            <w:r>
              <w:rPr>
                <w:rFonts w:ascii="Arial" w:cs="Arial" w:eastAsia="Arial" w:hAnsi="Arial"/>
                <w:sz w:val="18"/>
                <w:szCs w:val="18"/>
                <w:color w:val="auto"/>
              </w:rPr>
              <w:t>1</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2020" w:type="dxa"/>
            <w:vAlign w:val="bottom"/>
            <w:gridSpan w:val="2"/>
          </w:tcPr>
          <w:p>
            <w:pPr>
              <w:jc w:val="right"/>
              <w:ind w:right="1040"/>
              <w:spacing w:after="0"/>
              <w:rPr>
                <w:sz w:val="20"/>
                <w:szCs w:val="20"/>
                <w:color w:val="auto"/>
              </w:rPr>
            </w:pPr>
            <w:r>
              <w:rPr>
                <w:rFonts w:ascii="Arial" w:cs="Arial" w:eastAsia="Arial" w:hAnsi="Arial"/>
                <w:sz w:val="18"/>
                <w:szCs w:val="18"/>
                <w:color w:val="auto"/>
              </w:rPr>
              <w:t>2</w:t>
            </w: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1080" w:type="dxa"/>
            <w:vAlign w:val="bottom"/>
            <w:gridSpan w:val="2"/>
          </w:tcPr>
          <w:p>
            <w:pPr>
              <w:ind w:left="800"/>
              <w:spacing w:after="0"/>
              <w:rPr>
                <w:sz w:val="20"/>
                <w:szCs w:val="20"/>
                <w:color w:val="auto"/>
              </w:rPr>
            </w:pPr>
            <w:r>
              <w:rPr>
                <w:rFonts w:ascii="Arial" w:cs="Arial" w:eastAsia="Arial" w:hAnsi="Arial"/>
                <w:sz w:val="18"/>
                <w:szCs w:val="18"/>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64770</wp:posOffset>
            </wp:positionV>
            <wp:extent cx="728980" cy="889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14" w:lineRule="exact"/>
        <w:rPr>
          <w:sz w:val="20"/>
          <w:szCs w:val="20"/>
          <w:color w:val="auto"/>
        </w:rPr>
      </w:pPr>
    </w:p>
    <w:p>
      <w:pPr>
        <w:ind w:left="460" w:hanging="452"/>
        <w:spacing w:after="0"/>
        <w:tabs>
          <w:tab w:leader="none" w:pos="460" w:val="left"/>
        </w:tabs>
        <w:numPr>
          <w:ilvl w:val="0"/>
          <w:numId w:val="59"/>
        </w:numPr>
        <w:rPr>
          <w:rFonts w:ascii="Arial" w:cs="Arial" w:eastAsia="Arial" w:hAnsi="Arial"/>
          <w:sz w:val="18"/>
          <w:szCs w:val="18"/>
          <w:color w:val="auto"/>
        </w:rPr>
      </w:pPr>
      <w:r>
        <w:rPr>
          <w:rFonts w:ascii="Arial" w:cs="Arial" w:eastAsia="Arial" w:hAnsi="Arial"/>
          <w:sz w:val="18"/>
          <w:szCs w:val="18"/>
          <w:color w:val="auto"/>
        </w:rPr>
        <w:t>Income tax expense does not include U.S. and non-U.S. jurisdictions which have full valuation allowances.</w:t>
      </w:r>
    </w:p>
    <w:p>
      <w:pPr>
        <w:spacing w:after="0" w:line="171"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Long-Term Incentive Plan</w:t>
      </w:r>
    </w:p>
    <w:p>
      <w:pPr>
        <w:spacing w:after="0" w:line="171" w:lineRule="exact"/>
        <w:rPr>
          <w:sz w:val="20"/>
          <w:szCs w:val="20"/>
          <w:color w:val="auto"/>
        </w:rPr>
      </w:pPr>
    </w:p>
    <w:p>
      <w:pPr>
        <w:ind w:right="20" w:firstLine="228"/>
        <w:spacing w:after="0" w:line="268" w:lineRule="auto"/>
        <w:rPr>
          <w:sz w:val="20"/>
          <w:szCs w:val="20"/>
          <w:color w:val="auto"/>
        </w:rPr>
      </w:pPr>
      <w:r>
        <w:rPr>
          <w:rFonts w:ascii="Arial" w:cs="Arial" w:eastAsia="Arial" w:hAnsi="Arial"/>
          <w:sz w:val="18"/>
          <w:szCs w:val="18"/>
          <w:color w:val="auto"/>
        </w:rPr>
        <w:t>In March and June 2010, we granted RSUs to certain global executives under the 2009 GMLTIP. The aggregate number of units that may be granted under this plan and the GMSSP discussed below shall not exceed 75 million units.</w:t>
      </w:r>
    </w:p>
    <w:p>
      <w:pPr>
        <w:spacing w:after="0" w:line="132"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Salary Stock</w:t>
      </w:r>
    </w:p>
    <w:p>
      <w:pPr>
        <w:spacing w:after="0" w:line="171" w:lineRule="exact"/>
        <w:rPr>
          <w:sz w:val="20"/>
          <w:szCs w:val="20"/>
          <w:color w:val="auto"/>
        </w:rPr>
      </w:pPr>
    </w:p>
    <w:p>
      <w:pPr>
        <w:jc w:val="both"/>
        <w:ind w:right="60" w:firstLine="228"/>
        <w:spacing w:after="0" w:line="259" w:lineRule="auto"/>
        <w:rPr>
          <w:sz w:val="20"/>
          <w:szCs w:val="20"/>
          <w:color w:val="auto"/>
        </w:rPr>
      </w:pPr>
      <w:r>
        <w:rPr>
          <w:rFonts w:ascii="Arial" w:cs="Arial" w:eastAsia="Arial" w:hAnsi="Arial"/>
          <w:sz w:val="18"/>
          <w:szCs w:val="18"/>
          <w:color w:val="auto"/>
        </w:rPr>
        <w:t>In November 2009 we began granting salary stock to certain global executives under the GMSSP. In 2010, a portion of each participant’s salary is accrued on each salary payment date and converted to RSUs on a quarterly basis. The aggregate number of shares that may be granted under this plan and the 2009 GMLTIP shall not exceed 75 million units.</w:t>
      </w:r>
    </w:p>
    <w:p>
      <w:pPr>
        <w:spacing w:after="0" w:line="140" w:lineRule="exact"/>
        <w:rPr>
          <w:sz w:val="20"/>
          <w:szCs w:val="20"/>
          <w:color w:val="auto"/>
        </w:rPr>
      </w:pPr>
    </w:p>
    <w:p>
      <w:pPr>
        <w:ind w:left="240"/>
        <w:spacing w:after="0"/>
        <w:rPr>
          <w:sz w:val="20"/>
          <w:szCs w:val="20"/>
          <w:color w:val="auto"/>
        </w:rPr>
      </w:pPr>
      <w:r>
        <w:rPr>
          <w:rFonts w:ascii="Arial" w:cs="Arial" w:eastAsia="Arial" w:hAnsi="Arial"/>
          <w:sz w:val="16"/>
          <w:szCs w:val="16"/>
          <w:color w:val="auto"/>
        </w:rPr>
        <w:t>The following tables summarize our RSU activity under the 2009 GMLTIP and GMSSP in the nine months ended September 30, 2010 (RSUs in millions):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220" w:type="dxa"/>
            <w:vAlign w:val="bottom"/>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1300" w:type="dxa"/>
            <w:vAlign w:val="bottom"/>
            <w:tcBorders>
              <w:bottom w:val="single" w:sz="8" w:color="auto"/>
            </w:tcBorders>
            <w:gridSpan w:val="2"/>
          </w:tcPr>
          <w:p>
            <w:pPr>
              <w:jc w:val="right"/>
              <w:ind w:right="529"/>
              <w:spacing w:after="0"/>
              <w:rPr>
                <w:sz w:val="20"/>
                <w:szCs w:val="20"/>
                <w:color w:val="auto"/>
              </w:rPr>
            </w:pPr>
            <w:r>
              <w:rPr>
                <w:rFonts w:ascii="Arial" w:cs="Arial" w:eastAsia="Arial" w:hAnsi="Arial"/>
                <w:sz w:val="14"/>
                <w:szCs w:val="14"/>
                <w:b w:val="1"/>
                <w:bCs w:val="1"/>
                <w:color w:val="auto"/>
                <w:w w:val="95"/>
              </w:rPr>
              <w:t>Successor</w:t>
            </w:r>
          </w:p>
        </w:tc>
        <w:tc>
          <w:tcPr>
            <w:tcW w:w="5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72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20" w:type="dxa"/>
            <w:vAlign w:val="bottom"/>
          </w:tcPr>
          <w:p>
            <w:pPr>
              <w:jc w:val="center"/>
              <w:spacing w:after="0" w:line="129" w:lineRule="exact"/>
              <w:rPr>
                <w:sz w:val="20"/>
                <w:szCs w:val="20"/>
                <w:color w:val="auto"/>
              </w:rPr>
            </w:pPr>
            <w:r>
              <w:rPr>
                <w:rFonts w:ascii="Arial" w:cs="Arial" w:eastAsia="Arial" w:hAnsi="Arial"/>
                <w:sz w:val="14"/>
                <w:szCs w:val="14"/>
                <w:b w:val="1"/>
                <w:bCs w:val="1"/>
                <w:color w:val="auto"/>
                <w:w w:val="88"/>
              </w:rPr>
              <w:t>Weighted-</w:t>
            </w:r>
          </w:p>
        </w:tc>
        <w:tc>
          <w:tcPr>
            <w:tcW w:w="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72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660" w:type="dxa"/>
            <w:vAlign w:val="bottom"/>
            <w:gridSpan w:val="2"/>
            <w:vMerge w:val="restart"/>
          </w:tcPr>
          <w:p>
            <w:pPr>
              <w:jc w:val="center"/>
              <w:spacing w:after="0"/>
              <w:rPr>
                <w:sz w:val="20"/>
                <w:szCs w:val="20"/>
                <w:color w:val="auto"/>
              </w:rPr>
            </w:pPr>
            <w:r>
              <w:rPr>
                <w:rFonts w:ascii="Arial" w:cs="Arial" w:eastAsia="Arial" w:hAnsi="Arial"/>
                <w:sz w:val="14"/>
                <w:szCs w:val="14"/>
                <w:b w:val="1"/>
                <w:bCs w:val="1"/>
                <w:color w:val="auto"/>
                <w:w w:val="88"/>
              </w:rPr>
              <w:t>Weighted-</w:t>
            </w:r>
          </w:p>
        </w:tc>
        <w:tc>
          <w:tcPr>
            <w:tcW w:w="580" w:type="dxa"/>
            <w:vAlign w:val="bottom"/>
          </w:tcPr>
          <w:p>
            <w:pPr>
              <w:spacing w:after="0"/>
              <w:rPr>
                <w:sz w:val="15"/>
                <w:szCs w:val="15"/>
                <w:color w:val="auto"/>
              </w:rPr>
            </w:pPr>
          </w:p>
        </w:tc>
        <w:tc>
          <w:tcPr>
            <w:tcW w:w="720" w:type="dxa"/>
            <w:vAlign w:val="bottom"/>
          </w:tcPr>
          <w:p>
            <w:pPr>
              <w:jc w:val="center"/>
              <w:spacing w:after="0"/>
              <w:rPr>
                <w:sz w:val="20"/>
                <w:szCs w:val="20"/>
                <w:color w:val="auto"/>
              </w:rPr>
            </w:pPr>
            <w:r>
              <w:rPr>
                <w:rFonts w:ascii="Arial" w:cs="Arial" w:eastAsia="Arial" w:hAnsi="Arial"/>
                <w:sz w:val="14"/>
                <w:szCs w:val="14"/>
                <w:b w:val="1"/>
                <w:bCs w:val="1"/>
                <w:color w:val="auto"/>
                <w:w w:val="86"/>
              </w:rPr>
              <w:t>Average</w:t>
            </w:r>
          </w:p>
        </w:tc>
        <w:tc>
          <w:tcPr>
            <w:tcW w:w="5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69"/>
        </w:trPr>
        <w:tc>
          <w:tcPr>
            <w:tcW w:w="20" w:type="dxa"/>
            <w:vAlign w:val="bottom"/>
          </w:tcPr>
          <w:p>
            <w:pPr>
              <w:spacing w:after="0"/>
              <w:rPr>
                <w:sz w:val="5"/>
                <w:szCs w:val="5"/>
                <w:color w:val="auto"/>
              </w:rPr>
            </w:pPr>
          </w:p>
        </w:tc>
        <w:tc>
          <w:tcPr>
            <w:tcW w:w="7220" w:type="dxa"/>
            <w:vAlign w:val="bottom"/>
          </w:tcPr>
          <w:p>
            <w:pPr>
              <w:spacing w:after="0"/>
              <w:rPr>
                <w:sz w:val="5"/>
                <w:szCs w:val="5"/>
                <w:color w:val="auto"/>
              </w:rPr>
            </w:pPr>
          </w:p>
        </w:tc>
        <w:tc>
          <w:tcPr>
            <w:tcW w:w="380" w:type="dxa"/>
            <w:vAlign w:val="bottom"/>
          </w:tcPr>
          <w:p>
            <w:pPr>
              <w:spacing w:after="0"/>
              <w:rPr>
                <w:sz w:val="5"/>
                <w:szCs w:val="5"/>
                <w:color w:val="auto"/>
              </w:rPr>
            </w:pPr>
          </w:p>
        </w:tc>
        <w:tc>
          <w:tcPr>
            <w:tcW w:w="580" w:type="dxa"/>
            <w:vAlign w:val="bottom"/>
          </w:tcPr>
          <w:p>
            <w:pPr>
              <w:spacing w:after="0"/>
              <w:rPr>
                <w:sz w:val="5"/>
                <w:szCs w:val="5"/>
                <w:color w:val="auto"/>
              </w:rPr>
            </w:pPr>
          </w:p>
        </w:tc>
        <w:tc>
          <w:tcPr>
            <w:tcW w:w="660" w:type="dxa"/>
            <w:vAlign w:val="bottom"/>
            <w:gridSpan w:val="2"/>
            <w:vMerge w:val="continue"/>
          </w:tcPr>
          <w:p>
            <w:pPr>
              <w:spacing w:after="0"/>
              <w:rPr>
                <w:sz w:val="5"/>
                <w:szCs w:val="5"/>
                <w:color w:val="auto"/>
              </w:rPr>
            </w:pPr>
          </w:p>
        </w:tc>
        <w:tc>
          <w:tcPr>
            <w:tcW w:w="580" w:type="dxa"/>
            <w:vAlign w:val="bottom"/>
          </w:tcPr>
          <w:p>
            <w:pPr>
              <w:spacing w:after="0"/>
              <w:rPr>
                <w:sz w:val="5"/>
                <w:szCs w:val="5"/>
                <w:color w:val="auto"/>
              </w:rPr>
            </w:pPr>
          </w:p>
        </w:tc>
        <w:tc>
          <w:tcPr>
            <w:tcW w:w="720" w:type="dxa"/>
            <w:vAlign w:val="bottom"/>
            <w:vMerge w:val="restart"/>
          </w:tcPr>
          <w:p>
            <w:pPr>
              <w:jc w:val="right"/>
              <w:ind w:right="9"/>
              <w:spacing w:after="0"/>
              <w:rPr>
                <w:sz w:val="20"/>
                <w:szCs w:val="20"/>
                <w:color w:val="auto"/>
              </w:rPr>
            </w:pPr>
            <w:r>
              <w:rPr>
                <w:rFonts w:ascii="Arial" w:cs="Arial" w:eastAsia="Arial" w:hAnsi="Arial"/>
                <w:sz w:val="14"/>
                <w:szCs w:val="14"/>
                <w:b w:val="1"/>
                <w:bCs w:val="1"/>
                <w:color w:val="auto"/>
                <w:w w:val="86"/>
              </w:rPr>
              <w:t>Remaining</w:t>
            </w:r>
          </w:p>
        </w:tc>
        <w:tc>
          <w:tcPr>
            <w:tcW w:w="580" w:type="dxa"/>
            <w:vAlign w:val="bottom"/>
          </w:tcPr>
          <w:p>
            <w:pPr>
              <w:spacing w:after="0"/>
              <w:rPr>
                <w:sz w:val="5"/>
                <w:szCs w:val="5"/>
                <w:color w:val="auto"/>
              </w:rPr>
            </w:pPr>
          </w:p>
        </w:tc>
        <w:tc>
          <w:tcPr>
            <w:tcW w:w="100" w:type="dxa"/>
            <w:vAlign w:val="bottom"/>
          </w:tcPr>
          <w:p>
            <w:pPr>
              <w:spacing w:after="0"/>
              <w:rPr>
                <w:sz w:val="5"/>
                <w:szCs w:val="5"/>
                <w:color w:val="auto"/>
              </w:rPr>
            </w:pPr>
          </w:p>
        </w:tc>
        <w:tc>
          <w:tcPr>
            <w:tcW w:w="48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2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6"/>
              </w:rPr>
              <w:t>Average</w:t>
            </w:r>
          </w:p>
        </w:tc>
        <w:tc>
          <w:tcPr>
            <w:tcW w:w="580" w:type="dxa"/>
            <w:vAlign w:val="bottom"/>
          </w:tcPr>
          <w:p>
            <w:pPr>
              <w:spacing w:after="0"/>
              <w:rPr>
                <w:sz w:val="12"/>
                <w:szCs w:val="12"/>
                <w:color w:val="auto"/>
              </w:rPr>
            </w:pPr>
          </w:p>
        </w:tc>
        <w:tc>
          <w:tcPr>
            <w:tcW w:w="720" w:type="dxa"/>
            <w:vAlign w:val="bottom"/>
            <w:vMerge w:val="continue"/>
          </w:tcPr>
          <w:p>
            <w:pPr>
              <w:spacing w:after="0"/>
              <w:rPr>
                <w:sz w:val="12"/>
                <w:szCs w:val="12"/>
                <w:color w:val="auto"/>
              </w:rPr>
            </w:pPr>
          </w:p>
        </w:tc>
        <w:tc>
          <w:tcPr>
            <w:tcW w:w="580" w:type="dxa"/>
            <w:vAlign w:val="bottom"/>
          </w:tcPr>
          <w:p>
            <w:pPr>
              <w:spacing w:after="0"/>
              <w:rPr>
                <w:sz w:val="12"/>
                <w:szCs w:val="12"/>
                <w:color w:val="auto"/>
              </w:rPr>
            </w:pPr>
          </w:p>
        </w:tc>
        <w:tc>
          <w:tcPr>
            <w:tcW w:w="68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w w:val="95"/>
              </w:rPr>
              <w:t>Aggregate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2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6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w w:val="89"/>
              </w:rPr>
              <w:t>Grant Date</w:t>
            </w:r>
          </w:p>
        </w:tc>
        <w:tc>
          <w:tcPr>
            <w:tcW w:w="580" w:type="dxa"/>
            <w:vAlign w:val="bottom"/>
          </w:tcPr>
          <w:p>
            <w:pPr>
              <w:spacing w:after="0"/>
              <w:rPr>
                <w:sz w:val="12"/>
                <w:szCs w:val="12"/>
                <w:color w:val="auto"/>
              </w:rPr>
            </w:pPr>
          </w:p>
        </w:tc>
        <w:tc>
          <w:tcPr>
            <w:tcW w:w="7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7"/>
              </w:rPr>
              <w:t>Contractual</w:t>
            </w:r>
          </w:p>
        </w:tc>
        <w:tc>
          <w:tcPr>
            <w:tcW w:w="580" w:type="dxa"/>
            <w:vAlign w:val="bottom"/>
          </w:tcPr>
          <w:p>
            <w:pPr>
              <w:spacing w:after="0"/>
              <w:rPr>
                <w:sz w:val="12"/>
                <w:szCs w:val="12"/>
                <w:color w:val="auto"/>
              </w:rPr>
            </w:pPr>
          </w:p>
        </w:tc>
        <w:tc>
          <w:tcPr>
            <w:tcW w:w="680" w:type="dxa"/>
            <w:vAlign w:val="bottom"/>
            <w:gridSpan w:val="3"/>
          </w:tcPr>
          <w:p>
            <w:pPr>
              <w:jc w:val="center"/>
              <w:ind w:right="100"/>
              <w:spacing w:after="0" w:line="149" w:lineRule="exact"/>
              <w:rPr>
                <w:sz w:val="20"/>
                <w:szCs w:val="20"/>
                <w:color w:val="auto"/>
              </w:rPr>
            </w:pPr>
            <w:r>
              <w:rPr>
                <w:rFonts w:ascii="Arial" w:cs="Arial" w:eastAsia="Arial" w:hAnsi="Arial"/>
                <w:sz w:val="14"/>
                <w:szCs w:val="14"/>
                <w:b w:val="1"/>
                <w:bCs w:val="1"/>
                <w:color w:val="auto"/>
                <w:w w:val="91"/>
              </w:rPr>
              <w:t>Intrinsic</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7220" w:type="dxa"/>
            <w:vAlign w:val="bottom"/>
          </w:tcPr>
          <w:p>
            <w:pPr>
              <w:spacing w:after="0"/>
              <w:rPr>
                <w:sz w:val="14"/>
                <w:szCs w:val="14"/>
                <w:color w:val="auto"/>
              </w:rPr>
            </w:pPr>
          </w:p>
        </w:tc>
        <w:tc>
          <w:tcPr>
            <w:tcW w:w="960" w:type="dxa"/>
            <w:vAlign w:val="bottom"/>
            <w:gridSpan w:val="2"/>
          </w:tcPr>
          <w:p>
            <w:pPr>
              <w:jc w:val="right"/>
              <w:ind w:right="580"/>
              <w:spacing w:after="0"/>
              <w:rPr>
                <w:sz w:val="20"/>
                <w:szCs w:val="20"/>
                <w:color w:val="auto"/>
              </w:rPr>
            </w:pPr>
            <w:r>
              <w:rPr>
                <w:rFonts w:ascii="Arial" w:cs="Arial" w:eastAsia="Arial" w:hAnsi="Arial"/>
                <w:sz w:val="14"/>
                <w:szCs w:val="14"/>
                <w:b w:val="1"/>
                <w:bCs w:val="1"/>
                <w:color w:val="auto"/>
                <w:w w:val="76"/>
              </w:rPr>
              <w:t>Shares</w:t>
            </w:r>
          </w:p>
        </w:tc>
        <w:tc>
          <w:tcPr>
            <w:tcW w:w="660" w:type="dxa"/>
            <w:vAlign w:val="bottom"/>
            <w:gridSpan w:val="2"/>
          </w:tcPr>
          <w:p>
            <w:pPr>
              <w:jc w:val="center"/>
              <w:spacing w:after="0"/>
              <w:rPr>
                <w:sz w:val="20"/>
                <w:szCs w:val="20"/>
                <w:color w:val="auto"/>
              </w:rPr>
            </w:pPr>
            <w:r>
              <w:rPr>
                <w:rFonts w:ascii="Arial" w:cs="Arial" w:eastAsia="Arial" w:hAnsi="Arial"/>
                <w:sz w:val="14"/>
                <w:szCs w:val="14"/>
                <w:b w:val="1"/>
                <w:bCs w:val="1"/>
                <w:color w:val="auto"/>
                <w:w w:val="89"/>
              </w:rPr>
              <w:t>Fair Value</w:t>
            </w:r>
          </w:p>
        </w:tc>
        <w:tc>
          <w:tcPr>
            <w:tcW w:w="580" w:type="dxa"/>
            <w:vAlign w:val="bottom"/>
          </w:tcPr>
          <w:p>
            <w:pPr>
              <w:spacing w:after="0"/>
              <w:rPr>
                <w:sz w:val="14"/>
                <w:szCs w:val="14"/>
                <w:color w:val="auto"/>
              </w:rPr>
            </w:pPr>
          </w:p>
        </w:tc>
        <w:tc>
          <w:tcPr>
            <w:tcW w:w="720" w:type="dxa"/>
            <w:vAlign w:val="bottom"/>
          </w:tcPr>
          <w:p>
            <w:pPr>
              <w:jc w:val="center"/>
              <w:spacing w:after="0"/>
              <w:rPr>
                <w:sz w:val="20"/>
                <w:szCs w:val="20"/>
                <w:color w:val="auto"/>
              </w:rPr>
            </w:pPr>
            <w:r>
              <w:rPr>
                <w:rFonts w:ascii="Arial" w:cs="Arial" w:eastAsia="Arial" w:hAnsi="Arial"/>
                <w:sz w:val="14"/>
                <w:szCs w:val="14"/>
                <w:b w:val="1"/>
                <w:bCs w:val="1"/>
                <w:color w:val="auto"/>
                <w:w w:val="93"/>
              </w:rPr>
              <w:t>Term</w:t>
            </w:r>
          </w:p>
        </w:tc>
        <w:tc>
          <w:tcPr>
            <w:tcW w:w="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0"/>
              </w:rPr>
              <w:t>Value</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722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7220" w:type="dxa"/>
            <w:vAlign w:val="bottom"/>
            <w:shd w:val="clear" w:color="auto" w:fill="CCEEFF"/>
          </w:tcPr>
          <w:p>
            <w:pPr>
              <w:spacing w:after="0"/>
              <w:rPr>
                <w:sz w:val="20"/>
                <w:szCs w:val="20"/>
                <w:color w:val="auto"/>
              </w:rPr>
            </w:pPr>
            <w:r>
              <w:rPr>
                <w:rFonts w:ascii="Arial" w:cs="Arial" w:eastAsia="Arial" w:hAnsi="Arial"/>
                <w:sz w:val="18"/>
                <w:szCs w:val="18"/>
                <w:color w:val="auto"/>
              </w:rPr>
              <w:t>RSUs outstanding at January 1, 2010</w:t>
            </w:r>
          </w:p>
        </w:tc>
        <w:tc>
          <w:tcPr>
            <w:tcW w:w="96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1.1</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16.39</w:t>
            </w:r>
          </w:p>
        </w:tc>
        <w:tc>
          <w:tcPr>
            <w:tcW w:w="5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20" w:type="dxa"/>
            <w:vAlign w:val="bottom"/>
          </w:tcPr>
          <w:p>
            <w:pPr>
              <w:spacing w:after="0"/>
              <w:rPr>
                <w:sz w:val="20"/>
                <w:szCs w:val="20"/>
                <w:color w:val="auto"/>
              </w:rPr>
            </w:pPr>
            <w:r>
              <w:rPr>
                <w:rFonts w:ascii="Arial" w:cs="Arial" w:eastAsia="Arial" w:hAnsi="Arial"/>
                <w:sz w:val="18"/>
                <w:szCs w:val="18"/>
                <w:color w:val="auto"/>
              </w:rPr>
              <w:t>Granted</w:t>
            </w:r>
          </w:p>
        </w:tc>
        <w:tc>
          <w:tcPr>
            <w:tcW w:w="960" w:type="dxa"/>
            <w:vAlign w:val="bottom"/>
            <w:gridSpan w:val="2"/>
          </w:tcPr>
          <w:p>
            <w:pPr>
              <w:jc w:val="right"/>
              <w:ind w:right="580"/>
              <w:spacing w:after="0"/>
              <w:rPr>
                <w:sz w:val="20"/>
                <w:szCs w:val="20"/>
                <w:color w:val="auto"/>
              </w:rPr>
            </w:pPr>
            <w:r>
              <w:rPr>
                <w:rFonts w:ascii="Arial" w:cs="Arial" w:eastAsia="Arial" w:hAnsi="Arial"/>
                <w:sz w:val="18"/>
                <w:szCs w:val="18"/>
                <w:color w:val="auto"/>
              </w:rPr>
              <w:t>16.9</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18.80</w:t>
            </w:r>
          </w:p>
        </w:tc>
        <w:tc>
          <w:tcPr>
            <w:tcW w:w="5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20" w:type="dxa"/>
            <w:vAlign w:val="bottom"/>
            <w:shd w:val="clear" w:color="auto" w:fill="CCEEFF"/>
          </w:tcPr>
          <w:p>
            <w:pPr>
              <w:spacing w:after="0"/>
              <w:rPr>
                <w:sz w:val="20"/>
                <w:szCs w:val="20"/>
                <w:color w:val="auto"/>
              </w:rPr>
            </w:pPr>
            <w:r>
              <w:rPr>
                <w:rFonts w:ascii="Arial" w:cs="Arial" w:eastAsia="Arial" w:hAnsi="Arial"/>
                <w:sz w:val="18"/>
                <w:szCs w:val="18"/>
                <w:color w:val="auto"/>
              </w:rPr>
              <w:t>Settled</w:t>
            </w:r>
          </w:p>
        </w:tc>
        <w:tc>
          <w:tcPr>
            <w:tcW w:w="96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(0.2)</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16.39</w:t>
            </w:r>
          </w:p>
        </w:tc>
        <w:tc>
          <w:tcPr>
            <w:tcW w:w="5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20" w:type="dxa"/>
            <w:vAlign w:val="bottom"/>
          </w:tcPr>
          <w:p>
            <w:pPr>
              <w:spacing w:after="0"/>
              <w:rPr>
                <w:sz w:val="20"/>
                <w:szCs w:val="20"/>
                <w:color w:val="auto"/>
              </w:rPr>
            </w:pPr>
            <w:r>
              <w:rPr>
                <w:rFonts w:ascii="Arial" w:cs="Arial" w:eastAsia="Arial" w:hAnsi="Arial"/>
                <w:sz w:val="18"/>
                <w:szCs w:val="18"/>
                <w:color w:val="auto"/>
              </w:rPr>
              <w:t>Forfeited or expired</w:t>
            </w:r>
          </w:p>
        </w:tc>
        <w:tc>
          <w:tcPr>
            <w:tcW w:w="960" w:type="dxa"/>
            <w:vAlign w:val="bottom"/>
            <w:gridSpan w:val="2"/>
          </w:tcPr>
          <w:p>
            <w:pPr>
              <w:jc w:val="right"/>
              <w:ind w:right="520"/>
              <w:spacing w:after="0"/>
              <w:rPr>
                <w:sz w:val="20"/>
                <w:szCs w:val="20"/>
                <w:color w:val="auto"/>
              </w:rPr>
            </w:pPr>
            <w:r>
              <w:rPr>
                <w:rFonts w:ascii="Arial" w:cs="Arial" w:eastAsia="Arial" w:hAnsi="Arial"/>
                <w:sz w:val="18"/>
                <w:szCs w:val="18"/>
                <w:color w:val="auto"/>
              </w:rPr>
              <w:t>(0.3)</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18.80</w:t>
            </w:r>
          </w:p>
        </w:tc>
        <w:tc>
          <w:tcPr>
            <w:tcW w:w="5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220" w:type="dxa"/>
            <w:vAlign w:val="bottom"/>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580" w:type="dxa"/>
            <w:vAlign w:val="bottom"/>
          </w:tcPr>
          <w:p>
            <w:pPr>
              <w:spacing w:after="0"/>
              <w:rPr>
                <w:sz w:val="2"/>
                <w:szCs w:val="2"/>
                <w:color w:val="auto"/>
              </w:rPr>
            </w:pPr>
          </w:p>
        </w:tc>
        <w:tc>
          <w:tcPr>
            <w:tcW w:w="72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220" w:type="dxa"/>
            <w:vAlign w:val="bottom"/>
            <w:shd w:val="clear" w:color="auto" w:fill="CCEEFF"/>
          </w:tcPr>
          <w:p>
            <w:pPr>
              <w:spacing w:after="0"/>
              <w:rPr>
                <w:sz w:val="20"/>
                <w:szCs w:val="20"/>
                <w:color w:val="auto"/>
              </w:rPr>
            </w:pPr>
            <w:r>
              <w:rPr>
                <w:rFonts w:ascii="Arial" w:cs="Arial" w:eastAsia="Arial" w:hAnsi="Arial"/>
                <w:sz w:val="18"/>
                <w:szCs w:val="18"/>
                <w:color w:val="auto"/>
              </w:rPr>
              <w:t>RSUs outstanding at September 30, 2010</w:t>
            </w:r>
          </w:p>
        </w:tc>
        <w:tc>
          <w:tcPr>
            <w:tcW w:w="96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17.5</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18.67</w:t>
            </w:r>
          </w:p>
        </w:tc>
        <w:tc>
          <w:tcPr>
            <w:tcW w:w="1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680" w:type="dxa"/>
            <w:vAlign w:val="bottom"/>
            <w:gridSpan w:val="2"/>
            <w:shd w:val="clear" w:color="auto" w:fill="CCEEFF"/>
          </w:tcPr>
          <w:p>
            <w:pPr>
              <w:ind w:left="580"/>
              <w:spacing w:after="0"/>
              <w:rPr>
                <w:sz w:val="20"/>
                <w:szCs w:val="20"/>
                <w:color w:val="auto"/>
              </w:rPr>
            </w:pPr>
            <w:r>
              <w:rPr>
                <w:rFonts w:ascii="Arial" w:cs="Arial" w:eastAsia="Arial" w:hAnsi="Arial"/>
                <w:sz w:val="18"/>
                <w:szCs w:val="18"/>
                <w:color w:val="auto"/>
                <w:w w:val="79"/>
              </w:rPr>
              <w:t>$</w:t>
            </w:r>
          </w:p>
        </w:tc>
        <w:tc>
          <w:tcPr>
            <w:tcW w:w="58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7240" w:type="dxa"/>
            <w:vAlign w:val="bottom"/>
            <w:gridSpan w:val="2"/>
            <w:vMerge w:val="restart"/>
          </w:tcPr>
          <w:p>
            <w:pPr>
              <w:spacing w:after="0"/>
              <w:rPr>
                <w:sz w:val="20"/>
                <w:szCs w:val="20"/>
                <w:color w:val="auto"/>
              </w:rPr>
            </w:pPr>
            <w:r>
              <w:rPr>
                <w:rFonts w:ascii="Arial" w:cs="Arial" w:eastAsia="Arial" w:hAnsi="Arial"/>
                <w:sz w:val="18"/>
                <w:szCs w:val="18"/>
                <w:color w:val="auto"/>
              </w:rPr>
              <w:t>RSUs expected to vest at September 30, 2010</w:t>
            </w:r>
          </w:p>
        </w:tc>
        <w:tc>
          <w:tcPr>
            <w:tcW w:w="3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vMerge w:val="restart"/>
          </w:tcPr>
          <w:p>
            <w:pPr>
              <w:spacing w:after="0"/>
              <w:rPr>
                <w:sz w:val="20"/>
                <w:szCs w:val="20"/>
                <w:color w:val="auto"/>
              </w:rPr>
            </w:pPr>
            <w:r>
              <w:rPr>
                <w:rFonts w:ascii="Arial" w:cs="Arial" w:eastAsia="Arial" w:hAnsi="Arial"/>
                <w:sz w:val="18"/>
                <w:szCs w:val="18"/>
                <w:color w:val="auto"/>
                <w:w w:val="79"/>
              </w:rPr>
              <w:t>$</w:t>
            </w:r>
          </w:p>
        </w:tc>
        <w:tc>
          <w:tcPr>
            <w:tcW w:w="560" w:type="dxa"/>
            <w:vAlign w:val="bottom"/>
            <w:vMerge w:val="restart"/>
          </w:tcPr>
          <w:p>
            <w:pPr>
              <w:jc w:val="right"/>
              <w:spacing w:after="0"/>
              <w:rPr>
                <w:sz w:val="20"/>
                <w:szCs w:val="20"/>
                <w:color w:val="auto"/>
              </w:rPr>
            </w:pPr>
            <w:r>
              <w:rPr>
                <w:rFonts w:ascii="Arial" w:cs="Arial" w:eastAsia="Arial" w:hAnsi="Arial"/>
                <w:sz w:val="18"/>
                <w:szCs w:val="18"/>
                <w:color w:val="auto"/>
              </w:rPr>
              <w:t>18.80</w:t>
            </w:r>
          </w:p>
        </w:tc>
        <w:tc>
          <w:tcPr>
            <w:tcW w:w="1300" w:type="dxa"/>
            <w:vAlign w:val="bottom"/>
            <w:gridSpan w:val="2"/>
            <w:vMerge w:val="restart"/>
          </w:tcPr>
          <w:p>
            <w:pPr>
              <w:jc w:val="right"/>
              <w:spacing w:after="0"/>
              <w:rPr>
                <w:sz w:val="20"/>
                <w:szCs w:val="20"/>
                <w:color w:val="auto"/>
              </w:rPr>
            </w:pPr>
            <w:r>
              <w:rPr>
                <w:rFonts w:ascii="Arial" w:cs="Arial" w:eastAsia="Arial" w:hAnsi="Arial"/>
                <w:sz w:val="18"/>
                <w:szCs w:val="18"/>
                <w:color w:val="auto"/>
              </w:rPr>
              <w:t>2.5</w:t>
            </w:r>
          </w:p>
        </w:tc>
        <w:tc>
          <w:tcPr>
            <w:tcW w:w="680" w:type="dxa"/>
            <w:vAlign w:val="bottom"/>
            <w:gridSpan w:val="2"/>
            <w:vMerge w:val="restart"/>
          </w:tcPr>
          <w:p>
            <w:pPr>
              <w:ind w:left="580"/>
              <w:spacing w:after="0"/>
              <w:rPr>
                <w:sz w:val="20"/>
                <w:szCs w:val="20"/>
                <w:color w:val="auto"/>
              </w:rPr>
            </w:pPr>
            <w:r>
              <w:rPr>
                <w:rFonts w:ascii="Arial" w:cs="Arial" w:eastAsia="Arial" w:hAnsi="Arial"/>
                <w:sz w:val="18"/>
                <w:szCs w:val="18"/>
                <w:color w:val="auto"/>
                <w:w w:val="79"/>
              </w:rPr>
              <w:t>$</w:t>
            </w:r>
          </w:p>
        </w:tc>
        <w:tc>
          <w:tcPr>
            <w:tcW w:w="580" w:type="dxa"/>
            <w:vAlign w:val="bottom"/>
            <w:gridSpan w:val="2"/>
            <w:vMerge w:val="restart"/>
          </w:tcPr>
          <w:p>
            <w:pPr>
              <w:ind w:left="300"/>
              <w:spacing w:after="0"/>
              <w:rPr>
                <w:sz w:val="20"/>
                <w:szCs w:val="20"/>
                <w:color w:val="auto"/>
              </w:rPr>
            </w:pPr>
            <w:r>
              <w:rPr>
                <w:rFonts w:ascii="Arial" w:cs="Arial" w:eastAsia="Arial" w:hAnsi="Arial"/>
                <w:sz w:val="18"/>
                <w:szCs w:val="18"/>
                <w:color w:val="auto"/>
              </w:rPr>
              <w:t>—</w:t>
            </w:r>
          </w:p>
        </w:tc>
        <w:tc>
          <w:tcPr>
            <w:tcW w:w="0" w:type="dxa"/>
            <w:vAlign w:val="bottom"/>
          </w:tcPr>
          <w:p>
            <w:pPr>
              <w:spacing w:after="0" w:line="20" w:lineRule="exact"/>
              <w:rPr>
                <w:sz w:val="1"/>
                <w:szCs w:val="1"/>
                <w:color w:val="auto"/>
              </w:rPr>
            </w:pPr>
          </w:p>
        </w:tc>
      </w:tr>
      <w:tr>
        <w:trPr>
          <w:trHeight w:val="209"/>
        </w:trPr>
        <w:tc>
          <w:tcPr>
            <w:tcW w:w="7240" w:type="dxa"/>
            <w:vAlign w:val="bottom"/>
            <w:gridSpan w:val="2"/>
            <w:vMerge w:val="continue"/>
          </w:tcPr>
          <w:p>
            <w:pPr>
              <w:spacing w:after="0"/>
              <w:rPr>
                <w:sz w:val="18"/>
                <w:szCs w:val="18"/>
                <w:color w:val="auto"/>
              </w:rPr>
            </w:pPr>
          </w:p>
        </w:tc>
        <w:tc>
          <w:tcPr>
            <w:tcW w:w="960" w:type="dxa"/>
            <w:vAlign w:val="bottom"/>
            <w:gridSpan w:val="2"/>
          </w:tcPr>
          <w:p>
            <w:pPr>
              <w:jc w:val="right"/>
              <w:ind w:right="580"/>
              <w:spacing w:after="0"/>
              <w:rPr>
                <w:sz w:val="20"/>
                <w:szCs w:val="20"/>
                <w:color w:val="auto"/>
              </w:rPr>
            </w:pPr>
            <w:r>
              <w:rPr>
                <w:rFonts w:ascii="Arial" w:cs="Arial" w:eastAsia="Arial" w:hAnsi="Arial"/>
                <w:sz w:val="18"/>
                <w:szCs w:val="18"/>
                <w:color w:val="auto"/>
              </w:rPr>
              <w:t>12.8</w:t>
            </w:r>
          </w:p>
        </w:tc>
        <w:tc>
          <w:tcPr>
            <w:tcW w:w="100" w:type="dxa"/>
            <w:vAlign w:val="bottom"/>
            <w:vMerge w:val="continue"/>
          </w:tcPr>
          <w:p>
            <w:pPr>
              <w:spacing w:after="0"/>
              <w:rPr>
                <w:sz w:val="18"/>
                <w:szCs w:val="18"/>
                <w:color w:val="auto"/>
              </w:rPr>
            </w:pPr>
          </w:p>
        </w:tc>
        <w:tc>
          <w:tcPr>
            <w:tcW w:w="560" w:type="dxa"/>
            <w:vAlign w:val="bottom"/>
            <w:vMerge w:val="continue"/>
          </w:tcPr>
          <w:p>
            <w:pPr>
              <w:spacing w:after="0"/>
              <w:rPr>
                <w:sz w:val="18"/>
                <w:szCs w:val="18"/>
                <w:color w:val="auto"/>
              </w:rPr>
            </w:pPr>
          </w:p>
        </w:tc>
        <w:tc>
          <w:tcPr>
            <w:tcW w:w="1300" w:type="dxa"/>
            <w:vAlign w:val="bottom"/>
            <w:gridSpan w:val="2"/>
            <w:vMerge w:val="continue"/>
          </w:tcPr>
          <w:p>
            <w:pPr>
              <w:spacing w:after="0"/>
              <w:rPr>
                <w:sz w:val="18"/>
                <w:szCs w:val="18"/>
                <w:color w:val="auto"/>
              </w:rPr>
            </w:pPr>
          </w:p>
        </w:tc>
        <w:tc>
          <w:tcPr>
            <w:tcW w:w="680" w:type="dxa"/>
            <w:vAlign w:val="bottom"/>
            <w:gridSpan w:val="2"/>
            <w:vMerge w:val="continue"/>
          </w:tcPr>
          <w:p>
            <w:pPr>
              <w:spacing w:after="0"/>
              <w:rPr>
                <w:sz w:val="18"/>
                <w:szCs w:val="18"/>
                <w:color w:val="auto"/>
              </w:rPr>
            </w:pPr>
          </w:p>
        </w:tc>
        <w:tc>
          <w:tcPr>
            <w:tcW w:w="58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22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20" w:type="dxa"/>
            <w:vAlign w:val="bottom"/>
          </w:tcPr>
          <w:p>
            <w:pPr>
              <w:spacing w:after="0"/>
              <w:rPr>
                <w:sz w:val="18"/>
                <w:szCs w:val="18"/>
                <w:color w:val="auto"/>
              </w:rPr>
            </w:pPr>
          </w:p>
        </w:tc>
        <w:tc>
          <w:tcPr>
            <w:tcW w:w="7220" w:type="dxa"/>
            <w:vAlign w:val="bottom"/>
            <w:shd w:val="clear" w:color="auto" w:fill="CCEEFF"/>
          </w:tcPr>
          <w:p>
            <w:pPr>
              <w:spacing w:after="0"/>
              <w:rPr>
                <w:sz w:val="20"/>
                <w:szCs w:val="20"/>
                <w:color w:val="auto"/>
              </w:rPr>
            </w:pPr>
            <w:r>
              <w:rPr>
                <w:rFonts w:ascii="Arial" w:cs="Arial" w:eastAsia="Arial" w:hAnsi="Arial"/>
                <w:sz w:val="18"/>
                <w:szCs w:val="18"/>
                <w:color w:val="auto"/>
              </w:rPr>
              <w:t>RSUs vested and payable at September 30, 2010</w:t>
            </w:r>
          </w:p>
        </w:tc>
        <w:tc>
          <w:tcPr>
            <w:tcW w:w="96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4.0</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18.22</w:t>
            </w:r>
          </w:p>
        </w:tc>
        <w:tc>
          <w:tcPr>
            <w:tcW w:w="5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ind w:left="580"/>
              <w:spacing w:after="0"/>
              <w:rPr>
                <w:sz w:val="20"/>
                <w:szCs w:val="20"/>
                <w:color w:val="auto"/>
              </w:rPr>
            </w:pPr>
            <w:r>
              <w:rPr>
                <w:rFonts w:ascii="Arial" w:cs="Arial" w:eastAsia="Arial" w:hAnsi="Arial"/>
                <w:sz w:val="18"/>
                <w:szCs w:val="18"/>
                <w:color w:val="auto"/>
                <w:w w:val="79"/>
              </w:rPr>
              <w:t>$</w:t>
            </w:r>
          </w:p>
        </w:tc>
        <w:tc>
          <w:tcPr>
            <w:tcW w:w="58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22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left="240"/>
        <w:spacing w:after="0"/>
        <w:rPr>
          <w:sz w:val="20"/>
          <w:szCs w:val="20"/>
          <w:color w:val="auto"/>
        </w:rPr>
      </w:pPr>
      <w:r>
        <w:rPr>
          <w:rFonts w:ascii="Arial" w:cs="Arial" w:eastAsia="Arial" w:hAnsi="Arial"/>
          <w:sz w:val="16"/>
          <w:szCs w:val="16"/>
          <w:color w:val="auto"/>
        </w:rPr>
        <w:t>There were no RSU’s granted or outstanding under the 2009 GMLTIP and GMSSP for the period July 10, 2009 through September 30, 2009.</w:t>
      </w:r>
    </w:p>
    <w:p>
      <w:pPr>
        <w:spacing w:after="0" w:line="194" w:lineRule="exact"/>
        <w:rPr>
          <w:sz w:val="20"/>
          <w:szCs w:val="20"/>
          <w:color w:val="auto"/>
        </w:rPr>
      </w:pPr>
    </w:p>
    <w:p>
      <w:pPr>
        <w:ind w:left="240"/>
        <w:spacing w:after="0"/>
        <w:rPr>
          <w:sz w:val="20"/>
          <w:szCs w:val="20"/>
          <w:color w:val="auto"/>
        </w:rPr>
      </w:pPr>
      <w:r>
        <w:rPr>
          <w:rFonts w:ascii="Arial" w:cs="Arial" w:eastAsia="Arial" w:hAnsi="Arial"/>
          <w:sz w:val="15"/>
          <w:szCs w:val="15"/>
          <w:color w:val="auto"/>
        </w:rPr>
        <w:t>The following table summarizes our total payments for 97.2 thousand and 194.6 thousand RSUs vested under the GMSSP in the three and nine months ended</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September 30, 2010 (dollars in millions):</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360" w:type="dxa"/>
            <w:vAlign w:val="bottom"/>
          </w:tcPr>
          <w:p>
            <w:pPr>
              <w:spacing w:after="0"/>
              <w:rPr>
                <w:sz w:val="14"/>
                <w:szCs w:val="14"/>
                <w:color w:val="auto"/>
              </w:rPr>
            </w:pPr>
          </w:p>
        </w:tc>
        <w:tc>
          <w:tcPr>
            <w:tcW w:w="450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gridSpan w:val="2"/>
          </w:tcPr>
          <w:p>
            <w:pPr>
              <w:jc w:val="right"/>
              <w:ind w:right="392"/>
              <w:spacing w:after="0"/>
              <w:rPr>
                <w:sz w:val="20"/>
                <w:szCs w:val="20"/>
                <w:color w:val="auto"/>
              </w:rPr>
            </w:pPr>
            <w:r>
              <w:rPr>
                <w:rFonts w:ascii="Arial" w:cs="Arial" w:eastAsia="Arial" w:hAnsi="Arial"/>
                <w:sz w:val="14"/>
                <w:szCs w:val="14"/>
                <w:b w:val="1"/>
                <w:bCs w:val="1"/>
                <w:color w:val="auto"/>
                <w:w w:val="98"/>
              </w:rPr>
              <w:t>Successor</w:t>
            </w:r>
          </w:p>
        </w:tc>
        <w:tc>
          <w:tcPr>
            <w:tcW w:w="9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29"/>
        </w:trPr>
        <w:tc>
          <w:tcPr>
            <w:tcW w:w="3360" w:type="dxa"/>
            <w:vAlign w:val="bottom"/>
          </w:tcPr>
          <w:p>
            <w:pPr>
              <w:spacing w:after="0"/>
              <w:rPr>
                <w:sz w:val="11"/>
                <w:szCs w:val="11"/>
                <w:color w:val="auto"/>
              </w:rPr>
            </w:pPr>
          </w:p>
        </w:tc>
        <w:tc>
          <w:tcPr>
            <w:tcW w:w="45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60" w:type="dxa"/>
            <w:vAlign w:val="bottom"/>
            <w:gridSpan w:val="2"/>
          </w:tcPr>
          <w:p>
            <w:pPr>
              <w:jc w:val="center"/>
              <w:ind w:right="300"/>
              <w:spacing w:after="0" w:line="129" w:lineRule="exact"/>
              <w:rPr>
                <w:sz w:val="20"/>
                <w:szCs w:val="20"/>
                <w:color w:val="auto"/>
              </w:rPr>
            </w:pPr>
            <w:r>
              <w:rPr>
                <w:rFonts w:ascii="Arial" w:cs="Arial" w:eastAsia="Arial" w:hAnsi="Arial"/>
                <w:sz w:val="14"/>
                <w:szCs w:val="14"/>
                <w:b w:val="1"/>
                <w:bCs w:val="1"/>
                <w:color w:val="auto"/>
                <w:w w:val="89"/>
              </w:rPr>
              <w:t>Three Months</w:t>
            </w:r>
          </w:p>
        </w:tc>
        <w:tc>
          <w:tcPr>
            <w:tcW w:w="10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80" w:type="dxa"/>
            <w:vAlign w:val="bottom"/>
          </w:tcPr>
          <w:p>
            <w:pPr>
              <w:jc w:val="center"/>
              <w:ind w:right="66"/>
              <w:spacing w:after="0" w:line="129" w:lineRule="exact"/>
              <w:rPr>
                <w:sz w:val="20"/>
                <w:szCs w:val="20"/>
                <w:color w:val="auto"/>
              </w:rPr>
            </w:pPr>
            <w:r>
              <w:rPr>
                <w:rFonts w:ascii="Arial" w:cs="Arial" w:eastAsia="Arial" w:hAnsi="Arial"/>
                <w:sz w:val="14"/>
                <w:szCs w:val="14"/>
                <w:b w:val="1"/>
                <w:bCs w:val="1"/>
                <w:color w:val="auto"/>
                <w:w w:val="90"/>
              </w:rPr>
              <w:t>Nine Months</w:t>
            </w:r>
          </w:p>
        </w:tc>
        <w:tc>
          <w:tcPr>
            <w:tcW w:w="100" w:type="dxa"/>
            <w:vAlign w:val="bottom"/>
          </w:tcPr>
          <w:p>
            <w:pPr>
              <w:spacing w:after="0"/>
              <w:rPr>
                <w:sz w:val="11"/>
                <w:szCs w:val="11"/>
                <w:color w:val="auto"/>
              </w:rPr>
            </w:pPr>
          </w:p>
        </w:tc>
      </w:tr>
      <w:tr>
        <w:trPr>
          <w:trHeight w:val="149"/>
        </w:trPr>
        <w:tc>
          <w:tcPr>
            <w:tcW w:w="3360" w:type="dxa"/>
            <w:vAlign w:val="bottom"/>
          </w:tcPr>
          <w:p>
            <w:pPr>
              <w:spacing w:after="0"/>
              <w:rPr>
                <w:sz w:val="12"/>
                <w:szCs w:val="12"/>
                <w:color w:val="auto"/>
              </w:rPr>
            </w:pPr>
          </w:p>
        </w:tc>
        <w:tc>
          <w:tcPr>
            <w:tcW w:w="45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6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88"/>
              </w:rPr>
              <w:t>Ended</w:t>
            </w:r>
          </w:p>
        </w:tc>
        <w:tc>
          <w:tcPr>
            <w:tcW w:w="10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8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84"/>
              </w:rPr>
              <w:t>Ended</w:t>
            </w:r>
          </w:p>
        </w:tc>
      </w:tr>
      <w:tr>
        <w:trPr>
          <w:trHeight w:val="161"/>
        </w:trPr>
        <w:tc>
          <w:tcPr>
            <w:tcW w:w="3360" w:type="dxa"/>
            <w:vAlign w:val="bottom"/>
          </w:tcPr>
          <w:p>
            <w:pPr>
              <w:spacing w:after="0"/>
              <w:rPr>
                <w:sz w:val="14"/>
                <w:szCs w:val="14"/>
                <w:color w:val="auto"/>
              </w:rPr>
            </w:pPr>
          </w:p>
        </w:tc>
        <w:tc>
          <w:tcPr>
            <w:tcW w:w="4500" w:type="dxa"/>
            <w:vAlign w:val="bottom"/>
          </w:tcPr>
          <w:p>
            <w:pPr>
              <w:spacing w:after="0"/>
              <w:rPr>
                <w:sz w:val="14"/>
                <w:szCs w:val="14"/>
                <w:color w:val="auto"/>
              </w:rPr>
            </w:pPr>
          </w:p>
        </w:tc>
        <w:tc>
          <w:tcPr>
            <w:tcW w:w="1140" w:type="dxa"/>
            <w:vAlign w:val="bottom"/>
            <w:gridSpan w:val="2"/>
          </w:tcPr>
          <w:p>
            <w:pPr>
              <w:jc w:val="center"/>
              <w:spacing w:after="0"/>
              <w:rPr>
                <w:sz w:val="20"/>
                <w:szCs w:val="20"/>
                <w:color w:val="auto"/>
              </w:rPr>
            </w:pPr>
            <w:r>
              <w:rPr>
                <w:rFonts w:ascii="Arial" w:cs="Arial" w:eastAsia="Arial" w:hAnsi="Arial"/>
                <w:sz w:val="14"/>
                <w:szCs w:val="14"/>
                <w:b w:val="1"/>
                <w:bCs w:val="1"/>
                <w:color w:val="auto"/>
                <w:w w:val="85"/>
              </w:rPr>
              <w:t>September 30, 2010</w:t>
            </w:r>
          </w:p>
        </w:tc>
        <w:tc>
          <w:tcPr>
            <w:tcW w:w="1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2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w w:val="85"/>
              </w:rPr>
              <w:t>September 30, 2010</w:t>
            </w:r>
          </w:p>
        </w:tc>
      </w:tr>
      <w:tr>
        <w:trPr>
          <w:trHeight w:val="20"/>
        </w:trPr>
        <w:tc>
          <w:tcPr>
            <w:tcW w:w="3360" w:type="dxa"/>
            <w:vAlign w:val="bottom"/>
          </w:tcPr>
          <w:p>
            <w:pPr>
              <w:spacing w:after="0" w:line="20" w:lineRule="exact"/>
              <w:rPr>
                <w:sz w:val="1"/>
                <w:szCs w:val="1"/>
                <w:color w:val="auto"/>
              </w:rPr>
            </w:pPr>
          </w:p>
        </w:tc>
        <w:tc>
          <w:tcPr>
            <w:tcW w:w="45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3360" w:type="dxa"/>
            <w:vAlign w:val="bottom"/>
            <w:shd w:val="clear" w:color="auto" w:fill="CCEEFF"/>
          </w:tcPr>
          <w:p>
            <w:pPr>
              <w:spacing w:after="0"/>
              <w:rPr>
                <w:sz w:val="20"/>
                <w:szCs w:val="20"/>
                <w:color w:val="auto"/>
              </w:rPr>
            </w:pPr>
            <w:r>
              <w:rPr>
                <w:rFonts w:ascii="Arial" w:cs="Arial" w:eastAsia="Arial" w:hAnsi="Arial"/>
                <w:sz w:val="18"/>
                <w:szCs w:val="18"/>
                <w:color w:val="auto"/>
              </w:rPr>
              <w:t>Total payments</w:t>
            </w:r>
          </w:p>
        </w:tc>
        <w:tc>
          <w:tcPr>
            <w:tcW w:w="45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w:t>
            </w:r>
          </w:p>
        </w:tc>
        <w:tc>
          <w:tcPr>
            <w:tcW w:w="1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00" w:type="dxa"/>
            <w:vAlign w:val="bottom"/>
            <w:shd w:val="clear" w:color="auto" w:fill="CCEEFF"/>
          </w:tcPr>
          <w:p>
            <w:pPr>
              <w:spacing w:after="0"/>
              <w:rPr>
                <w:sz w:val="18"/>
                <w:szCs w:val="18"/>
                <w:color w:val="auto"/>
              </w:rPr>
            </w:pPr>
          </w:p>
        </w:tc>
      </w:tr>
      <w:tr>
        <w:trPr>
          <w:trHeight w:val="363"/>
        </w:trPr>
        <w:tc>
          <w:tcPr>
            <w:tcW w:w="3360" w:type="dxa"/>
            <w:vAlign w:val="bottom"/>
          </w:tcPr>
          <w:p>
            <w:pPr>
              <w:spacing w:after="0"/>
              <w:rPr>
                <w:sz w:val="24"/>
                <w:szCs w:val="24"/>
                <w:color w:val="auto"/>
              </w:rPr>
            </w:pPr>
          </w:p>
        </w:tc>
        <w:tc>
          <w:tcPr>
            <w:tcW w:w="4500" w:type="dxa"/>
            <w:vAlign w:val="bottom"/>
          </w:tcPr>
          <w:p>
            <w:pPr>
              <w:jc w:val="right"/>
              <w:ind w:right="1972"/>
              <w:spacing w:after="0"/>
              <w:rPr>
                <w:sz w:val="20"/>
                <w:szCs w:val="20"/>
                <w:color w:val="auto"/>
              </w:rPr>
            </w:pPr>
            <w:r>
              <w:rPr>
                <w:rFonts w:ascii="Arial" w:cs="Arial" w:eastAsia="Arial" w:hAnsi="Arial"/>
                <w:sz w:val="18"/>
                <w:szCs w:val="18"/>
                <w:color w:val="auto"/>
              </w:rPr>
              <w:t>78</w:t>
            </w: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r>
    </w:tbl>
    <w:p>
      <w:pPr>
        <w:sectPr>
          <w:pgSz w:w="11900" w:h="16838" w:orient="portrait"/>
          <w:cols w:equalWidth="0" w:num="1">
            <w:col w:w="11420"/>
          </w:cols>
          <w:pgMar w:left="240" w:top="459" w:right="239" w:bottom="1440" w:gutter="0" w:footer="0" w:header="0"/>
        </w:sectPr>
      </w:pPr>
    </w:p>
    <w:bookmarkStart w:id="80" w:name="page81"/>
    <w:bookmarkEnd w:id="8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Old GM</w:t>
      </w:r>
    </w:p>
    <w:p>
      <w:pPr>
        <w:spacing w:after="0" w:line="177" w:lineRule="exact"/>
        <w:rPr>
          <w:sz w:val="20"/>
          <w:szCs w:val="20"/>
          <w:color w:val="auto"/>
        </w:rPr>
      </w:pPr>
    </w:p>
    <w:p>
      <w:pPr>
        <w:ind w:right="20" w:firstLine="228"/>
        <w:spacing w:after="0" w:line="294" w:lineRule="auto"/>
        <w:rPr>
          <w:sz w:val="20"/>
          <w:szCs w:val="20"/>
          <w:color w:val="auto"/>
        </w:rPr>
      </w:pPr>
      <w:r>
        <w:rPr>
          <w:rFonts w:ascii="Arial" w:cs="Arial" w:eastAsia="Arial" w:hAnsi="Arial"/>
          <w:sz w:val="16"/>
          <w:szCs w:val="16"/>
          <w:color w:val="auto"/>
        </w:rPr>
        <w:t>Old GM’s stock incentive plans were comprised of the 2007 Old GM Long-Term Incentive Plan (GMLTIP), the 2002 Old GM Stock Incentive Plan (GMSIP), the 2002 GMLTIP, the 1998 Old GM Salaried Stock Option Plan (GMSSOP), the 2007 Old GM Cash-Based Restricted Stock Unit Plan (GMCRSU) and the 2006 GMCRSU, or collectively the Old GM Stock Incentive Plans. The GMLTIP, GMSIP and the GMCRSU plans were administered by Old GM’s Executive Compensation Committee of its Board of Directors. The GMSSOP was administered by Old GM’s Vice President of Global Human Resources. In connection with the 363 Sale, MLC retained the awards granted under the Old GM Stock Incentive Plans.</w:t>
      </w:r>
    </w:p>
    <w:p>
      <w:pPr>
        <w:spacing w:after="0" w:line="116" w:lineRule="exact"/>
        <w:rPr>
          <w:sz w:val="20"/>
          <w:szCs w:val="20"/>
          <w:color w:val="auto"/>
        </w:rPr>
      </w:pPr>
    </w:p>
    <w:p>
      <w:pPr>
        <w:ind w:right="540" w:firstLine="228"/>
        <w:spacing w:after="0" w:line="268" w:lineRule="auto"/>
        <w:rPr>
          <w:sz w:val="20"/>
          <w:szCs w:val="20"/>
          <w:color w:val="auto"/>
        </w:rPr>
      </w:pPr>
      <w:r>
        <w:rPr>
          <w:rFonts w:ascii="Arial" w:cs="Arial" w:eastAsia="Arial" w:hAnsi="Arial"/>
          <w:sz w:val="18"/>
          <w:szCs w:val="18"/>
          <w:color w:val="auto"/>
        </w:rPr>
        <w:t>The following table summarizes compensation expense (benefit) and total Income tax expense (benefit) recorded for the Old GM Stock Incentive Plans (dollars in millions):</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420" w:type="dxa"/>
            <w:vAlign w:val="bottom"/>
          </w:tcPr>
          <w:p>
            <w:pPr>
              <w:spacing w:after="0"/>
              <w:rPr>
                <w:sz w:val="14"/>
                <w:szCs w:val="14"/>
                <w:color w:val="auto"/>
              </w:rPr>
            </w:pPr>
          </w:p>
        </w:tc>
        <w:tc>
          <w:tcPr>
            <w:tcW w:w="38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gridSpan w:val="2"/>
          </w:tcPr>
          <w:p>
            <w:pPr>
              <w:jc w:val="right"/>
              <w:ind w:right="92"/>
              <w:spacing w:after="0"/>
              <w:rPr>
                <w:sz w:val="20"/>
                <w:szCs w:val="20"/>
                <w:color w:val="auto"/>
              </w:rPr>
            </w:pPr>
            <w:r>
              <w:rPr>
                <w:rFonts w:ascii="Arial" w:cs="Arial" w:eastAsia="Arial" w:hAnsi="Arial"/>
                <w:sz w:val="14"/>
                <w:szCs w:val="14"/>
                <w:b w:val="1"/>
                <w:bCs w:val="1"/>
                <w:color w:val="auto"/>
                <w:w w:val="99"/>
              </w:rPr>
              <w:t>Predecessor</w:t>
            </w:r>
          </w:p>
        </w:tc>
        <w:tc>
          <w:tcPr>
            <w:tcW w:w="5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29"/>
        </w:trPr>
        <w:tc>
          <w:tcPr>
            <w:tcW w:w="5420" w:type="dxa"/>
            <w:vAlign w:val="bottom"/>
          </w:tcPr>
          <w:p>
            <w:pPr>
              <w:spacing w:after="0"/>
              <w:rPr>
                <w:sz w:val="11"/>
                <w:szCs w:val="11"/>
                <w:color w:val="auto"/>
              </w:rPr>
            </w:pPr>
          </w:p>
        </w:tc>
        <w:tc>
          <w:tcPr>
            <w:tcW w:w="3800" w:type="dxa"/>
            <w:vAlign w:val="bottom"/>
          </w:tcPr>
          <w:p>
            <w:pPr>
              <w:spacing w:after="0"/>
              <w:rPr>
                <w:sz w:val="11"/>
                <w:szCs w:val="11"/>
                <w:color w:val="auto"/>
              </w:rPr>
            </w:pPr>
          </w:p>
        </w:tc>
        <w:tc>
          <w:tcPr>
            <w:tcW w:w="520" w:type="dxa"/>
            <w:vAlign w:val="bottom"/>
            <w:gridSpan w:val="2"/>
          </w:tcPr>
          <w:p>
            <w:pPr>
              <w:jc w:val="center"/>
              <w:spacing w:after="0" w:line="129" w:lineRule="exact"/>
              <w:rPr>
                <w:sz w:val="20"/>
                <w:szCs w:val="20"/>
                <w:color w:val="auto"/>
              </w:rPr>
            </w:pPr>
            <w:r>
              <w:rPr>
                <w:rFonts w:ascii="Arial" w:cs="Arial" w:eastAsia="Arial" w:hAnsi="Arial"/>
                <w:sz w:val="14"/>
                <w:szCs w:val="14"/>
                <w:b w:val="1"/>
                <w:bCs w:val="1"/>
                <w:color w:val="auto"/>
                <w:w w:val="87"/>
              </w:rPr>
              <w:t>July 1,</w:t>
            </w:r>
          </w:p>
        </w:tc>
        <w:tc>
          <w:tcPr>
            <w:tcW w:w="920" w:type="dxa"/>
            <w:vAlign w:val="bottom"/>
          </w:tcPr>
          <w:p>
            <w:pPr>
              <w:spacing w:after="0"/>
              <w:rPr>
                <w:sz w:val="11"/>
                <w:szCs w:val="11"/>
                <w:color w:val="auto"/>
              </w:rPr>
            </w:pPr>
          </w:p>
        </w:tc>
        <w:tc>
          <w:tcPr>
            <w:tcW w:w="660" w:type="dxa"/>
            <w:vAlign w:val="bottom"/>
            <w:gridSpan w:val="2"/>
          </w:tcPr>
          <w:p>
            <w:pPr>
              <w:jc w:val="center"/>
              <w:spacing w:after="0" w:line="129" w:lineRule="exact"/>
              <w:rPr>
                <w:sz w:val="20"/>
                <w:szCs w:val="20"/>
                <w:color w:val="auto"/>
              </w:rPr>
            </w:pPr>
            <w:r>
              <w:rPr>
                <w:rFonts w:ascii="Arial" w:cs="Arial" w:eastAsia="Arial" w:hAnsi="Arial"/>
                <w:sz w:val="14"/>
                <w:szCs w:val="14"/>
                <w:b w:val="1"/>
                <w:bCs w:val="1"/>
                <w:color w:val="auto"/>
                <w:w w:val="89"/>
              </w:rPr>
              <w:t>January 1,</w:t>
            </w:r>
          </w:p>
        </w:tc>
        <w:tc>
          <w:tcPr>
            <w:tcW w:w="100" w:type="dxa"/>
            <w:vAlign w:val="bottom"/>
          </w:tcPr>
          <w:p>
            <w:pPr>
              <w:spacing w:after="0"/>
              <w:rPr>
                <w:sz w:val="11"/>
                <w:szCs w:val="11"/>
                <w:color w:val="auto"/>
              </w:rPr>
            </w:pPr>
          </w:p>
        </w:tc>
      </w:tr>
      <w:tr>
        <w:trPr>
          <w:trHeight w:val="149"/>
        </w:trPr>
        <w:tc>
          <w:tcPr>
            <w:tcW w:w="5420" w:type="dxa"/>
            <w:vAlign w:val="bottom"/>
          </w:tcPr>
          <w:p>
            <w:pPr>
              <w:spacing w:after="0"/>
              <w:rPr>
                <w:sz w:val="12"/>
                <w:szCs w:val="12"/>
                <w:color w:val="auto"/>
              </w:rPr>
            </w:pPr>
          </w:p>
        </w:tc>
        <w:tc>
          <w:tcPr>
            <w:tcW w:w="3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20" w:type="dxa"/>
            <w:vAlign w:val="bottom"/>
          </w:tcPr>
          <w:p>
            <w:pPr>
              <w:jc w:val="center"/>
              <w:ind w:right="22"/>
              <w:spacing w:after="0" w:line="149" w:lineRule="exact"/>
              <w:rPr>
                <w:sz w:val="20"/>
                <w:szCs w:val="20"/>
                <w:color w:val="auto"/>
              </w:rPr>
            </w:pPr>
            <w:r>
              <w:rPr>
                <w:rFonts w:ascii="Arial" w:cs="Arial" w:eastAsia="Arial" w:hAnsi="Arial"/>
                <w:sz w:val="14"/>
                <w:szCs w:val="14"/>
                <w:b w:val="1"/>
                <w:bCs w:val="1"/>
                <w:color w:val="auto"/>
                <w:w w:val="89"/>
              </w:rPr>
              <w:t>2009</w:t>
            </w:r>
          </w:p>
        </w:tc>
        <w:tc>
          <w:tcPr>
            <w:tcW w:w="9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jc w:val="center"/>
              <w:ind w:right="44"/>
              <w:spacing w:after="0" w:line="149" w:lineRule="exact"/>
              <w:rPr>
                <w:sz w:val="20"/>
                <w:szCs w:val="20"/>
                <w:color w:val="auto"/>
              </w:rPr>
            </w:pPr>
            <w:r>
              <w:rPr>
                <w:rFonts w:ascii="Arial" w:cs="Arial" w:eastAsia="Arial" w:hAnsi="Arial"/>
                <w:sz w:val="14"/>
                <w:szCs w:val="14"/>
                <w:b w:val="1"/>
                <w:bCs w:val="1"/>
                <w:color w:val="auto"/>
                <w:w w:val="89"/>
              </w:rPr>
              <w:t>2009</w:t>
            </w:r>
          </w:p>
        </w:tc>
        <w:tc>
          <w:tcPr>
            <w:tcW w:w="100" w:type="dxa"/>
            <w:vAlign w:val="bottom"/>
          </w:tcPr>
          <w:p>
            <w:pPr>
              <w:spacing w:after="0"/>
              <w:rPr>
                <w:sz w:val="12"/>
                <w:szCs w:val="12"/>
                <w:color w:val="auto"/>
              </w:rPr>
            </w:pPr>
          </w:p>
        </w:tc>
      </w:tr>
      <w:tr>
        <w:trPr>
          <w:trHeight w:val="149"/>
        </w:trPr>
        <w:tc>
          <w:tcPr>
            <w:tcW w:w="5420" w:type="dxa"/>
            <w:vAlign w:val="bottom"/>
          </w:tcPr>
          <w:p>
            <w:pPr>
              <w:spacing w:after="0"/>
              <w:rPr>
                <w:sz w:val="12"/>
                <w:szCs w:val="12"/>
                <w:color w:val="auto"/>
              </w:rPr>
            </w:pPr>
          </w:p>
        </w:tc>
        <w:tc>
          <w:tcPr>
            <w:tcW w:w="3800" w:type="dxa"/>
            <w:vAlign w:val="bottom"/>
          </w:tcPr>
          <w:p>
            <w:pPr>
              <w:spacing w:after="0"/>
              <w:rPr>
                <w:sz w:val="12"/>
                <w:szCs w:val="12"/>
                <w:color w:val="auto"/>
              </w:rPr>
            </w:pPr>
          </w:p>
        </w:tc>
        <w:tc>
          <w:tcPr>
            <w:tcW w:w="52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7"/>
              </w:rPr>
              <w:t>Through</w:t>
            </w:r>
          </w:p>
        </w:tc>
        <w:tc>
          <w:tcPr>
            <w:tcW w:w="920" w:type="dxa"/>
            <w:vAlign w:val="bottom"/>
          </w:tcPr>
          <w:p>
            <w:pPr>
              <w:spacing w:after="0"/>
              <w:rPr>
                <w:sz w:val="12"/>
                <w:szCs w:val="12"/>
                <w:color w:val="auto"/>
              </w:rPr>
            </w:pPr>
          </w:p>
        </w:tc>
        <w:tc>
          <w:tcPr>
            <w:tcW w:w="760" w:type="dxa"/>
            <w:vAlign w:val="bottom"/>
            <w:gridSpan w:val="3"/>
          </w:tcPr>
          <w:p>
            <w:pPr>
              <w:jc w:val="center"/>
              <w:ind w:right="120"/>
              <w:spacing w:after="0" w:line="149" w:lineRule="exact"/>
              <w:rPr>
                <w:sz w:val="20"/>
                <w:szCs w:val="20"/>
                <w:color w:val="auto"/>
              </w:rPr>
            </w:pPr>
            <w:r>
              <w:rPr>
                <w:rFonts w:ascii="Arial" w:cs="Arial" w:eastAsia="Arial" w:hAnsi="Arial"/>
                <w:sz w:val="14"/>
                <w:szCs w:val="14"/>
                <w:b w:val="1"/>
                <w:bCs w:val="1"/>
                <w:color w:val="auto"/>
                <w:w w:val="91"/>
              </w:rPr>
              <w:t>Through</w:t>
            </w:r>
          </w:p>
        </w:tc>
      </w:tr>
      <w:tr>
        <w:trPr>
          <w:trHeight w:val="149"/>
        </w:trPr>
        <w:tc>
          <w:tcPr>
            <w:tcW w:w="5420" w:type="dxa"/>
            <w:vAlign w:val="bottom"/>
          </w:tcPr>
          <w:p>
            <w:pPr>
              <w:spacing w:after="0"/>
              <w:rPr>
                <w:sz w:val="12"/>
                <w:szCs w:val="12"/>
                <w:color w:val="auto"/>
              </w:rPr>
            </w:pPr>
          </w:p>
        </w:tc>
        <w:tc>
          <w:tcPr>
            <w:tcW w:w="3800" w:type="dxa"/>
            <w:vAlign w:val="bottom"/>
          </w:tcPr>
          <w:p>
            <w:pPr>
              <w:spacing w:after="0"/>
              <w:rPr>
                <w:sz w:val="12"/>
                <w:szCs w:val="12"/>
                <w:color w:val="auto"/>
              </w:rPr>
            </w:pPr>
          </w:p>
        </w:tc>
        <w:tc>
          <w:tcPr>
            <w:tcW w:w="52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7"/>
              </w:rPr>
              <w:t>July 9,</w:t>
            </w:r>
          </w:p>
        </w:tc>
        <w:tc>
          <w:tcPr>
            <w:tcW w:w="9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1"/>
              </w:rPr>
              <w:t>July 9,</w:t>
            </w:r>
          </w:p>
        </w:tc>
      </w:tr>
      <w:tr>
        <w:trPr>
          <w:trHeight w:val="161"/>
        </w:trPr>
        <w:tc>
          <w:tcPr>
            <w:tcW w:w="5420" w:type="dxa"/>
            <w:vAlign w:val="bottom"/>
          </w:tcPr>
          <w:p>
            <w:pPr>
              <w:spacing w:after="0"/>
              <w:rPr>
                <w:sz w:val="14"/>
                <w:szCs w:val="14"/>
                <w:color w:val="auto"/>
              </w:rPr>
            </w:pPr>
          </w:p>
        </w:tc>
        <w:tc>
          <w:tcPr>
            <w:tcW w:w="38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jc w:val="center"/>
              <w:ind w:right="22"/>
              <w:spacing w:after="0"/>
              <w:rPr>
                <w:sz w:val="20"/>
                <w:szCs w:val="20"/>
                <w:color w:val="auto"/>
              </w:rPr>
            </w:pPr>
            <w:r>
              <w:rPr>
                <w:rFonts w:ascii="Arial" w:cs="Arial" w:eastAsia="Arial" w:hAnsi="Arial"/>
                <w:sz w:val="14"/>
                <w:szCs w:val="14"/>
                <w:b w:val="1"/>
                <w:bCs w:val="1"/>
                <w:color w:val="auto"/>
                <w:w w:val="89"/>
              </w:rPr>
              <w:t>2009</w:t>
            </w:r>
          </w:p>
        </w:tc>
        <w:tc>
          <w:tcPr>
            <w:tcW w:w="9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jc w:val="center"/>
              <w:ind w:right="44"/>
              <w:spacing w:after="0"/>
              <w:rPr>
                <w:sz w:val="20"/>
                <w:szCs w:val="20"/>
                <w:color w:val="auto"/>
              </w:rPr>
            </w:pPr>
            <w:r>
              <w:rPr>
                <w:rFonts w:ascii="Arial" w:cs="Arial" w:eastAsia="Arial" w:hAnsi="Arial"/>
                <w:sz w:val="14"/>
                <w:szCs w:val="14"/>
                <w:b w:val="1"/>
                <w:bCs w:val="1"/>
                <w:color w:val="auto"/>
                <w:w w:val="89"/>
              </w:rPr>
              <w:t>2009</w:t>
            </w:r>
          </w:p>
        </w:tc>
        <w:tc>
          <w:tcPr>
            <w:tcW w:w="100" w:type="dxa"/>
            <w:vAlign w:val="bottom"/>
          </w:tcPr>
          <w:p>
            <w:pPr>
              <w:spacing w:after="0"/>
              <w:rPr>
                <w:sz w:val="14"/>
                <w:szCs w:val="14"/>
                <w:color w:val="auto"/>
              </w:rPr>
            </w:pPr>
          </w:p>
        </w:tc>
      </w:tr>
      <w:tr>
        <w:trPr>
          <w:trHeight w:val="210"/>
        </w:trPr>
        <w:tc>
          <w:tcPr>
            <w:tcW w:w="5420" w:type="dxa"/>
            <w:vAlign w:val="bottom"/>
            <w:shd w:val="clear" w:color="auto" w:fill="CCEEFF"/>
          </w:tcPr>
          <w:p>
            <w:pPr>
              <w:spacing w:after="0"/>
              <w:rPr>
                <w:sz w:val="20"/>
                <w:szCs w:val="20"/>
                <w:color w:val="auto"/>
              </w:rPr>
            </w:pPr>
            <w:r>
              <w:rPr>
                <w:rFonts w:ascii="Arial" w:cs="Arial" w:eastAsia="Arial" w:hAnsi="Arial"/>
                <w:sz w:val="18"/>
                <w:szCs w:val="18"/>
                <w:color w:val="auto"/>
              </w:rPr>
              <w:t>Compensation expense</w:t>
            </w:r>
          </w:p>
        </w:tc>
        <w:tc>
          <w:tcPr>
            <w:tcW w:w="3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ind w:left="240"/>
              <w:spacing w:after="0"/>
              <w:rPr>
                <w:sz w:val="20"/>
                <w:szCs w:val="20"/>
                <w:color w:val="auto"/>
              </w:rPr>
            </w:pPr>
            <w:r>
              <w:rPr>
                <w:rFonts w:ascii="Arial" w:cs="Arial" w:eastAsia="Arial" w:hAnsi="Arial"/>
                <w:sz w:val="18"/>
                <w:szCs w:val="18"/>
                <w:color w:val="auto"/>
                <w:w w:val="88"/>
              </w:rPr>
              <w:t>—</w:t>
            </w: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(10)</w:t>
            </w:r>
          </w:p>
        </w:tc>
      </w:tr>
      <w:tr>
        <w:trPr>
          <w:trHeight w:val="222"/>
        </w:trPr>
        <w:tc>
          <w:tcPr>
            <w:tcW w:w="5420" w:type="dxa"/>
            <w:vAlign w:val="bottom"/>
          </w:tcPr>
          <w:p>
            <w:pPr>
              <w:spacing w:after="0"/>
              <w:rPr>
                <w:sz w:val="20"/>
                <w:szCs w:val="20"/>
                <w:color w:val="auto"/>
              </w:rPr>
            </w:pPr>
            <w:r>
              <w:rPr>
                <w:rFonts w:ascii="Arial" w:cs="Arial" w:eastAsia="Arial" w:hAnsi="Arial"/>
                <w:sz w:val="18"/>
                <w:szCs w:val="18"/>
                <w:color w:val="auto"/>
              </w:rPr>
              <w:t>Income tax expense (a)</w:t>
            </w:r>
          </w:p>
        </w:tc>
        <w:tc>
          <w:tcPr>
            <w:tcW w:w="39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20" w:type="dxa"/>
            <w:vAlign w:val="bottom"/>
          </w:tcPr>
          <w:p>
            <w:pPr>
              <w:ind w:left="240"/>
              <w:spacing w:after="0"/>
              <w:rPr>
                <w:sz w:val="20"/>
                <w:szCs w:val="20"/>
                <w:color w:val="auto"/>
              </w:rPr>
            </w:pPr>
            <w:r>
              <w:rPr>
                <w:rFonts w:ascii="Arial" w:cs="Arial" w:eastAsia="Arial" w:hAnsi="Arial"/>
                <w:sz w:val="18"/>
                <w:szCs w:val="18"/>
                <w:color w:val="auto"/>
                <w:w w:val="88"/>
              </w:rPr>
              <w:t>—</w:t>
            </w: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64770</wp:posOffset>
            </wp:positionV>
            <wp:extent cx="728980" cy="889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14" w:lineRule="exact"/>
        <w:rPr>
          <w:sz w:val="20"/>
          <w:szCs w:val="20"/>
          <w:color w:val="auto"/>
        </w:rPr>
      </w:pPr>
    </w:p>
    <w:p>
      <w:pPr>
        <w:ind w:left="460" w:hanging="452"/>
        <w:spacing w:after="0"/>
        <w:tabs>
          <w:tab w:leader="none" w:pos="460" w:val="left"/>
        </w:tabs>
        <w:numPr>
          <w:ilvl w:val="0"/>
          <w:numId w:val="60"/>
        </w:numPr>
        <w:rPr>
          <w:rFonts w:ascii="Arial" w:cs="Arial" w:eastAsia="Arial" w:hAnsi="Arial"/>
          <w:sz w:val="18"/>
          <w:szCs w:val="18"/>
          <w:color w:val="auto"/>
        </w:rPr>
      </w:pPr>
      <w:r>
        <w:rPr>
          <w:rFonts w:ascii="Arial" w:cs="Arial" w:eastAsia="Arial" w:hAnsi="Arial"/>
          <w:sz w:val="18"/>
          <w:szCs w:val="18"/>
          <w:color w:val="auto"/>
        </w:rPr>
        <w:t>Income tax expense does not include U.S. and non-U.S. jurisdictions which have full valuation allowances.</w:t>
      </w:r>
    </w:p>
    <w:p>
      <w:pPr>
        <w:spacing w:after="0" w:line="171"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Stock Options and Market-Contingent Stock Options</w:t>
      </w:r>
    </w:p>
    <w:p>
      <w:pPr>
        <w:spacing w:after="0" w:line="171" w:lineRule="exact"/>
        <w:rPr>
          <w:sz w:val="20"/>
          <w:szCs w:val="20"/>
          <w:color w:val="auto"/>
        </w:rPr>
      </w:pPr>
    </w:p>
    <w:p>
      <w:pPr>
        <w:ind w:right="380" w:firstLine="228"/>
        <w:spacing w:after="0" w:line="268" w:lineRule="auto"/>
        <w:rPr>
          <w:sz w:val="20"/>
          <w:szCs w:val="20"/>
          <w:color w:val="auto"/>
        </w:rPr>
      </w:pPr>
      <w:r>
        <w:rPr>
          <w:rFonts w:ascii="Arial" w:cs="Arial" w:eastAsia="Arial" w:hAnsi="Arial"/>
          <w:sz w:val="18"/>
          <w:szCs w:val="18"/>
          <w:color w:val="auto"/>
        </w:rPr>
        <w:t>The following table summarizes changes in the status of Old GM’s outstanding stock options, including performance-contingent stock options (options in millions):</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420" w:type="dxa"/>
            <w:vAlign w:val="bottom"/>
          </w:tcPr>
          <w:p>
            <w:pPr>
              <w:spacing w:after="0"/>
              <w:rPr>
                <w:sz w:val="14"/>
                <w:szCs w:val="14"/>
                <w:color w:val="auto"/>
              </w:rPr>
            </w:pPr>
          </w:p>
        </w:tc>
        <w:tc>
          <w:tcPr>
            <w:tcW w:w="2260" w:type="dxa"/>
            <w:vAlign w:val="bottom"/>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4"/>
                <w:szCs w:val="14"/>
                <w:b w:val="1"/>
                <w:bCs w:val="1"/>
                <w:color w:val="auto"/>
              </w:rPr>
              <w:t>Predecessor</w:t>
            </w:r>
          </w:p>
        </w:tc>
        <w:tc>
          <w:tcPr>
            <w:tcW w:w="70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420" w:type="dxa"/>
            <w:vAlign w:val="bottom"/>
          </w:tcPr>
          <w:p>
            <w:pPr>
              <w:spacing w:after="0"/>
              <w:rPr>
                <w:sz w:val="12"/>
                <w:szCs w:val="12"/>
                <w:color w:val="auto"/>
              </w:rPr>
            </w:pPr>
          </w:p>
        </w:tc>
        <w:tc>
          <w:tcPr>
            <w:tcW w:w="2260" w:type="dxa"/>
            <w:vAlign w:val="bottom"/>
          </w:tcPr>
          <w:p>
            <w:pPr>
              <w:spacing w:after="0"/>
              <w:rPr>
                <w:sz w:val="12"/>
                <w:szCs w:val="12"/>
                <w:color w:val="auto"/>
              </w:rPr>
            </w:pPr>
          </w:p>
        </w:tc>
        <w:tc>
          <w:tcPr>
            <w:tcW w:w="800" w:type="dxa"/>
            <w:vAlign w:val="bottom"/>
            <w:tcBorders>
              <w:bottom w:val="single" w:sz="8" w:color="auto"/>
            </w:tcBorders>
          </w:tcPr>
          <w:p>
            <w:pPr>
              <w:spacing w:after="0"/>
              <w:rPr>
                <w:sz w:val="12"/>
                <w:szCs w:val="12"/>
                <w:color w:val="auto"/>
              </w:rPr>
            </w:pPr>
          </w:p>
        </w:tc>
        <w:tc>
          <w:tcPr>
            <w:tcW w:w="360" w:type="dxa"/>
            <w:vAlign w:val="bottom"/>
            <w:tcBorders>
              <w:bottom w:val="single" w:sz="8" w:color="auto"/>
            </w:tcBorders>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2480" w:type="dxa"/>
            <w:vAlign w:val="bottom"/>
            <w:tcBorders>
              <w:bottom w:val="single" w:sz="8" w:color="auto"/>
            </w:tcBorders>
            <w:gridSpan w:val="4"/>
          </w:tcPr>
          <w:p>
            <w:pPr>
              <w:jc w:val="right"/>
              <w:ind w:right="1300"/>
              <w:spacing w:after="0" w:line="142" w:lineRule="exact"/>
              <w:rPr>
                <w:sz w:val="20"/>
                <w:szCs w:val="20"/>
                <w:color w:val="auto"/>
              </w:rPr>
            </w:pPr>
            <w:r>
              <w:rPr>
                <w:rFonts w:ascii="Arial" w:cs="Arial" w:eastAsia="Arial" w:hAnsi="Arial"/>
                <w:sz w:val="14"/>
                <w:szCs w:val="14"/>
                <w:b w:val="1"/>
                <w:bCs w:val="1"/>
                <w:color w:val="auto"/>
              </w:rPr>
              <w:t>2007 GMLTIP</w:t>
            </w:r>
          </w:p>
        </w:tc>
        <w:tc>
          <w:tcPr>
            <w:tcW w:w="100" w:type="dxa"/>
            <w:vAlign w:val="bottom"/>
            <w:tcBorders>
              <w:bottom w:val="single" w:sz="8" w:color="auto"/>
            </w:tcBorders>
          </w:tcPr>
          <w:p>
            <w:pPr>
              <w:spacing w:after="0"/>
              <w:rPr>
                <w:sz w:val="12"/>
                <w:szCs w:val="12"/>
                <w:color w:val="auto"/>
              </w:rPr>
            </w:pPr>
          </w:p>
        </w:tc>
        <w:tc>
          <w:tcPr>
            <w:tcW w:w="48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4420" w:type="dxa"/>
            <w:vAlign w:val="bottom"/>
          </w:tcPr>
          <w:p>
            <w:pPr>
              <w:spacing w:after="0"/>
              <w:rPr>
                <w:sz w:val="11"/>
                <w:szCs w:val="11"/>
                <w:color w:val="auto"/>
              </w:rPr>
            </w:pPr>
          </w:p>
        </w:tc>
        <w:tc>
          <w:tcPr>
            <w:tcW w:w="22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360" w:type="dxa"/>
            <w:vAlign w:val="bottom"/>
            <w:gridSpan w:val="2"/>
          </w:tcPr>
          <w:p>
            <w:pPr>
              <w:jc w:val="center"/>
              <w:ind w:right="660"/>
              <w:spacing w:after="0" w:line="129" w:lineRule="exact"/>
              <w:rPr>
                <w:sz w:val="20"/>
                <w:szCs w:val="20"/>
                <w:color w:val="auto"/>
              </w:rPr>
            </w:pPr>
            <w:r>
              <w:rPr>
                <w:rFonts w:ascii="Arial" w:cs="Arial" w:eastAsia="Arial" w:hAnsi="Arial"/>
                <w:sz w:val="14"/>
                <w:szCs w:val="14"/>
                <w:b w:val="1"/>
                <w:bCs w:val="1"/>
                <w:color w:val="auto"/>
                <w:w w:val="85"/>
              </w:rPr>
              <w:t>Weighted-</w:t>
            </w:r>
          </w:p>
        </w:tc>
        <w:tc>
          <w:tcPr>
            <w:tcW w:w="1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4420" w:type="dxa"/>
            <w:vAlign w:val="bottom"/>
          </w:tcPr>
          <w:p>
            <w:pPr>
              <w:spacing w:after="0"/>
              <w:rPr>
                <w:sz w:val="15"/>
                <w:szCs w:val="15"/>
                <w:color w:val="auto"/>
              </w:rPr>
            </w:pPr>
          </w:p>
        </w:tc>
        <w:tc>
          <w:tcPr>
            <w:tcW w:w="22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22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Weighted-</w:t>
            </w:r>
          </w:p>
        </w:tc>
        <w:tc>
          <w:tcPr>
            <w:tcW w:w="1360" w:type="dxa"/>
            <w:vAlign w:val="bottom"/>
            <w:gridSpan w:val="2"/>
          </w:tcPr>
          <w:p>
            <w:pPr>
              <w:jc w:val="center"/>
              <w:ind w:right="660"/>
              <w:spacing w:after="0"/>
              <w:rPr>
                <w:sz w:val="20"/>
                <w:szCs w:val="20"/>
                <w:color w:val="auto"/>
              </w:rPr>
            </w:pPr>
            <w:r>
              <w:rPr>
                <w:rFonts w:ascii="Arial" w:cs="Arial" w:eastAsia="Arial" w:hAnsi="Arial"/>
                <w:sz w:val="14"/>
                <w:szCs w:val="14"/>
                <w:b w:val="1"/>
                <w:bCs w:val="1"/>
                <w:color w:val="auto"/>
                <w:w w:val="83"/>
              </w:rPr>
              <w:t>Average</w:t>
            </w:r>
          </w:p>
        </w:tc>
        <w:tc>
          <w:tcPr>
            <w:tcW w:w="1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69"/>
        </w:trPr>
        <w:tc>
          <w:tcPr>
            <w:tcW w:w="20" w:type="dxa"/>
            <w:vAlign w:val="bottom"/>
          </w:tcPr>
          <w:p>
            <w:pPr>
              <w:spacing w:after="0"/>
              <w:rPr>
                <w:sz w:val="5"/>
                <w:szCs w:val="5"/>
                <w:color w:val="auto"/>
              </w:rPr>
            </w:pPr>
          </w:p>
        </w:tc>
        <w:tc>
          <w:tcPr>
            <w:tcW w:w="4420" w:type="dxa"/>
            <w:vAlign w:val="bottom"/>
          </w:tcPr>
          <w:p>
            <w:pPr>
              <w:spacing w:after="0"/>
              <w:rPr>
                <w:sz w:val="5"/>
                <w:szCs w:val="5"/>
                <w:color w:val="auto"/>
              </w:rPr>
            </w:pPr>
          </w:p>
        </w:tc>
        <w:tc>
          <w:tcPr>
            <w:tcW w:w="2260" w:type="dxa"/>
            <w:vAlign w:val="bottom"/>
          </w:tcPr>
          <w:p>
            <w:pPr>
              <w:spacing w:after="0"/>
              <w:rPr>
                <w:sz w:val="5"/>
                <w:szCs w:val="5"/>
                <w:color w:val="auto"/>
              </w:rPr>
            </w:pPr>
          </w:p>
        </w:tc>
        <w:tc>
          <w:tcPr>
            <w:tcW w:w="800" w:type="dxa"/>
            <w:vAlign w:val="bottom"/>
          </w:tcPr>
          <w:p>
            <w:pPr>
              <w:spacing w:after="0"/>
              <w:rPr>
                <w:sz w:val="5"/>
                <w:szCs w:val="5"/>
                <w:color w:val="auto"/>
              </w:rPr>
            </w:pPr>
          </w:p>
        </w:tc>
        <w:tc>
          <w:tcPr>
            <w:tcW w:w="360" w:type="dxa"/>
            <w:vAlign w:val="bottom"/>
          </w:tcPr>
          <w:p>
            <w:pPr>
              <w:spacing w:after="0"/>
              <w:rPr>
                <w:sz w:val="5"/>
                <w:szCs w:val="5"/>
                <w:color w:val="auto"/>
              </w:rPr>
            </w:pPr>
          </w:p>
        </w:tc>
        <w:tc>
          <w:tcPr>
            <w:tcW w:w="300" w:type="dxa"/>
            <w:vAlign w:val="bottom"/>
          </w:tcPr>
          <w:p>
            <w:pPr>
              <w:spacing w:after="0"/>
              <w:rPr>
                <w:sz w:val="5"/>
                <w:szCs w:val="5"/>
                <w:color w:val="auto"/>
              </w:rPr>
            </w:pPr>
          </w:p>
        </w:tc>
        <w:tc>
          <w:tcPr>
            <w:tcW w:w="1220" w:type="dxa"/>
            <w:vAlign w:val="bottom"/>
            <w:gridSpan w:val="3"/>
            <w:vMerge w:val="continue"/>
          </w:tcPr>
          <w:p>
            <w:pPr>
              <w:spacing w:after="0"/>
              <w:rPr>
                <w:sz w:val="5"/>
                <w:szCs w:val="5"/>
                <w:color w:val="auto"/>
              </w:rPr>
            </w:pPr>
          </w:p>
        </w:tc>
        <w:tc>
          <w:tcPr>
            <w:tcW w:w="1360" w:type="dxa"/>
            <w:vAlign w:val="bottom"/>
            <w:gridSpan w:val="2"/>
            <w:vMerge w:val="restart"/>
          </w:tcPr>
          <w:p>
            <w:pPr>
              <w:jc w:val="right"/>
              <w:ind w:right="720"/>
              <w:spacing w:after="0"/>
              <w:rPr>
                <w:sz w:val="20"/>
                <w:szCs w:val="20"/>
                <w:color w:val="auto"/>
              </w:rPr>
            </w:pPr>
            <w:r>
              <w:rPr>
                <w:rFonts w:ascii="Arial" w:cs="Arial" w:eastAsia="Arial" w:hAnsi="Arial"/>
                <w:sz w:val="14"/>
                <w:szCs w:val="14"/>
                <w:b w:val="1"/>
                <w:bCs w:val="1"/>
                <w:color w:val="auto"/>
                <w:w w:val="86"/>
              </w:rPr>
              <w:t>Remaining</w:t>
            </w:r>
          </w:p>
        </w:tc>
        <w:tc>
          <w:tcPr>
            <w:tcW w:w="100" w:type="dxa"/>
            <w:vAlign w:val="bottom"/>
          </w:tcPr>
          <w:p>
            <w:pPr>
              <w:spacing w:after="0"/>
              <w:rPr>
                <w:sz w:val="5"/>
                <w:szCs w:val="5"/>
                <w:color w:val="auto"/>
              </w:rPr>
            </w:pPr>
          </w:p>
        </w:tc>
        <w:tc>
          <w:tcPr>
            <w:tcW w:w="48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420" w:type="dxa"/>
            <w:vAlign w:val="bottom"/>
          </w:tcPr>
          <w:p>
            <w:pPr>
              <w:spacing w:after="0"/>
              <w:rPr>
                <w:sz w:val="12"/>
                <w:szCs w:val="12"/>
                <w:color w:val="auto"/>
              </w:rPr>
            </w:pPr>
          </w:p>
        </w:tc>
        <w:tc>
          <w:tcPr>
            <w:tcW w:w="22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220" w:type="dxa"/>
            <w:vAlign w:val="bottom"/>
            <w:gridSpan w:val="3"/>
          </w:tcPr>
          <w:p>
            <w:pPr>
              <w:jc w:val="center"/>
              <w:ind w:right="640"/>
              <w:spacing w:after="0" w:line="149" w:lineRule="exact"/>
              <w:rPr>
                <w:sz w:val="20"/>
                <w:szCs w:val="20"/>
                <w:color w:val="auto"/>
              </w:rPr>
            </w:pPr>
            <w:r>
              <w:rPr>
                <w:rFonts w:ascii="Arial" w:cs="Arial" w:eastAsia="Arial" w:hAnsi="Arial"/>
                <w:sz w:val="14"/>
                <w:szCs w:val="14"/>
                <w:b w:val="1"/>
                <w:bCs w:val="1"/>
                <w:color w:val="auto"/>
                <w:w w:val="83"/>
              </w:rPr>
              <w:t>Average</w:t>
            </w:r>
          </w:p>
        </w:tc>
        <w:tc>
          <w:tcPr>
            <w:tcW w:w="1360" w:type="dxa"/>
            <w:vAlign w:val="bottom"/>
            <w:gridSpan w:val="2"/>
            <w:vMerge w:val="continue"/>
          </w:tcPr>
          <w:p>
            <w:pPr>
              <w:spacing w:after="0"/>
              <w:rPr>
                <w:sz w:val="12"/>
                <w:szCs w:val="12"/>
                <w:color w:val="auto"/>
              </w:rPr>
            </w:pPr>
          </w:p>
        </w:tc>
        <w:tc>
          <w:tcPr>
            <w:tcW w:w="68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w w:val="95"/>
              </w:rPr>
              <w:t>Aggregate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420" w:type="dxa"/>
            <w:vAlign w:val="bottom"/>
          </w:tcPr>
          <w:p>
            <w:pPr>
              <w:spacing w:after="0"/>
              <w:rPr>
                <w:sz w:val="12"/>
                <w:szCs w:val="12"/>
                <w:color w:val="auto"/>
              </w:rPr>
            </w:pPr>
          </w:p>
        </w:tc>
        <w:tc>
          <w:tcPr>
            <w:tcW w:w="2260" w:type="dxa"/>
            <w:vAlign w:val="bottom"/>
          </w:tcPr>
          <w:p>
            <w:pPr>
              <w:spacing w:after="0"/>
              <w:rPr>
                <w:sz w:val="12"/>
                <w:szCs w:val="12"/>
                <w:color w:val="auto"/>
              </w:rPr>
            </w:pPr>
          </w:p>
        </w:tc>
        <w:tc>
          <w:tcPr>
            <w:tcW w:w="1160" w:type="dxa"/>
            <w:vAlign w:val="bottom"/>
            <w:gridSpan w:val="2"/>
          </w:tcPr>
          <w:p>
            <w:pPr>
              <w:jc w:val="right"/>
              <w:ind w:right="360"/>
              <w:spacing w:after="0" w:line="149" w:lineRule="exact"/>
              <w:rPr>
                <w:sz w:val="20"/>
                <w:szCs w:val="20"/>
                <w:color w:val="auto"/>
              </w:rPr>
            </w:pPr>
            <w:r>
              <w:rPr>
                <w:rFonts w:ascii="Arial" w:cs="Arial" w:eastAsia="Arial" w:hAnsi="Arial"/>
                <w:sz w:val="14"/>
                <w:szCs w:val="14"/>
                <w:b w:val="1"/>
                <w:bCs w:val="1"/>
                <w:color w:val="auto"/>
                <w:w w:val="85"/>
              </w:rPr>
              <w:t>Shares Under</w:t>
            </w:r>
          </w:p>
        </w:tc>
        <w:tc>
          <w:tcPr>
            <w:tcW w:w="300" w:type="dxa"/>
            <w:vAlign w:val="bottom"/>
          </w:tcPr>
          <w:p>
            <w:pPr>
              <w:spacing w:after="0"/>
              <w:rPr>
                <w:sz w:val="12"/>
                <w:szCs w:val="12"/>
                <w:color w:val="auto"/>
              </w:rPr>
            </w:pPr>
          </w:p>
        </w:tc>
        <w:tc>
          <w:tcPr>
            <w:tcW w:w="1220" w:type="dxa"/>
            <w:vAlign w:val="bottom"/>
            <w:gridSpan w:val="3"/>
          </w:tcPr>
          <w:p>
            <w:pPr>
              <w:jc w:val="center"/>
              <w:ind w:right="640"/>
              <w:spacing w:after="0" w:line="149" w:lineRule="exact"/>
              <w:rPr>
                <w:sz w:val="20"/>
                <w:szCs w:val="20"/>
                <w:color w:val="auto"/>
              </w:rPr>
            </w:pPr>
            <w:r>
              <w:rPr>
                <w:rFonts w:ascii="Arial" w:cs="Arial" w:eastAsia="Arial" w:hAnsi="Arial"/>
                <w:sz w:val="14"/>
                <w:szCs w:val="14"/>
                <w:b w:val="1"/>
                <w:bCs w:val="1"/>
                <w:color w:val="auto"/>
                <w:w w:val="86"/>
              </w:rPr>
              <w:t>Exercise</w:t>
            </w:r>
          </w:p>
        </w:tc>
        <w:tc>
          <w:tcPr>
            <w:tcW w:w="1360" w:type="dxa"/>
            <w:vAlign w:val="bottom"/>
            <w:gridSpan w:val="2"/>
          </w:tcPr>
          <w:p>
            <w:pPr>
              <w:jc w:val="right"/>
              <w:ind w:right="660"/>
              <w:spacing w:after="0" w:line="149" w:lineRule="exact"/>
              <w:rPr>
                <w:sz w:val="20"/>
                <w:szCs w:val="20"/>
                <w:color w:val="auto"/>
              </w:rPr>
            </w:pPr>
            <w:r>
              <w:rPr>
                <w:rFonts w:ascii="Arial" w:cs="Arial" w:eastAsia="Arial" w:hAnsi="Arial"/>
                <w:sz w:val="14"/>
                <w:szCs w:val="14"/>
                <w:b w:val="1"/>
                <w:bCs w:val="1"/>
                <w:color w:val="auto"/>
                <w:w w:val="87"/>
              </w:rPr>
              <w:t>Contractual</w:t>
            </w:r>
          </w:p>
        </w:tc>
        <w:tc>
          <w:tcPr>
            <w:tcW w:w="680" w:type="dxa"/>
            <w:vAlign w:val="bottom"/>
            <w:gridSpan w:val="3"/>
          </w:tcPr>
          <w:p>
            <w:pPr>
              <w:jc w:val="center"/>
              <w:ind w:right="100"/>
              <w:spacing w:after="0" w:line="149" w:lineRule="exact"/>
              <w:rPr>
                <w:sz w:val="20"/>
                <w:szCs w:val="20"/>
                <w:color w:val="auto"/>
              </w:rPr>
            </w:pPr>
            <w:r>
              <w:rPr>
                <w:rFonts w:ascii="Arial" w:cs="Arial" w:eastAsia="Arial" w:hAnsi="Arial"/>
                <w:sz w:val="14"/>
                <w:szCs w:val="14"/>
                <w:b w:val="1"/>
                <w:bCs w:val="1"/>
                <w:color w:val="auto"/>
                <w:w w:val="91"/>
              </w:rPr>
              <w:t>Intrinsic</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4420" w:type="dxa"/>
            <w:vAlign w:val="bottom"/>
          </w:tcPr>
          <w:p>
            <w:pPr>
              <w:spacing w:after="0"/>
              <w:rPr>
                <w:sz w:val="14"/>
                <w:szCs w:val="14"/>
                <w:color w:val="auto"/>
              </w:rPr>
            </w:pPr>
          </w:p>
        </w:tc>
        <w:tc>
          <w:tcPr>
            <w:tcW w:w="2260" w:type="dxa"/>
            <w:vAlign w:val="bottom"/>
          </w:tcPr>
          <w:p>
            <w:pPr>
              <w:spacing w:after="0"/>
              <w:rPr>
                <w:sz w:val="14"/>
                <w:szCs w:val="14"/>
                <w:color w:val="auto"/>
              </w:rPr>
            </w:pPr>
          </w:p>
        </w:tc>
        <w:tc>
          <w:tcPr>
            <w:tcW w:w="800" w:type="dxa"/>
            <w:vAlign w:val="bottom"/>
            <w:tcBorders>
              <w:bottom w:val="single" w:sz="8" w:color="auto"/>
            </w:tcBorders>
          </w:tcPr>
          <w:p>
            <w:pPr>
              <w:jc w:val="right"/>
              <w:ind w:right="119"/>
              <w:spacing w:after="0"/>
              <w:rPr>
                <w:sz w:val="20"/>
                <w:szCs w:val="20"/>
                <w:color w:val="auto"/>
              </w:rPr>
            </w:pPr>
            <w:r>
              <w:rPr>
                <w:rFonts w:ascii="Arial" w:cs="Arial" w:eastAsia="Arial" w:hAnsi="Arial"/>
                <w:sz w:val="14"/>
                <w:szCs w:val="14"/>
                <w:b w:val="1"/>
                <w:bCs w:val="1"/>
                <w:color w:val="auto"/>
              </w:rPr>
              <w:t>Option</w:t>
            </w:r>
          </w:p>
        </w:tc>
        <w:tc>
          <w:tcPr>
            <w:tcW w:w="3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jc w:val="center"/>
              <w:ind w:right="18"/>
              <w:spacing w:after="0"/>
              <w:rPr>
                <w:sz w:val="20"/>
                <w:szCs w:val="20"/>
                <w:color w:val="auto"/>
              </w:rPr>
            </w:pPr>
            <w:r>
              <w:rPr>
                <w:rFonts w:ascii="Arial" w:cs="Arial" w:eastAsia="Arial" w:hAnsi="Arial"/>
                <w:sz w:val="14"/>
                <w:szCs w:val="14"/>
                <w:b w:val="1"/>
                <w:bCs w:val="1"/>
                <w:color w:val="auto"/>
                <w:w w:val="87"/>
              </w:rPr>
              <w:t>Price</w:t>
            </w:r>
          </w:p>
        </w:tc>
        <w:tc>
          <w:tcPr>
            <w:tcW w:w="640" w:type="dxa"/>
            <w:vAlign w:val="bottom"/>
          </w:tcPr>
          <w:p>
            <w:pPr>
              <w:spacing w:after="0"/>
              <w:rPr>
                <w:sz w:val="14"/>
                <w:szCs w:val="14"/>
                <w:color w:val="auto"/>
              </w:rPr>
            </w:pPr>
          </w:p>
        </w:tc>
        <w:tc>
          <w:tcPr>
            <w:tcW w:w="7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7"/>
              </w:rPr>
              <w:t>Term</w:t>
            </w:r>
          </w:p>
        </w:tc>
        <w:tc>
          <w:tcPr>
            <w:tcW w:w="6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jc w:val="center"/>
              <w:ind w:right="17"/>
              <w:spacing w:after="0"/>
              <w:rPr>
                <w:sz w:val="20"/>
                <w:szCs w:val="20"/>
                <w:color w:val="auto"/>
              </w:rPr>
            </w:pPr>
            <w:r>
              <w:rPr>
                <w:rFonts w:ascii="Arial" w:cs="Arial" w:eastAsia="Arial" w:hAnsi="Arial"/>
                <w:sz w:val="14"/>
                <w:szCs w:val="14"/>
                <w:b w:val="1"/>
                <w:bCs w:val="1"/>
                <w:color w:val="auto"/>
                <w:w w:val="90"/>
              </w:rPr>
              <w:t>Value</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420" w:type="dxa"/>
            <w:vAlign w:val="bottom"/>
            <w:shd w:val="clear" w:color="auto" w:fill="CCEEFF"/>
          </w:tcPr>
          <w:p>
            <w:pPr>
              <w:spacing w:after="0"/>
              <w:rPr>
                <w:sz w:val="20"/>
                <w:szCs w:val="20"/>
                <w:color w:val="auto"/>
              </w:rPr>
            </w:pPr>
            <w:r>
              <w:rPr>
                <w:rFonts w:ascii="Arial" w:cs="Arial" w:eastAsia="Arial" w:hAnsi="Arial"/>
                <w:sz w:val="18"/>
                <w:szCs w:val="18"/>
                <w:color w:val="auto"/>
              </w:rPr>
              <w:t>Options outstanding at January 1, 2009</w:t>
            </w:r>
          </w:p>
        </w:tc>
        <w:tc>
          <w:tcPr>
            <w:tcW w:w="30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76</w:t>
            </w:r>
          </w:p>
        </w:tc>
        <w:tc>
          <w:tcPr>
            <w:tcW w:w="360" w:type="dxa"/>
            <w:vAlign w:val="bottom"/>
            <w:shd w:val="clear" w:color="auto" w:fill="CCEEFF"/>
          </w:tcPr>
          <w:p>
            <w:pPr>
              <w:spacing w:after="0"/>
              <w:rPr>
                <w:sz w:val="18"/>
                <w:szCs w:val="18"/>
                <w:color w:val="auto"/>
              </w:rPr>
            </w:pPr>
          </w:p>
        </w:tc>
        <w:tc>
          <w:tcPr>
            <w:tcW w:w="40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w w:val="79"/>
              </w:rPr>
              <w:t>$</w:t>
            </w:r>
          </w:p>
        </w:tc>
        <w:tc>
          <w:tcPr>
            <w:tcW w:w="112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50.90</w:t>
            </w:r>
          </w:p>
        </w:tc>
        <w:tc>
          <w:tcPr>
            <w:tcW w:w="7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20" w:type="dxa"/>
            <w:vAlign w:val="bottom"/>
          </w:tcPr>
          <w:p>
            <w:pPr>
              <w:spacing w:after="0"/>
              <w:rPr>
                <w:sz w:val="20"/>
                <w:szCs w:val="20"/>
                <w:color w:val="auto"/>
              </w:rPr>
            </w:pPr>
            <w:r>
              <w:rPr>
                <w:rFonts w:ascii="Arial" w:cs="Arial" w:eastAsia="Arial" w:hAnsi="Arial"/>
                <w:sz w:val="18"/>
                <w:szCs w:val="18"/>
                <w:color w:val="auto"/>
              </w:rPr>
              <w:t>Granted</w:t>
            </w:r>
          </w:p>
        </w:tc>
        <w:tc>
          <w:tcPr>
            <w:tcW w:w="2260" w:type="dxa"/>
            <w:vAlign w:val="bottom"/>
          </w:tcPr>
          <w:p>
            <w:pPr>
              <w:spacing w:after="0"/>
              <w:rPr>
                <w:sz w:val="18"/>
                <w:szCs w:val="18"/>
                <w:color w:val="auto"/>
              </w:rPr>
            </w:pPr>
          </w:p>
        </w:tc>
        <w:tc>
          <w:tcPr>
            <w:tcW w:w="116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400" w:type="dxa"/>
            <w:vAlign w:val="bottom"/>
            <w:gridSpan w:val="2"/>
          </w:tcPr>
          <w:p>
            <w:pPr>
              <w:ind w:left="300"/>
              <w:spacing w:after="0"/>
              <w:rPr>
                <w:sz w:val="20"/>
                <w:szCs w:val="20"/>
                <w:color w:val="auto"/>
              </w:rPr>
            </w:pPr>
            <w:r>
              <w:rPr>
                <w:rFonts w:ascii="Arial" w:cs="Arial" w:eastAsia="Arial" w:hAnsi="Arial"/>
                <w:sz w:val="18"/>
                <w:szCs w:val="18"/>
                <w:color w:val="auto"/>
                <w:w w:val="79"/>
              </w:rPr>
              <w:t>$</w:t>
            </w:r>
          </w:p>
        </w:tc>
        <w:tc>
          <w:tcPr>
            <w:tcW w:w="1120" w:type="dxa"/>
            <w:vAlign w:val="bottom"/>
            <w:gridSpan w:val="2"/>
          </w:tcPr>
          <w:p>
            <w:pPr>
              <w:jc w:val="right"/>
              <w:ind w:right="640"/>
              <w:spacing w:after="0"/>
              <w:rPr>
                <w:sz w:val="20"/>
                <w:szCs w:val="20"/>
                <w:color w:val="auto"/>
              </w:rPr>
            </w:pPr>
            <w:r>
              <w:rPr>
                <w:rFonts w:ascii="Arial" w:cs="Arial" w:eastAsia="Arial" w:hAnsi="Arial"/>
                <w:sz w:val="18"/>
                <w:szCs w:val="18"/>
                <w:color w:val="auto"/>
              </w:rPr>
              <w:t>—</w:t>
            </w:r>
          </w:p>
        </w:tc>
        <w:tc>
          <w:tcPr>
            <w:tcW w:w="7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20" w:type="dxa"/>
            <w:vAlign w:val="bottom"/>
            <w:shd w:val="clear" w:color="auto" w:fill="CCEEFF"/>
          </w:tcPr>
          <w:p>
            <w:pPr>
              <w:spacing w:after="0"/>
              <w:rPr>
                <w:sz w:val="20"/>
                <w:szCs w:val="20"/>
                <w:color w:val="auto"/>
              </w:rPr>
            </w:pPr>
            <w:r>
              <w:rPr>
                <w:rFonts w:ascii="Arial" w:cs="Arial" w:eastAsia="Arial" w:hAnsi="Arial"/>
                <w:sz w:val="18"/>
                <w:szCs w:val="18"/>
                <w:color w:val="auto"/>
              </w:rPr>
              <w:t>Exercised</w:t>
            </w:r>
          </w:p>
        </w:tc>
        <w:tc>
          <w:tcPr>
            <w:tcW w:w="22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40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w w:val="79"/>
              </w:rPr>
              <w:t>$</w:t>
            </w:r>
          </w:p>
        </w:tc>
        <w:tc>
          <w:tcPr>
            <w:tcW w:w="112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420" w:type="dxa"/>
            <w:vAlign w:val="bottom"/>
          </w:tcPr>
          <w:p>
            <w:pPr>
              <w:spacing w:after="0"/>
              <w:rPr>
                <w:sz w:val="20"/>
                <w:szCs w:val="20"/>
                <w:color w:val="auto"/>
              </w:rPr>
            </w:pPr>
            <w:r>
              <w:rPr>
                <w:rFonts w:ascii="Arial" w:cs="Arial" w:eastAsia="Arial" w:hAnsi="Arial"/>
                <w:sz w:val="18"/>
                <w:szCs w:val="18"/>
                <w:color w:val="auto"/>
              </w:rPr>
              <w:t>Forfeited or expired</w:t>
            </w:r>
          </w:p>
        </w:tc>
        <w:tc>
          <w:tcPr>
            <w:tcW w:w="2260" w:type="dxa"/>
            <w:vAlign w:val="bottom"/>
          </w:tcPr>
          <w:p>
            <w:pPr>
              <w:spacing w:after="0"/>
              <w:rPr>
                <w:sz w:val="19"/>
                <w:szCs w:val="19"/>
                <w:color w:val="auto"/>
              </w:rPr>
            </w:pPr>
          </w:p>
        </w:tc>
        <w:tc>
          <w:tcPr>
            <w:tcW w:w="1160" w:type="dxa"/>
            <w:vAlign w:val="bottom"/>
            <w:gridSpan w:val="2"/>
          </w:tcPr>
          <w:p>
            <w:pPr>
              <w:jc w:val="right"/>
              <w:ind w:right="300"/>
              <w:spacing w:after="0"/>
              <w:rPr>
                <w:sz w:val="20"/>
                <w:szCs w:val="20"/>
                <w:color w:val="auto"/>
              </w:rPr>
            </w:pPr>
            <w:r>
              <w:rPr>
                <w:rFonts w:ascii="Arial" w:cs="Arial" w:eastAsia="Arial" w:hAnsi="Arial"/>
                <w:sz w:val="18"/>
                <w:szCs w:val="18"/>
                <w:color w:val="auto"/>
              </w:rPr>
              <w:t>(11)</w:t>
            </w:r>
          </w:p>
        </w:tc>
        <w:tc>
          <w:tcPr>
            <w:tcW w:w="400" w:type="dxa"/>
            <w:vAlign w:val="bottom"/>
            <w:gridSpan w:val="2"/>
          </w:tcPr>
          <w:p>
            <w:pPr>
              <w:ind w:left="300"/>
              <w:spacing w:after="0"/>
              <w:rPr>
                <w:sz w:val="20"/>
                <w:szCs w:val="20"/>
                <w:color w:val="auto"/>
              </w:rPr>
            </w:pPr>
            <w:r>
              <w:rPr>
                <w:rFonts w:ascii="Arial" w:cs="Arial" w:eastAsia="Arial" w:hAnsi="Arial"/>
                <w:sz w:val="18"/>
                <w:szCs w:val="18"/>
                <w:color w:val="auto"/>
                <w:w w:val="79"/>
              </w:rPr>
              <w:t>$</w:t>
            </w:r>
          </w:p>
        </w:tc>
        <w:tc>
          <w:tcPr>
            <w:tcW w:w="1120" w:type="dxa"/>
            <w:vAlign w:val="bottom"/>
            <w:gridSpan w:val="2"/>
          </w:tcPr>
          <w:p>
            <w:pPr>
              <w:jc w:val="right"/>
              <w:ind w:right="640"/>
              <w:spacing w:after="0"/>
              <w:rPr>
                <w:sz w:val="20"/>
                <w:szCs w:val="20"/>
                <w:color w:val="auto"/>
              </w:rPr>
            </w:pPr>
            <w:r>
              <w:rPr>
                <w:rFonts w:ascii="Arial" w:cs="Arial" w:eastAsia="Arial" w:hAnsi="Arial"/>
                <w:sz w:val="18"/>
                <w:szCs w:val="18"/>
                <w:color w:val="auto"/>
              </w:rPr>
              <w:t>68.50</w:t>
            </w:r>
          </w:p>
        </w:tc>
        <w:tc>
          <w:tcPr>
            <w:tcW w:w="7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20" w:type="dxa"/>
            <w:vAlign w:val="bottom"/>
            <w:shd w:val="clear" w:color="auto" w:fill="CCEEFF"/>
          </w:tcPr>
          <w:p>
            <w:pPr>
              <w:spacing w:after="0"/>
              <w:rPr>
                <w:sz w:val="20"/>
                <w:szCs w:val="20"/>
                <w:color w:val="auto"/>
              </w:rPr>
            </w:pPr>
            <w:r>
              <w:rPr>
                <w:rFonts w:ascii="Arial" w:cs="Arial" w:eastAsia="Arial" w:hAnsi="Arial"/>
                <w:sz w:val="18"/>
                <w:szCs w:val="18"/>
                <w:color w:val="auto"/>
              </w:rPr>
              <w:t>Options outstanding at July 9, 2009</w:t>
            </w:r>
          </w:p>
        </w:tc>
        <w:tc>
          <w:tcPr>
            <w:tcW w:w="2260" w:type="dxa"/>
            <w:vAlign w:val="bottom"/>
            <w:shd w:val="clear" w:color="auto" w:fill="CCEEFF"/>
          </w:tcPr>
          <w:p>
            <w:pPr>
              <w:spacing w:after="0"/>
              <w:rPr>
                <w:sz w:val="18"/>
                <w:szCs w:val="18"/>
                <w:color w:val="auto"/>
              </w:rPr>
            </w:pP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w:t>
            </w:r>
          </w:p>
        </w:tc>
        <w:tc>
          <w:tcPr>
            <w:tcW w:w="360" w:type="dxa"/>
            <w:vAlign w:val="bottom"/>
            <w:shd w:val="clear" w:color="auto" w:fill="CCEEFF"/>
          </w:tcPr>
          <w:p>
            <w:pPr>
              <w:spacing w:after="0"/>
              <w:rPr>
                <w:sz w:val="18"/>
                <w:szCs w:val="18"/>
                <w:color w:val="auto"/>
              </w:rPr>
            </w:pPr>
          </w:p>
        </w:tc>
        <w:tc>
          <w:tcPr>
            <w:tcW w:w="40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w w:val="79"/>
              </w:rPr>
              <w:t>$</w:t>
            </w:r>
          </w:p>
        </w:tc>
        <w:tc>
          <w:tcPr>
            <w:tcW w:w="112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47.92</w:t>
            </w:r>
          </w:p>
        </w:tc>
        <w:tc>
          <w:tcPr>
            <w:tcW w:w="136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3.5</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58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4440" w:type="dxa"/>
            <w:vAlign w:val="bottom"/>
            <w:gridSpan w:val="2"/>
            <w:vMerge w:val="restart"/>
          </w:tcPr>
          <w:p>
            <w:pPr>
              <w:spacing w:after="0"/>
              <w:rPr>
                <w:sz w:val="20"/>
                <w:szCs w:val="20"/>
                <w:color w:val="auto"/>
              </w:rPr>
            </w:pPr>
            <w:r>
              <w:rPr>
                <w:rFonts w:ascii="Arial" w:cs="Arial" w:eastAsia="Arial" w:hAnsi="Arial"/>
                <w:sz w:val="18"/>
                <w:szCs w:val="18"/>
                <w:color w:val="auto"/>
              </w:rPr>
              <w:t>Options expected to vest at July 9, 2009</w:t>
            </w:r>
          </w:p>
        </w:tc>
        <w:tc>
          <w:tcPr>
            <w:tcW w:w="226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00" w:type="dxa"/>
            <w:vAlign w:val="bottom"/>
            <w:gridSpan w:val="2"/>
            <w:vMerge w:val="restart"/>
          </w:tcPr>
          <w:p>
            <w:pPr>
              <w:ind w:left="300"/>
              <w:spacing w:after="0"/>
              <w:rPr>
                <w:sz w:val="20"/>
                <w:szCs w:val="20"/>
                <w:color w:val="auto"/>
              </w:rPr>
            </w:pPr>
            <w:r>
              <w:rPr>
                <w:rFonts w:ascii="Arial" w:cs="Arial" w:eastAsia="Arial" w:hAnsi="Arial"/>
                <w:sz w:val="18"/>
                <w:szCs w:val="18"/>
                <w:color w:val="auto"/>
                <w:w w:val="79"/>
              </w:rPr>
              <w:t>$</w:t>
            </w:r>
          </w:p>
        </w:tc>
        <w:tc>
          <w:tcPr>
            <w:tcW w:w="1120" w:type="dxa"/>
            <w:vAlign w:val="bottom"/>
            <w:gridSpan w:val="2"/>
            <w:vMerge w:val="restart"/>
          </w:tcPr>
          <w:p>
            <w:pPr>
              <w:jc w:val="right"/>
              <w:ind w:right="640"/>
              <w:spacing w:after="0"/>
              <w:rPr>
                <w:sz w:val="20"/>
                <w:szCs w:val="20"/>
                <w:color w:val="auto"/>
              </w:rPr>
            </w:pPr>
            <w:r>
              <w:rPr>
                <w:rFonts w:ascii="Arial" w:cs="Arial" w:eastAsia="Arial" w:hAnsi="Arial"/>
                <w:sz w:val="18"/>
                <w:szCs w:val="18"/>
                <w:color w:val="auto"/>
              </w:rPr>
              <w:t>24.69</w:t>
            </w:r>
          </w:p>
        </w:tc>
        <w:tc>
          <w:tcPr>
            <w:tcW w:w="1360" w:type="dxa"/>
            <w:vAlign w:val="bottom"/>
            <w:gridSpan w:val="2"/>
            <w:vMerge w:val="restart"/>
          </w:tcPr>
          <w:p>
            <w:pPr>
              <w:jc w:val="right"/>
              <w:ind w:right="660"/>
              <w:spacing w:after="0"/>
              <w:rPr>
                <w:sz w:val="20"/>
                <w:szCs w:val="20"/>
                <w:color w:val="auto"/>
              </w:rPr>
            </w:pPr>
            <w:r>
              <w:rPr>
                <w:rFonts w:ascii="Arial" w:cs="Arial" w:eastAsia="Arial" w:hAnsi="Arial"/>
                <w:sz w:val="18"/>
                <w:szCs w:val="18"/>
                <w:color w:val="auto"/>
              </w:rPr>
              <w:t>8.4</w:t>
            </w:r>
          </w:p>
        </w:tc>
        <w:tc>
          <w:tcPr>
            <w:tcW w:w="100" w:type="dxa"/>
            <w:vAlign w:val="bottom"/>
            <w:vMerge w:val="restart"/>
          </w:tcPr>
          <w:p>
            <w:pPr>
              <w:spacing w:after="0"/>
              <w:rPr>
                <w:sz w:val="20"/>
                <w:szCs w:val="20"/>
                <w:color w:val="auto"/>
              </w:rPr>
            </w:pPr>
            <w:r>
              <w:rPr>
                <w:rFonts w:ascii="Arial" w:cs="Arial" w:eastAsia="Arial" w:hAnsi="Arial"/>
                <w:sz w:val="18"/>
                <w:szCs w:val="18"/>
                <w:color w:val="auto"/>
                <w:w w:val="79"/>
              </w:rPr>
              <w:t>$</w:t>
            </w:r>
          </w:p>
        </w:tc>
        <w:tc>
          <w:tcPr>
            <w:tcW w:w="580" w:type="dxa"/>
            <w:vAlign w:val="bottom"/>
            <w:gridSpan w:val="2"/>
            <w:vMerge w:val="restart"/>
          </w:tcPr>
          <w:p>
            <w:pPr>
              <w:ind w:left="300"/>
              <w:spacing w:after="0"/>
              <w:rPr>
                <w:sz w:val="20"/>
                <w:szCs w:val="20"/>
                <w:color w:val="auto"/>
              </w:rPr>
            </w:pPr>
            <w:r>
              <w:rPr>
                <w:rFonts w:ascii="Arial" w:cs="Arial" w:eastAsia="Arial" w:hAnsi="Arial"/>
                <w:sz w:val="18"/>
                <w:szCs w:val="18"/>
                <w:color w:val="auto"/>
              </w:rPr>
              <w:t>—</w:t>
            </w:r>
          </w:p>
        </w:tc>
        <w:tc>
          <w:tcPr>
            <w:tcW w:w="0" w:type="dxa"/>
            <w:vAlign w:val="bottom"/>
          </w:tcPr>
          <w:p>
            <w:pPr>
              <w:spacing w:after="0" w:line="20" w:lineRule="exact"/>
              <w:rPr>
                <w:sz w:val="1"/>
                <w:szCs w:val="1"/>
                <w:color w:val="auto"/>
              </w:rPr>
            </w:pPr>
          </w:p>
        </w:tc>
      </w:tr>
      <w:tr>
        <w:trPr>
          <w:trHeight w:val="209"/>
        </w:trPr>
        <w:tc>
          <w:tcPr>
            <w:tcW w:w="4440" w:type="dxa"/>
            <w:vAlign w:val="bottom"/>
            <w:gridSpan w:val="2"/>
            <w:vMerge w:val="continue"/>
          </w:tcPr>
          <w:p>
            <w:pPr>
              <w:spacing w:after="0"/>
              <w:rPr>
                <w:sz w:val="18"/>
                <w:szCs w:val="18"/>
                <w:color w:val="auto"/>
              </w:rPr>
            </w:pPr>
          </w:p>
        </w:tc>
        <w:tc>
          <w:tcPr>
            <w:tcW w:w="3060" w:type="dxa"/>
            <w:vAlign w:val="bottom"/>
            <w:gridSpan w:val="2"/>
          </w:tcPr>
          <w:p>
            <w:pPr>
              <w:jc w:val="right"/>
              <w:spacing w:after="0"/>
              <w:rPr>
                <w:sz w:val="20"/>
                <w:szCs w:val="20"/>
                <w:color w:val="auto"/>
              </w:rPr>
            </w:pPr>
            <w:r>
              <w:rPr>
                <w:rFonts w:ascii="Arial" w:cs="Arial" w:eastAsia="Arial" w:hAnsi="Arial"/>
                <w:sz w:val="18"/>
                <w:szCs w:val="18"/>
                <w:color w:val="auto"/>
              </w:rPr>
              <w:t>4</w:t>
            </w:r>
          </w:p>
        </w:tc>
        <w:tc>
          <w:tcPr>
            <w:tcW w:w="360" w:type="dxa"/>
            <w:vAlign w:val="bottom"/>
          </w:tcPr>
          <w:p>
            <w:pPr>
              <w:spacing w:after="0"/>
              <w:rPr>
                <w:sz w:val="18"/>
                <w:szCs w:val="18"/>
                <w:color w:val="auto"/>
              </w:rPr>
            </w:pPr>
          </w:p>
        </w:tc>
        <w:tc>
          <w:tcPr>
            <w:tcW w:w="400" w:type="dxa"/>
            <w:vAlign w:val="bottom"/>
            <w:gridSpan w:val="2"/>
            <w:vMerge w:val="continue"/>
          </w:tcPr>
          <w:p>
            <w:pPr>
              <w:spacing w:after="0"/>
              <w:rPr>
                <w:sz w:val="18"/>
                <w:szCs w:val="18"/>
                <w:color w:val="auto"/>
              </w:rPr>
            </w:pPr>
          </w:p>
        </w:tc>
        <w:tc>
          <w:tcPr>
            <w:tcW w:w="1120" w:type="dxa"/>
            <w:vAlign w:val="bottom"/>
            <w:gridSpan w:val="2"/>
            <w:vMerge w:val="continue"/>
          </w:tcPr>
          <w:p>
            <w:pPr>
              <w:spacing w:after="0"/>
              <w:rPr>
                <w:sz w:val="18"/>
                <w:szCs w:val="18"/>
                <w:color w:val="auto"/>
              </w:rPr>
            </w:pPr>
          </w:p>
        </w:tc>
        <w:tc>
          <w:tcPr>
            <w:tcW w:w="1360" w:type="dxa"/>
            <w:vAlign w:val="bottom"/>
            <w:gridSpan w:val="2"/>
            <w:vMerge w:val="continue"/>
          </w:tcPr>
          <w:p>
            <w:pPr>
              <w:spacing w:after="0"/>
              <w:rPr>
                <w:sz w:val="18"/>
                <w:szCs w:val="18"/>
                <w:color w:val="auto"/>
              </w:rPr>
            </w:pPr>
          </w:p>
        </w:tc>
        <w:tc>
          <w:tcPr>
            <w:tcW w:w="100" w:type="dxa"/>
            <w:vAlign w:val="bottom"/>
            <w:vMerge w:val="continue"/>
          </w:tcPr>
          <w:p>
            <w:pPr>
              <w:spacing w:after="0"/>
              <w:rPr>
                <w:sz w:val="18"/>
                <w:szCs w:val="18"/>
                <w:color w:val="auto"/>
              </w:rPr>
            </w:pPr>
          </w:p>
        </w:tc>
        <w:tc>
          <w:tcPr>
            <w:tcW w:w="58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420" w:type="dxa"/>
            <w:vAlign w:val="bottom"/>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20" w:type="dxa"/>
            <w:vAlign w:val="bottom"/>
          </w:tcPr>
          <w:p>
            <w:pPr>
              <w:spacing w:after="0"/>
              <w:rPr>
                <w:sz w:val="18"/>
                <w:szCs w:val="18"/>
                <w:color w:val="auto"/>
              </w:rPr>
            </w:pPr>
          </w:p>
        </w:tc>
        <w:tc>
          <w:tcPr>
            <w:tcW w:w="4420" w:type="dxa"/>
            <w:vAlign w:val="bottom"/>
            <w:shd w:val="clear" w:color="auto" w:fill="CCEEFF"/>
          </w:tcPr>
          <w:p>
            <w:pPr>
              <w:spacing w:after="0"/>
              <w:rPr>
                <w:sz w:val="20"/>
                <w:szCs w:val="20"/>
                <w:color w:val="auto"/>
              </w:rPr>
            </w:pPr>
            <w:r>
              <w:rPr>
                <w:rFonts w:ascii="Arial" w:cs="Arial" w:eastAsia="Arial" w:hAnsi="Arial"/>
                <w:sz w:val="18"/>
                <w:szCs w:val="18"/>
                <w:color w:val="auto"/>
              </w:rPr>
              <w:t>Options vested and exercisable at July 9, 2009</w:t>
            </w:r>
          </w:p>
        </w:tc>
        <w:tc>
          <w:tcPr>
            <w:tcW w:w="30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61</w:t>
            </w:r>
          </w:p>
        </w:tc>
        <w:tc>
          <w:tcPr>
            <w:tcW w:w="360" w:type="dxa"/>
            <w:vAlign w:val="bottom"/>
            <w:shd w:val="clear" w:color="auto" w:fill="CCEEFF"/>
          </w:tcPr>
          <w:p>
            <w:pPr>
              <w:spacing w:after="0"/>
              <w:rPr>
                <w:sz w:val="18"/>
                <w:szCs w:val="18"/>
                <w:color w:val="auto"/>
              </w:rPr>
            </w:pPr>
          </w:p>
        </w:tc>
        <w:tc>
          <w:tcPr>
            <w:tcW w:w="40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w w:val="79"/>
              </w:rPr>
              <w:t>$</w:t>
            </w:r>
          </w:p>
        </w:tc>
        <w:tc>
          <w:tcPr>
            <w:tcW w:w="112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49.24</w:t>
            </w:r>
          </w:p>
        </w:tc>
        <w:tc>
          <w:tcPr>
            <w:tcW w:w="136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3.2</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58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420" w:type="dxa"/>
            <w:vAlign w:val="bottom"/>
          </w:tcPr>
          <w:p>
            <w:pPr>
              <w:spacing w:after="0" w:line="20" w:lineRule="exact"/>
              <w:rPr>
                <w:sz w:val="1"/>
                <w:szCs w:val="1"/>
                <w:color w:val="auto"/>
              </w:rPr>
            </w:pPr>
          </w:p>
        </w:tc>
        <w:tc>
          <w:tcPr>
            <w:tcW w:w="2260" w:type="dxa"/>
            <w:vAlign w:val="bottom"/>
            <w:vMerge w:val="restart"/>
          </w:tcPr>
          <w:p>
            <w:pPr>
              <w:jc w:val="right"/>
              <w:ind w:right="812"/>
              <w:spacing w:after="0"/>
              <w:rPr>
                <w:sz w:val="20"/>
                <w:szCs w:val="20"/>
                <w:color w:val="auto"/>
              </w:rPr>
            </w:pPr>
            <w:r>
              <w:rPr>
                <w:rFonts w:ascii="Arial" w:cs="Arial" w:eastAsia="Arial" w:hAnsi="Arial"/>
                <w:sz w:val="18"/>
                <w:szCs w:val="18"/>
                <w:color w:val="auto"/>
              </w:rPr>
              <w:t>79</w:t>
            </w:r>
          </w:p>
        </w:tc>
        <w:tc>
          <w:tcPr>
            <w:tcW w:w="8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7"/>
        </w:trPr>
        <w:tc>
          <w:tcPr>
            <w:tcW w:w="20" w:type="dxa"/>
            <w:vAlign w:val="bottom"/>
          </w:tcPr>
          <w:p>
            <w:pPr>
              <w:spacing w:after="0"/>
              <w:rPr>
                <w:sz w:val="24"/>
                <w:szCs w:val="24"/>
                <w:color w:val="auto"/>
              </w:rPr>
            </w:pPr>
          </w:p>
        </w:tc>
        <w:tc>
          <w:tcPr>
            <w:tcW w:w="4420" w:type="dxa"/>
            <w:vAlign w:val="bottom"/>
          </w:tcPr>
          <w:p>
            <w:pPr>
              <w:spacing w:after="0"/>
              <w:rPr>
                <w:sz w:val="24"/>
                <w:szCs w:val="24"/>
                <w:color w:val="auto"/>
              </w:rPr>
            </w:pPr>
          </w:p>
        </w:tc>
        <w:tc>
          <w:tcPr>
            <w:tcW w:w="2260" w:type="dxa"/>
            <w:vAlign w:val="bottom"/>
            <w:vMerge w:val="continue"/>
          </w:tcPr>
          <w:p>
            <w:pPr>
              <w:spacing w:after="0"/>
              <w:rPr>
                <w:sz w:val="24"/>
                <w:szCs w:val="24"/>
                <w:color w:val="auto"/>
              </w:rPr>
            </w:pPr>
          </w:p>
        </w:tc>
        <w:tc>
          <w:tcPr>
            <w:tcW w:w="8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81" w:name="page82"/>
    <w:bookmarkEnd w:id="8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33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440" w:type="dxa"/>
            <w:vAlign w:val="bottom"/>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gridSpan w:val="2"/>
          </w:tcPr>
          <w:p>
            <w:pPr>
              <w:jc w:val="center"/>
              <w:ind w:left="297"/>
              <w:spacing w:after="0"/>
              <w:rPr>
                <w:sz w:val="20"/>
                <w:szCs w:val="20"/>
                <w:color w:val="auto"/>
              </w:rPr>
            </w:pPr>
            <w:r>
              <w:rPr>
                <w:rFonts w:ascii="Arial" w:cs="Arial" w:eastAsia="Arial" w:hAnsi="Arial"/>
                <w:sz w:val="14"/>
                <w:szCs w:val="14"/>
                <w:b w:val="1"/>
                <w:bCs w:val="1"/>
                <w:color w:val="auto"/>
                <w:w w:val="83"/>
              </w:rPr>
              <w:t>Predecessor</w:t>
            </w:r>
          </w:p>
        </w:tc>
        <w:tc>
          <w:tcPr>
            <w:tcW w:w="70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440" w:type="dxa"/>
            <w:vAlign w:val="bottom"/>
          </w:tcPr>
          <w:p>
            <w:pPr>
              <w:spacing w:after="0"/>
              <w:rPr>
                <w:sz w:val="12"/>
                <w:szCs w:val="12"/>
                <w:color w:val="auto"/>
              </w:rPr>
            </w:pPr>
          </w:p>
        </w:tc>
        <w:tc>
          <w:tcPr>
            <w:tcW w:w="78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48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center"/>
              <w:ind w:right="32"/>
              <w:spacing w:after="0" w:line="142" w:lineRule="exact"/>
              <w:rPr>
                <w:sz w:val="20"/>
                <w:szCs w:val="20"/>
                <w:color w:val="auto"/>
              </w:rPr>
            </w:pPr>
            <w:r>
              <w:rPr>
                <w:rFonts w:ascii="Arial" w:cs="Arial" w:eastAsia="Arial" w:hAnsi="Arial"/>
                <w:sz w:val="14"/>
                <w:szCs w:val="14"/>
                <w:b w:val="1"/>
                <w:bCs w:val="1"/>
                <w:color w:val="auto"/>
                <w:w w:val="94"/>
              </w:rPr>
              <w:t>GMSSOP</w:t>
            </w:r>
          </w:p>
        </w:tc>
        <w:tc>
          <w:tcPr>
            <w:tcW w:w="70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48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4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440" w:type="dxa"/>
            <w:vAlign w:val="bottom"/>
            <w:gridSpan w:val="2"/>
          </w:tcPr>
          <w:p>
            <w:pPr>
              <w:jc w:val="center"/>
              <w:ind w:right="740"/>
              <w:spacing w:after="0" w:line="129" w:lineRule="exact"/>
              <w:rPr>
                <w:sz w:val="20"/>
                <w:szCs w:val="20"/>
                <w:color w:val="auto"/>
              </w:rPr>
            </w:pPr>
            <w:r>
              <w:rPr>
                <w:rFonts w:ascii="Arial" w:cs="Arial" w:eastAsia="Arial" w:hAnsi="Arial"/>
                <w:sz w:val="14"/>
                <w:szCs w:val="14"/>
                <w:b w:val="1"/>
                <w:bCs w:val="1"/>
                <w:color w:val="auto"/>
                <w:w w:val="85"/>
              </w:rPr>
              <w:t>Weighted-</w:t>
            </w:r>
          </w:p>
        </w:tc>
        <w:tc>
          <w:tcPr>
            <w:tcW w:w="1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4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32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Weighted-</w:t>
            </w:r>
          </w:p>
        </w:tc>
        <w:tc>
          <w:tcPr>
            <w:tcW w:w="1440" w:type="dxa"/>
            <w:vAlign w:val="bottom"/>
            <w:gridSpan w:val="2"/>
          </w:tcPr>
          <w:p>
            <w:pPr>
              <w:jc w:val="center"/>
              <w:ind w:right="740"/>
              <w:spacing w:after="0" w:line="149" w:lineRule="exact"/>
              <w:rPr>
                <w:sz w:val="20"/>
                <w:szCs w:val="20"/>
                <w:color w:val="auto"/>
              </w:rPr>
            </w:pPr>
            <w:r>
              <w:rPr>
                <w:rFonts w:ascii="Arial" w:cs="Arial" w:eastAsia="Arial" w:hAnsi="Arial"/>
                <w:sz w:val="14"/>
                <w:szCs w:val="14"/>
                <w:b w:val="1"/>
                <w:bCs w:val="1"/>
                <w:color w:val="auto"/>
                <w:w w:val="83"/>
              </w:rPr>
              <w:t>Average</w:t>
            </w: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4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320" w:type="dxa"/>
            <w:vAlign w:val="bottom"/>
            <w:gridSpan w:val="3"/>
          </w:tcPr>
          <w:p>
            <w:pPr>
              <w:jc w:val="center"/>
              <w:ind w:right="672"/>
              <w:spacing w:after="0" w:line="149" w:lineRule="exact"/>
              <w:rPr>
                <w:sz w:val="20"/>
                <w:szCs w:val="20"/>
                <w:color w:val="auto"/>
              </w:rPr>
            </w:pPr>
            <w:r>
              <w:rPr>
                <w:rFonts w:ascii="Arial" w:cs="Arial" w:eastAsia="Arial" w:hAnsi="Arial"/>
                <w:sz w:val="14"/>
                <w:szCs w:val="14"/>
                <w:b w:val="1"/>
                <w:bCs w:val="1"/>
                <w:color w:val="auto"/>
                <w:w w:val="83"/>
              </w:rPr>
              <w:t>Average</w:t>
            </w:r>
          </w:p>
        </w:tc>
        <w:tc>
          <w:tcPr>
            <w:tcW w:w="1440" w:type="dxa"/>
            <w:vAlign w:val="bottom"/>
            <w:gridSpan w:val="2"/>
          </w:tcPr>
          <w:p>
            <w:pPr>
              <w:jc w:val="center"/>
              <w:ind w:right="740"/>
              <w:spacing w:after="0" w:line="149" w:lineRule="exact"/>
              <w:rPr>
                <w:sz w:val="20"/>
                <w:szCs w:val="20"/>
                <w:color w:val="auto"/>
              </w:rPr>
            </w:pPr>
            <w:r>
              <w:rPr>
                <w:rFonts w:ascii="Arial" w:cs="Arial" w:eastAsia="Arial" w:hAnsi="Arial"/>
                <w:sz w:val="14"/>
                <w:szCs w:val="14"/>
                <w:b w:val="1"/>
                <w:bCs w:val="1"/>
                <w:color w:val="auto"/>
                <w:w w:val="86"/>
              </w:rPr>
              <w:t>Remaining</w:t>
            </w:r>
          </w:p>
        </w:tc>
        <w:tc>
          <w:tcPr>
            <w:tcW w:w="68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w w:val="95"/>
              </w:rPr>
              <w:t>Aggregate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440" w:type="dxa"/>
            <w:vAlign w:val="bottom"/>
          </w:tcPr>
          <w:p>
            <w:pPr>
              <w:spacing w:after="0"/>
              <w:rPr>
                <w:sz w:val="12"/>
                <w:szCs w:val="12"/>
                <w:color w:val="auto"/>
              </w:rPr>
            </w:pPr>
          </w:p>
        </w:tc>
        <w:tc>
          <w:tcPr>
            <w:tcW w:w="1520" w:type="dxa"/>
            <w:vAlign w:val="bottom"/>
            <w:gridSpan w:val="2"/>
          </w:tcPr>
          <w:p>
            <w:pPr>
              <w:jc w:val="right"/>
              <w:ind w:right="740"/>
              <w:spacing w:after="0" w:line="149" w:lineRule="exact"/>
              <w:rPr>
                <w:sz w:val="20"/>
                <w:szCs w:val="20"/>
                <w:color w:val="auto"/>
              </w:rPr>
            </w:pPr>
            <w:r>
              <w:rPr>
                <w:rFonts w:ascii="Arial" w:cs="Arial" w:eastAsia="Arial" w:hAnsi="Arial"/>
                <w:sz w:val="14"/>
                <w:szCs w:val="14"/>
                <w:b w:val="1"/>
                <w:bCs w:val="1"/>
                <w:color w:val="auto"/>
                <w:w w:val="83"/>
              </w:rPr>
              <w:t>Shares Under</w:t>
            </w:r>
          </w:p>
        </w:tc>
        <w:tc>
          <w:tcPr>
            <w:tcW w:w="1320" w:type="dxa"/>
            <w:vAlign w:val="bottom"/>
            <w:gridSpan w:val="3"/>
          </w:tcPr>
          <w:p>
            <w:pPr>
              <w:jc w:val="center"/>
              <w:ind w:right="652"/>
              <w:spacing w:after="0" w:line="149" w:lineRule="exact"/>
              <w:rPr>
                <w:sz w:val="20"/>
                <w:szCs w:val="20"/>
                <w:color w:val="auto"/>
              </w:rPr>
            </w:pPr>
            <w:r>
              <w:rPr>
                <w:rFonts w:ascii="Arial" w:cs="Arial" w:eastAsia="Arial" w:hAnsi="Arial"/>
                <w:sz w:val="14"/>
                <w:szCs w:val="14"/>
                <w:b w:val="1"/>
                <w:bCs w:val="1"/>
                <w:color w:val="auto"/>
                <w:w w:val="83"/>
              </w:rPr>
              <w:t>Exercise</w:t>
            </w:r>
          </w:p>
        </w:tc>
        <w:tc>
          <w:tcPr>
            <w:tcW w:w="1440" w:type="dxa"/>
            <w:vAlign w:val="bottom"/>
            <w:gridSpan w:val="2"/>
          </w:tcPr>
          <w:p>
            <w:pPr>
              <w:jc w:val="center"/>
              <w:ind w:right="740"/>
              <w:spacing w:after="0" w:line="149" w:lineRule="exact"/>
              <w:rPr>
                <w:sz w:val="20"/>
                <w:szCs w:val="20"/>
                <w:color w:val="auto"/>
              </w:rPr>
            </w:pPr>
            <w:r>
              <w:rPr>
                <w:rFonts w:ascii="Arial" w:cs="Arial" w:eastAsia="Arial" w:hAnsi="Arial"/>
                <w:sz w:val="14"/>
                <w:szCs w:val="14"/>
                <w:b w:val="1"/>
                <w:bCs w:val="1"/>
                <w:color w:val="auto"/>
                <w:w w:val="89"/>
              </w:rPr>
              <w:t>Contractual</w:t>
            </w:r>
          </w:p>
        </w:tc>
        <w:tc>
          <w:tcPr>
            <w:tcW w:w="680" w:type="dxa"/>
            <w:vAlign w:val="bottom"/>
            <w:gridSpan w:val="3"/>
          </w:tcPr>
          <w:p>
            <w:pPr>
              <w:jc w:val="center"/>
              <w:ind w:right="100"/>
              <w:spacing w:after="0" w:line="149" w:lineRule="exact"/>
              <w:rPr>
                <w:sz w:val="20"/>
                <w:szCs w:val="20"/>
                <w:color w:val="auto"/>
              </w:rPr>
            </w:pPr>
            <w:r>
              <w:rPr>
                <w:rFonts w:ascii="Arial" w:cs="Arial" w:eastAsia="Arial" w:hAnsi="Arial"/>
                <w:sz w:val="14"/>
                <w:szCs w:val="14"/>
                <w:b w:val="1"/>
                <w:bCs w:val="1"/>
                <w:color w:val="auto"/>
                <w:w w:val="91"/>
              </w:rPr>
              <w:t>Intrinsic</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6440" w:type="dxa"/>
            <w:vAlign w:val="bottom"/>
          </w:tcPr>
          <w:p>
            <w:pPr>
              <w:spacing w:after="0"/>
              <w:rPr>
                <w:sz w:val="14"/>
                <w:szCs w:val="14"/>
                <w:color w:val="auto"/>
              </w:rPr>
            </w:pPr>
          </w:p>
        </w:tc>
        <w:tc>
          <w:tcPr>
            <w:tcW w:w="780" w:type="dxa"/>
            <w:vAlign w:val="bottom"/>
            <w:tcBorders>
              <w:bottom w:val="single" w:sz="8" w:color="auto"/>
            </w:tcBorders>
          </w:tcPr>
          <w:p>
            <w:pPr>
              <w:jc w:val="right"/>
              <w:ind w:right="97"/>
              <w:spacing w:after="0"/>
              <w:rPr>
                <w:sz w:val="20"/>
                <w:szCs w:val="20"/>
                <w:color w:val="auto"/>
              </w:rPr>
            </w:pPr>
            <w:r>
              <w:rPr>
                <w:rFonts w:ascii="Arial" w:cs="Arial" w:eastAsia="Arial" w:hAnsi="Arial"/>
                <w:sz w:val="14"/>
                <w:szCs w:val="14"/>
                <w:b w:val="1"/>
                <w:bCs w:val="1"/>
                <w:color w:val="auto"/>
              </w:rPr>
              <w:t>Option</w:t>
            </w:r>
          </w:p>
        </w:tc>
        <w:tc>
          <w:tcPr>
            <w:tcW w:w="74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jc w:val="center"/>
              <w:ind w:right="57"/>
              <w:spacing w:after="0"/>
              <w:rPr>
                <w:sz w:val="20"/>
                <w:szCs w:val="20"/>
                <w:color w:val="auto"/>
              </w:rPr>
            </w:pPr>
            <w:r>
              <w:rPr>
                <w:rFonts w:ascii="Arial" w:cs="Arial" w:eastAsia="Arial" w:hAnsi="Arial"/>
                <w:sz w:val="14"/>
                <w:szCs w:val="14"/>
                <w:b w:val="1"/>
                <w:bCs w:val="1"/>
                <w:color w:val="auto"/>
                <w:w w:val="87"/>
              </w:rPr>
              <w:t>Price</w:t>
            </w:r>
          </w:p>
        </w:tc>
        <w:tc>
          <w:tcPr>
            <w:tcW w:w="720" w:type="dxa"/>
            <w:vAlign w:val="bottom"/>
          </w:tcPr>
          <w:p>
            <w:pPr>
              <w:spacing w:after="0"/>
              <w:rPr>
                <w:sz w:val="14"/>
                <w:szCs w:val="14"/>
                <w:color w:val="auto"/>
              </w:rPr>
            </w:pPr>
          </w:p>
        </w:tc>
        <w:tc>
          <w:tcPr>
            <w:tcW w:w="7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7"/>
              </w:rPr>
              <w:t>Term</w:t>
            </w:r>
          </w:p>
        </w:tc>
        <w:tc>
          <w:tcPr>
            <w:tcW w:w="7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jc w:val="center"/>
              <w:ind w:right="19"/>
              <w:spacing w:after="0"/>
              <w:rPr>
                <w:sz w:val="20"/>
                <w:szCs w:val="20"/>
                <w:color w:val="auto"/>
              </w:rPr>
            </w:pPr>
            <w:r>
              <w:rPr>
                <w:rFonts w:ascii="Arial" w:cs="Arial" w:eastAsia="Arial" w:hAnsi="Arial"/>
                <w:sz w:val="14"/>
                <w:szCs w:val="14"/>
                <w:b w:val="1"/>
                <w:bCs w:val="1"/>
                <w:color w:val="auto"/>
                <w:w w:val="90"/>
              </w:rPr>
              <w:t>Value</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440" w:type="dxa"/>
            <w:vAlign w:val="bottom"/>
            <w:shd w:val="clear" w:color="auto" w:fill="CCEEFF"/>
          </w:tcPr>
          <w:p>
            <w:pPr>
              <w:spacing w:after="0"/>
              <w:rPr>
                <w:sz w:val="20"/>
                <w:szCs w:val="20"/>
                <w:color w:val="auto"/>
              </w:rPr>
            </w:pPr>
            <w:r>
              <w:rPr>
                <w:rFonts w:ascii="Arial" w:cs="Arial" w:eastAsia="Arial" w:hAnsi="Arial"/>
                <w:sz w:val="18"/>
                <w:szCs w:val="18"/>
                <w:color w:val="auto"/>
              </w:rPr>
              <w:t>Options outstanding at January 1, 2009</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7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1200" w:type="dxa"/>
            <w:vAlign w:val="bottom"/>
            <w:gridSpan w:val="2"/>
            <w:shd w:val="clear" w:color="auto" w:fill="CCEEFF"/>
          </w:tcPr>
          <w:p>
            <w:pPr>
              <w:jc w:val="right"/>
              <w:ind w:right="652"/>
              <w:spacing w:after="0"/>
              <w:rPr>
                <w:sz w:val="20"/>
                <w:szCs w:val="20"/>
                <w:color w:val="auto"/>
              </w:rPr>
            </w:pPr>
            <w:r>
              <w:rPr>
                <w:rFonts w:ascii="Arial" w:cs="Arial" w:eastAsia="Arial" w:hAnsi="Arial"/>
                <w:sz w:val="18"/>
                <w:szCs w:val="18"/>
                <w:color w:val="auto"/>
              </w:rPr>
              <w:t>55.44</w:t>
            </w:r>
          </w:p>
        </w:tc>
        <w:tc>
          <w:tcPr>
            <w:tcW w:w="7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40" w:type="dxa"/>
            <w:vAlign w:val="bottom"/>
          </w:tcPr>
          <w:p>
            <w:pPr>
              <w:spacing w:after="0"/>
              <w:rPr>
                <w:sz w:val="20"/>
                <w:szCs w:val="20"/>
                <w:color w:val="auto"/>
              </w:rPr>
            </w:pPr>
            <w:r>
              <w:rPr>
                <w:rFonts w:ascii="Arial" w:cs="Arial" w:eastAsia="Arial" w:hAnsi="Arial"/>
                <w:sz w:val="18"/>
                <w:szCs w:val="18"/>
                <w:color w:val="auto"/>
              </w:rPr>
              <w:t>Granted</w:t>
            </w:r>
          </w:p>
        </w:tc>
        <w:tc>
          <w:tcPr>
            <w:tcW w:w="1520" w:type="dxa"/>
            <w:vAlign w:val="bottom"/>
            <w:gridSpan w:val="2"/>
          </w:tcPr>
          <w:p>
            <w:pPr>
              <w:jc w:val="right"/>
              <w:ind w:right="7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1200" w:type="dxa"/>
            <w:vAlign w:val="bottom"/>
            <w:gridSpan w:val="2"/>
          </w:tcPr>
          <w:p>
            <w:pPr>
              <w:jc w:val="right"/>
              <w:ind w:right="652"/>
              <w:spacing w:after="0"/>
              <w:rPr>
                <w:sz w:val="20"/>
                <w:szCs w:val="20"/>
                <w:color w:val="auto"/>
              </w:rPr>
            </w:pPr>
            <w:r>
              <w:rPr>
                <w:rFonts w:ascii="Arial" w:cs="Arial" w:eastAsia="Arial" w:hAnsi="Arial"/>
                <w:sz w:val="18"/>
                <w:szCs w:val="18"/>
                <w:color w:val="auto"/>
              </w:rPr>
              <w:t>—</w:t>
            </w:r>
          </w:p>
        </w:tc>
        <w:tc>
          <w:tcPr>
            <w:tcW w:w="7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40" w:type="dxa"/>
            <w:vAlign w:val="bottom"/>
            <w:shd w:val="clear" w:color="auto" w:fill="CCEEFF"/>
          </w:tcPr>
          <w:p>
            <w:pPr>
              <w:spacing w:after="0"/>
              <w:rPr>
                <w:sz w:val="20"/>
                <w:szCs w:val="20"/>
                <w:color w:val="auto"/>
              </w:rPr>
            </w:pPr>
            <w:r>
              <w:rPr>
                <w:rFonts w:ascii="Arial" w:cs="Arial" w:eastAsia="Arial" w:hAnsi="Arial"/>
                <w:sz w:val="18"/>
                <w:szCs w:val="18"/>
                <w:color w:val="auto"/>
              </w:rPr>
              <w:t>Exercised</w:t>
            </w:r>
          </w:p>
        </w:tc>
        <w:tc>
          <w:tcPr>
            <w:tcW w:w="1520" w:type="dxa"/>
            <w:vAlign w:val="bottom"/>
            <w:gridSpan w:val="2"/>
            <w:shd w:val="clear" w:color="auto" w:fill="CCEEFF"/>
          </w:tcPr>
          <w:p>
            <w:pPr>
              <w:jc w:val="right"/>
              <w:ind w:right="7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1200" w:type="dxa"/>
            <w:vAlign w:val="bottom"/>
            <w:gridSpan w:val="2"/>
            <w:shd w:val="clear" w:color="auto" w:fill="CCEEFF"/>
          </w:tcPr>
          <w:p>
            <w:pPr>
              <w:jc w:val="right"/>
              <w:ind w:right="652"/>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440" w:type="dxa"/>
            <w:vAlign w:val="bottom"/>
          </w:tcPr>
          <w:p>
            <w:pPr>
              <w:spacing w:after="0"/>
              <w:rPr>
                <w:sz w:val="20"/>
                <w:szCs w:val="20"/>
                <w:color w:val="auto"/>
              </w:rPr>
            </w:pPr>
            <w:r>
              <w:rPr>
                <w:rFonts w:ascii="Arial" w:cs="Arial" w:eastAsia="Arial" w:hAnsi="Arial"/>
                <w:sz w:val="18"/>
                <w:szCs w:val="18"/>
                <w:color w:val="auto"/>
              </w:rPr>
              <w:t>Forfeited or expired</w:t>
            </w:r>
          </w:p>
        </w:tc>
        <w:tc>
          <w:tcPr>
            <w:tcW w:w="1520" w:type="dxa"/>
            <w:vAlign w:val="bottom"/>
            <w:gridSpan w:val="2"/>
          </w:tcPr>
          <w:p>
            <w:pPr>
              <w:jc w:val="right"/>
              <w:ind w:right="680"/>
              <w:spacing w:after="0"/>
              <w:rPr>
                <w:sz w:val="20"/>
                <w:szCs w:val="20"/>
                <w:color w:val="auto"/>
              </w:rPr>
            </w:pPr>
            <w:r>
              <w:rPr>
                <w:rFonts w:ascii="Arial" w:cs="Arial" w:eastAsia="Arial" w:hAnsi="Arial"/>
                <w:sz w:val="18"/>
                <w:szCs w:val="18"/>
                <w:color w:val="auto"/>
              </w:rPr>
              <w:t>(4)</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1200" w:type="dxa"/>
            <w:vAlign w:val="bottom"/>
            <w:gridSpan w:val="2"/>
          </w:tcPr>
          <w:p>
            <w:pPr>
              <w:jc w:val="right"/>
              <w:ind w:right="652"/>
              <w:spacing w:after="0"/>
              <w:rPr>
                <w:sz w:val="20"/>
                <w:szCs w:val="20"/>
                <w:color w:val="auto"/>
              </w:rPr>
            </w:pPr>
            <w:r>
              <w:rPr>
                <w:rFonts w:ascii="Arial" w:cs="Arial" w:eastAsia="Arial" w:hAnsi="Arial"/>
                <w:sz w:val="18"/>
                <w:szCs w:val="18"/>
                <w:color w:val="auto"/>
              </w:rPr>
              <w:t>67.40</w:t>
            </w:r>
          </w:p>
        </w:tc>
        <w:tc>
          <w:tcPr>
            <w:tcW w:w="7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40" w:type="dxa"/>
            <w:vAlign w:val="bottom"/>
            <w:shd w:val="clear" w:color="auto" w:fill="CCEEFF"/>
          </w:tcPr>
          <w:p>
            <w:pPr>
              <w:spacing w:after="0"/>
              <w:rPr>
                <w:sz w:val="20"/>
                <w:szCs w:val="20"/>
                <w:color w:val="auto"/>
              </w:rPr>
            </w:pPr>
            <w:r>
              <w:rPr>
                <w:rFonts w:ascii="Arial" w:cs="Arial" w:eastAsia="Arial" w:hAnsi="Arial"/>
                <w:sz w:val="18"/>
                <w:szCs w:val="18"/>
                <w:color w:val="auto"/>
              </w:rPr>
              <w:t>Options outstanding at July 9, 2009</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7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1200" w:type="dxa"/>
            <w:vAlign w:val="bottom"/>
            <w:gridSpan w:val="2"/>
            <w:shd w:val="clear" w:color="auto" w:fill="CCEEFF"/>
          </w:tcPr>
          <w:p>
            <w:pPr>
              <w:jc w:val="right"/>
              <w:ind w:right="652"/>
              <w:spacing w:after="0"/>
              <w:rPr>
                <w:sz w:val="20"/>
                <w:szCs w:val="20"/>
                <w:color w:val="auto"/>
              </w:rPr>
            </w:pPr>
            <w:r>
              <w:rPr>
                <w:rFonts w:ascii="Arial" w:cs="Arial" w:eastAsia="Arial" w:hAnsi="Arial"/>
                <w:sz w:val="18"/>
                <w:szCs w:val="18"/>
                <w:color w:val="auto"/>
              </w:rPr>
              <w:t>52.90</w:t>
            </w:r>
          </w:p>
        </w:tc>
        <w:tc>
          <w:tcPr>
            <w:tcW w:w="1440" w:type="dxa"/>
            <w:vAlign w:val="bottom"/>
            <w:gridSpan w:val="2"/>
            <w:shd w:val="clear" w:color="auto" w:fill="CCEEFF"/>
          </w:tcPr>
          <w:p>
            <w:pPr>
              <w:jc w:val="right"/>
              <w:ind w:right="740"/>
              <w:spacing w:after="0"/>
              <w:rPr>
                <w:sz w:val="20"/>
                <w:szCs w:val="20"/>
                <w:color w:val="auto"/>
              </w:rPr>
            </w:pPr>
            <w:r>
              <w:rPr>
                <w:rFonts w:ascii="Arial" w:cs="Arial" w:eastAsia="Arial" w:hAnsi="Arial"/>
                <w:sz w:val="18"/>
                <w:szCs w:val="18"/>
                <w:color w:val="auto"/>
              </w:rPr>
              <w:t>2.6</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58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6460" w:type="dxa"/>
            <w:vAlign w:val="bottom"/>
            <w:gridSpan w:val="2"/>
            <w:vMerge w:val="restart"/>
          </w:tcPr>
          <w:p>
            <w:pPr>
              <w:spacing w:after="0"/>
              <w:rPr>
                <w:sz w:val="20"/>
                <w:szCs w:val="20"/>
                <w:color w:val="auto"/>
              </w:rPr>
            </w:pPr>
            <w:r>
              <w:rPr>
                <w:rFonts w:ascii="Arial" w:cs="Arial" w:eastAsia="Arial" w:hAnsi="Arial"/>
                <w:sz w:val="18"/>
                <w:szCs w:val="18"/>
                <w:color w:val="auto"/>
              </w:rPr>
              <w:t>Options vested and exercisable at July 9, 2009</w:t>
            </w:r>
          </w:p>
        </w:tc>
        <w:tc>
          <w:tcPr>
            <w:tcW w:w="780" w:type="dxa"/>
            <w:vAlign w:val="bottom"/>
            <w:tcBorders>
              <w:bottom w:val="single" w:sz="8" w:color="auto"/>
            </w:tcBorders>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20" w:type="dxa"/>
            <w:vAlign w:val="bottom"/>
            <w:vMerge w:val="restart"/>
          </w:tcPr>
          <w:p>
            <w:pPr>
              <w:spacing w:after="0"/>
              <w:rPr>
                <w:sz w:val="20"/>
                <w:szCs w:val="20"/>
                <w:color w:val="auto"/>
              </w:rPr>
            </w:pPr>
            <w:r>
              <w:rPr>
                <w:rFonts w:ascii="Arial" w:cs="Arial" w:eastAsia="Arial" w:hAnsi="Arial"/>
                <w:sz w:val="18"/>
                <w:szCs w:val="18"/>
                <w:color w:val="auto"/>
                <w:w w:val="99"/>
              </w:rPr>
              <w:t>$</w:t>
            </w:r>
          </w:p>
        </w:tc>
        <w:tc>
          <w:tcPr>
            <w:tcW w:w="1200" w:type="dxa"/>
            <w:vAlign w:val="bottom"/>
            <w:gridSpan w:val="2"/>
            <w:vMerge w:val="restart"/>
          </w:tcPr>
          <w:p>
            <w:pPr>
              <w:jc w:val="right"/>
              <w:ind w:right="652"/>
              <w:spacing w:after="0"/>
              <w:rPr>
                <w:sz w:val="20"/>
                <w:szCs w:val="20"/>
                <w:color w:val="auto"/>
              </w:rPr>
            </w:pPr>
            <w:r>
              <w:rPr>
                <w:rFonts w:ascii="Arial" w:cs="Arial" w:eastAsia="Arial" w:hAnsi="Arial"/>
                <w:sz w:val="18"/>
                <w:szCs w:val="18"/>
                <w:color w:val="auto"/>
              </w:rPr>
              <w:t>52.90</w:t>
            </w:r>
          </w:p>
        </w:tc>
        <w:tc>
          <w:tcPr>
            <w:tcW w:w="1440" w:type="dxa"/>
            <w:vAlign w:val="bottom"/>
            <w:gridSpan w:val="2"/>
            <w:vMerge w:val="restart"/>
          </w:tcPr>
          <w:p>
            <w:pPr>
              <w:jc w:val="right"/>
              <w:ind w:right="740"/>
              <w:spacing w:after="0"/>
              <w:rPr>
                <w:sz w:val="20"/>
                <w:szCs w:val="20"/>
                <w:color w:val="auto"/>
              </w:rPr>
            </w:pPr>
            <w:r>
              <w:rPr>
                <w:rFonts w:ascii="Arial" w:cs="Arial" w:eastAsia="Arial" w:hAnsi="Arial"/>
                <w:sz w:val="18"/>
                <w:szCs w:val="18"/>
                <w:color w:val="auto"/>
              </w:rPr>
              <w:t>2.6</w:t>
            </w:r>
          </w:p>
        </w:tc>
        <w:tc>
          <w:tcPr>
            <w:tcW w:w="100" w:type="dxa"/>
            <w:vAlign w:val="bottom"/>
            <w:vMerge w:val="restart"/>
          </w:tcPr>
          <w:p>
            <w:pPr>
              <w:spacing w:after="0"/>
              <w:rPr>
                <w:sz w:val="20"/>
                <w:szCs w:val="20"/>
                <w:color w:val="auto"/>
              </w:rPr>
            </w:pPr>
            <w:r>
              <w:rPr>
                <w:rFonts w:ascii="Arial" w:cs="Arial" w:eastAsia="Arial" w:hAnsi="Arial"/>
                <w:sz w:val="18"/>
                <w:szCs w:val="18"/>
                <w:color w:val="auto"/>
                <w:w w:val="79"/>
              </w:rPr>
              <w:t>$</w:t>
            </w:r>
          </w:p>
        </w:tc>
        <w:tc>
          <w:tcPr>
            <w:tcW w:w="580" w:type="dxa"/>
            <w:vAlign w:val="bottom"/>
            <w:gridSpan w:val="2"/>
            <w:vMerge w:val="restart"/>
          </w:tcPr>
          <w:p>
            <w:pPr>
              <w:ind w:left="300"/>
              <w:spacing w:after="0"/>
              <w:rPr>
                <w:sz w:val="20"/>
                <w:szCs w:val="20"/>
                <w:color w:val="auto"/>
              </w:rPr>
            </w:pPr>
            <w:r>
              <w:rPr>
                <w:rFonts w:ascii="Arial" w:cs="Arial" w:eastAsia="Arial" w:hAnsi="Arial"/>
                <w:sz w:val="18"/>
                <w:szCs w:val="18"/>
                <w:color w:val="auto"/>
              </w:rPr>
              <w:t>—</w:t>
            </w:r>
          </w:p>
        </w:tc>
        <w:tc>
          <w:tcPr>
            <w:tcW w:w="0" w:type="dxa"/>
            <w:vAlign w:val="bottom"/>
          </w:tcPr>
          <w:p>
            <w:pPr>
              <w:spacing w:after="0" w:line="20" w:lineRule="exact"/>
              <w:rPr>
                <w:sz w:val="1"/>
                <w:szCs w:val="1"/>
                <w:color w:val="auto"/>
              </w:rPr>
            </w:pPr>
          </w:p>
        </w:tc>
      </w:tr>
      <w:tr>
        <w:trPr>
          <w:trHeight w:val="209"/>
        </w:trPr>
        <w:tc>
          <w:tcPr>
            <w:tcW w:w="6460" w:type="dxa"/>
            <w:vAlign w:val="bottom"/>
            <w:gridSpan w:val="2"/>
            <w:vMerge w:val="continue"/>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w:t>
            </w:r>
          </w:p>
        </w:tc>
        <w:tc>
          <w:tcPr>
            <w:tcW w:w="740" w:type="dxa"/>
            <w:vAlign w:val="bottom"/>
          </w:tcPr>
          <w:p>
            <w:pPr>
              <w:spacing w:after="0"/>
              <w:rPr>
                <w:sz w:val="18"/>
                <w:szCs w:val="18"/>
                <w:color w:val="auto"/>
              </w:rPr>
            </w:pPr>
          </w:p>
        </w:tc>
        <w:tc>
          <w:tcPr>
            <w:tcW w:w="120" w:type="dxa"/>
            <w:vAlign w:val="bottom"/>
            <w:vMerge w:val="continue"/>
          </w:tcPr>
          <w:p>
            <w:pPr>
              <w:spacing w:after="0"/>
              <w:rPr>
                <w:sz w:val="18"/>
                <w:szCs w:val="18"/>
                <w:color w:val="auto"/>
              </w:rPr>
            </w:pPr>
          </w:p>
        </w:tc>
        <w:tc>
          <w:tcPr>
            <w:tcW w:w="1200" w:type="dxa"/>
            <w:vAlign w:val="bottom"/>
            <w:gridSpan w:val="2"/>
            <w:vMerge w:val="continue"/>
          </w:tcPr>
          <w:p>
            <w:pPr>
              <w:spacing w:after="0"/>
              <w:rPr>
                <w:sz w:val="18"/>
                <w:szCs w:val="18"/>
                <w:color w:val="auto"/>
              </w:rPr>
            </w:pPr>
          </w:p>
        </w:tc>
        <w:tc>
          <w:tcPr>
            <w:tcW w:w="1440" w:type="dxa"/>
            <w:vAlign w:val="bottom"/>
            <w:gridSpan w:val="2"/>
            <w:vMerge w:val="continue"/>
          </w:tcPr>
          <w:p>
            <w:pPr>
              <w:spacing w:after="0"/>
              <w:rPr>
                <w:sz w:val="18"/>
                <w:szCs w:val="18"/>
                <w:color w:val="auto"/>
              </w:rPr>
            </w:pPr>
          </w:p>
        </w:tc>
        <w:tc>
          <w:tcPr>
            <w:tcW w:w="100" w:type="dxa"/>
            <w:vAlign w:val="bottom"/>
            <w:vMerge w:val="continue"/>
          </w:tcPr>
          <w:p>
            <w:pPr>
              <w:spacing w:after="0"/>
              <w:rPr>
                <w:sz w:val="18"/>
                <w:szCs w:val="18"/>
                <w:color w:val="auto"/>
              </w:rPr>
            </w:pPr>
          </w:p>
        </w:tc>
        <w:tc>
          <w:tcPr>
            <w:tcW w:w="58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44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jc w:val="both"/>
        <w:ind w:right="380" w:firstLine="228"/>
        <w:spacing w:after="0" w:line="370" w:lineRule="auto"/>
        <w:rPr>
          <w:sz w:val="20"/>
          <w:szCs w:val="20"/>
          <w:color w:val="auto"/>
        </w:rPr>
      </w:pPr>
      <w:r>
        <w:rPr>
          <w:rFonts w:ascii="Arial" w:cs="Arial" w:eastAsia="Arial" w:hAnsi="Arial"/>
          <w:sz w:val="15"/>
          <w:szCs w:val="15"/>
          <w:color w:val="auto"/>
        </w:rPr>
        <w:t>There were no GMSSOP options or market-contingent option awards under the 2007 GMLTIP granted or exercised in the period January 1, 2009 through July 9, 2009. There were no tax benefits realized from the exercise of share-based payment arrangements in the period January 1, 2009 through July 9, 2009.</w:t>
      </w:r>
    </w:p>
    <w:p>
      <w:pPr>
        <w:spacing w:after="0" w:line="62"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Summary of Nonvested Awards</w:t>
      </w:r>
    </w:p>
    <w:p>
      <w:pPr>
        <w:spacing w:after="0" w:line="171" w:lineRule="exact"/>
        <w:rPr>
          <w:sz w:val="20"/>
          <w:szCs w:val="20"/>
          <w:color w:val="auto"/>
        </w:rPr>
      </w:pPr>
    </w:p>
    <w:p>
      <w:pPr>
        <w:ind w:left="240"/>
        <w:spacing w:after="0"/>
        <w:rPr>
          <w:sz w:val="20"/>
          <w:szCs w:val="20"/>
          <w:color w:val="auto"/>
        </w:rPr>
      </w:pPr>
      <w:r>
        <w:rPr>
          <w:rFonts w:ascii="Arial" w:cs="Arial" w:eastAsia="Arial" w:hAnsi="Arial"/>
          <w:sz w:val="18"/>
          <w:szCs w:val="18"/>
          <w:color w:val="auto"/>
        </w:rPr>
        <w:t>The following table summarizes the status of Old GM’s nonvested awards (option awards in millions):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90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760" w:type="dxa"/>
            <w:vAlign w:val="bottom"/>
            <w:gridSpan w:val="4"/>
          </w:tcPr>
          <w:p>
            <w:pPr>
              <w:ind w:left="180"/>
              <w:spacing w:after="0"/>
              <w:rPr>
                <w:sz w:val="20"/>
                <w:szCs w:val="20"/>
                <w:color w:val="auto"/>
              </w:rPr>
            </w:pPr>
            <w:r>
              <w:rPr>
                <w:rFonts w:ascii="Arial" w:cs="Arial" w:eastAsia="Arial" w:hAnsi="Arial"/>
                <w:sz w:val="14"/>
                <w:szCs w:val="14"/>
                <w:b w:val="1"/>
                <w:bCs w:val="1"/>
                <w:color w:val="auto"/>
              </w:rPr>
              <w:t>Predecessor</w:t>
            </w:r>
          </w:p>
        </w:tc>
      </w:tr>
      <w:tr>
        <w:trPr>
          <w:trHeight w:val="168"/>
        </w:trPr>
        <w:tc>
          <w:tcPr>
            <w:tcW w:w="20" w:type="dxa"/>
            <w:vAlign w:val="bottom"/>
          </w:tcPr>
          <w:p>
            <w:pPr>
              <w:spacing w:after="0"/>
              <w:rPr>
                <w:sz w:val="14"/>
                <w:szCs w:val="14"/>
                <w:color w:val="auto"/>
              </w:rPr>
            </w:pPr>
          </w:p>
        </w:tc>
        <w:tc>
          <w:tcPr>
            <w:tcW w:w="9020" w:type="dxa"/>
            <w:vAlign w:val="bottom"/>
          </w:tcPr>
          <w:p>
            <w:pPr>
              <w:spacing w:after="0"/>
              <w:rPr>
                <w:sz w:val="14"/>
                <w:szCs w:val="14"/>
                <w:color w:val="auto"/>
              </w:rPr>
            </w:pPr>
          </w:p>
        </w:tc>
        <w:tc>
          <w:tcPr>
            <w:tcW w:w="400" w:type="dxa"/>
            <w:vAlign w:val="bottom"/>
            <w:tcBorders>
              <w:top w:val="single" w:sz="8" w:color="auto"/>
            </w:tcBorders>
          </w:tcPr>
          <w:p>
            <w:pPr>
              <w:spacing w:after="0"/>
              <w:rPr>
                <w:sz w:val="14"/>
                <w:szCs w:val="14"/>
                <w:color w:val="auto"/>
              </w:rPr>
            </w:pPr>
          </w:p>
        </w:tc>
        <w:tc>
          <w:tcPr>
            <w:tcW w:w="220" w:type="dxa"/>
            <w:vAlign w:val="bottom"/>
            <w:tcBorders>
              <w:top w:val="single" w:sz="8" w:color="auto"/>
            </w:tcBorders>
          </w:tcPr>
          <w:p>
            <w:pPr>
              <w:spacing w:after="0"/>
              <w:rPr>
                <w:sz w:val="14"/>
                <w:szCs w:val="14"/>
                <w:color w:val="auto"/>
              </w:rPr>
            </w:pPr>
          </w:p>
        </w:tc>
        <w:tc>
          <w:tcPr>
            <w:tcW w:w="600" w:type="dxa"/>
            <w:vAlign w:val="bottom"/>
            <w:tcBorders>
              <w:top w:val="single" w:sz="8" w:color="auto"/>
            </w:tcBorders>
          </w:tcPr>
          <w:p>
            <w:pPr>
              <w:spacing w:after="0"/>
              <w:rPr>
                <w:sz w:val="14"/>
                <w:szCs w:val="14"/>
                <w:color w:val="auto"/>
              </w:rPr>
            </w:pPr>
          </w:p>
        </w:tc>
        <w:tc>
          <w:tcPr>
            <w:tcW w:w="1060" w:type="dxa"/>
            <w:vAlign w:val="bottom"/>
            <w:tcBorders>
              <w:top w:val="single" w:sz="8" w:color="auto"/>
            </w:tcBorders>
            <w:gridSpan w:val="2"/>
          </w:tcPr>
          <w:p>
            <w:pPr>
              <w:spacing w:after="0"/>
              <w:rPr>
                <w:sz w:val="20"/>
                <w:szCs w:val="20"/>
                <w:color w:val="auto"/>
              </w:rPr>
            </w:pPr>
            <w:r>
              <w:rPr>
                <w:rFonts w:ascii="Arial" w:cs="Arial" w:eastAsia="Arial" w:hAnsi="Arial"/>
                <w:sz w:val="14"/>
                <w:szCs w:val="14"/>
                <w:b w:val="1"/>
                <w:bCs w:val="1"/>
                <w:color w:val="auto"/>
                <w:w w:val="84"/>
              </w:rPr>
              <w:t>Weighted-Average</w:t>
            </w:r>
          </w:p>
        </w:tc>
        <w:tc>
          <w:tcPr>
            <w:tcW w:w="100" w:type="dxa"/>
            <w:vAlign w:val="bottom"/>
          </w:tcPr>
          <w:p>
            <w:pPr>
              <w:spacing w:after="0"/>
              <w:rPr>
                <w:sz w:val="14"/>
                <w:szCs w:val="14"/>
                <w:color w:val="auto"/>
              </w:rPr>
            </w:pPr>
          </w:p>
        </w:tc>
      </w:tr>
      <w:tr>
        <w:trPr>
          <w:trHeight w:val="203"/>
        </w:trPr>
        <w:tc>
          <w:tcPr>
            <w:tcW w:w="20" w:type="dxa"/>
            <w:vAlign w:val="bottom"/>
          </w:tcPr>
          <w:p>
            <w:pPr>
              <w:spacing w:after="0"/>
              <w:rPr>
                <w:sz w:val="17"/>
                <w:szCs w:val="17"/>
                <w:color w:val="auto"/>
              </w:rPr>
            </w:pPr>
          </w:p>
        </w:tc>
        <w:tc>
          <w:tcPr>
            <w:tcW w:w="90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auto"/>
                <w:w w:val="96"/>
              </w:rPr>
              <w:t>Grant-Date</w:t>
            </w:r>
          </w:p>
        </w:tc>
      </w:tr>
      <w:tr>
        <w:trPr>
          <w:trHeight w:val="163"/>
        </w:trPr>
        <w:tc>
          <w:tcPr>
            <w:tcW w:w="20" w:type="dxa"/>
            <w:vAlign w:val="bottom"/>
          </w:tcPr>
          <w:p>
            <w:pPr>
              <w:spacing w:after="0"/>
              <w:rPr>
                <w:sz w:val="14"/>
                <w:szCs w:val="14"/>
                <w:color w:val="auto"/>
              </w:rPr>
            </w:pPr>
          </w:p>
        </w:tc>
        <w:tc>
          <w:tcPr>
            <w:tcW w:w="9020" w:type="dxa"/>
            <w:vAlign w:val="bottom"/>
          </w:tcPr>
          <w:p>
            <w:pPr>
              <w:spacing w:after="0"/>
              <w:rPr>
                <w:sz w:val="14"/>
                <w:szCs w:val="14"/>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81"/>
              </w:rPr>
              <w:t>Shares</w:t>
            </w:r>
          </w:p>
        </w:tc>
        <w:tc>
          <w:tcPr>
            <w:tcW w:w="2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right"/>
              <w:ind w:right="138"/>
              <w:spacing w:after="0"/>
              <w:rPr>
                <w:sz w:val="20"/>
                <w:szCs w:val="20"/>
                <w:color w:val="auto"/>
              </w:rPr>
            </w:pPr>
            <w:r>
              <w:rPr>
                <w:rFonts w:ascii="Arial" w:cs="Arial" w:eastAsia="Arial" w:hAnsi="Arial"/>
                <w:sz w:val="14"/>
                <w:szCs w:val="14"/>
                <w:b w:val="1"/>
                <w:bCs w:val="1"/>
                <w:color w:val="auto"/>
              </w:rPr>
              <w:t>Fair Value</w:t>
            </w:r>
          </w:p>
        </w:tc>
        <w:tc>
          <w:tcPr>
            <w:tcW w:w="100" w:type="dxa"/>
            <w:vAlign w:val="bottom"/>
          </w:tcPr>
          <w:p>
            <w:pPr>
              <w:spacing w:after="0"/>
              <w:rPr>
                <w:sz w:val="14"/>
                <w:szCs w:val="14"/>
                <w:color w:val="auto"/>
              </w:rPr>
            </w:pPr>
          </w:p>
        </w:tc>
      </w:tr>
      <w:tr>
        <w:trPr>
          <w:trHeight w:val="210"/>
        </w:trPr>
        <w:tc>
          <w:tcPr>
            <w:tcW w:w="20" w:type="dxa"/>
            <w:vAlign w:val="bottom"/>
          </w:tcPr>
          <w:p>
            <w:pPr>
              <w:spacing w:after="0"/>
              <w:rPr>
                <w:sz w:val="18"/>
                <w:szCs w:val="18"/>
                <w:color w:val="auto"/>
              </w:rPr>
            </w:pPr>
          </w:p>
        </w:tc>
        <w:tc>
          <w:tcPr>
            <w:tcW w:w="9020" w:type="dxa"/>
            <w:vAlign w:val="bottom"/>
            <w:shd w:val="clear" w:color="auto" w:fill="CCEEFF"/>
          </w:tcPr>
          <w:p>
            <w:pPr>
              <w:spacing w:after="0"/>
              <w:rPr>
                <w:sz w:val="20"/>
                <w:szCs w:val="20"/>
                <w:color w:val="auto"/>
              </w:rPr>
            </w:pPr>
            <w:r>
              <w:rPr>
                <w:rFonts w:ascii="Arial" w:cs="Arial" w:eastAsia="Arial" w:hAnsi="Arial"/>
                <w:sz w:val="18"/>
                <w:szCs w:val="18"/>
                <w:color w:val="auto"/>
              </w:rPr>
              <w:t>Nonvested at January 1, 2009</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2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ind w:left="600"/>
              <w:spacing w:after="0"/>
              <w:rPr>
                <w:sz w:val="20"/>
                <w:szCs w:val="20"/>
                <w:color w:val="auto"/>
              </w:rPr>
            </w:pPr>
            <w:r>
              <w:rPr>
                <w:rFonts w:ascii="Arial" w:cs="Arial" w:eastAsia="Arial" w:hAnsi="Arial"/>
                <w:sz w:val="18"/>
                <w:szCs w:val="18"/>
                <w:color w:val="auto"/>
                <w:w w:val="9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7.67</w:t>
            </w: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9020" w:type="dxa"/>
            <w:vAlign w:val="bottom"/>
          </w:tcPr>
          <w:p>
            <w:pPr>
              <w:spacing w:after="0"/>
              <w:rPr>
                <w:sz w:val="20"/>
                <w:szCs w:val="20"/>
                <w:color w:val="auto"/>
              </w:rPr>
            </w:pPr>
            <w:r>
              <w:rPr>
                <w:rFonts w:ascii="Arial" w:cs="Arial" w:eastAsia="Arial" w:hAnsi="Arial"/>
                <w:sz w:val="18"/>
                <w:szCs w:val="18"/>
                <w:color w:val="auto"/>
              </w:rPr>
              <w:t>Granted</w:t>
            </w:r>
          </w:p>
        </w:tc>
        <w:tc>
          <w:tcPr>
            <w:tcW w:w="6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720" w:type="dxa"/>
            <w:vAlign w:val="bottom"/>
            <w:gridSpan w:val="2"/>
          </w:tcPr>
          <w:p>
            <w:pPr>
              <w:ind w:left="600"/>
              <w:spacing w:after="0"/>
              <w:rPr>
                <w:sz w:val="20"/>
                <w:szCs w:val="20"/>
                <w:color w:val="auto"/>
              </w:rPr>
            </w:pPr>
            <w:r>
              <w:rPr>
                <w:rFonts w:ascii="Arial" w:cs="Arial" w:eastAsia="Arial" w:hAnsi="Arial"/>
                <w:sz w:val="18"/>
                <w:szCs w:val="18"/>
                <w:color w:val="auto"/>
                <w:w w:val="99"/>
              </w:rPr>
              <w:t>$</w:t>
            </w: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9020" w:type="dxa"/>
            <w:vAlign w:val="bottom"/>
            <w:shd w:val="clear" w:color="auto" w:fill="CCEEFF"/>
          </w:tcPr>
          <w:p>
            <w:pPr>
              <w:spacing w:after="0"/>
              <w:rPr>
                <w:sz w:val="20"/>
                <w:szCs w:val="20"/>
                <w:color w:val="auto"/>
              </w:rPr>
            </w:pPr>
            <w:r>
              <w:rPr>
                <w:rFonts w:ascii="Arial" w:cs="Arial" w:eastAsia="Arial" w:hAnsi="Arial"/>
                <w:sz w:val="18"/>
                <w:szCs w:val="18"/>
                <w:color w:val="auto"/>
              </w:rPr>
              <w:t>Vested</w:t>
            </w:r>
          </w:p>
        </w:tc>
        <w:tc>
          <w:tcPr>
            <w:tcW w:w="6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w:t>
            </w:r>
          </w:p>
        </w:tc>
        <w:tc>
          <w:tcPr>
            <w:tcW w:w="720" w:type="dxa"/>
            <w:vAlign w:val="bottom"/>
            <w:gridSpan w:val="2"/>
            <w:shd w:val="clear" w:color="auto" w:fill="CCEEFF"/>
          </w:tcPr>
          <w:p>
            <w:pPr>
              <w:ind w:left="600"/>
              <w:spacing w:after="0"/>
              <w:rPr>
                <w:sz w:val="20"/>
                <w:szCs w:val="20"/>
                <w:color w:val="auto"/>
              </w:rPr>
            </w:pPr>
            <w:r>
              <w:rPr>
                <w:rFonts w:ascii="Arial" w:cs="Arial" w:eastAsia="Arial" w:hAnsi="Arial"/>
                <w:sz w:val="18"/>
                <w:szCs w:val="18"/>
                <w:color w:val="auto"/>
                <w:w w:val="9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7.65</w:t>
            </w:r>
          </w:p>
        </w:tc>
        <w:tc>
          <w:tcPr>
            <w:tcW w:w="10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9020" w:type="dxa"/>
            <w:vAlign w:val="bottom"/>
          </w:tcPr>
          <w:p>
            <w:pPr>
              <w:spacing w:after="0"/>
              <w:rPr>
                <w:sz w:val="20"/>
                <w:szCs w:val="20"/>
                <w:color w:val="auto"/>
              </w:rPr>
            </w:pPr>
            <w:r>
              <w:rPr>
                <w:rFonts w:ascii="Arial" w:cs="Arial" w:eastAsia="Arial" w:hAnsi="Arial"/>
                <w:sz w:val="18"/>
                <w:szCs w:val="18"/>
                <w:color w:val="auto"/>
              </w:rPr>
              <w:t>Forfeited</w:t>
            </w:r>
          </w:p>
        </w:tc>
        <w:tc>
          <w:tcPr>
            <w:tcW w:w="6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720" w:type="dxa"/>
            <w:vAlign w:val="bottom"/>
            <w:gridSpan w:val="2"/>
          </w:tcPr>
          <w:p>
            <w:pPr>
              <w:ind w:left="600"/>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8.15</w:t>
            </w:r>
          </w:p>
        </w:tc>
        <w:tc>
          <w:tcPr>
            <w:tcW w:w="1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9020" w:type="dxa"/>
            <w:vAlign w:val="bottom"/>
            <w:shd w:val="clear" w:color="auto" w:fill="CCEEFF"/>
          </w:tcPr>
          <w:p>
            <w:pPr>
              <w:spacing w:after="0"/>
              <w:rPr>
                <w:sz w:val="20"/>
                <w:szCs w:val="20"/>
                <w:color w:val="auto"/>
              </w:rPr>
            </w:pPr>
            <w:r>
              <w:rPr>
                <w:rFonts w:ascii="Arial" w:cs="Arial" w:eastAsia="Arial" w:hAnsi="Arial"/>
                <w:sz w:val="18"/>
                <w:szCs w:val="18"/>
                <w:color w:val="auto"/>
              </w:rPr>
              <w:t>Nonvested at July 9, 2009</w:t>
            </w:r>
          </w:p>
        </w:tc>
        <w:tc>
          <w:tcPr>
            <w:tcW w:w="4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2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ind w:left="600"/>
              <w:spacing w:after="0"/>
              <w:rPr>
                <w:sz w:val="20"/>
                <w:szCs w:val="20"/>
                <w:color w:val="auto"/>
              </w:rPr>
            </w:pPr>
            <w:r>
              <w:rPr>
                <w:rFonts w:ascii="Arial" w:cs="Arial" w:eastAsia="Arial" w:hAnsi="Arial"/>
                <w:sz w:val="18"/>
                <w:szCs w:val="18"/>
                <w:color w:val="auto"/>
                <w:w w:val="9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7.68</w:t>
            </w:r>
          </w:p>
        </w:tc>
        <w:tc>
          <w:tcPr>
            <w:tcW w:w="100" w:type="dxa"/>
            <w:vAlign w:val="bottom"/>
            <w:shd w:val="clear" w:color="auto" w:fill="CCEEFF"/>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90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67" w:lineRule="exact"/>
        <w:rPr>
          <w:sz w:val="20"/>
          <w:szCs w:val="20"/>
          <w:color w:val="auto"/>
        </w:rPr>
      </w:pPr>
    </w:p>
    <w:p>
      <w:pPr>
        <w:ind w:right="360" w:firstLine="228"/>
        <w:spacing w:after="0" w:line="268" w:lineRule="auto"/>
        <w:rPr>
          <w:sz w:val="20"/>
          <w:szCs w:val="20"/>
          <w:color w:val="auto"/>
        </w:rPr>
      </w:pPr>
      <w:r>
        <w:rPr>
          <w:rFonts w:ascii="Arial" w:cs="Arial" w:eastAsia="Arial" w:hAnsi="Arial"/>
          <w:sz w:val="18"/>
          <w:szCs w:val="18"/>
          <w:color w:val="auto"/>
        </w:rPr>
        <w:t>At July 9, 2009 the total unrecognized compensation expense related to nonvested option awards granted under the Old GM Stock Incentive Plans was $2 million. This expense was expected to be recorded over a weighted-average period of 1.2 years.</w:t>
      </w:r>
    </w:p>
    <w:p>
      <w:pPr>
        <w:spacing w:after="0" w:line="132"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Stock Performance Plans</w:t>
      </w:r>
    </w:p>
    <w:p>
      <w:pPr>
        <w:spacing w:after="0" w:line="171" w:lineRule="exact"/>
        <w:rPr>
          <w:sz w:val="20"/>
          <w:szCs w:val="20"/>
          <w:color w:val="auto"/>
        </w:rPr>
      </w:pPr>
    </w:p>
    <w:p>
      <w:pPr>
        <w:ind w:left="240"/>
        <w:spacing w:after="0"/>
        <w:rPr>
          <w:sz w:val="20"/>
          <w:szCs w:val="20"/>
          <w:color w:val="auto"/>
        </w:rPr>
      </w:pPr>
      <w:r>
        <w:rPr>
          <w:rFonts w:ascii="Arial" w:cs="Arial" w:eastAsia="Arial" w:hAnsi="Arial"/>
          <w:sz w:val="18"/>
          <w:szCs w:val="18"/>
          <w:color w:val="auto"/>
        </w:rPr>
        <w:t>The following table summarizes outstanding stock performance plan shares at July 9, 2009 (shares in millions):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620" w:type="dxa"/>
            <w:vAlign w:val="bottom"/>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gridSpan w:val="2"/>
          </w:tcPr>
          <w:p>
            <w:pPr>
              <w:ind w:left="180"/>
              <w:spacing w:after="0"/>
              <w:rPr>
                <w:sz w:val="20"/>
                <w:szCs w:val="20"/>
                <w:color w:val="auto"/>
              </w:rPr>
            </w:pPr>
            <w:r>
              <w:rPr>
                <w:rFonts w:ascii="Arial" w:cs="Arial" w:eastAsia="Arial" w:hAnsi="Arial"/>
                <w:sz w:val="14"/>
                <w:szCs w:val="14"/>
                <w:b w:val="1"/>
                <w:bCs w:val="1"/>
                <w:color w:val="auto"/>
                <w:w w:val="83"/>
              </w:rPr>
              <w:t>Predecessor</w:t>
            </w:r>
          </w:p>
        </w:tc>
        <w:tc>
          <w:tcPr>
            <w:tcW w:w="8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60" w:type="dxa"/>
            <w:vAlign w:val="bottom"/>
            <w:gridSpan w:val="2"/>
          </w:tcPr>
          <w:p>
            <w:pPr>
              <w:spacing w:after="0" w:line="129" w:lineRule="exact"/>
              <w:rPr>
                <w:sz w:val="20"/>
                <w:szCs w:val="20"/>
                <w:color w:val="auto"/>
              </w:rPr>
            </w:pPr>
            <w:r>
              <w:rPr>
                <w:rFonts w:ascii="Arial" w:cs="Arial" w:eastAsia="Arial" w:hAnsi="Arial"/>
                <w:sz w:val="14"/>
                <w:szCs w:val="14"/>
                <w:b w:val="1"/>
                <w:bCs w:val="1"/>
                <w:color w:val="auto"/>
                <w:w w:val="84"/>
              </w:rPr>
              <w:t>Weighted-Average</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76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8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2"/>
              </w:rPr>
              <w:t>Grant Date</w:t>
            </w:r>
          </w:p>
        </w:tc>
        <w:tc>
          <w:tcPr>
            <w:tcW w:w="0" w:type="dxa"/>
            <w:vAlign w:val="bottom"/>
          </w:tcPr>
          <w:p>
            <w:pPr>
              <w:spacing w:after="0"/>
              <w:rPr>
                <w:sz w:val="1"/>
                <w:szCs w:val="1"/>
                <w:color w:val="auto"/>
              </w:rPr>
            </w:pPr>
          </w:p>
        </w:tc>
      </w:tr>
      <w:tr>
        <w:trPr>
          <w:trHeight w:val="161"/>
        </w:trPr>
        <w:tc>
          <w:tcPr>
            <w:tcW w:w="8780" w:type="dxa"/>
            <w:vAlign w:val="bottom"/>
            <w:gridSpan w:val="4"/>
          </w:tcPr>
          <w:p>
            <w:pPr>
              <w:spacing w:after="0"/>
              <w:rPr>
                <w:sz w:val="20"/>
                <w:szCs w:val="20"/>
                <w:color w:val="auto"/>
              </w:rPr>
            </w:pPr>
            <w:r>
              <w:rPr>
                <w:rFonts w:ascii="Arial" w:cs="Arial" w:eastAsia="Arial" w:hAnsi="Arial"/>
                <w:sz w:val="14"/>
                <w:szCs w:val="14"/>
                <w:b w:val="1"/>
                <w:bCs w:val="1"/>
                <w:color w:val="auto"/>
              </w:rPr>
              <w:t>Granted</w:t>
            </w:r>
          </w:p>
        </w:tc>
        <w:tc>
          <w:tcPr>
            <w:tcW w:w="760" w:type="dxa"/>
            <w:vAlign w:val="bottom"/>
            <w:gridSpan w:val="2"/>
          </w:tcPr>
          <w:p>
            <w:pPr>
              <w:jc w:val="right"/>
              <w:ind w:right="180"/>
              <w:spacing w:after="0"/>
              <w:rPr>
                <w:sz w:val="20"/>
                <w:szCs w:val="20"/>
                <w:color w:val="auto"/>
              </w:rPr>
            </w:pPr>
            <w:r>
              <w:rPr>
                <w:rFonts w:ascii="Arial" w:cs="Arial" w:eastAsia="Arial" w:hAnsi="Arial"/>
                <w:sz w:val="14"/>
                <w:szCs w:val="14"/>
                <w:b w:val="1"/>
                <w:bCs w:val="1"/>
                <w:color w:val="auto"/>
                <w:w w:val="82"/>
              </w:rPr>
              <w:t>Shares (a)</w:t>
            </w:r>
          </w:p>
        </w:tc>
        <w:tc>
          <w:tcPr>
            <w:tcW w:w="7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8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2"/>
              </w:rPr>
              <w:t>Fair Value</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762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480" w:type="dxa"/>
            <w:vAlign w:val="bottom"/>
            <w:shd w:val="clear" w:color="auto" w:fill="CCEEFF"/>
          </w:tcPr>
          <w:p>
            <w:pPr>
              <w:spacing w:after="0"/>
              <w:rPr>
                <w:sz w:val="20"/>
                <w:szCs w:val="20"/>
                <w:color w:val="auto"/>
              </w:rPr>
            </w:pPr>
            <w:r>
              <w:rPr>
                <w:rFonts w:ascii="Arial" w:cs="Arial" w:eastAsia="Arial" w:hAnsi="Arial"/>
                <w:sz w:val="18"/>
                <w:szCs w:val="18"/>
                <w:color w:val="auto"/>
              </w:rPr>
              <w:t>2007</w:t>
            </w:r>
          </w:p>
        </w:tc>
        <w:tc>
          <w:tcPr>
            <w:tcW w:w="660" w:type="dxa"/>
            <w:vAlign w:val="bottom"/>
            <w:shd w:val="clear" w:color="auto" w:fill="CCEEFF"/>
          </w:tcPr>
          <w:p>
            <w:pPr>
              <w:spacing w:after="0"/>
              <w:rPr>
                <w:sz w:val="18"/>
                <w:szCs w:val="18"/>
                <w:color w:val="auto"/>
              </w:rPr>
            </w:pPr>
          </w:p>
        </w:tc>
        <w:tc>
          <w:tcPr>
            <w:tcW w:w="76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w:t>
            </w:r>
          </w:p>
        </w:tc>
        <w:tc>
          <w:tcPr>
            <w:tcW w:w="900" w:type="dxa"/>
            <w:vAlign w:val="bottom"/>
            <w:gridSpan w:val="2"/>
            <w:shd w:val="clear" w:color="auto" w:fill="CCEEFF"/>
          </w:tcPr>
          <w:p>
            <w:pPr>
              <w:ind w:left="72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33.70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 w:type="dxa"/>
            <w:vAlign w:val="bottom"/>
          </w:tcPr>
          <w:p>
            <w:pPr>
              <w:spacing w:after="0"/>
              <w:rPr>
                <w:sz w:val="20"/>
                <w:szCs w:val="20"/>
                <w:color w:val="auto"/>
              </w:rPr>
            </w:pPr>
            <w:r>
              <w:rPr>
                <w:rFonts w:ascii="Arial" w:cs="Arial" w:eastAsia="Arial" w:hAnsi="Arial"/>
                <w:sz w:val="18"/>
                <w:szCs w:val="18"/>
                <w:color w:val="auto"/>
              </w:rPr>
              <w:t>2008</w:t>
            </w:r>
          </w:p>
        </w:tc>
        <w:tc>
          <w:tcPr>
            <w:tcW w:w="660" w:type="dxa"/>
            <w:vAlign w:val="bottom"/>
          </w:tcPr>
          <w:p>
            <w:pPr>
              <w:spacing w:after="0"/>
              <w:rPr>
                <w:sz w:val="18"/>
                <w:szCs w:val="18"/>
                <w:color w:val="auto"/>
              </w:rPr>
            </w:pPr>
          </w:p>
        </w:tc>
        <w:tc>
          <w:tcPr>
            <w:tcW w:w="7620" w:type="dxa"/>
            <w:vAlign w:val="bottom"/>
          </w:tcPr>
          <w:p>
            <w:pPr>
              <w:spacing w:after="0"/>
              <w:rPr>
                <w:sz w:val="18"/>
                <w:szCs w:val="18"/>
                <w:color w:val="auto"/>
              </w:rPr>
            </w:pPr>
          </w:p>
        </w:tc>
        <w:tc>
          <w:tcPr>
            <w:tcW w:w="760" w:type="dxa"/>
            <w:vAlign w:val="bottom"/>
            <w:gridSpan w:val="2"/>
          </w:tcPr>
          <w:p>
            <w:pPr>
              <w:jc w:val="right"/>
              <w:ind w:right="180"/>
              <w:spacing w:after="0"/>
              <w:rPr>
                <w:sz w:val="20"/>
                <w:szCs w:val="20"/>
                <w:color w:val="auto"/>
              </w:rPr>
            </w:pPr>
            <w:r>
              <w:rPr>
                <w:rFonts w:ascii="Arial" w:cs="Arial" w:eastAsia="Arial" w:hAnsi="Arial"/>
                <w:sz w:val="18"/>
                <w:szCs w:val="18"/>
                <w:color w:val="auto"/>
              </w:rPr>
              <w:t>1</w:t>
            </w:r>
          </w:p>
        </w:tc>
        <w:tc>
          <w:tcPr>
            <w:tcW w:w="900" w:type="dxa"/>
            <w:vAlign w:val="bottom"/>
            <w:gridSpan w:val="2"/>
          </w:tcPr>
          <w:p>
            <w:pPr>
              <w:ind w:left="720"/>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18.43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80" w:type="dxa"/>
            <w:vAlign w:val="bottom"/>
          </w:tcPr>
          <w:p>
            <w:pPr>
              <w:spacing w:after="0"/>
              <w:rPr>
                <w:sz w:val="2"/>
                <w:szCs w:val="2"/>
                <w:color w:val="auto"/>
              </w:rPr>
            </w:pPr>
          </w:p>
        </w:tc>
        <w:tc>
          <w:tcPr>
            <w:tcW w:w="660" w:type="dxa"/>
            <w:vAlign w:val="bottom"/>
          </w:tcPr>
          <w:p>
            <w:pPr>
              <w:spacing w:after="0"/>
              <w:rPr>
                <w:sz w:val="2"/>
                <w:szCs w:val="2"/>
                <w:color w:val="auto"/>
              </w:rPr>
            </w:pPr>
          </w:p>
        </w:tc>
        <w:tc>
          <w:tcPr>
            <w:tcW w:w="762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87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Total outstanding</w:t>
            </w: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w:t>
            </w:r>
          </w:p>
        </w:tc>
        <w:tc>
          <w:tcPr>
            <w:tcW w:w="7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762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2"/>
        </w:trPr>
        <w:tc>
          <w:tcPr>
            <w:tcW w:w="20" w:type="dxa"/>
            <w:vAlign w:val="bottom"/>
          </w:tcPr>
          <w:p>
            <w:pPr>
              <w:spacing w:after="0"/>
              <w:rPr>
                <w:sz w:val="8"/>
                <w:szCs w:val="8"/>
                <w:color w:val="auto"/>
              </w:rPr>
            </w:pPr>
          </w:p>
        </w:tc>
        <w:tc>
          <w:tcPr>
            <w:tcW w:w="480" w:type="dxa"/>
            <w:vAlign w:val="bottom"/>
            <w:tcBorders>
              <w:bottom w:val="single" w:sz="8" w:color="auto"/>
            </w:tcBorders>
          </w:tcPr>
          <w:p>
            <w:pPr>
              <w:spacing w:after="0"/>
              <w:rPr>
                <w:sz w:val="8"/>
                <w:szCs w:val="8"/>
                <w:color w:val="auto"/>
              </w:rPr>
            </w:pPr>
          </w:p>
        </w:tc>
        <w:tc>
          <w:tcPr>
            <w:tcW w:w="660" w:type="dxa"/>
            <w:vAlign w:val="bottom"/>
            <w:tcBorders>
              <w:bottom w:val="single" w:sz="8" w:color="auto"/>
            </w:tcBorders>
          </w:tcPr>
          <w:p>
            <w:pPr>
              <w:spacing w:after="0"/>
              <w:rPr>
                <w:sz w:val="8"/>
                <w:szCs w:val="8"/>
                <w:color w:val="auto"/>
              </w:rPr>
            </w:pPr>
          </w:p>
        </w:tc>
        <w:tc>
          <w:tcPr>
            <w:tcW w:w="7620" w:type="dxa"/>
            <w:vAlign w:val="bottom"/>
          </w:tcPr>
          <w:p>
            <w:pPr>
              <w:spacing w:after="0"/>
              <w:rPr>
                <w:sz w:val="8"/>
                <w:szCs w:val="8"/>
                <w:color w:val="auto"/>
              </w:rPr>
            </w:pPr>
          </w:p>
        </w:tc>
        <w:tc>
          <w:tcPr>
            <w:tcW w:w="580" w:type="dxa"/>
            <w:vAlign w:val="bottom"/>
          </w:tcPr>
          <w:p>
            <w:pPr>
              <w:spacing w:after="0"/>
              <w:rPr>
                <w:sz w:val="8"/>
                <w:szCs w:val="8"/>
                <w:color w:val="auto"/>
              </w:rPr>
            </w:pPr>
          </w:p>
        </w:tc>
        <w:tc>
          <w:tcPr>
            <w:tcW w:w="180" w:type="dxa"/>
            <w:vAlign w:val="bottom"/>
          </w:tcPr>
          <w:p>
            <w:pPr>
              <w:spacing w:after="0"/>
              <w:rPr>
                <w:sz w:val="8"/>
                <w:szCs w:val="8"/>
                <w:color w:val="auto"/>
              </w:rPr>
            </w:pPr>
          </w:p>
        </w:tc>
        <w:tc>
          <w:tcPr>
            <w:tcW w:w="720" w:type="dxa"/>
            <w:vAlign w:val="bottom"/>
          </w:tcPr>
          <w:p>
            <w:pPr>
              <w:spacing w:after="0"/>
              <w:rPr>
                <w:sz w:val="8"/>
                <w:szCs w:val="8"/>
                <w:color w:val="auto"/>
              </w:rPr>
            </w:pPr>
          </w:p>
        </w:tc>
        <w:tc>
          <w:tcPr>
            <w:tcW w:w="180" w:type="dxa"/>
            <w:vAlign w:val="bottom"/>
          </w:tcPr>
          <w:p>
            <w:pPr>
              <w:spacing w:after="0"/>
              <w:rPr>
                <w:sz w:val="8"/>
                <w:szCs w:val="8"/>
                <w:color w:val="auto"/>
              </w:rPr>
            </w:pPr>
          </w:p>
        </w:tc>
        <w:tc>
          <w:tcPr>
            <w:tcW w:w="88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19"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(a)</w:t>
        <w:tab/>
        <w:t>Excludes shares that have not met performance condition.</w:t>
      </w:r>
    </w:p>
    <w:p>
      <w:pPr>
        <w:spacing w:after="0" w:line="171" w:lineRule="exact"/>
        <w:rPr>
          <w:sz w:val="20"/>
          <w:szCs w:val="20"/>
          <w:color w:val="auto"/>
        </w:rPr>
      </w:pPr>
    </w:p>
    <w:p>
      <w:pPr>
        <w:ind w:left="240"/>
        <w:spacing w:after="0"/>
        <w:rPr>
          <w:sz w:val="20"/>
          <w:szCs w:val="20"/>
          <w:color w:val="auto"/>
        </w:rPr>
      </w:pPr>
      <w:r>
        <w:rPr>
          <w:rFonts w:ascii="Arial" w:cs="Arial" w:eastAsia="Arial" w:hAnsi="Arial"/>
          <w:sz w:val="18"/>
          <w:szCs w:val="18"/>
          <w:color w:val="auto"/>
        </w:rPr>
        <w:t>There were no stock performance plan shares granted in the period January 1, 2009 through July 9, 2009.</w:t>
      </w:r>
    </w:p>
    <w:p>
      <w:pPr>
        <w:spacing w:after="0" w:line="158"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80</w:t>
      </w:r>
    </w:p>
    <w:p>
      <w:pPr>
        <w:sectPr>
          <w:pgSz w:w="11900" w:h="16838" w:orient="portrait"/>
          <w:cols w:equalWidth="0" w:num="1">
            <w:col w:w="11420"/>
          </w:cols>
          <w:pgMar w:left="240" w:top="459" w:right="239" w:bottom="1440" w:gutter="0" w:footer="0" w:header="0"/>
        </w:sectPr>
      </w:pPr>
    </w:p>
    <w:bookmarkStart w:id="82" w:name="page83"/>
    <w:bookmarkEnd w:id="8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339" w:lineRule="exact"/>
        <w:rPr>
          <w:sz w:val="20"/>
          <w:szCs w:val="20"/>
          <w:color w:val="auto"/>
        </w:rPr>
      </w:pPr>
    </w:p>
    <w:p>
      <w:pPr>
        <w:jc w:val="both"/>
        <w:ind w:right="340" w:firstLine="228"/>
        <w:spacing w:after="0" w:line="259" w:lineRule="auto"/>
        <w:rPr>
          <w:sz w:val="20"/>
          <w:szCs w:val="20"/>
          <w:color w:val="auto"/>
        </w:rPr>
      </w:pPr>
      <w:r>
        <w:rPr>
          <w:rFonts w:ascii="Arial" w:cs="Arial" w:eastAsia="Arial" w:hAnsi="Arial"/>
          <w:sz w:val="18"/>
          <w:szCs w:val="18"/>
          <w:color w:val="auto"/>
        </w:rPr>
        <w:t>The weighted-average remaining contractual term was 0.8 years for target awards outstanding at July 9, 2009. As the threshold performance required for a payment under the 2006-2008 award was not achieved, there were no cash payments made for this award in the period January 1, 2009 through July 9, 2009. There will be no cash payments for the 2007-2009 and 2008-2010 performance periods.</w:t>
      </w:r>
    </w:p>
    <w:p>
      <w:pPr>
        <w:spacing w:after="0" w:line="140"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Cash-Based Restricted Stock Units</w:t>
      </w:r>
    </w:p>
    <w:p>
      <w:pPr>
        <w:spacing w:after="0" w:line="171" w:lineRule="exact"/>
        <w:rPr>
          <w:sz w:val="20"/>
          <w:szCs w:val="20"/>
          <w:color w:val="auto"/>
        </w:rPr>
      </w:pPr>
    </w:p>
    <w:p>
      <w:pPr>
        <w:ind w:left="240"/>
        <w:spacing w:after="0"/>
        <w:rPr>
          <w:sz w:val="20"/>
          <w:szCs w:val="20"/>
          <w:color w:val="auto"/>
        </w:rPr>
      </w:pPr>
      <w:r>
        <w:rPr>
          <w:rFonts w:ascii="Arial" w:cs="Arial" w:eastAsia="Arial" w:hAnsi="Arial"/>
          <w:sz w:val="18"/>
          <w:szCs w:val="18"/>
          <w:color w:val="auto"/>
        </w:rPr>
        <w:t>The following tables summarize GMCRSUs (GMCRSUs in millions):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240" w:type="dxa"/>
            <w:vAlign w:val="bottom"/>
          </w:tcPr>
          <w:p>
            <w:pPr>
              <w:spacing w:after="0"/>
              <w:rPr>
                <w:sz w:val="14"/>
                <w:szCs w:val="14"/>
                <w:color w:val="auto"/>
              </w:rPr>
            </w:pPr>
          </w:p>
        </w:tc>
        <w:tc>
          <w:tcPr>
            <w:tcW w:w="3400" w:type="dxa"/>
            <w:vAlign w:val="bottom"/>
          </w:tcPr>
          <w:p>
            <w:pPr>
              <w:spacing w:after="0"/>
              <w:rPr>
                <w:sz w:val="14"/>
                <w:szCs w:val="14"/>
                <w:color w:val="auto"/>
              </w:rPr>
            </w:pPr>
          </w:p>
        </w:tc>
        <w:tc>
          <w:tcPr>
            <w:tcW w:w="780" w:type="dxa"/>
            <w:vAlign w:val="bottom"/>
            <w:gridSpan w:val="3"/>
          </w:tcPr>
          <w:p>
            <w:pPr>
              <w:spacing w:after="0"/>
              <w:rPr>
                <w:sz w:val="20"/>
                <w:szCs w:val="20"/>
                <w:color w:val="auto"/>
              </w:rPr>
            </w:pPr>
            <w:r>
              <w:rPr>
                <w:rFonts w:ascii="Arial" w:cs="Arial" w:eastAsia="Arial" w:hAnsi="Arial"/>
                <w:sz w:val="14"/>
                <w:szCs w:val="14"/>
                <w:b w:val="1"/>
                <w:bCs w:val="1"/>
                <w:color w:val="auto"/>
                <w:w w:val="90"/>
              </w:rPr>
              <w:t>Predecessor</w:t>
            </w:r>
          </w:p>
        </w:tc>
      </w:tr>
      <w:tr>
        <w:trPr>
          <w:trHeight w:val="129"/>
        </w:trPr>
        <w:tc>
          <w:tcPr>
            <w:tcW w:w="7240" w:type="dxa"/>
            <w:vAlign w:val="bottom"/>
          </w:tcPr>
          <w:p>
            <w:pPr>
              <w:spacing w:after="0"/>
              <w:rPr>
                <w:sz w:val="11"/>
                <w:szCs w:val="11"/>
                <w:color w:val="auto"/>
              </w:rPr>
            </w:pPr>
          </w:p>
        </w:tc>
        <w:tc>
          <w:tcPr>
            <w:tcW w:w="3400" w:type="dxa"/>
            <w:vAlign w:val="bottom"/>
          </w:tcPr>
          <w:p>
            <w:pPr>
              <w:spacing w:after="0"/>
              <w:rPr>
                <w:sz w:val="11"/>
                <w:szCs w:val="11"/>
                <w:color w:val="auto"/>
              </w:rPr>
            </w:pPr>
          </w:p>
        </w:tc>
        <w:tc>
          <w:tcPr>
            <w:tcW w:w="680" w:type="dxa"/>
            <w:vAlign w:val="bottom"/>
            <w:tcBorders>
              <w:top w:val="single" w:sz="8" w:color="auto"/>
            </w:tcBorders>
            <w:gridSpan w:val="2"/>
          </w:tcPr>
          <w:p>
            <w:pPr>
              <w:ind w:left="20"/>
              <w:spacing w:after="0" w:line="129" w:lineRule="exact"/>
              <w:rPr>
                <w:sz w:val="20"/>
                <w:szCs w:val="20"/>
                <w:color w:val="auto"/>
              </w:rPr>
            </w:pPr>
            <w:r>
              <w:rPr>
                <w:rFonts w:ascii="Arial" w:cs="Arial" w:eastAsia="Arial" w:hAnsi="Arial"/>
                <w:sz w:val="14"/>
                <w:szCs w:val="14"/>
                <w:b w:val="1"/>
                <w:bCs w:val="1"/>
                <w:color w:val="auto"/>
                <w:w w:val="92"/>
              </w:rPr>
              <w:t>January 1,</w:t>
            </w:r>
          </w:p>
        </w:tc>
        <w:tc>
          <w:tcPr>
            <w:tcW w:w="100" w:type="dxa"/>
            <w:vAlign w:val="bottom"/>
          </w:tcPr>
          <w:p>
            <w:pPr>
              <w:spacing w:after="0"/>
              <w:rPr>
                <w:sz w:val="11"/>
                <w:szCs w:val="11"/>
                <w:color w:val="auto"/>
              </w:rPr>
            </w:pPr>
          </w:p>
        </w:tc>
      </w:tr>
      <w:tr>
        <w:trPr>
          <w:trHeight w:val="149"/>
        </w:trPr>
        <w:tc>
          <w:tcPr>
            <w:tcW w:w="7240" w:type="dxa"/>
            <w:vAlign w:val="bottom"/>
          </w:tcPr>
          <w:p>
            <w:pPr>
              <w:spacing w:after="0"/>
              <w:rPr>
                <w:sz w:val="12"/>
                <w:szCs w:val="12"/>
                <w:color w:val="auto"/>
              </w:rPr>
            </w:pPr>
          </w:p>
        </w:tc>
        <w:tc>
          <w:tcPr>
            <w:tcW w:w="34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jc w:val="right"/>
              <w:ind w:right="117"/>
              <w:spacing w:after="0" w:line="149" w:lineRule="exact"/>
              <w:rPr>
                <w:sz w:val="20"/>
                <w:szCs w:val="20"/>
                <w:color w:val="auto"/>
              </w:rPr>
            </w:pPr>
            <w:r>
              <w:rPr>
                <w:rFonts w:ascii="Arial" w:cs="Arial" w:eastAsia="Arial" w:hAnsi="Arial"/>
                <w:sz w:val="14"/>
                <w:szCs w:val="14"/>
                <w:b w:val="1"/>
                <w:bCs w:val="1"/>
                <w:color w:val="auto"/>
              </w:rPr>
              <w:t>2009</w:t>
            </w:r>
          </w:p>
        </w:tc>
        <w:tc>
          <w:tcPr>
            <w:tcW w:w="100" w:type="dxa"/>
            <w:vAlign w:val="bottom"/>
          </w:tcPr>
          <w:p>
            <w:pPr>
              <w:spacing w:after="0"/>
              <w:rPr>
                <w:sz w:val="12"/>
                <w:szCs w:val="12"/>
                <w:color w:val="auto"/>
              </w:rPr>
            </w:pPr>
          </w:p>
        </w:tc>
      </w:tr>
      <w:tr>
        <w:trPr>
          <w:trHeight w:val="149"/>
        </w:trPr>
        <w:tc>
          <w:tcPr>
            <w:tcW w:w="7240" w:type="dxa"/>
            <w:vAlign w:val="bottom"/>
          </w:tcPr>
          <w:p>
            <w:pPr>
              <w:spacing w:after="0"/>
              <w:rPr>
                <w:sz w:val="12"/>
                <w:szCs w:val="12"/>
                <w:color w:val="auto"/>
              </w:rPr>
            </w:pPr>
          </w:p>
        </w:tc>
        <w:tc>
          <w:tcPr>
            <w:tcW w:w="34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gridSpan w:val="2"/>
          </w:tcPr>
          <w:p>
            <w:pPr>
              <w:jc w:val="right"/>
              <w:ind w:right="180"/>
              <w:spacing w:after="0" w:line="149" w:lineRule="exact"/>
              <w:rPr>
                <w:sz w:val="20"/>
                <w:szCs w:val="20"/>
                <w:color w:val="auto"/>
              </w:rPr>
            </w:pPr>
            <w:r>
              <w:rPr>
                <w:rFonts w:ascii="Arial" w:cs="Arial" w:eastAsia="Arial" w:hAnsi="Arial"/>
                <w:sz w:val="14"/>
                <w:szCs w:val="14"/>
                <w:b w:val="1"/>
                <w:bCs w:val="1"/>
                <w:color w:val="auto"/>
                <w:w w:val="87"/>
              </w:rPr>
              <w:t>Through</w:t>
            </w:r>
          </w:p>
        </w:tc>
      </w:tr>
      <w:tr>
        <w:trPr>
          <w:trHeight w:val="161"/>
        </w:trPr>
        <w:tc>
          <w:tcPr>
            <w:tcW w:w="7240" w:type="dxa"/>
            <w:vAlign w:val="bottom"/>
          </w:tcPr>
          <w:p>
            <w:pPr>
              <w:spacing w:after="0"/>
              <w:rPr>
                <w:sz w:val="14"/>
                <w:szCs w:val="14"/>
                <w:color w:val="auto"/>
              </w:rPr>
            </w:pPr>
          </w:p>
        </w:tc>
        <w:tc>
          <w:tcPr>
            <w:tcW w:w="3400" w:type="dxa"/>
            <w:vAlign w:val="bottom"/>
          </w:tcPr>
          <w:p>
            <w:pPr>
              <w:spacing w:after="0"/>
              <w:rPr>
                <w:sz w:val="14"/>
                <w:szCs w:val="14"/>
                <w:color w:val="auto"/>
              </w:rPr>
            </w:pPr>
          </w:p>
        </w:tc>
        <w:tc>
          <w:tcPr>
            <w:tcW w:w="780" w:type="dxa"/>
            <w:vAlign w:val="bottom"/>
            <w:gridSpan w:val="3"/>
          </w:tcPr>
          <w:p>
            <w:pPr>
              <w:spacing w:after="0"/>
              <w:rPr>
                <w:sz w:val="20"/>
                <w:szCs w:val="20"/>
                <w:color w:val="auto"/>
              </w:rPr>
            </w:pPr>
            <w:r>
              <w:rPr>
                <w:rFonts w:ascii="Arial" w:cs="Arial" w:eastAsia="Arial" w:hAnsi="Arial"/>
                <w:sz w:val="14"/>
                <w:szCs w:val="14"/>
                <w:b w:val="1"/>
                <w:bCs w:val="1"/>
                <w:color w:val="auto"/>
                <w:w w:val="96"/>
              </w:rPr>
              <w:t>July 9, 2009</w:t>
            </w:r>
          </w:p>
        </w:tc>
      </w:tr>
      <w:tr>
        <w:trPr>
          <w:trHeight w:val="20"/>
        </w:trPr>
        <w:tc>
          <w:tcPr>
            <w:tcW w:w="7240" w:type="dxa"/>
            <w:vAlign w:val="bottom"/>
          </w:tcPr>
          <w:p>
            <w:pPr>
              <w:spacing w:after="0" w:line="20" w:lineRule="exact"/>
              <w:rPr>
                <w:sz w:val="1"/>
                <w:szCs w:val="1"/>
                <w:color w:val="auto"/>
              </w:rPr>
            </w:pPr>
          </w:p>
        </w:tc>
        <w:tc>
          <w:tcPr>
            <w:tcW w:w="34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7240" w:type="dxa"/>
            <w:vAlign w:val="bottom"/>
            <w:shd w:val="clear" w:color="auto" w:fill="CCEEFF"/>
          </w:tcPr>
          <w:p>
            <w:pPr>
              <w:spacing w:after="0"/>
              <w:rPr>
                <w:sz w:val="20"/>
                <w:szCs w:val="20"/>
                <w:color w:val="auto"/>
              </w:rPr>
            </w:pPr>
            <w:r>
              <w:rPr>
                <w:rFonts w:ascii="Arial" w:cs="Arial" w:eastAsia="Arial" w:hAnsi="Arial"/>
                <w:sz w:val="18"/>
                <w:szCs w:val="18"/>
                <w:color w:val="auto"/>
              </w:rPr>
              <w:t>Number of GMCRSUs granted</w:t>
            </w:r>
          </w:p>
        </w:tc>
        <w:tc>
          <w:tcPr>
            <w:tcW w:w="34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7240" w:type="dxa"/>
            <w:vAlign w:val="bottom"/>
          </w:tcPr>
          <w:p>
            <w:pPr>
              <w:spacing w:after="0"/>
              <w:rPr>
                <w:sz w:val="20"/>
                <w:szCs w:val="20"/>
                <w:color w:val="auto"/>
              </w:rPr>
            </w:pPr>
            <w:r>
              <w:rPr>
                <w:rFonts w:ascii="Arial" w:cs="Arial" w:eastAsia="Arial" w:hAnsi="Arial"/>
                <w:sz w:val="18"/>
                <w:szCs w:val="18"/>
                <w:color w:val="auto"/>
              </w:rPr>
              <w:t>Weighted-average date of grant fair value</w:t>
            </w:r>
          </w:p>
        </w:tc>
        <w:tc>
          <w:tcPr>
            <w:tcW w:w="3480" w:type="dxa"/>
            <w:vAlign w:val="bottom"/>
            <w:gridSpan w:val="2"/>
          </w:tcPr>
          <w:p>
            <w:pPr>
              <w:ind w:left="3400"/>
              <w:spacing w:after="0"/>
              <w:rPr>
                <w:sz w:val="20"/>
                <w:szCs w:val="20"/>
                <w:color w:val="auto"/>
              </w:rPr>
            </w:pPr>
            <w:r>
              <w:rPr>
                <w:rFonts w:ascii="Arial" w:cs="Arial" w:eastAsia="Arial" w:hAnsi="Arial"/>
                <w:sz w:val="15"/>
                <w:szCs w:val="15"/>
                <w:color w:val="auto"/>
                <w:w w:val="71"/>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2.24</w:t>
            </w:r>
          </w:p>
        </w:tc>
        <w:tc>
          <w:tcPr>
            <w:tcW w:w="100" w:type="dxa"/>
            <w:vAlign w:val="bottom"/>
          </w:tcPr>
          <w:p>
            <w:pPr>
              <w:spacing w:after="0"/>
              <w:rPr>
                <w:sz w:val="18"/>
                <w:szCs w:val="18"/>
                <w:color w:val="auto"/>
              </w:rPr>
            </w:pPr>
          </w:p>
        </w:tc>
      </w:tr>
      <w:tr>
        <w:trPr>
          <w:trHeight w:val="216"/>
        </w:trPr>
        <w:tc>
          <w:tcPr>
            <w:tcW w:w="7240" w:type="dxa"/>
            <w:vAlign w:val="bottom"/>
            <w:shd w:val="clear" w:color="auto" w:fill="CCEEFF"/>
          </w:tcPr>
          <w:p>
            <w:pPr>
              <w:spacing w:after="0"/>
              <w:rPr>
                <w:sz w:val="20"/>
                <w:szCs w:val="20"/>
                <w:color w:val="auto"/>
              </w:rPr>
            </w:pPr>
            <w:r>
              <w:rPr>
                <w:rFonts w:ascii="Arial" w:cs="Arial" w:eastAsia="Arial" w:hAnsi="Arial"/>
                <w:sz w:val="18"/>
                <w:szCs w:val="18"/>
                <w:color w:val="auto"/>
              </w:rPr>
              <w:t>Total payments made for GMCRSUs vested (millions)</w:t>
            </w:r>
          </w:p>
        </w:tc>
        <w:tc>
          <w:tcPr>
            <w:tcW w:w="3480" w:type="dxa"/>
            <w:vAlign w:val="bottom"/>
            <w:gridSpan w:val="2"/>
            <w:shd w:val="clear" w:color="auto" w:fill="CCEEFF"/>
          </w:tcPr>
          <w:p>
            <w:pPr>
              <w:ind w:left="3400"/>
              <w:spacing w:after="0"/>
              <w:rPr>
                <w:sz w:val="20"/>
                <w:szCs w:val="20"/>
                <w:color w:val="auto"/>
              </w:rPr>
            </w:pPr>
            <w:r>
              <w:rPr>
                <w:rFonts w:ascii="Arial" w:cs="Arial" w:eastAsia="Arial" w:hAnsi="Arial"/>
                <w:sz w:val="15"/>
                <w:szCs w:val="15"/>
                <w:color w:val="auto"/>
                <w:w w:val="71"/>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100" w:type="dxa"/>
            <w:vAlign w:val="bottom"/>
            <w:shd w:val="clear" w:color="auto" w:fill="CCEEFF"/>
          </w:tcPr>
          <w:p>
            <w:pPr>
              <w:spacing w:after="0"/>
              <w:rPr>
                <w:sz w:val="18"/>
                <w:szCs w:val="18"/>
                <w:color w:val="auto"/>
              </w:rPr>
            </w:pPr>
          </w:p>
        </w:tc>
      </w:tr>
      <w:tr>
        <w:trPr>
          <w:trHeight w:val="351"/>
        </w:trPr>
        <w:tc>
          <w:tcPr>
            <w:tcW w:w="7240" w:type="dxa"/>
            <w:vAlign w:val="bottom"/>
          </w:tcPr>
          <w:p>
            <w:pPr>
              <w:spacing w:after="0"/>
              <w:rPr>
                <w:sz w:val="24"/>
                <w:szCs w:val="24"/>
                <w:color w:val="auto"/>
              </w:rPr>
            </w:pPr>
          </w:p>
        </w:tc>
        <w:tc>
          <w:tcPr>
            <w:tcW w:w="3400" w:type="dxa"/>
            <w:vAlign w:val="bottom"/>
          </w:tcPr>
          <w:p>
            <w:pPr>
              <w:spacing w:after="0"/>
              <w:rPr>
                <w:sz w:val="24"/>
                <w:szCs w:val="24"/>
                <w:color w:val="auto"/>
              </w:rPr>
            </w:pPr>
          </w:p>
        </w:tc>
        <w:tc>
          <w:tcPr>
            <w:tcW w:w="780" w:type="dxa"/>
            <w:vAlign w:val="bottom"/>
            <w:gridSpan w:val="3"/>
          </w:tcPr>
          <w:p>
            <w:pPr>
              <w:spacing w:after="0"/>
              <w:rPr>
                <w:sz w:val="20"/>
                <w:szCs w:val="20"/>
                <w:color w:val="auto"/>
              </w:rPr>
            </w:pPr>
            <w:r>
              <w:rPr>
                <w:rFonts w:ascii="Arial" w:cs="Arial" w:eastAsia="Arial" w:hAnsi="Arial"/>
                <w:sz w:val="14"/>
                <w:szCs w:val="14"/>
                <w:b w:val="1"/>
                <w:bCs w:val="1"/>
                <w:color w:val="auto"/>
                <w:w w:val="90"/>
              </w:rPr>
              <w:t>Predecessor</w:t>
            </w:r>
          </w:p>
        </w:tc>
      </w:tr>
      <w:tr>
        <w:trPr>
          <w:trHeight w:val="142"/>
        </w:trPr>
        <w:tc>
          <w:tcPr>
            <w:tcW w:w="7240" w:type="dxa"/>
            <w:vAlign w:val="bottom"/>
          </w:tcPr>
          <w:p>
            <w:pPr>
              <w:spacing w:after="0"/>
              <w:rPr>
                <w:sz w:val="12"/>
                <w:szCs w:val="12"/>
                <w:color w:val="auto"/>
              </w:rPr>
            </w:pPr>
          </w:p>
        </w:tc>
        <w:tc>
          <w:tcPr>
            <w:tcW w:w="3400" w:type="dxa"/>
            <w:vAlign w:val="bottom"/>
          </w:tcPr>
          <w:p>
            <w:pPr>
              <w:spacing w:after="0"/>
              <w:rPr>
                <w:sz w:val="12"/>
                <w:szCs w:val="12"/>
                <w:color w:val="auto"/>
              </w:rPr>
            </w:pPr>
          </w:p>
        </w:tc>
        <w:tc>
          <w:tcPr>
            <w:tcW w:w="680" w:type="dxa"/>
            <w:vAlign w:val="bottom"/>
            <w:tcBorders>
              <w:top w:val="single" w:sz="8" w:color="auto"/>
              <w:bottom w:val="single" w:sz="8" w:color="auto"/>
            </w:tcBorders>
            <w:gridSpan w:val="2"/>
          </w:tcPr>
          <w:p>
            <w:pPr>
              <w:spacing w:after="0" w:line="142" w:lineRule="exact"/>
              <w:rPr>
                <w:sz w:val="20"/>
                <w:szCs w:val="20"/>
                <w:color w:val="auto"/>
              </w:rPr>
            </w:pPr>
            <w:r>
              <w:rPr>
                <w:rFonts w:ascii="Arial" w:cs="Arial" w:eastAsia="Arial" w:hAnsi="Arial"/>
                <w:sz w:val="14"/>
                <w:szCs w:val="14"/>
                <w:b w:val="1"/>
                <w:bCs w:val="1"/>
                <w:color w:val="auto"/>
                <w:w w:val="83"/>
              </w:rPr>
              <w:t>July 9, 2009</w:t>
            </w:r>
          </w:p>
        </w:tc>
        <w:tc>
          <w:tcPr>
            <w:tcW w:w="100" w:type="dxa"/>
            <w:vAlign w:val="bottom"/>
          </w:tcPr>
          <w:p>
            <w:pPr>
              <w:spacing w:after="0"/>
              <w:rPr>
                <w:sz w:val="12"/>
                <w:szCs w:val="12"/>
                <w:color w:val="auto"/>
              </w:rPr>
            </w:pPr>
          </w:p>
        </w:tc>
      </w:tr>
      <w:tr>
        <w:trPr>
          <w:trHeight w:val="210"/>
        </w:trPr>
        <w:tc>
          <w:tcPr>
            <w:tcW w:w="7240" w:type="dxa"/>
            <w:vAlign w:val="bottom"/>
            <w:shd w:val="clear" w:color="auto" w:fill="CCEEFF"/>
          </w:tcPr>
          <w:p>
            <w:pPr>
              <w:spacing w:after="0"/>
              <w:rPr>
                <w:sz w:val="20"/>
                <w:szCs w:val="20"/>
                <w:color w:val="auto"/>
              </w:rPr>
            </w:pPr>
            <w:r>
              <w:rPr>
                <w:rFonts w:ascii="Arial" w:cs="Arial" w:eastAsia="Arial" w:hAnsi="Arial"/>
                <w:sz w:val="18"/>
                <w:szCs w:val="18"/>
                <w:color w:val="auto"/>
              </w:rPr>
              <w:t>GMCRSUs outstanding</w:t>
            </w:r>
          </w:p>
        </w:tc>
        <w:tc>
          <w:tcPr>
            <w:tcW w:w="34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100" w:type="dxa"/>
            <w:vAlign w:val="bottom"/>
            <w:shd w:val="clear" w:color="auto" w:fill="CCEEFF"/>
          </w:tcPr>
          <w:p>
            <w:pPr>
              <w:spacing w:after="0"/>
              <w:rPr>
                <w:sz w:val="18"/>
                <w:szCs w:val="18"/>
                <w:color w:val="auto"/>
              </w:rPr>
            </w:pPr>
          </w:p>
        </w:tc>
      </w:tr>
      <w:tr>
        <w:trPr>
          <w:trHeight w:val="216"/>
        </w:trPr>
        <w:tc>
          <w:tcPr>
            <w:tcW w:w="7240" w:type="dxa"/>
            <w:vAlign w:val="bottom"/>
          </w:tcPr>
          <w:p>
            <w:pPr>
              <w:spacing w:after="0"/>
              <w:rPr>
                <w:sz w:val="20"/>
                <w:szCs w:val="20"/>
                <w:color w:val="auto"/>
              </w:rPr>
            </w:pPr>
            <w:r>
              <w:rPr>
                <w:rFonts w:ascii="Arial" w:cs="Arial" w:eastAsia="Arial" w:hAnsi="Arial"/>
                <w:sz w:val="18"/>
                <w:szCs w:val="18"/>
                <w:color w:val="auto"/>
              </w:rPr>
              <w:t>Fair value per share</w:t>
            </w:r>
          </w:p>
        </w:tc>
        <w:tc>
          <w:tcPr>
            <w:tcW w:w="3480" w:type="dxa"/>
            <w:vAlign w:val="bottom"/>
            <w:gridSpan w:val="2"/>
          </w:tcPr>
          <w:p>
            <w:pPr>
              <w:ind w:left="3400"/>
              <w:spacing w:after="0"/>
              <w:rPr>
                <w:sz w:val="20"/>
                <w:szCs w:val="20"/>
                <w:color w:val="auto"/>
              </w:rPr>
            </w:pPr>
            <w:r>
              <w:rPr>
                <w:rFonts w:ascii="Arial" w:cs="Arial" w:eastAsia="Arial" w:hAnsi="Arial"/>
                <w:sz w:val="15"/>
                <w:szCs w:val="15"/>
                <w:color w:val="auto"/>
                <w:w w:val="71"/>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0.84</w:t>
            </w:r>
          </w:p>
        </w:tc>
        <w:tc>
          <w:tcPr>
            <w:tcW w:w="100" w:type="dxa"/>
            <w:vAlign w:val="bottom"/>
          </w:tcPr>
          <w:p>
            <w:pPr>
              <w:spacing w:after="0"/>
              <w:rPr>
                <w:sz w:val="18"/>
                <w:szCs w:val="18"/>
                <w:color w:val="auto"/>
              </w:rPr>
            </w:pPr>
          </w:p>
        </w:tc>
      </w:tr>
      <w:tr>
        <w:trPr>
          <w:trHeight w:val="216"/>
        </w:trPr>
        <w:tc>
          <w:tcPr>
            <w:tcW w:w="7240" w:type="dxa"/>
            <w:vAlign w:val="bottom"/>
            <w:shd w:val="clear" w:color="auto" w:fill="CCEEFF"/>
          </w:tcPr>
          <w:p>
            <w:pPr>
              <w:spacing w:after="0"/>
              <w:rPr>
                <w:sz w:val="20"/>
                <w:szCs w:val="20"/>
                <w:color w:val="auto"/>
              </w:rPr>
            </w:pPr>
            <w:r>
              <w:rPr>
                <w:rFonts w:ascii="Arial" w:cs="Arial" w:eastAsia="Arial" w:hAnsi="Arial"/>
                <w:sz w:val="18"/>
                <w:szCs w:val="18"/>
                <w:color w:val="auto"/>
              </w:rPr>
              <w:t>Weighted-average remaining contractual term (years)</w:t>
            </w:r>
          </w:p>
        </w:tc>
        <w:tc>
          <w:tcPr>
            <w:tcW w:w="34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100" w:type="dxa"/>
            <w:vAlign w:val="bottom"/>
            <w:shd w:val="clear" w:color="auto" w:fill="CCEEFF"/>
          </w:tcPr>
          <w:p>
            <w:pPr>
              <w:spacing w:after="0"/>
              <w:rPr>
                <w:sz w:val="18"/>
                <w:szCs w:val="18"/>
                <w:color w:val="auto"/>
              </w:rPr>
            </w:pPr>
          </w:p>
        </w:tc>
      </w:tr>
    </w:tbl>
    <w:p>
      <w:pPr>
        <w:spacing w:after="0" w:line="1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27. Subsequent Events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Acquisition of AmeriCredit Corp.</w:t>
      </w:r>
    </w:p>
    <w:p>
      <w:pPr>
        <w:spacing w:after="0" w:line="177" w:lineRule="exact"/>
        <w:rPr>
          <w:sz w:val="20"/>
          <w:szCs w:val="20"/>
          <w:color w:val="auto"/>
        </w:rPr>
      </w:pPr>
    </w:p>
    <w:p>
      <w:pPr>
        <w:ind w:right="200" w:firstLine="228"/>
        <w:spacing w:after="0" w:line="294" w:lineRule="auto"/>
        <w:rPr>
          <w:sz w:val="20"/>
          <w:szCs w:val="20"/>
          <w:color w:val="auto"/>
        </w:rPr>
      </w:pPr>
      <w:r>
        <w:rPr>
          <w:rFonts w:ascii="Arial" w:cs="Arial" w:eastAsia="Arial" w:hAnsi="Arial"/>
          <w:sz w:val="16"/>
          <w:szCs w:val="16"/>
          <w:color w:val="auto"/>
        </w:rPr>
        <w:t>On July 21, 2010 we entered into a definitive agreement to acquire 100% of the outstanding equity interests of AmeriCredit, an independent automobile finance company, for cash of approximately $3.5 billion. On September 29, 2010 the stockholders of AmeriCredit approved the acquisition effective October 1, 2010, at which time the transaction closed and AmeriCredit was renamed General Motors Financial Company, Inc. (GM Financial). The acquisition of GM Financial will allow us to provide a more complete range of financing options to our customers across the U.S. and Canada, specifically focusing on providing additional capabilities in leasing and sub-prime vehicle financing options.</w:t>
      </w:r>
    </w:p>
    <w:p>
      <w:pPr>
        <w:spacing w:after="0" w:line="116" w:lineRule="exact"/>
        <w:rPr>
          <w:sz w:val="20"/>
          <w:szCs w:val="20"/>
          <w:color w:val="auto"/>
        </w:rPr>
      </w:pPr>
    </w:p>
    <w:p>
      <w:pPr>
        <w:jc w:val="both"/>
        <w:ind w:right="480" w:firstLine="228"/>
        <w:spacing w:after="0" w:line="259" w:lineRule="auto"/>
        <w:rPr>
          <w:sz w:val="20"/>
          <w:szCs w:val="20"/>
          <w:color w:val="auto"/>
        </w:rPr>
      </w:pPr>
      <w:r>
        <w:rPr>
          <w:rFonts w:ascii="Arial" w:cs="Arial" w:eastAsia="Arial" w:hAnsi="Arial"/>
          <w:sz w:val="18"/>
          <w:szCs w:val="18"/>
          <w:color w:val="auto"/>
        </w:rPr>
        <w:t>We will record the fair value of assets acquired and liabilities assumed at October 1, 2010, the date we obtained control of GM Financial, and include its results of operations and cash flows in our consolidated financial statements from that date forward. GM Financial will be a separate reportable segment as defined by ASC 280, “Segment Reporting.”</w:t>
      </w:r>
    </w:p>
    <w:p>
      <w:pPr>
        <w:spacing w:after="0" w:line="140" w:lineRule="exact"/>
        <w:rPr>
          <w:sz w:val="20"/>
          <w:szCs w:val="20"/>
          <w:color w:val="auto"/>
        </w:rPr>
      </w:pPr>
    </w:p>
    <w:p>
      <w:pPr>
        <w:ind w:right="220" w:firstLine="228"/>
        <w:spacing w:after="0" w:line="332" w:lineRule="auto"/>
        <w:rPr>
          <w:sz w:val="20"/>
          <w:szCs w:val="20"/>
          <w:color w:val="auto"/>
        </w:rPr>
      </w:pPr>
      <w:r>
        <w:rPr>
          <w:rFonts w:ascii="Arial" w:cs="Arial" w:eastAsia="Arial" w:hAnsi="Arial"/>
          <w:sz w:val="16"/>
          <w:szCs w:val="16"/>
          <w:color w:val="auto"/>
        </w:rPr>
        <w:t>Because the date of the acquisition of GM Financial was subsequent to September 30, 2010, our condensed consolidated financial statements do not include any amounts for assets or liabilities to be acquired or reflect the results of operations or cash flows of GM Financial.</w:t>
      </w:r>
    </w:p>
    <w:p>
      <w:pPr>
        <w:spacing w:after="0" w:line="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81</w:t>
      </w:r>
    </w:p>
    <w:p>
      <w:pPr>
        <w:sectPr>
          <w:pgSz w:w="11900" w:h="16838" w:orient="portrait"/>
          <w:cols w:equalWidth="0" w:num="1">
            <w:col w:w="11420"/>
          </w:cols>
          <w:pgMar w:left="240" w:top="459" w:right="239" w:bottom="1440" w:gutter="0" w:footer="0" w:header="0"/>
        </w:sectPr>
      </w:pPr>
    </w:p>
    <w:bookmarkStart w:id="83" w:name="page84"/>
    <w:bookmarkEnd w:id="8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339" w:lineRule="exact"/>
        <w:rPr>
          <w:sz w:val="20"/>
          <w:szCs w:val="20"/>
          <w:color w:val="auto"/>
        </w:rPr>
      </w:pPr>
    </w:p>
    <w:p>
      <w:pPr>
        <w:jc w:val="both"/>
        <w:ind w:right="320" w:firstLine="228"/>
        <w:spacing w:after="0" w:line="306" w:lineRule="auto"/>
        <w:rPr>
          <w:sz w:val="20"/>
          <w:szCs w:val="20"/>
          <w:color w:val="auto"/>
        </w:rPr>
      </w:pPr>
      <w:r>
        <w:rPr>
          <w:rFonts w:ascii="Arial" w:cs="Arial" w:eastAsia="Arial" w:hAnsi="Arial"/>
          <w:sz w:val="16"/>
          <w:szCs w:val="16"/>
          <w:color w:val="auto"/>
        </w:rPr>
        <w:t>The following table summarizes certain pro forma financial information had the acquisition occurred as of the first day in the periods presented, utilizing a straight-line convention for GM Financial’s information for the periods July 1, 2009 through July 9, 2009 and July 10, 2009 through September 30, 2009 and without consideration of historical transactions between the two companies, as it is impracticable to obtain such information (dollars in millions):</w:t>
      </w:r>
    </w:p>
    <w:p>
      <w:pPr>
        <w:spacing w:after="0" w:line="14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3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0" w:type="dxa"/>
            <w:vAlign w:val="bottom"/>
          </w:tcPr>
          <w:p>
            <w:pPr>
              <w:jc w:val="center"/>
              <w:ind w:right="64"/>
              <w:spacing w:after="0"/>
              <w:rPr>
                <w:sz w:val="20"/>
                <w:szCs w:val="20"/>
                <w:color w:val="auto"/>
              </w:rPr>
            </w:pPr>
            <w:r>
              <w:rPr>
                <w:rFonts w:ascii="Arial" w:cs="Arial" w:eastAsia="Arial" w:hAnsi="Arial"/>
                <w:sz w:val="14"/>
                <w:szCs w:val="14"/>
                <w:b w:val="1"/>
                <w:bCs w:val="1"/>
                <w:color w:val="auto"/>
                <w:w w:val="81"/>
              </w:rPr>
              <w:t>Successor</w:t>
            </w:r>
          </w:p>
        </w:tc>
        <w:tc>
          <w:tcPr>
            <w:tcW w:w="4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560" w:type="dxa"/>
            <w:vAlign w:val="bottom"/>
            <w:tcBorders>
              <w:right w:val="single" w:sz="8" w:color="auto"/>
            </w:tcBorders>
          </w:tcPr>
          <w:p>
            <w:pPr>
              <w:spacing w:after="0"/>
              <w:rPr>
                <w:sz w:val="14"/>
                <w:szCs w:val="14"/>
                <w:color w:val="auto"/>
              </w:rPr>
            </w:pPr>
          </w:p>
        </w:tc>
        <w:tc>
          <w:tcPr>
            <w:tcW w:w="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20" w:type="dxa"/>
            <w:vAlign w:val="bottom"/>
            <w:gridSpan w:val="5"/>
          </w:tcPr>
          <w:p>
            <w:pPr>
              <w:ind w:left="480"/>
              <w:spacing w:after="0"/>
              <w:rPr>
                <w:sz w:val="20"/>
                <w:szCs w:val="20"/>
                <w:color w:val="auto"/>
              </w:rPr>
            </w:pPr>
            <w:r>
              <w:rPr>
                <w:rFonts w:ascii="Arial" w:cs="Arial" w:eastAsia="Arial" w:hAnsi="Arial"/>
                <w:sz w:val="14"/>
                <w:szCs w:val="14"/>
                <w:b w:val="1"/>
                <w:bCs w:val="1"/>
                <w:color w:val="auto"/>
              </w:rPr>
              <w:t>Predecessor</w:t>
            </w:r>
          </w:p>
        </w:tc>
        <w:tc>
          <w:tcPr>
            <w:tcW w:w="0" w:type="dxa"/>
            <w:vAlign w:val="bottom"/>
          </w:tcPr>
          <w:p>
            <w:pPr>
              <w:spacing w:after="0"/>
              <w:rPr>
                <w:sz w:val="1"/>
                <w:szCs w:val="1"/>
                <w:color w:val="auto"/>
              </w:rPr>
            </w:pPr>
          </w:p>
        </w:tc>
      </w:tr>
      <w:tr>
        <w:trPr>
          <w:trHeight w:val="129"/>
        </w:trPr>
        <w:tc>
          <w:tcPr>
            <w:tcW w:w="430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1020" w:type="dxa"/>
            <w:vAlign w:val="bottom"/>
            <w:tcBorders>
              <w:top w:val="single" w:sz="8" w:color="auto"/>
            </w:tcBorders>
          </w:tcPr>
          <w:p>
            <w:pPr>
              <w:spacing w:after="0"/>
              <w:rPr>
                <w:sz w:val="11"/>
                <w:szCs w:val="11"/>
                <w:color w:val="auto"/>
              </w:rPr>
            </w:pPr>
          </w:p>
        </w:tc>
        <w:tc>
          <w:tcPr>
            <w:tcW w:w="440" w:type="dxa"/>
            <w:vAlign w:val="bottom"/>
            <w:tcBorders>
              <w:top w:val="single" w:sz="8" w:color="auto"/>
            </w:tcBorders>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1000" w:type="dxa"/>
            <w:vAlign w:val="bottom"/>
            <w:tcBorders>
              <w:top w:val="single" w:sz="8" w:color="auto"/>
            </w:tcBorders>
          </w:tcPr>
          <w:p>
            <w:pPr>
              <w:spacing w:after="0"/>
              <w:rPr>
                <w:sz w:val="11"/>
                <w:szCs w:val="11"/>
                <w:color w:val="auto"/>
              </w:rPr>
            </w:pPr>
          </w:p>
        </w:tc>
        <w:tc>
          <w:tcPr>
            <w:tcW w:w="440" w:type="dxa"/>
            <w:vAlign w:val="bottom"/>
            <w:tcBorders>
              <w:top w:val="single" w:sz="8" w:color="auto"/>
            </w:tcBorders>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1000" w:type="dxa"/>
            <w:vAlign w:val="bottom"/>
            <w:tcBorders>
              <w:top w:val="single" w:sz="8" w:color="auto"/>
            </w:tcBorders>
          </w:tcPr>
          <w:p>
            <w:pPr>
              <w:spacing w:after="0"/>
              <w:rPr>
                <w:sz w:val="11"/>
                <w:szCs w:val="11"/>
                <w:color w:val="auto"/>
              </w:rPr>
            </w:pPr>
          </w:p>
        </w:tc>
        <w:tc>
          <w:tcPr>
            <w:tcW w:w="560" w:type="dxa"/>
            <w:vAlign w:val="bottom"/>
            <w:tcBorders>
              <w:right w:val="single" w:sz="8" w:color="auto"/>
            </w:tcBorders>
          </w:tcPr>
          <w:p>
            <w:pPr>
              <w:spacing w:after="0"/>
              <w:rPr>
                <w:sz w:val="11"/>
                <w:szCs w:val="11"/>
                <w:color w:val="auto"/>
              </w:rPr>
            </w:pPr>
          </w:p>
        </w:tc>
        <w:tc>
          <w:tcPr>
            <w:tcW w:w="34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600" w:type="dxa"/>
            <w:vAlign w:val="bottom"/>
            <w:tcBorders>
              <w:top w:val="single" w:sz="8" w:color="auto"/>
            </w:tcBorders>
          </w:tcPr>
          <w:p>
            <w:pPr>
              <w:spacing w:after="0"/>
              <w:rPr>
                <w:sz w:val="11"/>
                <w:szCs w:val="11"/>
                <w:color w:val="auto"/>
              </w:rPr>
            </w:pPr>
          </w:p>
        </w:tc>
        <w:tc>
          <w:tcPr>
            <w:tcW w:w="460" w:type="dxa"/>
            <w:vAlign w:val="bottom"/>
            <w:tcBorders>
              <w:top w:val="single" w:sz="8" w:color="auto"/>
            </w:tcBorders>
          </w:tcPr>
          <w:p>
            <w:pPr>
              <w:spacing w:after="0"/>
              <w:rPr>
                <w:sz w:val="11"/>
                <w:szCs w:val="11"/>
                <w:color w:val="auto"/>
              </w:rPr>
            </w:pPr>
          </w:p>
        </w:tc>
        <w:tc>
          <w:tcPr>
            <w:tcW w:w="660" w:type="dxa"/>
            <w:vAlign w:val="bottom"/>
            <w:tcBorders>
              <w:top w:val="single" w:sz="8" w:color="auto"/>
            </w:tcBorders>
            <w:gridSpan w:val="2"/>
          </w:tcPr>
          <w:p>
            <w:pPr>
              <w:jc w:val="center"/>
              <w:spacing w:after="0" w:line="129" w:lineRule="exact"/>
              <w:rPr>
                <w:sz w:val="20"/>
                <w:szCs w:val="20"/>
                <w:color w:val="auto"/>
              </w:rPr>
            </w:pPr>
            <w:r>
              <w:rPr>
                <w:rFonts w:ascii="Arial" w:cs="Arial" w:eastAsia="Arial" w:hAnsi="Arial"/>
                <w:sz w:val="14"/>
                <w:szCs w:val="14"/>
                <w:b w:val="1"/>
                <w:bCs w:val="1"/>
                <w:color w:val="auto"/>
                <w:w w:val="89"/>
              </w:rPr>
              <w:t>January 1,</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4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560" w:type="dxa"/>
            <w:vAlign w:val="bottom"/>
            <w:tcBorders>
              <w:right w:val="single" w:sz="8" w:color="auto"/>
            </w:tcBorders>
          </w:tcPr>
          <w:p>
            <w:pPr>
              <w:spacing w:after="0"/>
              <w:rPr>
                <w:sz w:val="12"/>
                <w:szCs w:val="12"/>
                <w:color w:val="auto"/>
              </w:rPr>
            </w:pPr>
          </w:p>
        </w:tc>
        <w:tc>
          <w:tcPr>
            <w:tcW w:w="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jc w:val="center"/>
              <w:ind w:right="4"/>
              <w:spacing w:after="0" w:line="149" w:lineRule="exact"/>
              <w:rPr>
                <w:sz w:val="20"/>
                <w:szCs w:val="20"/>
                <w:color w:val="auto"/>
              </w:rPr>
            </w:pPr>
            <w:r>
              <w:rPr>
                <w:rFonts w:ascii="Arial" w:cs="Arial" w:eastAsia="Arial" w:hAnsi="Arial"/>
                <w:sz w:val="14"/>
                <w:szCs w:val="14"/>
                <w:b w:val="1"/>
                <w:bCs w:val="1"/>
                <w:color w:val="auto"/>
                <w:w w:val="83"/>
              </w:rPr>
              <w:t>2009</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tcPr>
          <w:p>
            <w:pPr>
              <w:jc w:val="right"/>
              <w:ind w:right="82"/>
              <w:spacing w:after="0" w:line="149" w:lineRule="exact"/>
              <w:rPr>
                <w:sz w:val="20"/>
                <w:szCs w:val="20"/>
                <w:color w:val="auto"/>
              </w:rPr>
            </w:pPr>
            <w:r>
              <w:rPr>
                <w:rFonts w:ascii="Arial" w:cs="Arial" w:eastAsia="Arial" w:hAnsi="Arial"/>
                <w:sz w:val="14"/>
                <w:szCs w:val="14"/>
                <w:b w:val="1"/>
                <w:bCs w:val="1"/>
                <w:color w:val="auto"/>
                <w:w w:val="91"/>
              </w:rPr>
              <w:t>Three Months</w:t>
            </w:r>
          </w:p>
        </w:tc>
        <w:tc>
          <w:tcPr>
            <w:tcW w:w="4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0" w:type="dxa"/>
            <w:vAlign w:val="bottom"/>
          </w:tcPr>
          <w:p>
            <w:pPr>
              <w:jc w:val="center"/>
              <w:ind w:right="64"/>
              <w:spacing w:after="0" w:line="149" w:lineRule="exact"/>
              <w:rPr>
                <w:sz w:val="20"/>
                <w:szCs w:val="20"/>
                <w:color w:val="auto"/>
              </w:rPr>
            </w:pPr>
            <w:r>
              <w:rPr>
                <w:rFonts w:ascii="Arial" w:cs="Arial" w:eastAsia="Arial" w:hAnsi="Arial"/>
                <w:sz w:val="14"/>
                <w:szCs w:val="14"/>
                <w:b w:val="1"/>
                <w:bCs w:val="1"/>
                <w:color w:val="auto"/>
                <w:w w:val="88"/>
              </w:rPr>
              <w:t>Nine Months</w:t>
            </w:r>
          </w:p>
        </w:tc>
        <w:tc>
          <w:tcPr>
            <w:tcW w:w="4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560" w:type="dxa"/>
            <w:vAlign w:val="bottom"/>
            <w:tcBorders>
              <w:right w:val="single" w:sz="8" w:color="auto"/>
            </w:tcBorders>
            <w:gridSpan w:val="2"/>
          </w:tcPr>
          <w:p>
            <w:pPr>
              <w:jc w:val="right"/>
              <w:ind w:right="760"/>
              <w:spacing w:after="0" w:line="149" w:lineRule="exact"/>
              <w:rPr>
                <w:sz w:val="20"/>
                <w:szCs w:val="20"/>
                <w:color w:val="auto"/>
              </w:rPr>
            </w:pPr>
            <w:r>
              <w:rPr>
                <w:rFonts w:ascii="Arial" w:cs="Arial" w:eastAsia="Arial" w:hAnsi="Arial"/>
                <w:sz w:val="14"/>
                <w:szCs w:val="14"/>
                <w:b w:val="1"/>
                <w:bCs w:val="1"/>
                <w:color w:val="auto"/>
                <w:w w:val="90"/>
              </w:rPr>
              <w:t>July 10, 2009</w:t>
            </w:r>
          </w:p>
        </w:tc>
        <w:tc>
          <w:tcPr>
            <w:tcW w:w="340" w:type="dxa"/>
            <w:vAlign w:val="bottom"/>
          </w:tcPr>
          <w:p>
            <w:pPr>
              <w:spacing w:after="0"/>
              <w:rPr>
                <w:sz w:val="12"/>
                <w:szCs w:val="12"/>
                <w:color w:val="auto"/>
              </w:rPr>
            </w:pPr>
          </w:p>
        </w:tc>
        <w:tc>
          <w:tcPr>
            <w:tcW w:w="116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July 1, 2009</w:t>
            </w:r>
          </w:p>
        </w:tc>
        <w:tc>
          <w:tcPr>
            <w:tcW w:w="760" w:type="dxa"/>
            <w:vAlign w:val="bottom"/>
            <w:gridSpan w:val="3"/>
          </w:tcPr>
          <w:p>
            <w:pPr>
              <w:jc w:val="center"/>
              <w:ind w:right="100"/>
              <w:spacing w:after="0" w:line="149" w:lineRule="exact"/>
              <w:rPr>
                <w:sz w:val="20"/>
                <w:szCs w:val="20"/>
                <w:color w:val="auto"/>
              </w:rPr>
            </w:pPr>
            <w:r>
              <w:rPr>
                <w:rFonts w:ascii="Arial" w:cs="Arial" w:eastAsia="Arial" w:hAnsi="Arial"/>
                <w:sz w:val="14"/>
                <w:szCs w:val="14"/>
                <w:b w:val="1"/>
                <w:bCs w:val="1"/>
                <w:color w:val="auto"/>
                <w:w w:val="87"/>
              </w:rPr>
              <w:t>Through</w:t>
            </w:r>
          </w:p>
        </w:tc>
        <w:tc>
          <w:tcPr>
            <w:tcW w:w="0" w:type="dxa"/>
            <w:vAlign w:val="bottom"/>
          </w:tcPr>
          <w:p>
            <w:pPr>
              <w:spacing w:after="0"/>
              <w:rPr>
                <w:sz w:val="1"/>
                <w:szCs w:val="1"/>
                <w:color w:val="auto"/>
              </w:rPr>
            </w:pPr>
          </w:p>
        </w:tc>
      </w:tr>
      <w:tr>
        <w:trPr>
          <w:trHeight w:val="149"/>
        </w:trPr>
        <w:tc>
          <w:tcPr>
            <w:tcW w:w="4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tcPr>
          <w:p>
            <w:pPr>
              <w:jc w:val="right"/>
              <w:ind w:right="302"/>
              <w:spacing w:after="0" w:line="149" w:lineRule="exact"/>
              <w:rPr>
                <w:sz w:val="20"/>
                <w:szCs w:val="20"/>
                <w:color w:val="auto"/>
              </w:rPr>
            </w:pPr>
            <w:r>
              <w:rPr>
                <w:rFonts w:ascii="Arial" w:cs="Arial" w:eastAsia="Arial" w:hAnsi="Arial"/>
                <w:sz w:val="14"/>
                <w:szCs w:val="14"/>
                <w:b w:val="1"/>
                <w:bCs w:val="1"/>
                <w:color w:val="auto"/>
              </w:rPr>
              <w:t>Ended</w:t>
            </w:r>
          </w:p>
        </w:tc>
        <w:tc>
          <w:tcPr>
            <w:tcW w:w="4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0" w:type="dxa"/>
            <w:vAlign w:val="bottom"/>
          </w:tcPr>
          <w:p>
            <w:pPr>
              <w:jc w:val="center"/>
              <w:ind w:right="64"/>
              <w:spacing w:after="0" w:line="149" w:lineRule="exact"/>
              <w:rPr>
                <w:sz w:val="20"/>
                <w:szCs w:val="20"/>
                <w:color w:val="auto"/>
              </w:rPr>
            </w:pPr>
            <w:r>
              <w:rPr>
                <w:rFonts w:ascii="Arial" w:cs="Arial" w:eastAsia="Arial" w:hAnsi="Arial"/>
                <w:sz w:val="14"/>
                <w:szCs w:val="14"/>
                <w:b w:val="1"/>
                <w:bCs w:val="1"/>
                <w:color w:val="auto"/>
                <w:w w:val="88"/>
              </w:rPr>
              <w:t>Ended</w:t>
            </w:r>
          </w:p>
        </w:tc>
        <w:tc>
          <w:tcPr>
            <w:tcW w:w="4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560" w:type="dxa"/>
            <w:vAlign w:val="bottom"/>
            <w:tcBorders>
              <w:right w:val="single" w:sz="8" w:color="auto"/>
            </w:tcBorders>
            <w:gridSpan w:val="2"/>
          </w:tcPr>
          <w:p>
            <w:pPr>
              <w:jc w:val="right"/>
              <w:ind w:right="880"/>
              <w:spacing w:after="0" w:line="149" w:lineRule="exact"/>
              <w:rPr>
                <w:sz w:val="20"/>
                <w:szCs w:val="20"/>
                <w:color w:val="auto"/>
              </w:rPr>
            </w:pPr>
            <w:r>
              <w:rPr>
                <w:rFonts w:ascii="Arial" w:cs="Arial" w:eastAsia="Arial" w:hAnsi="Arial"/>
                <w:sz w:val="14"/>
                <w:szCs w:val="14"/>
                <w:b w:val="1"/>
                <w:bCs w:val="1"/>
                <w:color w:val="auto"/>
              </w:rPr>
              <w:t>Through</w:t>
            </w:r>
          </w:p>
        </w:tc>
        <w:tc>
          <w:tcPr>
            <w:tcW w:w="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6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rPr>
              <w:t>Through</w:t>
            </w:r>
          </w:p>
        </w:tc>
        <w:tc>
          <w:tcPr>
            <w:tcW w:w="80" w:type="dxa"/>
            <w:vAlign w:val="bottom"/>
          </w:tcPr>
          <w:p>
            <w:pPr>
              <w:spacing w:after="0"/>
              <w:rPr>
                <w:sz w:val="12"/>
                <w:szCs w:val="12"/>
                <w:color w:val="auto"/>
              </w:rPr>
            </w:pPr>
          </w:p>
        </w:tc>
        <w:tc>
          <w:tcPr>
            <w:tcW w:w="68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87"/>
              </w:rPr>
              <w:t>July 9,</w:t>
            </w:r>
          </w:p>
        </w:tc>
        <w:tc>
          <w:tcPr>
            <w:tcW w:w="0" w:type="dxa"/>
            <w:vAlign w:val="bottom"/>
          </w:tcPr>
          <w:p>
            <w:pPr>
              <w:spacing w:after="0"/>
              <w:rPr>
                <w:sz w:val="1"/>
                <w:szCs w:val="1"/>
                <w:color w:val="auto"/>
              </w:rPr>
            </w:pPr>
          </w:p>
        </w:tc>
      </w:tr>
      <w:tr>
        <w:trPr>
          <w:trHeight w:val="161"/>
        </w:trPr>
        <w:tc>
          <w:tcPr>
            <w:tcW w:w="4300" w:type="dxa"/>
            <w:vAlign w:val="bottom"/>
          </w:tcPr>
          <w:p>
            <w:pPr>
              <w:spacing w:after="0"/>
              <w:rPr>
                <w:sz w:val="14"/>
                <w:szCs w:val="14"/>
                <w:color w:val="auto"/>
              </w:rPr>
            </w:pPr>
          </w:p>
        </w:tc>
        <w:tc>
          <w:tcPr>
            <w:tcW w:w="1140" w:type="dxa"/>
            <w:vAlign w:val="bottom"/>
            <w:tcBorders>
              <w:bottom w:val="single" w:sz="8" w:color="auto"/>
            </w:tcBorders>
            <w:gridSpan w:val="2"/>
          </w:tcPr>
          <w:p>
            <w:pPr>
              <w:spacing w:after="0"/>
              <w:rPr>
                <w:sz w:val="20"/>
                <w:szCs w:val="20"/>
                <w:color w:val="auto"/>
              </w:rPr>
            </w:pPr>
            <w:r>
              <w:rPr>
                <w:rFonts w:ascii="Arial" w:cs="Arial" w:eastAsia="Arial" w:hAnsi="Arial"/>
                <w:sz w:val="14"/>
                <w:szCs w:val="14"/>
                <w:b w:val="1"/>
                <w:bCs w:val="1"/>
                <w:color w:val="auto"/>
                <w:w w:val="85"/>
              </w:rPr>
              <w:t>September 30, 2010</w:t>
            </w:r>
          </w:p>
        </w:tc>
        <w:tc>
          <w:tcPr>
            <w:tcW w:w="440" w:type="dxa"/>
            <w:vAlign w:val="bottom"/>
          </w:tcPr>
          <w:p>
            <w:pPr>
              <w:spacing w:after="0"/>
              <w:rPr>
                <w:sz w:val="14"/>
                <w:szCs w:val="14"/>
                <w:color w:val="auto"/>
              </w:rPr>
            </w:pPr>
          </w:p>
        </w:tc>
        <w:tc>
          <w:tcPr>
            <w:tcW w:w="114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87"/>
              </w:rPr>
              <w:t>September 30, 2010</w:t>
            </w:r>
          </w:p>
        </w:tc>
        <w:tc>
          <w:tcPr>
            <w:tcW w:w="440" w:type="dxa"/>
            <w:vAlign w:val="bottom"/>
          </w:tcPr>
          <w:p>
            <w:pPr>
              <w:spacing w:after="0"/>
              <w:rPr>
                <w:sz w:val="14"/>
                <w:szCs w:val="14"/>
                <w:color w:val="auto"/>
              </w:rPr>
            </w:pPr>
          </w:p>
        </w:tc>
        <w:tc>
          <w:tcPr>
            <w:tcW w:w="1140" w:type="dxa"/>
            <w:vAlign w:val="bottom"/>
            <w:tcBorders>
              <w:bottom w:val="single" w:sz="8" w:color="auto"/>
            </w:tcBorders>
            <w:gridSpan w:val="2"/>
          </w:tcPr>
          <w:p>
            <w:pPr>
              <w:spacing w:after="0"/>
              <w:rPr>
                <w:sz w:val="20"/>
                <w:szCs w:val="20"/>
                <w:color w:val="auto"/>
              </w:rPr>
            </w:pPr>
            <w:r>
              <w:rPr>
                <w:rFonts w:ascii="Arial" w:cs="Arial" w:eastAsia="Arial" w:hAnsi="Arial"/>
                <w:sz w:val="14"/>
                <w:szCs w:val="14"/>
                <w:b w:val="1"/>
                <w:bCs w:val="1"/>
                <w:color w:val="auto"/>
                <w:w w:val="85"/>
              </w:rPr>
              <w:t>September 30, 2009</w:t>
            </w:r>
          </w:p>
        </w:tc>
        <w:tc>
          <w:tcPr>
            <w:tcW w:w="560" w:type="dxa"/>
            <w:vAlign w:val="bottom"/>
            <w:tcBorders>
              <w:right w:val="single" w:sz="8" w:color="auto"/>
            </w:tcBorders>
          </w:tcPr>
          <w:p>
            <w:pPr>
              <w:spacing w:after="0"/>
              <w:rPr>
                <w:sz w:val="14"/>
                <w:szCs w:val="14"/>
                <w:color w:val="auto"/>
              </w:rPr>
            </w:pPr>
          </w:p>
        </w:tc>
        <w:tc>
          <w:tcPr>
            <w:tcW w:w="340" w:type="dxa"/>
            <w:vAlign w:val="bottom"/>
          </w:tcPr>
          <w:p>
            <w:pPr>
              <w:spacing w:after="0"/>
              <w:rPr>
                <w:sz w:val="14"/>
                <w:szCs w:val="14"/>
                <w:color w:val="auto"/>
              </w:rPr>
            </w:pPr>
          </w:p>
        </w:tc>
        <w:tc>
          <w:tcPr>
            <w:tcW w:w="700" w:type="dxa"/>
            <w:vAlign w:val="bottom"/>
            <w:tcBorders>
              <w:bottom w:val="single" w:sz="8" w:color="auto"/>
            </w:tcBorders>
            <w:gridSpan w:val="2"/>
          </w:tcPr>
          <w:p>
            <w:pPr>
              <w:spacing w:after="0"/>
              <w:rPr>
                <w:sz w:val="20"/>
                <w:szCs w:val="20"/>
                <w:color w:val="auto"/>
              </w:rPr>
            </w:pPr>
            <w:r>
              <w:rPr>
                <w:rFonts w:ascii="Arial" w:cs="Arial" w:eastAsia="Arial" w:hAnsi="Arial"/>
                <w:sz w:val="14"/>
                <w:szCs w:val="14"/>
                <w:b w:val="1"/>
                <w:bCs w:val="1"/>
                <w:color w:val="auto"/>
                <w:w w:val="86"/>
              </w:rPr>
              <w:t>July 9, 2009</w:t>
            </w:r>
          </w:p>
        </w:tc>
        <w:tc>
          <w:tcPr>
            <w:tcW w:w="46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center"/>
              <w:ind w:right="4"/>
              <w:spacing w:after="0"/>
              <w:rPr>
                <w:sz w:val="20"/>
                <w:szCs w:val="20"/>
                <w:color w:val="auto"/>
              </w:rPr>
            </w:pPr>
            <w:r>
              <w:rPr>
                <w:rFonts w:ascii="Arial" w:cs="Arial" w:eastAsia="Arial" w:hAnsi="Arial"/>
                <w:sz w:val="14"/>
                <w:szCs w:val="14"/>
                <w:b w:val="1"/>
                <w:bCs w:val="1"/>
                <w:color w:val="auto"/>
                <w:w w:val="83"/>
              </w:rPr>
              <w:t>2009</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4300" w:type="dxa"/>
            <w:vAlign w:val="bottom"/>
            <w:shd w:val="clear" w:color="auto" w:fill="CCEEFF"/>
          </w:tcPr>
          <w:p>
            <w:pPr>
              <w:spacing w:after="0"/>
              <w:rPr>
                <w:sz w:val="20"/>
                <w:szCs w:val="20"/>
                <w:color w:val="auto"/>
              </w:rPr>
            </w:pPr>
            <w:r>
              <w:rPr>
                <w:rFonts w:ascii="Arial" w:cs="Arial" w:eastAsia="Arial" w:hAnsi="Arial"/>
                <w:sz w:val="18"/>
                <w:szCs w:val="18"/>
                <w:color w:val="auto"/>
              </w:rPr>
              <w:t>Total net sales and revenue</w:t>
            </w:r>
          </w:p>
        </w:tc>
        <w:tc>
          <w:tcPr>
            <w:tcW w:w="12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34,433</w:t>
            </w:r>
          </w:p>
        </w:tc>
        <w:tc>
          <w:tcPr>
            <w:tcW w:w="44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99,807</w:t>
            </w:r>
          </w:p>
        </w:tc>
        <w:tc>
          <w:tcPr>
            <w:tcW w:w="44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25,519</w:t>
            </w:r>
          </w:p>
        </w:tc>
        <w:tc>
          <w:tcPr>
            <w:tcW w:w="560" w:type="dxa"/>
            <w:vAlign w:val="bottom"/>
            <w:tcBorders>
              <w:right w:val="single" w:sz="8" w:color="auto"/>
            </w:tcBorders>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1,678</w:t>
            </w:r>
          </w:p>
        </w:tc>
        <w:tc>
          <w:tcPr>
            <w:tcW w:w="46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48,098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300" w:type="dxa"/>
            <w:vAlign w:val="bottom"/>
            <w:vMerge w:val="restart"/>
          </w:tcPr>
          <w:p>
            <w:pPr>
              <w:spacing w:after="0"/>
              <w:rPr>
                <w:sz w:val="20"/>
                <w:szCs w:val="20"/>
                <w:color w:val="auto"/>
              </w:rPr>
            </w:pPr>
            <w:r>
              <w:rPr>
                <w:rFonts w:ascii="Arial" w:cs="Arial" w:eastAsia="Arial" w:hAnsi="Arial"/>
                <w:sz w:val="18"/>
                <w:szCs w:val="18"/>
                <w:color w:val="auto"/>
              </w:rPr>
              <w:t>Net income (loss) attributable to stockholders</w:t>
            </w:r>
          </w:p>
        </w:tc>
        <w:tc>
          <w:tcPr>
            <w:tcW w:w="1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560" w:type="dxa"/>
            <w:vAlign w:val="bottom"/>
            <w:tcBorders>
              <w:right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4300" w:type="dxa"/>
            <w:vAlign w:val="bottom"/>
            <w:vMerge w:val="continue"/>
          </w:tcPr>
          <w:p>
            <w:pPr>
              <w:spacing w:after="0"/>
              <w:rPr>
                <w:sz w:val="18"/>
                <w:szCs w:val="18"/>
                <w:color w:val="auto"/>
              </w:rPr>
            </w:pP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2,213</w:t>
            </w:r>
          </w:p>
        </w:tc>
        <w:tc>
          <w:tcPr>
            <w:tcW w:w="5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4,966</w:t>
            </w:r>
          </w:p>
        </w:tc>
        <w:tc>
          <w:tcPr>
            <w:tcW w:w="580" w:type="dxa"/>
            <w:vAlign w:val="bottom"/>
            <w:gridSpan w:val="2"/>
          </w:tcPr>
          <w:p>
            <w:pPr>
              <w:ind w:left="440"/>
              <w:spacing w:after="0"/>
              <w:rPr>
                <w:sz w:val="20"/>
                <w:szCs w:val="20"/>
                <w:color w:val="auto"/>
              </w:rPr>
            </w:pPr>
            <w:r>
              <w:rPr>
                <w:rFonts w:ascii="Arial" w:cs="Arial" w:eastAsia="Arial" w:hAnsi="Arial"/>
                <w:sz w:val="18"/>
                <w:szCs w:val="18"/>
                <w:color w:val="auto"/>
              </w:rPr>
              <w:t>$</w:t>
            </w:r>
          </w:p>
        </w:tc>
        <w:tc>
          <w:tcPr>
            <w:tcW w:w="1560" w:type="dxa"/>
            <w:vAlign w:val="bottom"/>
            <w:tcBorders>
              <w:right w:val="single" w:sz="8" w:color="auto"/>
            </w:tcBorders>
            <w:gridSpan w:val="2"/>
          </w:tcPr>
          <w:p>
            <w:pPr>
              <w:jc w:val="right"/>
              <w:ind w:right="500"/>
              <w:spacing w:after="0"/>
              <w:rPr>
                <w:sz w:val="20"/>
                <w:szCs w:val="20"/>
                <w:color w:val="auto"/>
              </w:rPr>
            </w:pPr>
            <w:r>
              <w:rPr>
                <w:rFonts w:ascii="Arial" w:cs="Arial" w:eastAsia="Arial" w:hAnsi="Arial"/>
                <w:sz w:val="18"/>
                <w:szCs w:val="18"/>
                <w:color w:val="auto"/>
              </w:rPr>
              <w:t>(835)</w:t>
            </w:r>
          </w:p>
        </w:tc>
        <w:tc>
          <w:tcPr>
            <w:tcW w:w="440" w:type="dxa"/>
            <w:vAlign w:val="bottom"/>
            <w:gridSpan w:val="2"/>
          </w:tcPr>
          <w:p>
            <w:pPr>
              <w:ind w:left="340"/>
              <w:spacing w:after="0"/>
              <w:rPr>
                <w:sz w:val="20"/>
                <w:szCs w:val="20"/>
                <w:color w:val="auto"/>
              </w:rPr>
            </w:pPr>
            <w:r>
              <w:rPr>
                <w:rFonts w:ascii="Arial" w:cs="Arial" w:eastAsia="Arial" w:hAnsi="Arial"/>
                <w:sz w:val="18"/>
                <w:szCs w:val="18"/>
                <w:color w:val="auto"/>
                <w:w w:val="79"/>
              </w:rPr>
              <w:t>$</w:t>
            </w:r>
          </w:p>
        </w:tc>
        <w:tc>
          <w:tcPr>
            <w:tcW w:w="1060" w:type="dxa"/>
            <w:vAlign w:val="bottom"/>
            <w:gridSpan w:val="2"/>
          </w:tcPr>
          <w:p>
            <w:pPr>
              <w:jc w:val="right"/>
              <w:ind w:right="460"/>
              <w:spacing w:after="0"/>
              <w:rPr>
                <w:sz w:val="20"/>
                <w:szCs w:val="20"/>
                <w:color w:val="auto"/>
              </w:rPr>
            </w:pPr>
            <w:r>
              <w:rPr>
                <w:rFonts w:ascii="Arial" w:cs="Arial" w:eastAsia="Arial" w:hAnsi="Arial"/>
                <w:sz w:val="18"/>
                <w:szCs w:val="18"/>
                <w:color w:val="auto"/>
                <w:w w:val="89"/>
              </w:rPr>
              <w:t>128,000</w:t>
            </w:r>
          </w:p>
        </w:tc>
        <w:tc>
          <w:tcPr>
            <w:tcW w:w="80" w:type="dxa"/>
            <w:vAlign w:val="bottom"/>
          </w:tcPr>
          <w:p>
            <w:pPr>
              <w:jc w:val="right"/>
              <w:spacing w:after="0"/>
              <w:rPr>
                <w:sz w:val="20"/>
                <w:szCs w:val="20"/>
                <w:color w:val="auto"/>
              </w:rPr>
            </w:pPr>
            <w:r>
              <w:rPr>
                <w:rFonts w:ascii="Arial" w:cs="Arial" w:eastAsia="Arial" w:hAnsi="Arial"/>
                <w:sz w:val="15"/>
                <w:szCs w:val="15"/>
                <w:u w:val="single" w:color="auto"/>
                <w:color w:val="auto"/>
                <w:w w:val="71"/>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86"/>
              </w:rPr>
              <w:t>109,151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3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right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5751195</wp:posOffset>
            </wp:positionH>
            <wp:positionV relativeFrom="paragraph">
              <wp:posOffset>-205105</wp:posOffset>
            </wp:positionV>
            <wp:extent cx="26035" cy="889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26035" cy="8890"/>
                    </a:xfrm>
                    <a:prstGeom prst="rect">
                      <a:avLst/>
                    </a:prstGeom>
                    <a:noFill/>
                  </pic:spPr>
                </pic:pic>
              </a:graphicData>
            </a:graphic>
          </wp:anchor>
        </w:drawing>
        <w:drawing>
          <wp:anchor simplePos="0" relativeHeight="251657728" behindDoc="1" locked="0" layoutInCell="0" allowOverlap="1">
            <wp:simplePos x="0" y="0"/>
            <wp:positionH relativeFrom="column">
              <wp:posOffset>5751195</wp:posOffset>
            </wp:positionH>
            <wp:positionV relativeFrom="paragraph">
              <wp:posOffset>-187960</wp:posOffset>
            </wp:positionV>
            <wp:extent cx="26035" cy="889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26035" cy="8890"/>
                    </a:xfrm>
                    <a:prstGeom prst="rect">
                      <a:avLst/>
                    </a:prstGeom>
                    <a:noFill/>
                  </pic:spPr>
                </pic:pic>
              </a:graphicData>
            </a:graphic>
          </wp:anchor>
        </w:drawing>
        <w:drawing>
          <wp:anchor simplePos="0" relativeHeight="251657728" behindDoc="1" locked="0" layoutInCell="0" allowOverlap="1">
            <wp:simplePos x="0" y="0"/>
            <wp:positionH relativeFrom="column">
              <wp:posOffset>5751195</wp:posOffset>
            </wp:positionH>
            <wp:positionV relativeFrom="paragraph">
              <wp:posOffset>-33655</wp:posOffset>
            </wp:positionV>
            <wp:extent cx="26035" cy="889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26035" cy="8890"/>
                    </a:xfrm>
                    <a:prstGeom prst="rect">
                      <a:avLst/>
                    </a:prstGeom>
                    <a:noFill/>
                  </pic:spPr>
                </pic:pic>
              </a:graphicData>
            </a:graphic>
          </wp:anchor>
        </w:drawing>
        <w:drawing>
          <wp:anchor simplePos="0" relativeHeight="251657728" behindDoc="1" locked="0" layoutInCell="0" allowOverlap="1">
            <wp:simplePos x="0" y="0"/>
            <wp:positionH relativeFrom="column">
              <wp:posOffset>5751195</wp:posOffset>
            </wp:positionH>
            <wp:positionV relativeFrom="paragraph">
              <wp:posOffset>-16510</wp:posOffset>
            </wp:positionV>
            <wp:extent cx="26035" cy="889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26035" cy="8890"/>
                    </a:xfrm>
                    <a:prstGeom prst="rect">
                      <a:avLst/>
                    </a:prstGeom>
                    <a:noFill/>
                  </pic:spPr>
                </pic:pic>
              </a:graphicData>
            </a:graphic>
          </wp:anchor>
        </w:drawing>
      </w:r>
    </w:p>
    <w:p>
      <w:pPr>
        <w:spacing w:after="0" w:line="134" w:lineRule="exact"/>
        <w:rPr>
          <w:sz w:val="20"/>
          <w:szCs w:val="20"/>
          <w:color w:val="auto"/>
        </w:rPr>
      </w:pPr>
    </w:p>
    <w:p>
      <w:pPr>
        <w:jc w:val="both"/>
        <w:ind w:right="20" w:firstLine="228"/>
        <w:spacing w:after="0" w:line="332" w:lineRule="auto"/>
        <w:rPr>
          <w:sz w:val="20"/>
          <w:szCs w:val="20"/>
          <w:color w:val="auto"/>
        </w:rPr>
      </w:pPr>
      <w:r>
        <w:rPr>
          <w:rFonts w:ascii="Arial" w:cs="Arial" w:eastAsia="Arial" w:hAnsi="Arial"/>
          <w:sz w:val="16"/>
          <w:szCs w:val="16"/>
          <w:color w:val="auto"/>
        </w:rPr>
        <w:t>It is not possible to reasonably estimate the nature and amount of goodwill or the value of identifiable intangible assets at this time because the valuation of the assets acquired and liabilities assumed was not completed at the date of the issuance of our condensed consolidated financial statements.</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New Secured Revolving Credit Facility</w:t>
      </w:r>
    </w:p>
    <w:p>
      <w:pPr>
        <w:spacing w:after="0" w:line="177" w:lineRule="exact"/>
        <w:rPr>
          <w:sz w:val="20"/>
          <w:szCs w:val="20"/>
          <w:color w:val="auto"/>
        </w:rPr>
      </w:pPr>
    </w:p>
    <w:p>
      <w:pPr>
        <w:ind w:right="220" w:firstLine="228"/>
        <w:spacing w:after="0" w:line="289" w:lineRule="auto"/>
        <w:rPr>
          <w:sz w:val="20"/>
          <w:szCs w:val="20"/>
          <w:color w:val="auto"/>
        </w:rPr>
      </w:pPr>
      <w:r>
        <w:rPr>
          <w:rFonts w:ascii="Arial" w:cs="Arial" w:eastAsia="Arial" w:hAnsi="Arial"/>
          <w:sz w:val="16"/>
          <w:szCs w:val="16"/>
          <w:color w:val="auto"/>
        </w:rPr>
        <w:t>On October 27, 2010 we entered into a five-year, $5.0 billion secured revolving credit facility, which includes a letter of credit sub-facility of up to $500 million, with a syndicate of financial lenders. While we do not believe the proceeds of the secured revolving credit facility are required to fund operating activities, the facility is expected to provide additional liquidity and financing flexibility. Availability under the secured revolving credit facility is subject to borrowing base restrictions. Obligations under the secured revolving credit facility are secured by substantially all of our domestic assets including accounts receivable, inventory, property, plant and equipment, real estate, intercompany loans, intellectual property, trademarks, direct investments in Ally Financial, the equity interests in our direct domestic subsidiaries and are also secured by up to 65% of the voting equity interests in certain direct foreign subsidiaries, in each case, subject to certain exceptions. The collateral securing the secured revolving credit facility does not include, among other assets, cash, cash equivalents, marketable securities, as well as our investments in GM Financial, Delphi, China joint ventures and GM Daewoo.</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 Forma Adjustment for Series A Preferred Stock Purchase</w:t>
      </w:r>
    </w:p>
    <w:p>
      <w:pPr>
        <w:spacing w:after="0" w:line="177" w:lineRule="exact"/>
        <w:rPr>
          <w:sz w:val="20"/>
          <w:szCs w:val="20"/>
          <w:color w:val="auto"/>
        </w:rPr>
      </w:pPr>
    </w:p>
    <w:p>
      <w:pPr>
        <w:ind w:right="100" w:firstLine="228"/>
        <w:spacing w:after="0" w:line="291" w:lineRule="auto"/>
        <w:rPr>
          <w:sz w:val="20"/>
          <w:szCs w:val="20"/>
          <w:color w:val="auto"/>
        </w:rPr>
      </w:pPr>
      <w:r>
        <w:rPr>
          <w:rFonts w:ascii="Arial" w:cs="Arial" w:eastAsia="Arial" w:hAnsi="Arial"/>
          <w:sz w:val="16"/>
          <w:szCs w:val="16"/>
          <w:color w:val="auto"/>
        </w:rPr>
        <w:t>We have agreed to purchase 83.9 million shares of Series A Preferred Stock held by the UST at a price equal to 102 percent of their $2.1 billion aggregate liquidation amount, conditional upon the completion of the common stock offering. We will record a $677 million charge to Net income attributable to common stockholders for the difference between the carrying amount of the Series A Preferred Stock held by the UST of $1.5 billion and the consideration paid of $2.1 billion. The charge to Net income attributable to common stockholders has been included in the pro forma basic and diluted EPS for the three and nine months ended September 30, 2010. In the three months ended September 30, 2010 basic and diluted EPS has been reduced by $0.46 and $0.41 to $0.85 and $0.79. In the nine months ended September 30, 2010 basic and diluted EPS have been reduced by $0.45 and $0.43 to $2.32 and $2.19.</w:t>
      </w:r>
    </w:p>
    <w:p>
      <w:pPr>
        <w:spacing w:after="0" w:line="120" w:lineRule="exact"/>
        <w:rPr>
          <w:sz w:val="20"/>
          <w:szCs w:val="20"/>
          <w:color w:val="auto"/>
        </w:rPr>
      </w:pPr>
    </w:p>
    <w:p>
      <w:pPr>
        <w:ind w:right="20" w:firstLine="228"/>
        <w:spacing w:after="0" w:line="255" w:lineRule="auto"/>
        <w:rPr>
          <w:sz w:val="20"/>
          <w:szCs w:val="20"/>
          <w:color w:val="auto"/>
        </w:rPr>
      </w:pPr>
      <w:r>
        <w:rPr>
          <w:rFonts w:ascii="Arial" w:cs="Arial" w:eastAsia="Arial" w:hAnsi="Arial"/>
          <w:sz w:val="18"/>
          <w:szCs w:val="18"/>
          <w:color w:val="auto"/>
        </w:rPr>
        <w:t>Upon the purchase of the Series A Preferred Stock held by the UST, the remaining Series A Preferred Stock, which is held by Canada Holdings and the New VEBA, will be reclassified to permanent equity at its current carrying amount of $5.5 billion. The reclassification to permanent equity will occur as the holders of the Series A Preferred Stock will no longer own a majority of our common stock and therefore will no longer have the ability to exert control through the power to vote for the election of our directors or over other various matters, including compelling us to redeem the Series A Preferred Stock when it becomes callable by us on or after December 31, 2014.</w:t>
      </w:r>
    </w:p>
    <w:p>
      <w:pPr>
        <w:spacing w:after="0" w:line="143" w:lineRule="exact"/>
        <w:rPr>
          <w:sz w:val="20"/>
          <w:szCs w:val="20"/>
          <w:color w:val="auto"/>
        </w:rPr>
      </w:pPr>
    </w:p>
    <w:p>
      <w:pPr>
        <w:ind w:right="600" w:firstLine="228"/>
        <w:spacing w:after="0" w:line="332" w:lineRule="auto"/>
        <w:rPr>
          <w:sz w:val="20"/>
          <w:szCs w:val="20"/>
          <w:color w:val="auto"/>
        </w:rPr>
      </w:pPr>
      <w:r>
        <w:rPr>
          <w:rFonts w:ascii="Arial" w:cs="Arial" w:eastAsia="Arial" w:hAnsi="Arial"/>
          <w:sz w:val="16"/>
          <w:szCs w:val="16"/>
          <w:color w:val="auto"/>
        </w:rPr>
        <w:t>The purchase and subsequent reclassification of the Series A Preferred Stock will reduce cash by $2.1 billion, reduce temporary equity by $7.0 billion, increase accumulated deficit by $677 million, and increase preferred stock included in permanent equity by $5.5 billion.</w:t>
      </w:r>
    </w:p>
    <w:p>
      <w:pPr>
        <w:spacing w:after="0" w:line="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82</w:t>
      </w:r>
    </w:p>
    <w:p>
      <w:pPr>
        <w:sectPr>
          <w:pgSz w:w="11900" w:h="16838" w:orient="portrait"/>
          <w:cols w:equalWidth="0" w:num="1">
            <w:col w:w="11420"/>
          </w:cols>
          <w:pgMar w:left="240" w:top="459" w:right="239" w:bottom="1440" w:gutter="0" w:footer="0" w:header="0"/>
        </w:sectPr>
      </w:pPr>
    </w:p>
    <w:bookmarkStart w:id="84" w:name="page85"/>
    <w:bookmarkEnd w:id="8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339" w:lineRule="exact"/>
        <w:rPr>
          <w:sz w:val="20"/>
          <w:szCs w:val="20"/>
          <w:color w:val="auto"/>
        </w:rPr>
      </w:pPr>
    </w:p>
    <w:p>
      <w:pPr>
        <w:ind w:right="200" w:firstLine="228"/>
        <w:spacing w:after="0" w:line="298" w:lineRule="auto"/>
        <w:rPr>
          <w:sz w:val="20"/>
          <w:szCs w:val="20"/>
          <w:color w:val="auto"/>
        </w:rPr>
      </w:pPr>
      <w:r>
        <w:rPr>
          <w:rFonts w:ascii="Arial" w:cs="Arial" w:eastAsia="Arial" w:hAnsi="Arial"/>
          <w:sz w:val="16"/>
          <w:szCs w:val="16"/>
          <w:color w:val="auto"/>
        </w:rPr>
        <w:t>In the event that we reach an agreement in the future to purchase the shares of Series A Preferred Stock held by Canada Holdings and the New VEBA, we would record a $1.4 billion charge to Net income attributable to common shareholders related to the difference between the carrying amount of $5.5 billion and the face amount of $6.9 billion if purchased at a price equal to the liquidation amount of $25 per share. The charge to Net income attributable to common shareholders would be larger if the consideration paid for the remaining Series A Preferred Stock is in excess of the liquidation amount of $25 per share.</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Actions</w:t>
      </w:r>
    </w:p>
    <w:p>
      <w:pPr>
        <w:spacing w:after="0" w:line="177" w:lineRule="exact"/>
        <w:rPr>
          <w:sz w:val="20"/>
          <w:szCs w:val="20"/>
          <w:color w:val="auto"/>
        </w:rPr>
      </w:pPr>
    </w:p>
    <w:p>
      <w:pPr>
        <w:ind w:right="80" w:firstLine="228"/>
        <w:spacing w:after="0" w:line="268" w:lineRule="auto"/>
        <w:rPr>
          <w:sz w:val="20"/>
          <w:szCs w:val="20"/>
          <w:color w:val="auto"/>
        </w:rPr>
      </w:pPr>
      <w:r>
        <w:rPr>
          <w:rFonts w:ascii="Arial" w:cs="Arial" w:eastAsia="Arial" w:hAnsi="Arial"/>
          <w:sz w:val="18"/>
          <w:szCs w:val="18"/>
          <w:color w:val="auto"/>
        </w:rPr>
        <w:t>On October 26, 2010 we repaid in full the outstanding amount (together with accreted interest thereon) of the VEBA Notes of $2.8 billion, which resulted in a gain of $198 million that will be recorded during the three months ending December 31, 2010.</w:t>
      </w:r>
    </w:p>
    <w:p>
      <w:pPr>
        <w:spacing w:after="0" w:line="132" w:lineRule="exact"/>
        <w:rPr>
          <w:sz w:val="20"/>
          <w:szCs w:val="20"/>
          <w:color w:val="auto"/>
        </w:rPr>
      </w:pPr>
    </w:p>
    <w:p>
      <w:pPr>
        <w:ind w:right="40" w:firstLine="228"/>
        <w:spacing w:after="0" w:line="314" w:lineRule="auto"/>
        <w:rPr>
          <w:sz w:val="20"/>
          <w:szCs w:val="20"/>
          <w:color w:val="auto"/>
        </w:rPr>
      </w:pPr>
      <w:r>
        <w:rPr>
          <w:rFonts w:ascii="Arial" w:cs="Arial" w:eastAsia="Arial" w:hAnsi="Arial"/>
          <w:sz w:val="15"/>
          <w:szCs w:val="15"/>
          <w:color w:val="auto"/>
        </w:rPr>
        <w:t>We also expect to contribute cash of $4.0 billion and common stock valued at $2.0 billion to the U.S. hourly and salaried pension plans after the completion of the common stock offering and Series B Preferred Stock offering. The stock contribution is contingent on Department of Labor approval, which we expect to receive in the near-term. The number of shares contributed will be determined based on the offering price of our common stock in the common stock offering. Currently, our intention is to contribute common stock to the U.S. hourly and salaried pension plans that will not initially qualify as plan assets due to certain transfer restrictions and for accounting purposes, these shares will be reflected as issued but not outstanding. When the transfer restrictions have been eliminated, our common stock issued to the U.S. hourly and salaried pension plans will qualify as plan assets and will then be considered issued and outstanding.</w:t>
      </w:r>
    </w:p>
    <w:p>
      <w:pPr>
        <w:spacing w:after="0" w:line="105" w:lineRule="exact"/>
        <w:rPr>
          <w:sz w:val="20"/>
          <w:szCs w:val="20"/>
          <w:color w:val="auto"/>
        </w:rPr>
      </w:pPr>
    </w:p>
    <w:p>
      <w:pPr>
        <w:ind w:firstLine="228"/>
        <w:spacing w:after="0" w:line="290" w:lineRule="auto"/>
        <w:rPr>
          <w:sz w:val="20"/>
          <w:szCs w:val="20"/>
          <w:color w:val="auto"/>
        </w:rPr>
      </w:pPr>
      <w:r>
        <w:rPr>
          <w:rFonts w:ascii="Arial" w:cs="Arial" w:eastAsia="Arial" w:hAnsi="Arial"/>
          <w:sz w:val="16"/>
          <w:szCs w:val="16"/>
          <w:color w:val="auto"/>
        </w:rPr>
        <w:t>Under wholesale financing arrangements, our U.S. dealers typically borrow money from financial institutions to fund their vehicle purchases from us. Subject to completion of the common stock offering and Series B Preferred Stock offering, we expect to terminate a wholesale advance agreement which provides for accelerated receipt of payments made by Ally Financial on behalf of our U.S. dealers pursuant to Ally Financial’s wholesale financing arrangements with dealers. Similar modifications will be made in Canada. The wholesale advance agreements cover the period for which vehicles are in transit between assembly plants and dealerships. Upon termination, we will no longer receive payments in advance of the date vehicles purchased by dealers are scheduled to be delivered, resulting in an increase of up to $2.0 billion to our accounts receivable balance, depending on sales volumes and certain other factors in the near term, and the related costs under the arrangements will be eliminated.</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83</w:t>
      </w:r>
    </w:p>
    <w:p>
      <w:pPr>
        <w:sectPr>
          <w:pgSz w:w="11900" w:h="16838" w:orient="portrait"/>
          <w:cols w:equalWidth="0" w:num="1">
            <w:col w:w="11420"/>
          </w:cols>
          <w:pgMar w:left="240" w:top="459" w:right="239" w:bottom="1440" w:gutter="0" w:footer="0" w:header="0"/>
        </w:sectPr>
      </w:pPr>
    </w:p>
    <w:bookmarkStart w:id="85" w:name="page86"/>
    <w:bookmarkEnd w:id="8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2. </w:t>
      </w:r>
      <w:r>
        <w:rPr>
          <w:rFonts w:ascii="Arial" w:cs="Arial" w:eastAsia="Arial" w:hAnsi="Arial"/>
          <w:sz w:val="18"/>
          <w:szCs w:val="18"/>
          <w:b w:val="1"/>
          <w:bCs w:val="1"/>
          <w:i w:val="1"/>
          <w:iCs w:val="1"/>
          <w:color w:val="auto"/>
        </w:rPr>
        <w:t>Management’s Discussion and Analysis of Financial Condition and Results of Operations</w:t>
      </w:r>
    </w:p>
    <w:p>
      <w:pPr>
        <w:spacing w:after="0" w:line="177" w:lineRule="exact"/>
        <w:rPr>
          <w:sz w:val="20"/>
          <w:szCs w:val="20"/>
          <w:color w:val="auto"/>
        </w:rPr>
      </w:pPr>
    </w:p>
    <w:p>
      <w:pPr>
        <w:ind w:firstLine="228"/>
        <w:spacing w:after="0" w:line="259" w:lineRule="auto"/>
        <w:rPr>
          <w:sz w:val="20"/>
          <w:szCs w:val="20"/>
          <w:color w:val="auto"/>
        </w:rPr>
      </w:pPr>
      <w:r>
        <w:rPr>
          <w:rFonts w:ascii="Arial" w:cs="Arial" w:eastAsia="Arial" w:hAnsi="Arial"/>
          <w:sz w:val="18"/>
          <w:szCs w:val="18"/>
          <w:color w:val="auto"/>
        </w:rPr>
        <w:t>This Management’s Discussion and Analysis of Financial Condition and Results of Operations (MD&amp;A) should be read in conjunction with the accompanying condensed consolidated financial statements and our Registration Statement on Form S-1, as filed with the Securities and Exchange Commission (SEC) on August 18, 2010, and amendments thereto (Form S-1).</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Presentation and Estimates</w:t>
      </w:r>
    </w:p>
    <w:p>
      <w:pPr>
        <w:spacing w:after="0" w:line="177"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Basis of Presentation</w:t>
      </w:r>
    </w:p>
    <w:p>
      <w:pPr>
        <w:spacing w:after="0" w:line="171" w:lineRule="exact"/>
        <w:rPr>
          <w:sz w:val="20"/>
          <w:szCs w:val="20"/>
          <w:color w:val="auto"/>
        </w:rPr>
      </w:pPr>
    </w:p>
    <w:p>
      <w:pPr>
        <w:ind w:right="20" w:firstLine="228"/>
        <w:spacing w:after="0" w:line="268" w:lineRule="auto"/>
        <w:rPr>
          <w:sz w:val="20"/>
          <w:szCs w:val="20"/>
          <w:color w:val="auto"/>
        </w:rPr>
      </w:pPr>
      <w:r>
        <w:rPr>
          <w:rFonts w:ascii="Arial" w:cs="Arial" w:eastAsia="Arial" w:hAnsi="Arial"/>
          <w:sz w:val="18"/>
          <w:szCs w:val="18"/>
          <w:color w:val="auto"/>
        </w:rPr>
        <w:t>We analyze the results of our business through our three segments, namely General Motors North America (GMNA), General Motors International Operations (GMIO), and General Motors Europe (GME).</w:t>
      </w:r>
    </w:p>
    <w:p>
      <w:pPr>
        <w:spacing w:after="0" w:line="132" w:lineRule="exact"/>
        <w:rPr>
          <w:sz w:val="20"/>
          <w:szCs w:val="20"/>
          <w:color w:val="auto"/>
        </w:rPr>
      </w:pPr>
    </w:p>
    <w:p>
      <w:pPr>
        <w:ind w:right="100" w:firstLine="228"/>
        <w:spacing w:after="0" w:line="332" w:lineRule="auto"/>
        <w:rPr>
          <w:sz w:val="20"/>
          <w:szCs w:val="20"/>
          <w:color w:val="auto"/>
        </w:rPr>
      </w:pPr>
      <w:r>
        <w:rPr>
          <w:rFonts w:ascii="Arial" w:cs="Arial" w:eastAsia="Arial" w:hAnsi="Arial"/>
          <w:sz w:val="16"/>
          <w:szCs w:val="16"/>
          <w:color w:val="auto"/>
        </w:rPr>
        <w:t>In the nine months ended September 30, 2010 we changed our managerial reporting structure so that certain entities geographically located within Russia and Uzbekistan were transferred from our GME segment to our GMIO segment. We have revised the segment presentation for all periods presented.</w:t>
      </w:r>
    </w:p>
    <w:p>
      <w:pPr>
        <w:spacing w:after="0" w:line="85" w:lineRule="exact"/>
        <w:rPr>
          <w:sz w:val="20"/>
          <w:szCs w:val="20"/>
          <w:color w:val="auto"/>
        </w:rPr>
      </w:pPr>
    </w:p>
    <w:p>
      <w:pPr>
        <w:ind w:right="480" w:firstLine="228"/>
        <w:spacing w:after="0" w:line="268" w:lineRule="auto"/>
        <w:rPr>
          <w:sz w:val="20"/>
          <w:szCs w:val="20"/>
          <w:color w:val="auto"/>
        </w:rPr>
      </w:pPr>
      <w:r>
        <w:rPr>
          <w:rFonts w:ascii="Arial" w:cs="Arial" w:eastAsia="Arial" w:hAnsi="Arial"/>
          <w:sz w:val="18"/>
          <w:szCs w:val="18"/>
          <w:color w:val="auto"/>
        </w:rPr>
        <w:t>Consistent with industry practice, market share information includes estimates of industry sales in certain countries where public reporting is not legally required or otherwise available on a consistent basis.</w:t>
      </w:r>
    </w:p>
    <w:p>
      <w:pPr>
        <w:spacing w:after="0" w:line="132" w:lineRule="exact"/>
        <w:rPr>
          <w:sz w:val="20"/>
          <w:szCs w:val="20"/>
          <w:color w:val="auto"/>
        </w:rPr>
      </w:pPr>
    </w:p>
    <w:p>
      <w:pPr>
        <w:ind w:right="40" w:firstLine="228"/>
        <w:spacing w:after="0" w:line="268" w:lineRule="auto"/>
        <w:rPr>
          <w:sz w:val="20"/>
          <w:szCs w:val="20"/>
          <w:color w:val="auto"/>
        </w:rPr>
      </w:pPr>
      <w:r>
        <w:rPr>
          <w:rFonts w:ascii="Arial" w:cs="Arial" w:eastAsia="Arial" w:hAnsi="Arial"/>
          <w:sz w:val="18"/>
          <w:szCs w:val="18"/>
          <w:color w:val="auto"/>
        </w:rPr>
        <w:t>On October 5, 2010 our Board of Directors recommended a three-for-one stock split on shares of our common stock, which was approved by our stockholders on November 1, 2010. The stock split was effected on November 1, 2010.</w:t>
      </w:r>
    </w:p>
    <w:p>
      <w:pPr>
        <w:spacing w:after="0" w:line="132" w:lineRule="exact"/>
        <w:rPr>
          <w:sz w:val="20"/>
          <w:szCs w:val="20"/>
          <w:color w:val="auto"/>
        </w:rPr>
      </w:pPr>
    </w:p>
    <w:p>
      <w:pPr>
        <w:ind w:right="280" w:firstLine="228"/>
        <w:spacing w:after="0" w:line="332" w:lineRule="auto"/>
        <w:rPr>
          <w:sz w:val="20"/>
          <w:szCs w:val="20"/>
          <w:color w:val="auto"/>
        </w:rPr>
      </w:pPr>
      <w:r>
        <w:rPr>
          <w:rFonts w:ascii="Arial" w:cs="Arial" w:eastAsia="Arial" w:hAnsi="Arial"/>
          <w:sz w:val="16"/>
          <w:szCs w:val="16"/>
          <w:color w:val="auto"/>
        </w:rPr>
        <w:t>Each stockholder’s percentage ownership in us and proportional voting power remained unchanged after the stock split. All applicable share, per share and related information for periods on or subsequent to July 10, 2009 have been adjusted retroactively to give effect to the three-for-one stock split.</w:t>
      </w:r>
    </w:p>
    <w:p>
      <w:pPr>
        <w:spacing w:after="0" w:line="85" w:lineRule="exact"/>
        <w:rPr>
          <w:sz w:val="20"/>
          <w:szCs w:val="20"/>
          <w:color w:val="auto"/>
        </w:rPr>
      </w:pPr>
    </w:p>
    <w:p>
      <w:pPr>
        <w:ind w:right="40" w:firstLine="228"/>
        <w:spacing w:after="0" w:line="256" w:lineRule="auto"/>
        <w:rPr>
          <w:sz w:val="20"/>
          <w:szCs w:val="20"/>
          <w:color w:val="auto"/>
        </w:rPr>
      </w:pPr>
      <w:r>
        <w:rPr>
          <w:rFonts w:ascii="Arial" w:cs="Arial" w:eastAsia="Arial" w:hAnsi="Arial"/>
          <w:sz w:val="18"/>
          <w:szCs w:val="18"/>
          <w:color w:val="auto"/>
        </w:rPr>
        <w:t>On October 5, 2010, our Board of Directors recommended that we amend our Certificate of Incorporation to increase the number of shares of common stock that we are authorized to issue from 2,500,000,000 shares to 5,000,000,000 shares and to increase the number of preferred shares that we are authorized to issue from 1,000,000,000 shares to 2,000,000,000 shares. Our stockholders approved these amendments on November 1, 2010, and they were effected on November 1, 2010.</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Use of Estimates in the Preparation of the Financial Statements</w:t>
      </w:r>
    </w:p>
    <w:p>
      <w:pPr>
        <w:spacing w:after="0" w:line="177" w:lineRule="exact"/>
        <w:rPr>
          <w:sz w:val="20"/>
          <w:szCs w:val="20"/>
          <w:color w:val="auto"/>
        </w:rPr>
      </w:pPr>
    </w:p>
    <w:p>
      <w:pPr>
        <w:ind w:right="180" w:firstLine="228"/>
        <w:spacing w:after="0" w:line="255" w:lineRule="auto"/>
        <w:rPr>
          <w:sz w:val="20"/>
          <w:szCs w:val="20"/>
          <w:color w:val="auto"/>
        </w:rPr>
      </w:pPr>
      <w:r>
        <w:rPr>
          <w:rFonts w:ascii="Arial" w:cs="Arial" w:eastAsia="Arial" w:hAnsi="Arial"/>
          <w:sz w:val="18"/>
          <w:szCs w:val="18"/>
          <w:color w:val="auto"/>
        </w:rPr>
        <w:t>Our condensed consolidated financial statements are prepared in conformity with U.S. GAAP, which requires the use of estimates, judgments, and assumptions that affect the reported amounts of assets and liabilities at the date of the condensed consolidated financial statements and the reported amounts of revenue and expenses in the periods presented. We believe that the accounting estimates employed are appropriate and the resulting balances are reasonable; however, due to the inherent uncertainties in making estimates, actual results could differ from the original estimates, requiring adjustments to these balances in future periods.</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Company</w:t>
      </w:r>
    </w:p>
    <w:p>
      <w:pPr>
        <w:spacing w:after="0" w:line="177" w:lineRule="exact"/>
        <w:rPr>
          <w:sz w:val="20"/>
          <w:szCs w:val="20"/>
          <w:color w:val="auto"/>
        </w:rPr>
      </w:pPr>
    </w:p>
    <w:p>
      <w:pPr>
        <w:ind w:right="140" w:firstLine="228"/>
        <w:spacing w:after="0" w:line="294" w:lineRule="auto"/>
        <w:rPr>
          <w:sz w:val="20"/>
          <w:szCs w:val="20"/>
          <w:color w:val="auto"/>
        </w:rPr>
      </w:pPr>
      <w:r>
        <w:rPr>
          <w:rFonts w:ascii="Arial" w:cs="Arial" w:eastAsia="Arial" w:hAnsi="Arial"/>
          <w:sz w:val="16"/>
          <w:szCs w:val="16"/>
          <w:color w:val="auto"/>
        </w:rPr>
        <w:t>General Motors Company was formed by The United States Department of the Treasury (UST) in 2009 originally as a Delaware limited liability company, Vehicle Acquisition Holdings LLC, and subsequently converted to a Delaware corporation, NGMCO, Inc. This company acquired substantially all of the assets and assumed certain liabilities of General Motors Corporation (363 Sale) on July 10, 2009 and changed its name to General Motors Company, is sometimes referred to in this Quarterly Report on Form 10-Q for the periods on or subsequent to July 10, 2009 as “we,” “our,” “us,” “ourselves,” the “Company,” “General Motors,” or “GM,” and is the successor entity solely for accounting and financial reporting purposes (Successor). General Motors Corporation is sometimes</w:t>
      </w:r>
    </w:p>
    <w:p>
      <w:pPr>
        <w:spacing w:after="0" w:line="1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84</w:t>
      </w:r>
    </w:p>
    <w:p>
      <w:pPr>
        <w:sectPr>
          <w:pgSz w:w="11900" w:h="16838" w:orient="portrait"/>
          <w:cols w:equalWidth="0" w:num="1">
            <w:col w:w="11400"/>
          </w:cols>
          <w:pgMar w:left="240" w:top="459" w:right="259" w:bottom="1440" w:gutter="0" w:footer="0" w:header="0"/>
        </w:sectPr>
      </w:pPr>
    </w:p>
    <w:bookmarkStart w:id="86" w:name="page87"/>
    <w:bookmarkEnd w:id="8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164" w:lineRule="exact"/>
        <w:rPr>
          <w:sz w:val="20"/>
          <w:szCs w:val="20"/>
          <w:color w:val="auto"/>
        </w:rPr>
      </w:pPr>
    </w:p>
    <w:p>
      <w:pPr>
        <w:ind w:right="140"/>
        <w:spacing w:after="0" w:line="291" w:lineRule="auto"/>
        <w:rPr>
          <w:sz w:val="20"/>
          <w:szCs w:val="20"/>
          <w:color w:val="auto"/>
        </w:rPr>
      </w:pPr>
      <w:r>
        <w:rPr>
          <w:rFonts w:ascii="Arial" w:cs="Arial" w:eastAsia="Arial" w:hAnsi="Arial"/>
          <w:sz w:val="16"/>
          <w:szCs w:val="16"/>
          <w:color w:val="auto"/>
        </w:rPr>
        <w:t>referred to in this Quarterly Report on Form 10-Q, for the periods on or before July 9, 2009, as “Old GM.” Prior to July 10, 2009 Old GM operated the business of the Company, and pursuant to an agreement with the SEC Staff of the Securities and Exchange Commission (SEC) as described in no-action letter issued to Old GM by the SEC Staff on July 9, 2009 regarding our filing requirements and those of Motors Liquidation Company (MLC), the accompanying unaudited condensed consolidated interim financial statements include the financial statements and related information of Old GM as it is our predecessor entity solely for accounting and financial reporting purposes (Predecessor). On July 10, 2009 in connection with the 363 Sale, General Motors Corporation changed its name to Motors Liquidation Corporation. MLC continues to exist as a distinct legal entity for the sole purpose of liquidating its remaining assets and liabilities.</w:t>
      </w:r>
    </w:p>
    <w:p>
      <w:pPr>
        <w:spacing w:after="0" w:line="120" w:lineRule="exact"/>
        <w:rPr>
          <w:sz w:val="20"/>
          <w:szCs w:val="20"/>
          <w:color w:val="auto"/>
        </w:rPr>
      </w:pPr>
    </w:p>
    <w:p>
      <w:pPr>
        <w:ind w:right="60" w:firstLine="228"/>
        <w:spacing w:after="0" w:line="289" w:lineRule="auto"/>
        <w:rPr>
          <w:sz w:val="20"/>
          <w:szCs w:val="20"/>
          <w:color w:val="auto"/>
        </w:rPr>
      </w:pPr>
      <w:r>
        <w:rPr>
          <w:rFonts w:ascii="Arial" w:cs="Arial" w:eastAsia="Arial" w:hAnsi="Arial"/>
          <w:sz w:val="16"/>
          <w:szCs w:val="16"/>
          <w:color w:val="auto"/>
        </w:rPr>
        <w:t>We are a leading global automotive company. Our vision is to design, build and sell the world’s best vehicles. We seek to distinguish our vehicles through superior design, quality, reliability, telematics (wireless voice and data) and infotainment and safety within their respective vehicle segments. Our business is diversified across products and geographic markets, with operations and sales in over 120 countries. We assemble our passenger cars, crossover vehicles, light trucks, sport utility vehicles, vans and other vehicles in 71 assembly facilities worldwide and have 88 additional global manufacturing facilities. With a global network of over 21,000 independent dealers we meet the local sales and service needs of our retail and fleet customers. In 2009, we and Old GM sold 7.5 million vehicles, representing 11.6% of total vehicle sales worldwide. Approximately 72% of our and Old GM’s total 2009 vehicle sales volume was generated outside the United States, including 38.7% from emerging markets, such as Brazil, Russia, India and China (collectively, BRIC), which have recently experienced the industry’s highest volume growth.</w:t>
      </w:r>
    </w:p>
    <w:p>
      <w:pPr>
        <w:spacing w:after="0" w:line="118" w:lineRule="exact"/>
        <w:rPr>
          <w:sz w:val="20"/>
          <w:szCs w:val="20"/>
          <w:color w:val="auto"/>
        </w:rPr>
      </w:pPr>
    </w:p>
    <w:p>
      <w:pPr>
        <w:ind w:left="240"/>
        <w:spacing w:after="0"/>
        <w:rPr>
          <w:sz w:val="20"/>
          <w:szCs w:val="20"/>
          <w:color w:val="auto"/>
        </w:rPr>
      </w:pPr>
      <w:r>
        <w:rPr>
          <w:rFonts w:ascii="Arial" w:cs="Arial" w:eastAsia="Arial" w:hAnsi="Arial"/>
          <w:sz w:val="18"/>
          <w:szCs w:val="18"/>
          <w:color w:val="auto"/>
        </w:rPr>
        <w:t>Our business is organized into three geographically-based segments:</w:t>
      </w:r>
    </w:p>
    <w:p>
      <w:pPr>
        <w:spacing w:after="0" w:line="212" w:lineRule="exact"/>
        <w:rPr>
          <w:sz w:val="20"/>
          <w:szCs w:val="20"/>
          <w:color w:val="auto"/>
        </w:rPr>
      </w:pPr>
    </w:p>
    <w:p>
      <w:pPr>
        <w:ind w:left="660" w:right="40" w:hanging="436"/>
        <w:spacing w:after="0" w:line="298" w:lineRule="auto"/>
        <w:tabs>
          <w:tab w:leader="none" w:pos="660" w:val="left"/>
        </w:tabs>
        <w:numPr>
          <w:ilvl w:val="0"/>
          <w:numId w:val="61"/>
        </w:numPr>
        <w:rPr>
          <w:rFonts w:ascii="Arial" w:cs="Arial" w:eastAsia="Arial" w:hAnsi="Arial"/>
          <w:sz w:val="16"/>
          <w:szCs w:val="16"/>
          <w:color w:val="auto"/>
        </w:rPr>
      </w:pPr>
      <w:r>
        <w:rPr>
          <w:rFonts w:ascii="Arial" w:cs="Arial" w:eastAsia="Arial" w:hAnsi="Arial"/>
          <w:sz w:val="16"/>
          <w:szCs w:val="16"/>
          <w:color w:val="auto"/>
        </w:rPr>
        <w:t>GMNA, with manufacturing and distribution operations in the U.S., Canada and Mexico and distribution operations in Central America and the Caribbean, represented 33.2% of our and Old GM’s total 2009 vehicle sales volume. In North America, we sell our vehicles through four brands — Chevrolet, GMC, Buick and Cadillac — which are manufactured at plants across the U.S., Canada and Mexico and imported from other GM regions. In 2009, GMNA had the largest market share of any competitor in this market at 19.0% based on vehicle sales volume.</w:t>
      </w:r>
    </w:p>
    <w:p>
      <w:pPr>
        <w:spacing w:after="0" w:line="31" w:lineRule="exact"/>
        <w:rPr>
          <w:rFonts w:ascii="Arial" w:cs="Arial" w:eastAsia="Arial" w:hAnsi="Arial"/>
          <w:sz w:val="16"/>
          <w:szCs w:val="16"/>
          <w:color w:val="auto"/>
        </w:rPr>
      </w:pPr>
    </w:p>
    <w:p>
      <w:pPr>
        <w:ind w:left="660" w:hanging="436"/>
        <w:spacing w:after="0" w:line="288" w:lineRule="auto"/>
        <w:tabs>
          <w:tab w:leader="none" w:pos="660" w:val="left"/>
        </w:tabs>
        <w:numPr>
          <w:ilvl w:val="0"/>
          <w:numId w:val="61"/>
        </w:numPr>
        <w:rPr>
          <w:rFonts w:ascii="Arial" w:cs="Arial" w:eastAsia="Arial" w:hAnsi="Arial"/>
          <w:sz w:val="16"/>
          <w:szCs w:val="16"/>
          <w:color w:val="auto"/>
        </w:rPr>
      </w:pPr>
      <w:r>
        <w:rPr>
          <w:rFonts w:ascii="Arial" w:cs="Arial" w:eastAsia="Arial" w:hAnsi="Arial"/>
          <w:sz w:val="16"/>
          <w:szCs w:val="16"/>
          <w:color w:val="auto"/>
        </w:rPr>
        <w:t>GMIO, with manufacturing and distribution operations in Asia-Pacific, South America, Russia, the Commonwealth of Independent States, Eastern Europe, Africa and the Middle East, is our largest segment by vehicle sales volume, and represented 44.5% of our and Old GM’s total 2009 vehicle sales volume including sales through our joint ventures. In these regions, we sell our vehicles under the Buick, Cadillac, Chevrolet, Daewoo, FAW, GMC, Holden, Isuzu, Jiefang, Opel and Wuling brands, and we plan to commence sales under the Baojun brand in 2011. In 2009, GMIO had the second largest market share for this market at 10.2% based on vehicle sales volume and the number one market share collectively across the BRIC markets based on vehicle sales volume. Approximately 54.9% of GMIO’s volume is from China, where, primarily through our joint ventures, we had the number one market share at 13.3% based on vehicle sales volume in 2009. Our Chinese operations are primarily comprised of three joint ventures: Shanghai General Motors Co., Ltd. (SGM; of which we own 49%), SAIC-GM-Wuling Automobile Co., Ltd. (SGMW; of which we own 34%) and FAW-GM Light Duty Commercial Vehicle Co., Ltd. (FAW-GM; of which we own 50%).</w:t>
      </w:r>
    </w:p>
    <w:p>
      <w:pPr>
        <w:spacing w:after="0" w:line="38" w:lineRule="exact"/>
        <w:rPr>
          <w:rFonts w:ascii="Arial" w:cs="Arial" w:eastAsia="Arial" w:hAnsi="Arial"/>
          <w:sz w:val="16"/>
          <w:szCs w:val="16"/>
          <w:color w:val="auto"/>
        </w:rPr>
      </w:pPr>
    </w:p>
    <w:p>
      <w:pPr>
        <w:ind w:left="660" w:right="100" w:hanging="436"/>
        <w:spacing w:after="0" w:line="298" w:lineRule="auto"/>
        <w:tabs>
          <w:tab w:leader="none" w:pos="660" w:val="left"/>
        </w:tabs>
        <w:numPr>
          <w:ilvl w:val="0"/>
          <w:numId w:val="61"/>
        </w:numPr>
        <w:rPr>
          <w:rFonts w:ascii="Arial" w:cs="Arial" w:eastAsia="Arial" w:hAnsi="Arial"/>
          <w:sz w:val="16"/>
          <w:szCs w:val="16"/>
          <w:color w:val="auto"/>
        </w:rPr>
      </w:pPr>
      <w:r>
        <w:rPr>
          <w:rFonts w:ascii="Arial" w:cs="Arial" w:eastAsia="Arial" w:hAnsi="Arial"/>
          <w:sz w:val="16"/>
          <w:szCs w:val="16"/>
          <w:color w:val="auto"/>
        </w:rPr>
        <w:t>GME, with manufacturing and distribution operations across Western and Central Europe, represented 22.3% of our and Old GM’s total 2009 vehicle sales volume. In Western and Central Europe, we sell our vehicles under the Opel and Vauxhall (U.K. only) brands, which are manufactured in Europe, and under the Chevrolet brand, which is imported from South Korea where it is manufactured by GM Daewoo Auto &amp; Technology, Inc. (GM Daewoo) of which we own 70.1%. In 2009, GME had the number five market share in this market, at 8.9% based on vehicle sales volume.</w:t>
      </w:r>
    </w:p>
    <w:p>
      <w:pPr>
        <w:spacing w:after="0" w:line="113" w:lineRule="exact"/>
        <w:rPr>
          <w:sz w:val="20"/>
          <w:szCs w:val="20"/>
          <w:color w:val="auto"/>
        </w:rPr>
      </w:pPr>
    </w:p>
    <w:p>
      <w:pPr>
        <w:ind w:right="180" w:firstLine="228"/>
        <w:spacing w:after="0" w:line="259" w:lineRule="auto"/>
        <w:rPr>
          <w:sz w:val="20"/>
          <w:szCs w:val="20"/>
          <w:color w:val="auto"/>
        </w:rPr>
      </w:pPr>
      <w:r>
        <w:rPr>
          <w:rFonts w:ascii="Arial" w:cs="Arial" w:eastAsia="Arial" w:hAnsi="Arial"/>
          <w:sz w:val="18"/>
          <w:szCs w:val="18"/>
          <w:color w:val="auto"/>
        </w:rPr>
        <w:t>We offer a global vehicle portfolio of cars, crossovers and trucks. We are committed to leadership in vehicle design, quality, reliability, telematics and infotainment and safety, as well as to developing key energy efficiency, energy diversity and advanced propulsion technologies, including electric vehicles with range extending capabilities such as the new Chevrolet Volt.</w:t>
      </w:r>
    </w:p>
    <w:p>
      <w:pPr>
        <w:spacing w:after="0" w:line="140" w:lineRule="exact"/>
        <w:rPr>
          <w:sz w:val="20"/>
          <w:szCs w:val="20"/>
          <w:color w:val="auto"/>
        </w:rPr>
      </w:pPr>
    </w:p>
    <w:p>
      <w:pPr>
        <w:ind w:firstLine="228"/>
        <w:spacing w:after="0" w:line="268" w:lineRule="auto"/>
        <w:rPr>
          <w:sz w:val="20"/>
          <w:szCs w:val="20"/>
          <w:color w:val="auto"/>
        </w:rPr>
      </w:pPr>
      <w:r>
        <w:rPr>
          <w:rFonts w:ascii="Arial" w:cs="Arial" w:eastAsia="Arial" w:hAnsi="Arial"/>
          <w:sz w:val="18"/>
          <w:szCs w:val="18"/>
          <w:color w:val="auto"/>
        </w:rPr>
        <w:t>Our company commenced operations on July 10, 2009 when we completed the acquisition of substantially all of the assets and assumption of certain liabilities of Old GM through a 363 Sale under the U.S. Bankruptcy Code (Bankruptcy Code). As a result of the</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85</w:t>
      </w:r>
    </w:p>
    <w:p>
      <w:pPr>
        <w:sectPr>
          <w:pgSz w:w="11900" w:h="16838" w:orient="portrait"/>
          <w:cols w:equalWidth="0" w:num="1">
            <w:col w:w="11400"/>
          </w:cols>
          <w:pgMar w:left="240" w:top="459" w:right="259" w:bottom="1440" w:gutter="0" w:footer="0" w:header="0"/>
        </w:sectPr>
      </w:pPr>
    </w:p>
    <w:bookmarkStart w:id="87" w:name="page88"/>
    <w:bookmarkEnd w:id="8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164" w:lineRule="exact"/>
        <w:rPr>
          <w:sz w:val="20"/>
          <w:szCs w:val="20"/>
          <w:color w:val="auto"/>
        </w:rPr>
      </w:pPr>
    </w:p>
    <w:p>
      <w:pPr>
        <w:ind w:right="40"/>
        <w:spacing w:after="0" w:line="253" w:lineRule="auto"/>
        <w:rPr>
          <w:sz w:val="20"/>
          <w:szCs w:val="20"/>
          <w:color w:val="auto"/>
        </w:rPr>
      </w:pPr>
      <w:r>
        <w:rPr>
          <w:rFonts w:ascii="Arial" w:cs="Arial" w:eastAsia="Arial" w:hAnsi="Arial"/>
          <w:sz w:val="18"/>
          <w:szCs w:val="18"/>
          <w:color w:val="auto"/>
        </w:rPr>
        <w:t>363 Sale and other recent restructuring and cost savings initiatives, we have improved our financial position and level of operational flexibility as compared to Old GM when it operated the business. We commenced operations upon completion of the 363 Sale with a total amount of debt and other liabilities at July 10, 2009 that was $92.7 billion less than Old GM’s total amount of debt and other liabilities at July 9, 2009. We reached a competitive labor agreement with our unions, began restructuring our dealer network and reduced and refocused our brand strategy in the U.S. to our four brands. Although our U.S. and non-U.S. pension plans were underfunded by $17.1 billion and $10.3 billion at December 31, 2009, we have a strong balance sheet, with available liquidity (cash, and cash equivalents and marketable securities) of $33.5 billion and an outstanding debt balance of $8.6 billion at September 30, 2010. Subsequently, we repaid $2.8 billion of our then outstanding debt (together with accreted interest thereon) utilizing available liquidity and entered into a new five year $5.0 billion secured revolving credit facility.</w:t>
      </w:r>
    </w:p>
    <w:p>
      <w:pPr>
        <w:spacing w:after="0" w:line="145" w:lineRule="exact"/>
        <w:rPr>
          <w:sz w:val="20"/>
          <w:szCs w:val="20"/>
          <w:color w:val="auto"/>
        </w:rPr>
      </w:pPr>
    </w:p>
    <w:p>
      <w:pPr>
        <w:ind w:right="100" w:firstLine="228"/>
        <w:spacing w:after="0" w:line="259" w:lineRule="auto"/>
        <w:rPr>
          <w:sz w:val="20"/>
          <w:szCs w:val="20"/>
          <w:color w:val="auto"/>
        </w:rPr>
      </w:pPr>
      <w:r>
        <w:rPr>
          <w:rFonts w:ascii="Arial" w:cs="Arial" w:eastAsia="Arial" w:hAnsi="Arial"/>
          <w:sz w:val="18"/>
          <w:szCs w:val="18"/>
          <w:color w:val="auto"/>
        </w:rPr>
        <w:t>In recent quarters, we achieved profitability. Our results for the three months ended March 31, 2010, June 30, 2010 and September 30, 2010 included net income of $1.2 billion, $1.6 billion and $2.2 billion. We had a net loss of $3.8 billion, which included a settlement loss of $2.6 billion related to the 2009 revised UAW settlement agreement, for the period from July 10, 2009 to December 31, 2009.</w:t>
      </w:r>
    </w:p>
    <w:p>
      <w:pPr>
        <w:spacing w:after="0" w:line="140"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Our Competitive Strengths</w:t>
      </w:r>
    </w:p>
    <w:p>
      <w:pPr>
        <w:spacing w:after="0" w:line="171" w:lineRule="exact"/>
        <w:rPr>
          <w:sz w:val="20"/>
          <w:szCs w:val="20"/>
          <w:color w:val="auto"/>
        </w:rPr>
      </w:pPr>
    </w:p>
    <w:p>
      <w:pPr>
        <w:ind w:right="340" w:firstLine="228"/>
        <w:spacing w:after="0" w:line="268" w:lineRule="auto"/>
        <w:rPr>
          <w:sz w:val="20"/>
          <w:szCs w:val="20"/>
          <w:color w:val="auto"/>
        </w:rPr>
      </w:pPr>
      <w:r>
        <w:rPr>
          <w:rFonts w:ascii="Arial" w:cs="Arial" w:eastAsia="Arial" w:hAnsi="Arial"/>
          <w:sz w:val="18"/>
          <w:szCs w:val="18"/>
          <w:color w:val="auto"/>
        </w:rPr>
        <w:t>We believe the following strengths provide us with a foundation for profitability, growth and execution on our strategic vision to design, build and sell the world’s best vehicles:</w:t>
      </w:r>
    </w:p>
    <w:p>
      <w:pPr>
        <w:spacing w:after="0" w:line="172" w:lineRule="exact"/>
        <w:rPr>
          <w:sz w:val="20"/>
          <w:szCs w:val="20"/>
          <w:color w:val="auto"/>
        </w:rPr>
      </w:pPr>
    </w:p>
    <w:p>
      <w:pPr>
        <w:ind w:left="660" w:right="20" w:hanging="436"/>
        <w:spacing w:after="0" w:line="288" w:lineRule="auto"/>
        <w:tabs>
          <w:tab w:leader="none" w:pos="660" w:val="left"/>
        </w:tabs>
        <w:numPr>
          <w:ilvl w:val="0"/>
          <w:numId w:val="62"/>
        </w:numPr>
        <w:rPr>
          <w:rFonts w:ascii="Arial" w:cs="Arial" w:eastAsia="Arial" w:hAnsi="Arial"/>
          <w:sz w:val="16"/>
          <w:szCs w:val="16"/>
          <w:color w:val="auto"/>
        </w:rPr>
      </w:pPr>
      <w:r>
        <w:rPr>
          <w:rFonts w:ascii="Arial" w:cs="Arial" w:eastAsia="Arial" w:hAnsi="Arial"/>
          <w:sz w:val="16"/>
          <w:szCs w:val="16"/>
          <w:i w:val="1"/>
          <w:iCs w:val="1"/>
          <w:color w:val="auto"/>
        </w:rPr>
        <w:t xml:space="preserve">Global presence, scale and dealer network. </w:t>
      </w:r>
      <w:r>
        <w:rPr>
          <w:rFonts w:ascii="Arial" w:cs="Arial" w:eastAsia="Arial" w:hAnsi="Arial"/>
          <w:sz w:val="16"/>
          <w:szCs w:val="16"/>
          <w:color w:val="auto"/>
        </w:rPr>
        <w:t>We are currently the world’s second largest automaker based on vehicle sales volume and, as a result of our</w:t>
      </w:r>
      <w:r>
        <w:rPr>
          <w:rFonts w:ascii="Arial" w:cs="Arial" w:eastAsia="Arial" w:hAnsi="Arial"/>
          <w:sz w:val="16"/>
          <w:szCs w:val="16"/>
          <w:i w:val="1"/>
          <w:iCs w:val="1"/>
          <w:color w:val="auto"/>
        </w:rPr>
        <w:t xml:space="preserve"> </w:t>
      </w:r>
      <w:r>
        <w:rPr>
          <w:rFonts w:ascii="Arial" w:cs="Arial" w:eastAsia="Arial" w:hAnsi="Arial"/>
          <w:sz w:val="16"/>
          <w:szCs w:val="16"/>
          <w:color w:val="auto"/>
        </w:rPr>
        <w:t>relative market positions in GMNA and GMIO, are positioned to benefit from future growth resulting from economic recovery in developed markets and continued secular growth in emerging markets. In 2009, we and Old GM sold 7.5 million vehicles in over 120 countries and generated $104.6 billion in revenue, although our and Old GM’s combined worldwide market share of 11.6% based on vehicle sales volume in 2009 had declined from Old GM’s worldwide market share of 13.2% based on vehicle sales volume in 2007. We operate a global distribution network with over 21,000 independent dealers, and we maintain 10 design centers, 30 engineering centers, and eight science labs around the world. Our presence and scale enable us to deploy our purchasing, research and development, design, engineering, marketing and distribution resources and capabilities globally across our vehicle production base. For example, we expect to spend approximately $12.0 billion for engineering and capital expenditures in 2010, which will fund the development and production of our products globally.</w:t>
      </w:r>
    </w:p>
    <w:p>
      <w:pPr>
        <w:spacing w:after="0" w:line="38" w:lineRule="exact"/>
        <w:rPr>
          <w:rFonts w:ascii="Arial" w:cs="Arial" w:eastAsia="Arial" w:hAnsi="Arial"/>
          <w:sz w:val="16"/>
          <w:szCs w:val="16"/>
          <w:color w:val="auto"/>
        </w:rPr>
      </w:pPr>
    </w:p>
    <w:p>
      <w:pPr>
        <w:ind w:left="660" w:hanging="436"/>
        <w:spacing w:after="0"/>
        <w:tabs>
          <w:tab w:leader="none" w:pos="660" w:val="left"/>
        </w:tabs>
        <w:numPr>
          <w:ilvl w:val="0"/>
          <w:numId w:val="62"/>
        </w:numPr>
        <w:rPr>
          <w:rFonts w:ascii="Arial" w:cs="Arial" w:eastAsia="Arial" w:hAnsi="Arial"/>
          <w:sz w:val="16"/>
          <w:szCs w:val="16"/>
          <w:color w:val="auto"/>
        </w:rPr>
      </w:pPr>
      <w:r>
        <w:rPr>
          <w:rFonts w:ascii="Arial" w:cs="Arial" w:eastAsia="Arial" w:hAnsi="Arial"/>
          <w:sz w:val="16"/>
          <w:szCs w:val="16"/>
          <w:i w:val="1"/>
          <w:iCs w:val="1"/>
          <w:color w:val="auto"/>
        </w:rPr>
        <w:t xml:space="preserve">Market share in emerging markets, such as China and Brazil. </w:t>
      </w:r>
      <w:r>
        <w:rPr>
          <w:rFonts w:ascii="Arial" w:cs="Arial" w:eastAsia="Arial" w:hAnsi="Arial"/>
          <w:sz w:val="16"/>
          <w:szCs w:val="16"/>
          <w:color w:val="auto"/>
        </w:rPr>
        <w:t>Across the BRIC markets, we and Old GM had the industry-leading market share of</w:t>
      </w:r>
    </w:p>
    <w:p>
      <w:pPr>
        <w:spacing w:after="0" w:line="38" w:lineRule="exact"/>
        <w:rPr>
          <w:rFonts w:ascii="Arial" w:cs="Arial" w:eastAsia="Arial" w:hAnsi="Arial"/>
          <w:sz w:val="16"/>
          <w:szCs w:val="16"/>
          <w:color w:val="auto"/>
        </w:rPr>
      </w:pPr>
    </w:p>
    <w:p>
      <w:pPr>
        <w:ind w:left="660"/>
        <w:spacing w:after="0" w:line="254" w:lineRule="auto"/>
        <w:rPr>
          <w:rFonts w:ascii="Arial" w:cs="Arial" w:eastAsia="Arial" w:hAnsi="Arial"/>
          <w:sz w:val="16"/>
          <w:szCs w:val="16"/>
          <w:color w:val="auto"/>
        </w:rPr>
      </w:pPr>
      <w:r>
        <w:rPr>
          <w:rFonts w:ascii="Arial" w:cs="Arial" w:eastAsia="Arial" w:hAnsi="Arial"/>
          <w:sz w:val="18"/>
          <w:szCs w:val="18"/>
          <w:color w:val="auto"/>
        </w:rPr>
        <w:t>12.7% based on vehicle sales volume in 2009, which has grown from a 9.8% share in 2004. In China, the fastest growing global market by volume of vehicles sold, through our joint ventures we had the number one market position with a share of 13.3% based on vehicle sales volume in 2009. We also held the third largest market share in Brazil at 19.0% based on vehicle sales volume in 2009. We established a presence in Brazil in 1925 and in China in 1997 and have substantial operating experience in these markets.</w:t>
      </w:r>
    </w:p>
    <w:p>
      <w:pPr>
        <w:spacing w:after="0" w:line="62" w:lineRule="exact"/>
        <w:rPr>
          <w:rFonts w:ascii="Arial" w:cs="Arial" w:eastAsia="Arial" w:hAnsi="Arial"/>
          <w:sz w:val="16"/>
          <w:szCs w:val="16"/>
          <w:color w:val="auto"/>
        </w:rPr>
      </w:pPr>
    </w:p>
    <w:p>
      <w:pPr>
        <w:ind w:left="660" w:right="160" w:hanging="436"/>
        <w:spacing w:after="0" w:line="294" w:lineRule="auto"/>
        <w:tabs>
          <w:tab w:leader="none" w:pos="660" w:val="left"/>
        </w:tabs>
        <w:numPr>
          <w:ilvl w:val="0"/>
          <w:numId w:val="62"/>
        </w:numPr>
        <w:rPr>
          <w:rFonts w:ascii="Arial" w:cs="Arial" w:eastAsia="Arial" w:hAnsi="Arial"/>
          <w:sz w:val="16"/>
          <w:szCs w:val="16"/>
          <w:color w:val="auto"/>
        </w:rPr>
      </w:pPr>
      <w:r>
        <w:rPr>
          <w:rFonts w:ascii="Arial" w:cs="Arial" w:eastAsia="Arial" w:hAnsi="Arial"/>
          <w:sz w:val="16"/>
          <w:szCs w:val="16"/>
          <w:i w:val="1"/>
          <w:iCs w:val="1"/>
          <w:color w:val="auto"/>
        </w:rPr>
        <w:t xml:space="preserve">Portfolio of high-quality vehicles. </w:t>
      </w:r>
      <w:r>
        <w:rPr>
          <w:rFonts w:ascii="Arial" w:cs="Arial" w:eastAsia="Arial" w:hAnsi="Arial"/>
          <w:sz w:val="16"/>
          <w:szCs w:val="16"/>
          <w:color w:val="auto"/>
        </w:rPr>
        <w:t>Our global portfolio includes vehicles in most key segments, with 31 nameplates in the U.S. and another 140</w:t>
      </w:r>
      <w:r>
        <w:rPr>
          <w:rFonts w:ascii="Arial" w:cs="Arial" w:eastAsia="Arial" w:hAnsi="Arial"/>
          <w:sz w:val="16"/>
          <w:szCs w:val="16"/>
          <w:i w:val="1"/>
          <w:iCs w:val="1"/>
          <w:color w:val="auto"/>
        </w:rPr>
        <w:t xml:space="preserve"> </w:t>
      </w:r>
      <w:r>
        <w:rPr>
          <w:rFonts w:ascii="Arial" w:cs="Arial" w:eastAsia="Arial" w:hAnsi="Arial"/>
          <w:sz w:val="16"/>
          <w:szCs w:val="16"/>
          <w:color w:val="auto"/>
        </w:rPr>
        <w:t>nameplates internationally. Our and Old GM’s long-term investment over the last decade in our product portfolio has resulted in successful recent vehicle launches such as the Chevrolet Equinox, GMC Terrain, Buick LaCrosse and Cadillac SRX. Sales of these vehicles have had higher transaction prices than the products they replaced and have increased vehicle segment market shares. These vehicles also have had higher residual values. The design, quality, reliability and safety of our vehicles has been recognized worldwide by a number of third parties, including the following:</w:t>
      </w:r>
    </w:p>
    <w:p>
      <w:pPr>
        <w:spacing w:after="0" w:line="34" w:lineRule="exact"/>
        <w:rPr>
          <w:rFonts w:ascii="Arial" w:cs="Arial" w:eastAsia="Arial" w:hAnsi="Arial"/>
          <w:sz w:val="16"/>
          <w:szCs w:val="16"/>
          <w:color w:val="auto"/>
        </w:rPr>
      </w:pPr>
    </w:p>
    <w:p>
      <w:pPr>
        <w:ind w:left="1120" w:right="60" w:hanging="315"/>
        <w:spacing w:after="0" w:line="259" w:lineRule="auto"/>
        <w:tabs>
          <w:tab w:leader="none" w:pos="1120" w:val="left"/>
        </w:tabs>
        <w:numPr>
          <w:ilvl w:val="1"/>
          <w:numId w:val="62"/>
        </w:numPr>
        <w:rPr>
          <w:rFonts w:ascii="Arial" w:cs="Arial" w:eastAsia="Arial" w:hAnsi="Arial"/>
          <w:sz w:val="18"/>
          <w:szCs w:val="18"/>
          <w:color w:val="auto"/>
        </w:rPr>
      </w:pPr>
      <w:r>
        <w:rPr>
          <w:rFonts w:ascii="Arial" w:cs="Arial" w:eastAsia="Arial" w:hAnsi="Arial"/>
          <w:sz w:val="18"/>
          <w:szCs w:val="18"/>
          <w:color w:val="auto"/>
        </w:rPr>
        <w:t>In the U.S., we have three of the top five most dependable models in the industry according to the 2010 J.D. Power Vehicle Dependability Study as well as leading the industry with the most segment leading models in both the 2010 J.D. Power Initial Quality Survey and the 2010 J.D. Power Vehicle Dependability Study;</w:t>
      </w:r>
    </w:p>
    <w:p>
      <w:pPr>
        <w:spacing w:after="0" w:line="59" w:lineRule="exact"/>
        <w:rPr>
          <w:rFonts w:ascii="Arial" w:cs="Arial" w:eastAsia="Arial" w:hAnsi="Arial"/>
          <w:sz w:val="18"/>
          <w:szCs w:val="18"/>
          <w:color w:val="auto"/>
        </w:rPr>
      </w:pPr>
    </w:p>
    <w:p>
      <w:pPr>
        <w:ind w:left="1120" w:hanging="315"/>
        <w:spacing w:after="0"/>
        <w:tabs>
          <w:tab w:leader="none" w:pos="1120" w:val="left"/>
        </w:tabs>
        <w:numPr>
          <w:ilvl w:val="1"/>
          <w:numId w:val="62"/>
        </w:numPr>
        <w:rPr>
          <w:rFonts w:ascii="Arial" w:cs="Arial" w:eastAsia="Arial" w:hAnsi="Arial"/>
          <w:sz w:val="18"/>
          <w:szCs w:val="18"/>
          <w:color w:val="auto"/>
        </w:rPr>
      </w:pPr>
      <w:r>
        <w:rPr>
          <w:rFonts w:ascii="Arial" w:cs="Arial" w:eastAsia="Arial" w:hAnsi="Arial"/>
          <w:sz w:val="18"/>
          <w:szCs w:val="18"/>
          <w:color w:val="auto"/>
        </w:rPr>
        <w:t>Eleven U.S. 2011 model year vehicles earned Consumers Digest “Best Buy” recognition;</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86</w:t>
      </w:r>
    </w:p>
    <w:p>
      <w:pPr>
        <w:sectPr>
          <w:pgSz w:w="11900" w:h="16838" w:orient="portrait"/>
          <w:cols w:equalWidth="0" w:num="1">
            <w:col w:w="11400"/>
          </w:cols>
          <w:pgMar w:left="240" w:top="459" w:right="259" w:bottom="1440" w:gutter="0" w:footer="0" w:header="0"/>
        </w:sectPr>
      </w:pPr>
    </w:p>
    <w:bookmarkStart w:id="88" w:name="page89"/>
    <w:bookmarkEnd w:id="8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258" w:lineRule="exact"/>
        <w:rPr>
          <w:sz w:val="20"/>
          <w:szCs w:val="20"/>
          <w:color w:val="auto"/>
        </w:rPr>
      </w:pPr>
    </w:p>
    <w:p>
      <w:pPr>
        <w:ind w:left="1120" w:hanging="315"/>
        <w:spacing w:after="0"/>
        <w:tabs>
          <w:tab w:leader="none" w:pos="1120" w:val="left"/>
        </w:tabs>
        <w:numPr>
          <w:ilvl w:val="1"/>
          <w:numId w:val="63"/>
        </w:numPr>
        <w:rPr>
          <w:rFonts w:ascii="Arial" w:cs="Arial" w:eastAsia="Arial" w:hAnsi="Arial"/>
          <w:sz w:val="18"/>
          <w:szCs w:val="18"/>
          <w:color w:val="auto"/>
        </w:rPr>
      </w:pPr>
      <w:r>
        <w:rPr>
          <w:rFonts w:ascii="Arial" w:cs="Arial" w:eastAsia="Arial" w:hAnsi="Arial"/>
          <w:sz w:val="18"/>
          <w:szCs w:val="18"/>
          <w:color w:val="auto"/>
        </w:rPr>
        <w:t>In Europe, the Car of the Year Organizing Committee named the Opel Insignia the 2009 European Car of the Year;</w:t>
      </w:r>
    </w:p>
    <w:p>
      <w:pPr>
        <w:spacing w:after="0" w:line="90" w:lineRule="exact"/>
        <w:rPr>
          <w:rFonts w:ascii="Arial" w:cs="Arial" w:eastAsia="Arial" w:hAnsi="Arial"/>
          <w:sz w:val="18"/>
          <w:szCs w:val="18"/>
          <w:color w:val="auto"/>
        </w:rPr>
      </w:pPr>
    </w:p>
    <w:p>
      <w:pPr>
        <w:ind w:left="1120" w:hanging="315"/>
        <w:spacing w:after="0"/>
        <w:tabs>
          <w:tab w:leader="none" w:pos="1120" w:val="left"/>
        </w:tabs>
        <w:numPr>
          <w:ilvl w:val="1"/>
          <w:numId w:val="63"/>
        </w:numPr>
        <w:rPr>
          <w:rFonts w:ascii="Arial" w:cs="Arial" w:eastAsia="Arial" w:hAnsi="Arial"/>
          <w:sz w:val="18"/>
          <w:szCs w:val="18"/>
          <w:color w:val="auto"/>
        </w:rPr>
      </w:pPr>
      <w:r>
        <w:rPr>
          <w:rFonts w:ascii="Arial" w:cs="Arial" w:eastAsia="Arial" w:hAnsi="Arial"/>
          <w:sz w:val="18"/>
          <w:szCs w:val="18"/>
          <w:color w:val="auto"/>
        </w:rPr>
        <w:t>In China, the Chinese Automotive Media Association named the new Buick LaCrosse the 2009 Car of the Year; and</w:t>
      </w:r>
    </w:p>
    <w:p>
      <w:pPr>
        <w:spacing w:after="0" w:line="90" w:lineRule="exact"/>
        <w:rPr>
          <w:rFonts w:ascii="Arial" w:cs="Arial" w:eastAsia="Arial" w:hAnsi="Arial"/>
          <w:sz w:val="18"/>
          <w:szCs w:val="18"/>
          <w:color w:val="auto"/>
        </w:rPr>
      </w:pPr>
    </w:p>
    <w:p>
      <w:pPr>
        <w:ind w:left="1120" w:hanging="315"/>
        <w:spacing w:after="0"/>
        <w:tabs>
          <w:tab w:leader="none" w:pos="1120" w:val="left"/>
        </w:tabs>
        <w:numPr>
          <w:ilvl w:val="1"/>
          <w:numId w:val="63"/>
        </w:numPr>
        <w:rPr>
          <w:rFonts w:ascii="Arial" w:cs="Arial" w:eastAsia="Arial" w:hAnsi="Arial"/>
          <w:sz w:val="18"/>
          <w:szCs w:val="18"/>
          <w:color w:val="auto"/>
        </w:rPr>
      </w:pPr>
      <w:r>
        <w:rPr>
          <w:rFonts w:ascii="Arial" w:cs="Arial" w:eastAsia="Arial" w:hAnsi="Arial"/>
          <w:sz w:val="18"/>
          <w:szCs w:val="18"/>
          <w:color w:val="auto"/>
        </w:rPr>
        <w:t>In Brazil, AutoEsporte Magazine named the Chevrolet Agile the 2010 Car of the Year.</w:t>
      </w:r>
    </w:p>
    <w:p>
      <w:pPr>
        <w:spacing w:after="0" w:line="90" w:lineRule="exact"/>
        <w:rPr>
          <w:rFonts w:ascii="Arial" w:cs="Arial" w:eastAsia="Arial" w:hAnsi="Arial"/>
          <w:sz w:val="18"/>
          <w:szCs w:val="18"/>
          <w:color w:val="auto"/>
        </w:rPr>
      </w:pPr>
    </w:p>
    <w:p>
      <w:pPr>
        <w:ind w:left="660" w:hanging="436"/>
        <w:spacing w:after="0" w:line="291" w:lineRule="auto"/>
        <w:tabs>
          <w:tab w:leader="none" w:pos="660" w:val="left"/>
        </w:tabs>
        <w:numPr>
          <w:ilvl w:val="0"/>
          <w:numId w:val="63"/>
        </w:numPr>
        <w:rPr>
          <w:rFonts w:ascii="Arial" w:cs="Arial" w:eastAsia="Arial" w:hAnsi="Arial"/>
          <w:sz w:val="16"/>
          <w:szCs w:val="16"/>
          <w:color w:val="auto"/>
        </w:rPr>
      </w:pPr>
      <w:r>
        <w:rPr>
          <w:rFonts w:ascii="Arial" w:cs="Arial" w:eastAsia="Arial" w:hAnsi="Arial"/>
          <w:sz w:val="16"/>
          <w:szCs w:val="16"/>
          <w:i w:val="1"/>
          <w:iCs w:val="1"/>
          <w:color w:val="auto"/>
        </w:rPr>
        <w:t xml:space="preserve">Commitment to new technologies. </w:t>
      </w:r>
      <w:r>
        <w:rPr>
          <w:rFonts w:ascii="Arial" w:cs="Arial" w:eastAsia="Arial" w:hAnsi="Arial"/>
          <w:sz w:val="16"/>
          <w:szCs w:val="16"/>
          <w:color w:val="auto"/>
        </w:rPr>
        <w:t>We have invested in a diverse set of new technologies designed to meet customer needs around the world. Our</w:t>
      </w:r>
      <w:r>
        <w:rPr>
          <w:rFonts w:ascii="Arial" w:cs="Arial" w:eastAsia="Arial" w:hAnsi="Arial"/>
          <w:sz w:val="16"/>
          <w:szCs w:val="16"/>
          <w:i w:val="1"/>
          <w:iCs w:val="1"/>
          <w:color w:val="auto"/>
        </w:rPr>
        <w:t xml:space="preserve"> </w:t>
      </w:r>
      <w:r>
        <w:rPr>
          <w:rFonts w:ascii="Arial" w:cs="Arial" w:eastAsia="Arial" w:hAnsi="Arial"/>
          <w:sz w:val="16"/>
          <w:szCs w:val="16"/>
          <w:color w:val="auto"/>
        </w:rPr>
        <w:t>research and product development efforts in the areas of energy efficiency and energy diversity have been focused on advanced and alternative propulsion and fuel efficiency. For example, the Chevrolet Volt will use lithium-ion battery technology for a typical range of 25-50 miles depending on terrain, driving technique, temperature and battery age, after which the onboard engine’s power is seamlessly inverted to provide an additional 300 miles of electric driving range on a full tank of gas prior to refueling. Our investment in telematics and infotainment technology enables us to provide through OnStar a service offering that creates a connection to the customer and a platform for future infotainment initiatives.</w:t>
      </w:r>
    </w:p>
    <w:p>
      <w:pPr>
        <w:spacing w:after="0" w:line="39" w:lineRule="exact"/>
        <w:rPr>
          <w:rFonts w:ascii="Arial" w:cs="Arial" w:eastAsia="Arial" w:hAnsi="Arial"/>
          <w:sz w:val="16"/>
          <w:szCs w:val="16"/>
          <w:color w:val="auto"/>
        </w:rPr>
      </w:pPr>
    </w:p>
    <w:p>
      <w:pPr>
        <w:ind w:left="660" w:hanging="436"/>
        <w:spacing w:after="0" w:line="287" w:lineRule="auto"/>
        <w:tabs>
          <w:tab w:leader="none" w:pos="660" w:val="left"/>
        </w:tabs>
        <w:numPr>
          <w:ilvl w:val="0"/>
          <w:numId w:val="63"/>
        </w:numPr>
        <w:rPr>
          <w:rFonts w:ascii="Arial" w:cs="Arial" w:eastAsia="Arial" w:hAnsi="Arial"/>
          <w:sz w:val="16"/>
          <w:szCs w:val="16"/>
          <w:color w:val="auto"/>
        </w:rPr>
      </w:pPr>
      <w:r>
        <w:rPr>
          <w:rFonts w:ascii="Arial" w:cs="Arial" w:eastAsia="Arial" w:hAnsi="Arial"/>
          <w:sz w:val="16"/>
          <w:szCs w:val="16"/>
          <w:i w:val="1"/>
          <w:iCs w:val="1"/>
          <w:color w:val="auto"/>
        </w:rPr>
        <w:t xml:space="preserve">Competitive cost structure in GMNA. </w:t>
      </w:r>
      <w:r>
        <w:rPr>
          <w:rFonts w:ascii="Arial" w:cs="Arial" w:eastAsia="Arial" w:hAnsi="Arial"/>
          <w:sz w:val="16"/>
          <w:szCs w:val="16"/>
          <w:color w:val="auto"/>
        </w:rPr>
        <w:t>We have substantially completed the restructuring of our North American operations, which has reduced our cost</w:t>
      </w:r>
      <w:r>
        <w:rPr>
          <w:rFonts w:ascii="Arial" w:cs="Arial" w:eastAsia="Arial" w:hAnsi="Arial"/>
          <w:sz w:val="16"/>
          <w:szCs w:val="16"/>
          <w:i w:val="1"/>
          <w:iCs w:val="1"/>
          <w:color w:val="auto"/>
        </w:rPr>
        <w:t xml:space="preserve"> </w:t>
      </w:r>
      <w:r>
        <w:rPr>
          <w:rFonts w:ascii="Arial" w:cs="Arial" w:eastAsia="Arial" w:hAnsi="Arial"/>
          <w:sz w:val="16"/>
          <w:szCs w:val="16"/>
          <w:color w:val="auto"/>
        </w:rPr>
        <w:t>base and improved our capacity utilization and product line profitability. We accomplished this through brand rationalization, ongoing dealer network optimization, salaried and hourly headcount reductions, labor agreement restructuring, transfer of hourly retiree healthcare obligations to the UAW Retiree Medical Benefits Trust (New VEBA) and manufacturing footprint reduction from 71 North American manufacturing facilities for Old GM at December 31, 2008 to 57 at September 30, 2010, and an expected 54 at December 31, 2010. The reduced costs resulting from these actions, along with our improved price realization and lower incentives, have reduced our profitability breakeven point in North America. The breakeven point is a critical metric that provides an indication of GMNA’s cost structure and operating leverage. For the three months ended September 30, 2010 and based on GMNA’s current market share, GMNA’s earnings before interest and income taxes (EBIT) (EBIT is not an operating measure under U.S. GAAP — refer to “Management’s Discussion and Analysis of Financial Condition and Results of Operations — Reconciliation of Segment Results” for additional discussion) would have achieved breakeven at an implied annual U.S. industry sales of approximately 10.5 to 11.0 million vehicles.</w:t>
      </w:r>
    </w:p>
    <w:p>
      <w:pPr>
        <w:spacing w:after="0" w:line="41" w:lineRule="exact"/>
        <w:rPr>
          <w:rFonts w:ascii="Arial" w:cs="Arial" w:eastAsia="Arial" w:hAnsi="Arial"/>
          <w:sz w:val="16"/>
          <w:szCs w:val="16"/>
          <w:color w:val="auto"/>
        </w:rPr>
      </w:pPr>
    </w:p>
    <w:p>
      <w:pPr>
        <w:ind w:left="660" w:right="60" w:hanging="436"/>
        <w:spacing w:after="0" w:line="290" w:lineRule="auto"/>
        <w:tabs>
          <w:tab w:leader="none" w:pos="660" w:val="left"/>
        </w:tabs>
        <w:numPr>
          <w:ilvl w:val="0"/>
          <w:numId w:val="63"/>
        </w:numPr>
        <w:rPr>
          <w:rFonts w:ascii="Arial" w:cs="Arial" w:eastAsia="Arial" w:hAnsi="Arial"/>
          <w:sz w:val="16"/>
          <w:szCs w:val="16"/>
          <w:color w:val="auto"/>
        </w:rPr>
      </w:pPr>
      <w:r>
        <w:rPr>
          <w:rFonts w:ascii="Arial" w:cs="Arial" w:eastAsia="Arial" w:hAnsi="Arial"/>
          <w:sz w:val="16"/>
          <w:szCs w:val="16"/>
          <w:i w:val="1"/>
          <w:iCs w:val="1"/>
          <w:color w:val="auto"/>
        </w:rPr>
        <w:t xml:space="preserve">Competitive global cost structure. </w:t>
      </w:r>
      <w:r>
        <w:rPr>
          <w:rFonts w:ascii="Arial" w:cs="Arial" w:eastAsia="Arial" w:hAnsi="Arial"/>
          <w:sz w:val="16"/>
          <w:szCs w:val="16"/>
          <w:color w:val="auto"/>
        </w:rPr>
        <w:t>Global architectures (that is, vehicle characteristics and dimensions supporting common sets of major vehicle</w:t>
      </w:r>
      <w:r>
        <w:rPr>
          <w:rFonts w:ascii="Arial" w:cs="Arial" w:eastAsia="Arial" w:hAnsi="Arial"/>
          <w:sz w:val="16"/>
          <w:szCs w:val="16"/>
          <w:i w:val="1"/>
          <w:iCs w:val="1"/>
          <w:color w:val="auto"/>
        </w:rPr>
        <w:t xml:space="preserve"> </w:t>
      </w:r>
      <w:r>
        <w:rPr>
          <w:rFonts w:ascii="Arial" w:cs="Arial" w:eastAsia="Arial" w:hAnsi="Arial"/>
          <w:sz w:val="16"/>
          <w:szCs w:val="16"/>
          <w:color w:val="auto"/>
        </w:rPr>
        <w:t>underbody components and subsystems) allow us to streamline our product development and manufacturing processes, which has resulted in reduced material and engineering costs. We have consolidated our product development activities under one global development leadership team with a centralized budget. This allows us to design and engineer our vehicles globally while balancing cost efficient production locations and proximity to the end customer. Approximately 43% of our vehicles are manufactured in regions we believe to be low-cost manufacturing locations, such as China, Mexico, Eastern Europe, India and Russia, with all-in active labor costs of less than $15 per hour and approximately 17% are manufactured in medium-cost countries, such as South Korea and Brazil, with all-in labor costs between $15 and $30 per hour.</w:t>
      </w:r>
    </w:p>
    <w:p>
      <w:pPr>
        <w:spacing w:after="0" w:line="37" w:lineRule="exact"/>
        <w:rPr>
          <w:rFonts w:ascii="Arial" w:cs="Arial" w:eastAsia="Arial" w:hAnsi="Arial"/>
          <w:sz w:val="16"/>
          <w:szCs w:val="16"/>
          <w:color w:val="auto"/>
        </w:rPr>
      </w:pPr>
    </w:p>
    <w:p>
      <w:pPr>
        <w:ind w:left="660" w:right="40" w:hanging="436"/>
        <w:spacing w:after="0" w:line="288" w:lineRule="auto"/>
        <w:tabs>
          <w:tab w:leader="none" w:pos="660" w:val="left"/>
        </w:tabs>
        <w:numPr>
          <w:ilvl w:val="0"/>
          <w:numId w:val="63"/>
        </w:numPr>
        <w:rPr>
          <w:rFonts w:ascii="Arial" w:cs="Arial" w:eastAsia="Arial" w:hAnsi="Arial"/>
          <w:sz w:val="16"/>
          <w:szCs w:val="16"/>
          <w:color w:val="auto"/>
        </w:rPr>
      </w:pPr>
      <w:r>
        <w:rPr>
          <w:rFonts w:ascii="Arial" w:cs="Arial" w:eastAsia="Arial" w:hAnsi="Arial"/>
          <w:sz w:val="16"/>
          <w:szCs w:val="16"/>
          <w:i w:val="1"/>
          <w:iCs w:val="1"/>
          <w:color w:val="auto"/>
        </w:rPr>
        <w:t xml:space="preserve">Strong balance sheet and liquidity. </w:t>
      </w:r>
      <w:r>
        <w:rPr>
          <w:rFonts w:ascii="Arial" w:cs="Arial" w:eastAsia="Arial" w:hAnsi="Arial"/>
          <w:sz w:val="16"/>
          <w:szCs w:val="16"/>
          <w:color w:val="auto"/>
        </w:rPr>
        <w:t>At September 30, 2010, we had available liquidity (cash, cash equivalents and marketable securities) of $33.5 billion</w:t>
      </w:r>
      <w:r>
        <w:rPr>
          <w:rFonts w:ascii="Arial" w:cs="Arial" w:eastAsia="Arial" w:hAnsi="Arial"/>
          <w:sz w:val="16"/>
          <w:szCs w:val="16"/>
          <w:i w:val="1"/>
          <w:iCs w:val="1"/>
          <w:color w:val="auto"/>
        </w:rPr>
        <w:t xml:space="preserve"> </w:t>
      </w:r>
      <w:r>
        <w:rPr>
          <w:rFonts w:ascii="Arial" w:cs="Arial" w:eastAsia="Arial" w:hAnsi="Arial"/>
          <w:sz w:val="16"/>
          <w:szCs w:val="16"/>
          <w:color w:val="auto"/>
        </w:rPr>
        <w:t>and outstanding debt of $8.6 billion. Subsequently, we repaid $2.8 billion of our then outstanding debt (together with accreted interest thereon) utilizing available liquidity and entered into a new five year $5.0 billion secured credit facility. In addition, we have no significant contractual debt maturities until 2015. Although our U.S. and non-U.S. pension plans were underfunded by $17.1 billion and $10.3 billion on a U.S. GAAP basis at December 31, 2009, a hypothetical valuation as of September 30, 2010 projects total contributions of $0.6 billion to U.S. pension plans through 2013. (Refer to “Management’s Discussion and Analysis of Financial Condition and Results of Operations — Contractual Obligations and Other Long-Term Liabilities.”) We believe that our combination of cash and cash equivalents plus cash flow from operations should provide sufficient cash to fund our new product and technology development efforts, European restructuring program, growth initiatives and further cost-reduction initiatives in the medium term.</w:t>
      </w:r>
    </w:p>
    <w:p>
      <w:pPr>
        <w:spacing w:after="0" w:line="38" w:lineRule="exact"/>
        <w:rPr>
          <w:rFonts w:ascii="Arial" w:cs="Arial" w:eastAsia="Arial" w:hAnsi="Arial"/>
          <w:sz w:val="16"/>
          <w:szCs w:val="16"/>
          <w:color w:val="auto"/>
        </w:rPr>
      </w:pPr>
    </w:p>
    <w:p>
      <w:pPr>
        <w:ind w:left="660" w:right="540" w:hanging="436"/>
        <w:spacing w:after="0" w:line="256" w:lineRule="auto"/>
        <w:tabs>
          <w:tab w:leader="none" w:pos="660" w:val="left"/>
        </w:tabs>
        <w:numPr>
          <w:ilvl w:val="0"/>
          <w:numId w:val="63"/>
        </w:numPr>
        <w:rPr>
          <w:rFonts w:ascii="Arial" w:cs="Arial" w:eastAsia="Arial" w:hAnsi="Arial"/>
          <w:sz w:val="18"/>
          <w:szCs w:val="18"/>
          <w:color w:val="auto"/>
        </w:rPr>
      </w:pPr>
      <w:r>
        <w:rPr>
          <w:rFonts w:ascii="Arial" w:cs="Arial" w:eastAsia="Arial" w:hAnsi="Arial"/>
          <w:sz w:val="18"/>
          <w:szCs w:val="18"/>
          <w:i w:val="1"/>
          <w:iCs w:val="1"/>
          <w:color w:val="auto"/>
        </w:rPr>
        <w:t xml:space="preserve">Strong leadership team with focused direction. </w:t>
      </w:r>
      <w:r>
        <w:rPr>
          <w:rFonts w:ascii="Arial" w:cs="Arial" w:eastAsia="Arial" w:hAnsi="Arial"/>
          <w:sz w:val="18"/>
          <w:szCs w:val="18"/>
          <w:color w:val="auto"/>
        </w:rPr>
        <w:t>Our new executive management team, which includes our new Chief Executive Officer and Chief</w:t>
      </w:r>
      <w:r>
        <w:rPr>
          <w:rFonts w:ascii="Arial" w:cs="Arial" w:eastAsia="Arial" w:hAnsi="Arial"/>
          <w:sz w:val="18"/>
          <w:szCs w:val="18"/>
          <w:i w:val="1"/>
          <w:iCs w:val="1"/>
          <w:color w:val="auto"/>
        </w:rPr>
        <w:t xml:space="preserve"> </w:t>
      </w:r>
      <w:r>
        <w:rPr>
          <w:rFonts w:ascii="Arial" w:cs="Arial" w:eastAsia="Arial" w:hAnsi="Arial"/>
          <w:sz w:val="18"/>
          <w:szCs w:val="18"/>
          <w:color w:val="auto"/>
        </w:rPr>
        <w:t>Financial Officer from outside the automotive industry as well as many senior officers who have been promoted to new roles from within the organization, combines years of experience at GM and new perspectives on growth, innovation and strategy deployment. Our management team operates in a streamlined organizational structure that allows for:</w:t>
      </w:r>
    </w:p>
    <w:p>
      <w:pPr>
        <w:spacing w:after="0" w:line="62" w:lineRule="exact"/>
        <w:rPr>
          <w:rFonts w:ascii="Arial" w:cs="Arial" w:eastAsia="Arial" w:hAnsi="Arial"/>
          <w:sz w:val="18"/>
          <w:szCs w:val="18"/>
          <w:color w:val="auto"/>
        </w:rPr>
      </w:pPr>
    </w:p>
    <w:p>
      <w:pPr>
        <w:ind w:left="1120" w:hanging="315"/>
        <w:spacing w:after="0"/>
        <w:tabs>
          <w:tab w:leader="none" w:pos="1120" w:val="left"/>
        </w:tabs>
        <w:numPr>
          <w:ilvl w:val="1"/>
          <w:numId w:val="63"/>
        </w:numPr>
        <w:rPr>
          <w:rFonts w:ascii="Arial" w:cs="Arial" w:eastAsia="Arial" w:hAnsi="Arial"/>
          <w:sz w:val="18"/>
          <w:szCs w:val="18"/>
          <w:color w:val="auto"/>
        </w:rPr>
      </w:pPr>
      <w:r>
        <w:rPr>
          <w:rFonts w:ascii="Arial" w:cs="Arial" w:eastAsia="Arial" w:hAnsi="Arial"/>
          <w:sz w:val="18"/>
          <w:szCs w:val="18"/>
          <w:color w:val="auto"/>
        </w:rPr>
        <w:t>More direct lines of communication;</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87</w:t>
      </w:r>
    </w:p>
    <w:p>
      <w:pPr>
        <w:sectPr>
          <w:pgSz w:w="11900" w:h="16838" w:orient="portrait"/>
          <w:cols w:equalWidth="0" w:num="1">
            <w:col w:w="11400"/>
          </w:cols>
          <w:pgMar w:left="240" w:top="459" w:right="259" w:bottom="1440" w:gutter="0" w:footer="0" w:header="0"/>
        </w:sectPr>
      </w:pPr>
    </w:p>
    <w:bookmarkStart w:id="89" w:name="page90"/>
    <w:bookmarkEnd w:id="8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258" w:lineRule="exact"/>
        <w:rPr>
          <w:sz w:val="20"/>
          <w:szCs w:val="20"/>
          <w:color w:val="auto"/>
        </w:rPr>
      </w:pPr>
    </w:p>
    <w:p>
      <w:pPr>
        <w:ind w:left="1120" w:hanging="315"/>
        <w:spacing w:after="0"/>
        <w:tabs>
          <w:tab w:leader="none" w:pos="1120" w:val="left"/>
        </w:tabs>
        <w:numPr>
          <w:ilvl w:val="0"/>
          <w:numId w:val="64"/>
        </w:numPr>
        <w:rPr>
          <w:rFonts w:ascii="Arial" w:cs="Arial" w:eastAsia="Arial" w:hAnsi="Arial"/>
          <w:sz w:val="18"/>
          <w:szCs w:val="18"/>
          <w:color w:val="auto"/>
        </w:rPr>
      </w:pPr>
      <w:r>
        <w:rPr>
          <w:rFonts w:ascii="Arial" w:cs="Arial" w:eastAsia="Arial" w:hAnsi="Arial"/>
          <w:sz w:val="18"/>
          <w:szCs w:val="18"/>
          <w:color w:val="auto"/>
        </w:rPr>
        <w:t>Quicker decision-making; and</w:t>
      </w:r>
    </w:p>
    <w:p>
      <w:pPr>
        <w:spacing w:after="0" w:line="90" w:lineRule="exact"/>
        <w:rPr>
          <w:rFonts w:ascii="Arial" w:cs="Arial" w:eastAsia="Arial" w:hAnsi="Arial"/>
          <w:sz w:val="18"/>
          <w:szCs w:val="18"/>
          <w:color w:val="auto"/>
        </w:rPr>
      </w:pPr>
    </w:p>
    <w:p>
      <w:pPr>
        <w:ind w:left="1120" w:hanging="315"/>
        <w:spacing w:after="0"/>
        <w:tabs>
          <w:tab w:leader="none" w:pos="1120" w:val="left"/>
        </w:tabs>
        <w:numPr>
          <w:ilvl w:val="0"/>
          <w:numId w:val="64"/>
        </w:numPr>
        <w:rPr>
          <w:rFonts w:ascii="Arial" w:cs="Arial" w:eastAsia="Arial" w:hAnsi="Arial"/>
          <w:sz w:val="18"/>
          <w:szCs w:val="18"/>
          <w:color w:val="auto"/>
        </w:rPr>
      </w:pPr>
      <w:r>
        <w:rPr>
          <w:rFonts w:ascii="Arial" w:cs="Arial" w:eastAsia="Arial" w:hAnsi="Arial"/>
          <w:sz w:val="18"/>
          <w:szCs w:val="18"/>
          <w:color w:val="auto"/>
        </w:rPr>
        <w:t>Direct responsibility for individuals in various areas of our business.</w:t>
      </w:r>
    </w:p>
    <w:p>
      <w:pPr>
        <w:spacing w:after="0" w:line="171" w:lineRule="exact"/>
        <w:rPr>
          <w:sz w:val="20"/>
          <w:szCs w:val="20"/>
          <w:color w:val="auto"/>
        </w:rPr>
      </w:pPr>
    </w:p>
    <w:p>
      <w:pPr>
        <w:ind w:right="200" w:firstLine="228"/>
        <w:spacing w:after="0" w:line="259" w:lineRule="auto"/>
        <w:rPr>
          <w:sz w:val="20"/>
          <w:szCs w:val="20"/>
          <w:color w:val="auto"/>
        </w:rPr>
      </w:pPr>
      <w:r>
        <w:rPr>
          <w:rFonts w:ascii="Arial" w:cs="Arial" w:eastAsia="Arial" w:hAnsi="Arial"/>
          <w:sz w:val="18"/>
          <w:szCs w:val="18"/>
          <w:color w:val="auto"/>
        </w:rPr>
        <w:t>As an example, we have eliminated multiple internal strategy boards and committees and instituted a single, smaller executive committee to focus our management functions and shorten our decision-making processes. The members of our Board of Directors, a majority of whom were not directors of Old GM, are directly involved in strategy formation and review.</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Strategy</w:t>
      </w:r>
    </w:p>
    <w:p>
      <w:pPr>
        <w:spacing w:after="0" w:line="177" w:lineRule="exact"/>
        <w:rPr>
          <w:sz w:val="20"/>
          <w:szCs w:val="20"/>
          <w:color w:val="auto"/>
        </w:rPr>
      </w:pPr>
    </w:p>
    <w:p>
      <w:pPr>
        <w:ind w:left="240"/>
        <w:spacing w:after="0"/>
        <w:rPr>
          <w:sz w:val="20"/>
          <w:szCs w:val="20"/>
          <w:color w:val="auto"/>
        </w:rPr>
      </w:pPr>
      <w:r>
        <w:rPr>
          <w:rFonts w:ascii="Arial" w:cs="Arial" w:eastAsia="Arial" w:hAnsi="Arial"/>
          <w:sz w:val="18"/>
          <w:szCs w:val="18"/>
          <w:color w:val="auto"/>
        </w:rPr>
        <w:t>Our vision is to design, build and sell the world’s best vehicles. The primary elements of our strategy to achieve this vision are to:</w:t>
      </w:r>
    </w:p>
    <w:p>
      <w:pPr>
        <w:spacing w:after="0" w:line="212" w:lineRule="exact"/>
        <w:rPr>
          <w:sz w:val="20"/>
          <w:szCs w:val="20"/>
          <w:color w:val="auto"/>
        </w:rPr>
      </w:pPr>
    </w:p>
    <w:p>
      <w:pPr>
        <w:ind w:left="660" w:hanging="436"/>
        <w:spacing w:after="0"/>
        <w:tabs>
          <w:tab w:leader="none" w:pos="660" w:val="left"/>
        </w:tabs>
        <w:numPr>
          <w:ilvl w:val="0"/>
          <w:numId w:val="65"/>
        </w:numPr>
        <w:rPr>
          <w:rFonts w:ascii="Arial" w:cs="Arial" w:eastAsia="Arial" w:hAnsi="Arial"/>
          <w:sz w:val="18"/>
          <w:szCs w:val="18"/>
          <w:color w:val="auto"/>
        </w:rPr>
      </w:pPr>
      <w:r>
        <w:rPr>
          <w:rFonts w:ascii="Arial" w:cs="Arial" w:eastAsia="Arial" w:hAnsi="Arial"/>
          <w:sz w:val="18"/>
          <w:szCs w:val="18"/>
          <w:color w:val="auto"/>
        </w:rPr>
        <w:t>Deliver a product portfolio of the world’s best vehicles, allowing us to maximize sales under any market conditions;</w:t>
      </w:r>
    </w:p>
    <w:p>
      <w:pPr>
        <w:spacing w:after="0" w:line="90" w:lineRule="exact"/>
        <w:rPr>
          <w:rFonts w:ascii="Arial" w:cs="Arial" w:eastAsia="Arial" w:hAnsi="Arial"/>
          <w:sz w:val="18"/>
          <w:szCs w:val="18"/>
          <w:color w:val="auto"/>
        </w:rPr>
      </w:pPr>
    </w:p>
    <w:p>
      <w:pPr>
        <w:ind w:left="660" w:right="40" w:hanging="436"/>
        <w:spacing w:after="0" w:line="268" w:lineRule="auto"/>
        <w:tabs>
          <w:tab w:leader="none" w:pos="660" w:val="left"/>
        </w:tabs>
        <w:numPr>
          <w:ilvl w:val="0"/>
          <w:numId w:val="65"/>
        </w:numPr>
        <w:rPr>
          <w:rFonts w:ascii="Arial" w:cs="Arial" w:eastAsia="Arial" w:hAnsi="Arial"/>
          <w:sz w:val="18"/>
          <w:szCs w:val="18"/>
          <w:color w:val="auto"/>
        </w:rPr>
      </w:pPr>
      <w:r>
        <w:rPr>
          <w:rFonts w:ascii="Arial" w:cs="Arial" w:eastAsia="Arial" w:hAnsi="Arial"/>
          <w:sz w:val="18"/>
          <w:szCs w:val="18"/>
          <w:color w:val="auto"/>
        </w:rPr>
        <w:t>Sell our vehicles globally by targeting developed markets, which are projected to have increases in vehicle demand as the global economy recovers, and further strengthening our position in high growth emerging markets;</w:t>
      </w:r>
    </w:p>
    <w:p>
      <w:pPr>
        <w:spacing w:after="0" w:line="50" w:lineRule="exact"/>
        <w:rPr>
          <w:rFonts w:ascii="Arial" w:cs="Arial" w:eastAsia="Arial" w:hAnsi="Arial"/>
          <w:sz w:val="18"/>
          <w:szCs w:val="18"/>
          <w:color w:val="auto"/>
        </w:rPr>
      </w:pPr>
    </w:p>
    <w:p>
      <w:pPr>
        <w:ind w:left="660" w:hanging="436"/>
        <w:spacing w:after="0" w:line="268" w:lineRule="auto"/>
        <w:tabs>
          <w:tab w:leader="none" w:pos="660" w:val="left"/>
        </w:tabs>
        <w:numPr>
          <w:ilvl w:val="0"/>
          <w:numId w:val="65"/>
        </w:numPr>
        <w:rPr>
          <w:rFonts w:ascii="Arial" w:cs="Arial" w:eastAsia="Arial" w:hAnsi="Arial"/>
          <w:sz w:val="18"/>
          <w:szCs w:val="18"/>
          <w:color w:val="auto"/>
        </w:rPr>
      </w:pPr>
      <w:r>
        <w:rPr>
          <w:rFonts w:ascii="Arial" w:cs="Arial" w:eastAsia="Arial" w:hAnsi="Arial"/>
          <w:sz w:val="18"/>
          <w:szCs w:val="18"/>
          <w:color w:val="auto"/>
        </w:rPr>
        <w:t>Improve revenue realization and maintain a competitive cost structure to allow us to remain profitable at lower industry volumes and across the lifecycle of our product portfolio; and</w:t>
      </w:r>
    </w:p>
    <w:p>
      <w:pPr>
        <w:spacing w:after="0" w:line="50" w:lineRule="exact"/>
        <w:rPr>
          <w:rFonts w:ascii="Arial" w:cs="Arial" w:eastAsia="Arial" w:hAnsi="Arial"/>
          <w:sz w:val="18"/>
          <w:szCs w:val="18"/>
          <w:color w:val="auto"/>
        </w:rPr>
      </w:pPr>
    </w:p>
    <w:p>
      <w:pPr>
        <w:ind w:left="660" w:hanging="436"/>
        <w:spacing w:after="0"/>
        <w:tabs>
          <w:tab w:leader="none" w:pos="660" w:val="left"/>
        </w:tabs>
        <w:numPr>
          <w:ilvl w:val="0"/>
          <w:numId w:val="65"/>
        </w:numPr>
        <w:rPr>
          <w:rFonts w:ascii="Arial" w:cs="Arial" w:eastAsia="Arial" w:hAnsi="Arial"/>
          <w:sz w:val="18"/>
          <w:szCs w:val="18"/>
          <w:color w:val="auto"/>
        </w:rPr>
      </w:pPr>
      <w:r>
        <w:rPr>
          <w:rFonts w:ascii="Arial" w:cs="Arial" w:eastAsia="Arial" w:hAnsi="Arial"/>
          <w:sz w:val="18"/>
          <w:szCs w:val="18"/>
          <w:color w:val="auto"/>
        </w:rPr>
        <w:t>Maintain a strong balance sheet by reducing financial leverage given the high operating leverage of our business model.</w:t>
      </w:r>
    </w:p>
    <w:p>
      <w:pPr>
        <w:spacing w:after="0" w:line="171" w:lineRule="exact"/>
        <w:rPr>
          <w:sz w:val="20"/>
          <w:szCs w:val="20"/>
          <w:color w:val="auto"/>
        </w:rPr>
      </w:pPr>
    </w:p>
    <w:p>
      <w:pPr>
        <w:ind w:right="40" w:firstLine="228"/>
        <w:spacing w:after="0" w:line="268" w:lineRule="auto"/>
        <w:rPr>
          <w:sz w:val="20"/>
          <w:szCs w:val="20"/>
          <w:color w:val="auto"/>
        </w:rPr>
      </w:pPr>
      <w:r>
        <w:rPr>
          <w:rFonts w:ascii="Arial" w:cs="Arial" w:eastAsia="Arial" w:hAnsi="Arial"/>
          <w:sz w:val="18"/>
          <w:szCs w:val="18"/>
          <w:color w:val="auto"/>
        </w:rPr>
        <w:t>Our management team is focused on hiring new and promoting current talented employees who can bring new perspectives to our business in order to execute on our strategy as follows:</w:t>
      </w:r>
    </w:p>
    <w:p>
      <w:pPr>
        <w:spacing w:after="0" w:line="132" w:lineRule="exact"/>
        <w:rPr>
          <w:sz w:val="20"/>
          <w:szCs w:val="20"/>
          <w:color w:val="auto"/>
        </w:rPr>
      </w:pPr>
    </w:p>
    <w:p>
      <w:pPr>
        <w:ind w:right="280" w:firstLine="228"/>
        <w:spacing w:after="0" w:line="268" w:lineRule="auto"/>
        <w:rPr>
          <w:sz w:val="20"/>
          <w:szCs w:val="20"/>
          <w:color w:val="auto"/>
        </w:rPr>
      </w:pPr>
      <w:r>
        <w:rPr>
          <w:rFonts w:ascii="Arial" w:cs="Arial" w:eastAsia="Arial" w:hAnsi="Arial"/>
          <w:sz w:val="18"/>
          <w:szCs w:val="18"/>
          <w:b w:val="1"/>
          <w:bCs w:val="1"/>
          <w:i w:val="1"/>
          <w:iCs w:val="1"/>
          <w:color w:val="auto"/>
        </w:rPr>
        <w:t xml:space="preserve">Deliver quality products. </w:t>
      </w:r>
      <w:r>
        <w:rPr>
          <w:rFonts w:ascii="Arial" w:cs="Arial" w:eastAsia="Arial" w:hAnsi="Arial"/>
          <w:sz w:val="18"/>
          <w:szCs w:val="18"/>
          <w:color w:val="auto"/>
        </w:rPr>
        <w:t>We intend to maintain a broad portfolio of vehicles so that we are positioned to meet global consumer preferences. We plan to do</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this in several ways, including:</w:t>
      </w:r>
    </w:p>
    <w:p>
      <w:pPr>
        <w:spacing w:after="0" w:line="172" w:lineRule="exact"/>
        <w:rPr>
          <w:sz w:val="20"/>
          <w:szCs w:val="20"/>
          <w:color w:val="auto"/>
        </w:rPr>
      </w:pPr>
    </w:p>
    <w:p>
      <w:pPr>
        <w:ind w:left="660" w:right="120" w:hanging="436"/>
        <w:spacing w:after="0" w:line="255" w:lineRule="auto"/>
        <w:tabs>
          <w:tab w:leader="none" w:pos="660" w:val="left"/>
        </w:tabs>
        <w:numPr>
          <w:ilvl w:val="0"/>
          <w:numId w:val="66"/>
        </w:numPr>
        <w:rPr>
          <w:rFonts w:ascii="Arial" w:cs="Arial" w:eastAsia="Arial" w:hAnsi="Arial"/>
          <w:sz w:val="18"/>
          <w:szCs w:val="18"/>
          <w:color w:val="auto"/>
        </w:rPr>
      </w:pPr>
      <w:r>
        <w:rPr>
          <w:rFonts w:ascii="Arial" w:cs="Arial" w:eastAsia="Arial" w:hAnsi="Arial"/>
          <w:sz w:val="18"/>
          <w:szCs w:val="18"/>
          <w:i w:val="1"/>
          <w:iCs w:val="1"/>
          <w:color w:val="auto"/>
        </w:rPr>
        <w:t xml:space="preserve">Concentrate our design, engineering and marketing resources on fewer brands and architectures. </w:t>
      </w:r>
      <w:r>
        <w:rPr>
          <w:rFonts w:ascii="Arial" w:cs="Arial" w:eastAsia="Arial" w:hAnsi="Arial"/>
          <w:sz w:val="18"/>
          <w:szCs w:val="18"/>
          <w:color w:val="auto"/>
        </w:rPr>
        <w:t>We plan to increase the volume of vehicles produced</w:t>
      </w:r>
      <w:r>
        <w:rPr>
          <w:rFonts w:ascii="Arial" w:cs="Arial" w:eastAsia="Arial" w:hAnsi="Arial"/>
          <w:sz w:val="18"/>
          <w:szCs w:val="18"/>
          <w:i w:val="1"/>
          <w:iCs w:val="1"/>
          <w:color w:val="auto"/>
        </w:rPr>
        <w:t xml:space="preserve"> </w:t>
      </w:r>
      <w:r>
        <w:rPr>
          <w:rFonts w:ascii="Arial" w:cs="Arial" w:eastAsia="Arial" w:hAnsi="Arial"/>
          <w:sz w:val="18"/>
          <w:szCs w:val="18"/>
          <w:color w:val="auto"/>
        </w:rPr>
        <w:t>from common global architectures to more than 50% in 2014 from less than 17% today. We expect that this initiative will result in greater investment per architecture and brand and will increase our product development and manufacturing flexibility, allowing us to maintain a steady schedule of important new product launches in the future. We believe our four-brand strategy in the U.S. will continue to enable higher marketing expenditures per brand.</w:t>
      </w:r>
    </w:p>
    <w:p>
      <w:pPr>
        <w:spacing w:after="0" w:line="61" w:lineRule="exact"/>
        <w:rPr>
          <w:rFonts w:ascii="Arial" w:cs="Arial" w:eastAsia="Arial" w:hAnsi="Arial"/>
          <w:sz w:val="18"/>
          <w:szCs w:val="18"/>
          <w:color w:val="auto"/>
        </w:rPr>
      </w:pPr>
    </w:p>
    <w:p>
      <w:pPr>
        <w:ind w:left="660" w:right="440" w:hanging="436"/>
        <w:spacing w:after="0" w:line="259" w:lineRule="auto"/>
        <w:tabs>
          <w:tab w:leader="none" w:pos="660" w:val="left"/>
        </w:tabs>
        <w:numPr>
          <w:ilvl w:val="0"/>
          <w:numId w:val="66"/>
        </w:numPr>
        <w:rPr>
          <w:rFonts w:ascii="Arial" w:cs="Arial" w:eastAsia="Arial" w:hAnsi="Arial"/>
          <w:sz w:val="18"/>
          <w:szCs w:val="18"/>
          <w:color w:val="auto"/>
        </w:rPr>
      </w:pPr>
      <w:r>
        <w:rPr>
          <w:rFonts w:ascii="Arial" w:cs="Arial" w:eastAsia="Arial" w:hAnsi="Arial"/>
          <w:sz w:val="18"/>
          <w:szCs w:val="18"/>
          <w:i w:val="1"/>
          <w:iCs w:val="1"/>
          <w:color w:val="auto"/>
        </w:rPr>
        <w:t xml:space="preserve">Develop products across vehicle segments in our global markets. </w:t>
      </w:r>
      <w:r>
        <w:rPr>
          <w:rFonts w:ascii="Arial" w:cs="Arial" w:eastAsia="Arial" w:hAnsi="Arial"/>
          <w:sz w:val="18"/>
          <w:szCs w:val="18"/>
          <w:color w:val="auto"/>
        </w:rPr>
        <w:t>We plan to develop vehicles in each of the key segments of the global markets in</w:t>
      </w:r>
      <w:r>
        <w:rPr>
          <w:rFonts w:ascii="Arial" w:cs="Arial" w:eastAsia="Arial" w:hAnsi="Arial"/>
          <w:sz w:val="18"/>
          <w:szCs w:val="18"/>
          <w:i w:val="1"/>
          <w:iCs w:val="1"/>
          <w:color w:val="auto"/>
        </w:rPr>
        <w:t xml:space="preserve"> </w:t>
      </w:r>
      <w:r>
        <w:rPr>
          <w:rFonts w:ascii="Arial" w:cs="Arial" w:eastAsia="Arial" w:hAnsi="Arial"/>
          <w:sz w:val="18"/>
          <w:szCs w:val="18"/>
          <w:color w:val="auto"/>
        </w:rPr>
        <w:t>which we compete. For example, in September 2010 we introduced the Chevrolet Cruze in the U.S. small car segment, an important and growing segment where we have historically been under-represented.</w:t>
      </w:r>
    </w:p>
    <w:p>
      <w:pPr>
        <w:spacing w:after="0" w:line="59" w:lineRule="exact"/>
        <w:rPr>
          <w:rFonts w:ascii="Arial" w:cs="Arial" w:eastAsia="Arial" w:hAnsi="Arial"/>
          <w:sz w:val="18"/>
          <w:szCs w:val="18"/>
          <w:color w:val="auto"/>
        </w:rPr>
      </w:pPr>
    </w:p>
    <w:p>
      <w:pPr>
        <w:ind w:left="660" w:right="20" w:hanging="436"/>
        <w:spacing w:after="0" w:line="289" w:lineRule="auto"/>
        <w:tabs>
          <w:tab w:leader="none" w:pos="660" w:val="left"/>
        </w:tabs>
        <w:numPr>
          <w:ilvl w:val="0"/>
          <w:numId w:val="66"/>
        </w:numPr>
        <w:rPr>
          <w:rFonts w:ascii="Arial" w:cs="Arial" w:eastAsia="Arial" w:hAnsi="Arial"/>
          <w:sz w:val="16"/>
          <w:szCs w:val="16"/>
          <w:color w:val="auto"/>
        </w:rPr>
      </w:pPr>
      <w:r>
        <w:rPr>
          <w:rFonts w:ascii="Arial" w:cs="Arial" w:eastAsia="Arial" w:hAnsi="Arial"/>
          <w:sz w:val="16"/>
          <w:szCs w:val="16"/>
          <w:i w:val="1"/>
          <w:iCs w:val="1"/>
          <w:color w:val="auto"/>
        </w:rPr>
        <w:t xml:space="preserve">Continued investment in a portfolio of technologies. </w:t>
      </w:r>
      <w:r>
        <w:rPr>
          <w:rFonts w:ascii="Arial" w:cs="Arial" w:eastAsia="Arial" w:hAnsi="Arial"/>
          <w:sz w:val="16"/>
          <w:szCs w:val="16"/>
          <w:color w:val="auto"/>
        </w:rPr>
        <w:t>We will continue to invest in technologies that support energy diversity and energy efficiency as</w:t>
      </w:r>
      <w:r>
        <w:rPr>
          <w:rFonts w:ascii="Arial" w:cs="Arial" w:eastAsia="Arial" w:hAnsi="Arial"/>
          <w:sz w:val="16"/>
          <w:szCs w:val="16"/>
          <w:i w:val="1"/>
          <w:iCs w:val="1"/>
          <w:color w:val="auto"/>
        </w:rPr>
        <w:t xml:space="preserve"> </w:t>
      </w:r>
      <w:r>
        <w:rPr>
          <w:rFonts w:ascii="Arial" w:cs="Arial" w:eastAsia="Arial" w:hAnsi="Arial"/>
          <w:sz w:val="16"/>
          <w:szCs w:val="16"/>
          <w:color w:val="auto"/>
        </w:rPr>
        <w:t>well as in safety, telematics and infotainment technology. We are committed to advanced propulsion technologies and intend to offer a portfolio of fuel efficient alternatives that use energy sources such as petroleum, bio-fuels, hydrogen and electricity, including the new Chevrolet Volt. We are committed to increasing the fuel efficiency of our vehicles with internal combustion engines through features such as cylinder deactivation, direct injection, variable valve timing, turbo-charging with engine downsizing and six speed transmissions. For example, we expect the Chevrolet Cruze Eco to be capable of achieving an estimated 40 miles per gallon on the highway with a traditional internal combustion engine. Additionally, we are expanding our telematics and infotainment offerings and, as a result of our OnStar service and our partnerships with companies such as Google, are in a position to deliver safety, security, navigation and connectivity systems and features.</w:t>
      </w:r>
    </w:p>
    <w:p>
      <w:pPr>
        <w:spacing w:after="0" w:line="118"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 xml:space="preserve">Sell our vehicles globally. </w:t>
      </w:r>
      <w:r>
        <w:rPr>
          <w:rFonts w:ascii="Arial" w:cs="Arial" w:eastAsia="Arial" w:hAnsi="Arial"/>
          <w:sz w:val="18"/>
          <w:szCs w:val="18"/>
          <w:color w:val="auto"/>
        </w:rPr>
        <w:t>We will continue to compete in the largest and fastest growing markets globally.</w:t>
      </w:r>
    </w:p>
    <w:p>
      <w:pPr>
        <w:spacing w:after="0" w:line="212" w:lineRule="exact"/>
        <w:rPr>
          <w:sz w:val="20"/>
          <w:szCs w:val="20"/>
          <w:color w:val="auto"/>
        </w:rPr>
      </w:pPr>
    </w:p>
    <w:p>
      <w:pPr>
        <w:ind w:left="660" w:right="60" w:hanging="436"/>
        <w:spacing w:after="0" w:line="259" w:lineRule="auto"/>
        <w:tabs>
          <w:tab w:leader="none" w:pos="660" w:val="left"/>
        </w:tabs>
        <w:numPr>
          <w:ilvl w:val="0"/>
          <w:numId w:val="67"/>
        </w:numPr>
        <w:rPr>
          <w:rFonts w:ascii="Arial" w:cs="Arial" w:eastAsia="Arial" w:hAnsi="Arial"/>
          <w:sz w:val="18"/>
          <w:szCs w:val="18"/>
          <w:color w:val="auto"/>
        </w:rPr>
      </w:pPr>
      <w:r>
        <w:rPr>
          <w:rFonts w:ascii="Arial" w:cs="Arial" w:eastAsia="Arial" w:hAnsi="Arial"/>
          <w:sz w:val="18"/>
          <w:szCs w:val="18"/>
          <w:i w:val="1"/>
          <w:iCs w:val="1"/>
          <w:color w:val="auto"/>
        </w:rPr>
        <w:t xml:space="preserve">Broaden GMNA product portfolio. </w:t>
      </w:r>
      <w:r>
        <w:rPr>
          <w:rFonts w:ascii="Arial" w:cs="Arial" w:eastAsia="Arial" w:hAnsi="Arial"/>
          <w:sz w:val="18"/>
          <w:szCs w:val="18"/>
          <w:color w:val="auto"/>
        </w:rPr>
        <w:t>We plan to launch 19 new vehicles in GMNA across our four brands between 2010 and 2012, primarily in the</w:t>
      </w:r>
      <w:r>
        <w:rPr>
          <w:rFonts w:ascii="Arial" w:cs="Arial" w:eastAsia="Arial" w:hAnsi="Arial"/>
          <w:sz w:val="18"/>
          <w:szCs w:val="18"/>
          <w:i w:val="1"/>
          <w:iCs w:val="1"/>
          <w:color w:val="auto"/>
        </w:rPr>
        <w:t xml:space="preserve"> </w:t>
      </w:r>
      <w:r>
        <w:rPr>
          <w:rFonts w:ascii="Arial" w:cs="Arial" w:eastAsia="Arial" w:hAnsi="Arial"/>
          <w:sz w:val="18"/>
          <w:szCs w:val="18"/>
          <w:color w:val="auto"/>
        </w:rPr>
        <w:t>growing car and crossover segments, where, in some cases, we are under-represented, and an additional 28 new vehicles between 2013 and 2014. These near-term launches include the new Chevrolet Volt, Cruze, Spark, Aveo and</w:t>
      </w:r>
    </w:p>
    <w:p>
      <w:pPr>
        <w:spacing w:after="0" w:line="12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88</w:t>
      </w:r>
    </w:p>
    <w:p>
      <w:pPr>
        <w:sectPr>
          <w:pgSz w:w="11900" w:h="16838" w:orient="portrait"/>
          <w:cols w:equalWidth="0" w:num="1">
            <w:col w:w="11400"/>
          </w:cols>
          <w:pgMar w:left="240" w:top="459" w:right="259" w:bottom="1440" w:gutter="0" w:footer="0" w:header="0"/>
        </w:sectPr>
      </w:pPr>
    </w:p>
    <w:bookmarkStart w:id="90" w:name="page91"/>
    <w:bookmarkEnd w:id="9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164" w:lineRule="exact"/>
        <w:rPr>
          <w:sz w:val="20"/>
          <w:szCs w:val="20"/>
          <w:color w:val="auto"/>
        </w:rPr>
      </w:pPr>
    </w:p>
    <w:p>
      <w:pPr>
        <w:jc w:val="both"/>
        <w:ind w:left="680" w:right="60"/>
        <w:spacing w:after="0" w:line="259" w:lineRule="auto"/>
        <w:rPr>
          <w:sz w:val="20"/>
          <w:szCs w:val="20"/>
          <w:color w:val="auto"/>
        </w:rPr>
      </w:pPr>
      <w:r>
        <w:rPr>
          <w:rFonts w:ascii="Arial" w:cs="Arial" w:eastAsia="Arial" w:hAnsi="Arial"/>
          <w:sz w:val="18"/>
          <w:szCs w:val="18"/>
          <w:color w:val="auto"/>
        </w:rPr>
        <w:t>Malibu and Buick entries in the compact and mid-size segments. We believe that we have achieved a more balanced portfolio in the U.S. market, where we and Old GM maintained a sales volume mix of 42% from cars, 37% from trucks and 21% from crossovers in 2009 compared to 51% from trucks in 2006.</w:t>
      </w:r>
    </w:p>
    <w:p>
      <w:pPr>
        <w:spacing w:after="0" w:line="59" w:lineRule="exact"/>
        <w:rPr>
          <w:sz w:val="20"/>
          <w:szCs w:val="20"/>
          <w:color w:val="auto"/>
        </w:rPr>
      </w:pPr>
    </w:p>
    <w:p>
      <w:pPr>
        <w:ind w:left="660" w:right="100" w:hanging="436"/>
        <w:spacing w:after="0" w:line="255" w:lineRule="auto"/>
        <w:tabs>
          <w:tab w:leader="none" w:pos="660" w:val="left"/>
        </w:tabs>
        <w:numPr>
          <w:ilvl w:val="0"/>
          <w:numId w:val="68"/>
        </w:numPr>
        <w:rPr>
          <w:rFonts w:ascii="Arial" w:cs="Arial" w:eastAsia="Arial" w:hAnsi="Arial"/>
          <w:sz w:val="18"/>
          <w:szCs w:val="18"/>
          <w:color w:val="auto"/>
        </w:rPr>
      </w:pPr>
      <w:r>
        <w:rPr>
          <w:rFonts w:ascii="Arial" w:cs="Arial" w:eastAsia="Arial" w:hAnsi="Arial"/>
          <w:sz w:val="18"/>
          <w:szCs w:val="18"/>
          <w:i w:val="1"/>
          <w:iCs w:val="1"/>
          <w:color w:val="auto"/>
        </w:rPr>
        <w:t xml:space="preserve">Increase sales in GMIO, particularly China and Brazil. </w:t>
      </w:r>
      <w:r>
        <w:rPr>
          <w:rFonts w:ascii="Arial" w:cs="Arial" w:eastAsia="Arial" w:hAnsi="Arial"/>
          <w:sz w:val="18"/>
          <w:szCs w:val="18"/>
          <w:color w:val="auto"/>
        </w:rPr>
        <w:t>We plan to continue to execute our growth strategies in countries where we already hold strong</w:t>
      </w:r>
      <w:r>
        <w:rPr>
          <w:rFonts w:ascii="Arial" w:cs="Arial" w:eastAsia="Arial" w:hAnsi="Arial"/>
          <w:sz w:val="18"/>
          <w:szCs w:val="18"/>
          <w:i w:val="1"/>
          <w:iCs w:val="1"/>
          <w:color w:val="auto"/>
        </w:rPr>
        <w:t xml:space="preserve"> </w:t>
      </w:r>
      <w:r>
        <w:rPr>
          <w:rFonts w:ascii="Arial" w:cs="Arial" w:eastAsia="Arial" w:hAnsi="Arial"/>
          <w:sz w:val="18"/>
          <w:szCs w:val="18"/>
          <w:color w:val="auto"/>
        </w:rPr>
        <w:t>positions, such as China and Brazil, and to improve share in other important markets, including South Korea, South Africa, Russia, India and the ASEAN region. We aim to launch 84 new vehicles throughout GMIO through 2012. We plan to enhance and strengthen our GMIO product portfolio through three strategies: leveraging our global architectures, pursuing local and regional solutions to meet specific market requirements and expanding our joint venture partner collaboration opportunities.</w:t>
      </w:r>
    </w:p>
    <w:p>
      <w:pPr>
        <w:spacing w:after="0" w:line="61" w:lineRule="exact"/>
        <w:rPr>
          <w:rFonts w:ascii="Arial" w:cs="Arial" w:eastAsia="Arial" w:hAnsi="Arial"/>
          <w:sz w:val="18"/>
          <w:szCs w:val="18"/>
          <w:color w:val="auto"/>
        </w:rPr>
      </w:pPr>
    </w:p>
    <w:p>
      <w:pPr>
        <w:ind w:left="660" w:right="100" w:hanging="436"/>
        <w:spacing w:after="0" w:line="298" w:lineRule="auto"/>
        <w:tabs>
          <w:tab w:leader="none" w:pos="660" w:val="left"/>
        </w:tabs>
        <w:numPr>
          <w:ilvl w:val="0"/>
          <w:numId w:val="68"/>
        </w:numPr>
        <w:rPr>
          <w:rFonts w:ascii="Arial" w:cs="Arial" w:eastAsia="Arial" w:hAnsi="Arial"/>
          <w:sz w:val="16"/>
          <w:szCs w:val="16"/>
          <w:color w:val="auto"/>
        </w:rPr>
      </w:pPr>
      <w:r>
        <w:rPr>
          <w:rFonts w:ascii="Arial" w:cs="Arial" w:eastAsia="Arial" w:hAnsi="Arial"/>
          <w:sz w:val="16"/>
          <w:szCs w:val="16"/>
          <w:i w:val="1"/>
          <w:iCs w:val="1"/>
          <w:color w:val="auto"/>
        </w:rPr>
        <w:t xml:space="preserve">Refresh GME’s vehicle portfolio. </w:t>
      </w:r>
      <w:r>
        <w:rPr>
          <w:rFonts w:ascii="Arial" w:cs="Arial" w:eastAsia="Arial" w:hAnsi="Arial"/>
          <w:sz w:val="16"/>
          <w:szCs w:val="16"/>
          <w:color w:val="auto"/>
        </w:rPr>
        <w:t>To improve our product quality and product perception in Europe, by the start of 2012, we plan to have 80% of our</w:t>
      </w:r>
      <w:r>
        <w:rPr>
          <w:rFonts w:ascii="Arial" w:cs="Arial" w:eastAsia="Arial" w:hAnsi="Arial"/>
          <w:sz w:val="16"/>
          <w:szCs w:val="16"/>
          <w:i w:val="1"/>
          <w:iCs w:val="1"/>
          <w:color w:val="auto"/>
        </w:rPr>
        <w:t xml:space="preserve"> </w:t>
      </w:r>
      <w:r>
        <w:rPr>
          <w:rFonts w:ascii="Arial" w:cs="Arial" w:eastAsia="Arial" w:hAnsi="Arial"/>
          <w:sz w:val="16"/>
          <w:szCs w:val="16"/>
          <w:color w:val="auto"/>
        </w:rPr>
        <w:t>Opel/Vauxhall carlines volume refreshed such that the model stylings are less than three years old. We have three product launches scheduled in 2010 and another four product launches scheduled in 2011. As part of our planned rejuvenation of Chevrolet’s portfolio, which increasingly supplements our Opel/Vauxhall brands throughout Europe, we are moving the entire Chevrolet lineup to the new GM global architectures.</w:t>
      </w:r>
    </w:p>
    <w:p>
      <w:pPr>
        <w:spacing w:after="0" w:line="31" w:lineRule="exact"/>
        <w:rPr>
          <w:rFonts w:ascii="Arial" w:cs="Arial" w:eastAsia="Arial" w:hAnsi="Arial"/>
          <w:sz w:val="16"/>
          <w:szCs w:val="16"/>
          <w:color w:val="auto"/>
        </w:rPr>
      </w:pPr>
    </w:p>
    <w:p>
      <w:pPr>
        <w:ind w:left="660" w:right="20" w:hanging="436"/>
        <w:spacing w:after="0" w:line="253" w:lineRule="auto"/>
        <w:tabs>
          <w:tab w:leader="none" w:pos="660" w:val="left"/>
        </w:tabs>
        <w:numPr>
          <w:ilvl w:val="0"/>
          <w:numId w:val="68"/>
        </w:numPr>
        <w:rPr>
          <w:rFonts w:ascii="Arial" w:cs="Arial" w:eastAsia="Arial" w:hAnsi="Arial"/>
          <w:sz w:val="18"/>
          <w:szCs w:val="18"/>
          <w:color w:val="auto"/>
        </w:rPr>
      </w:pPr>
      <w:r>
        <w:rPr>
          <w:rFonts w:ascii="Arial" w:cs="Arial" w:eastAsia="Arial" w:hAnsi="Arial"/>
          <w:sz w:val="18"/>
          <w:szCs w:val="18"/>
          <w:i w:val="1"/>
          <w:iCs w:val="1"/>
          <w:color w:val="auto"/>
        </w:rPr>
        <w:t xml:space="preserve">Ensure competitive financing is available to our dealers and customers. </w:t>
      </w:r>
      <w:r>
        <w:rPr>
          <w:rFonts w:ascii="Arial" w:cs="Arial" w:eastAsia="Arial" w:hAnsi="Arial"/>
          <w:sz w:val="18"/>
          <w:szCs w:val="18"/>
          <w:color w:val="auto"/>
        </w:rPr>
        <w:t>We currently maintain multiple financing programs and arrangements with third</w:t>
      </w:r>
      <w:r>
        <w:rPr>
          <w:rFonts w:ascii="Arial" w:cs="Arial" w:eastAsia="Arial" w:hAnsi="Arial"/>
          <w:sz w:val="18"/>
          <w:szCs w:val="18"/>
          <w:i w:val="1"/>
          <w:iCs w:val="1"/>
          <w:color w:val="auto"/>
        </w:rPr>
        <w:t xml:space="preserve"> </w:t>
      </w:r>
      <w:r>
        <w:rPr>
          <w:rFonts w:ascii="Arial" w:cs="Arial" w:eastAsia="Arial" w:hAnsi="Arial"/>
          <w:sz w:val="18"/>
          <w:szCs w:val="18"/>
          <w:color w:val="auto"/>
        </w:rPr>
        <w:t>parties for our wholesale and retail customers to utilize when purchasing or leasing our vehicles. Through our long-standing arrangements with Ally Financial Inc., formerly GMAC, Inc. (Ally Financial), and a variety of other worldwide, regional and local lenders, we provide our customers and dealers with access to financing alternatives. We plan to further expand the range of financing options available to our customers and dealers to help grow our vehicle sales. In particular, on October 1, 2010 we acquired AmeriCredit Corp. (AmeriCredit), which we subsequently renamed General Motors Financial Company, Inc. (GM Financial) and which we expect will enable us to offer increased availability of leasing and sub-prime vehicle financing for our customers throughout economic cycles. We also plan to use GM Financial to initiate targeted customer marketing initiatives to expand our vehicle sales.</w:t>
      </w:r>
    </w:p>
    <w:p>
      <w:pPr>
        <w:spacing w:after="0" w:line="145" w:lineRule="exact"/>
        <w:rPr>
          <w:sz w:val="20"/>
          <w:szCs w:val="20"/>
          <w:color w:val="auto"/>
        </w:rPr>
      </w:pPr>
    </w:p>
    <w:p>
      <w:pPr>
        <w:ind w:right="100" w:firstLine="228"/>
        <w:spacing w:after="0" w:line="268" w:lineRule="auto"/>
        <w:rPr>
          <w:sz w:val="20"/>
          <w:szCs w:val="20"/>
          <w:color w:val="auto"/>
        </w:rPr>
      </w:pPr>
      <w:r>
        <w:rPr>
          <w:rFonts w:ascii="Arial" w:cs="Arial" w:eastAsia="Arial" w:hAnsi="Arial"/>
          <w:sz w:val="18"/>
          <w:szCs w:val="18"/>
          <w:b w:val="1"/>
          <w:bCs w:val="1"/>
          <w:i w:val="1"/>
          <w:iCs w:val="1"/>
          <w:color w:val="auto"/>
        </w:rPr>
        <w:t xml:space="preserve">Reduce breakeven levels through improved revenue realization and a competitive cost structure. </w:t>
      </w:r>
      <w:r>
        <w:rPr>
          <w:rFonts w:ascii="Arial" w:cs="Arial" w:eastAsia="Arial" w:hAnsi="Arial"/>
          <w:sz w:val="18"/>
          <w:szCs w:val="18"/>
          <w:color w:val="auto"/>
        </w:rPr>
        <w:t>In developed markets, we are improving our cost structure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to become profitable at lower industry volumes.</w:t>
      </w:r>
    </w:p>
    <w:p>
      <w:pPr>
        <w:spacing w:after="0" w:line="172" w:lineRule="exact"/>
        <w:rPr>
          <w:sz w:val="20"/>
          <w:szCs w:val="20"/>
          <w:color w:val="auto"/>
        </w:rPr>
      </w:pPr>
    </w:p>
    <w:p>
      <w:pPr>
        <w:ind w:left="660" w:hanging="436"/>
        <w:spacing w:after="0" w:line="294" w:lineRule="auto"/>
        <w:tabs>
          <w:tab w:leader="none" w:pos="660" w:val="left"/>
        </w:tabs>
        <w:numPr>
          <w:ilvl w:val="0"/>
          <w:numId w:val="69"/>
        </w:numPr>
        <w:rPr>
          <w:rFonts w:ascii="Arial" w:cs="Arial" w:eastAsia="Arial" w:hAnsi="Arial"/>
          <w:sz w:val="16"/>
          <w:szCs w:val="16"/>
          <w:color w:val="auto"/>
        </w:rPr>
      </w:pPr>
      <w:r>
        <w:rPr>
          <w:rFonts w:ascii="Arial" w:cs="Arial" w:eastAsia="Arial" w:hAnsi="Arial"/>
          <w:sz w:val="16"/>
          <w:szCs w:val="16"/>
          <w:i w:val="1"/>
          <w:iCs w:val="1"/>
          <w:color w:val="auto"/>
        </w:rPr>
        <w:t xml:space="preserve">Capitalize on cost structure improvement and maintain reduced incentive levels in GMNA. </w:t>
      </w:r>
      <w:r>
        <w:rPr>
          <w:rFonts w:ascii="Arial" w:cs="Arial" w:eastAsia="Arial" w:hAnsi="Arial"/>
          <w:sz w:val="16"/>
          <w:szCs w:val="16"/>
          <w:color w:val="auto"/>
        </w:rPr>
        <w:t>We plan to sustain the cost reduction and operating flexibility</w:t>
      </w:r>
      <w:r>
        <w:rPr>
          <w:rFonts w:ascii="Arial" w:cs="Arial" w:eastAsia="Arial" w:hAnsi="Arial"/>
          <w:sz w:val="16"/>
          <w:szCs w:val="16"/>
          <w:i w:val="1"/>
          <w:iCs w:val="1"/>
          <w:color w:val="auto"/>
        </w:rPr>
        <w:t xml:space="preserve"> </w:t>
      </w:r>
      <w:r>
        <w:rPr>
          <w:rFonts w:ascii="Arial" w:cs="Arial" w:eastAsia="Arial" w:hAnsi="Arial"/>
          <w:sz w:val="16"/>
          <w:szCs w:val="16"/>
          <w:color w:val="auto"/>
        </w:rPr>
        <w:t>progress we have made as a result of our North American restructuring. In addition to becoming more cost competitive, our current U.S. and Canadian hourly labor agreements provide the flexibility to utilize a lower tiered wage and benefit structure for new hires, part-time employees and temporary employees. We aim to increase our vehicle profitability by maintaining competitive incentive levels with our strengthened product portfolio and by actively managing our production levels through monitoring of our dealer inventory levels.</w:t>
      </w:r>
    </w:p>
    <w:p>
      <w:pPr>
        <w:spacing w:after="0" w:line="34" w:lineRule="exact"/>
        <w:rPr>
          <w:rFonts w:ascii="Arial" w:cs="Arial" w:eastAsia="Arial" w:hAnsi="Arial"/>
          <w:sz w:val="16"/>
          <w:szCs w:val="16"/>
          <w:color w:val="auto"/>
        </w:rPr>
      </w:pPr>
    </w:p>
    <w:p>
      <w:pPr>
        <w:ind w:left="660" w:right="80" w:hanging="436"/>
        <w:spacing w:after="0" w:line="291" w:lineRule="auto"/>
        <w:tabs>
          <w:tab w:leader="none" w:pos="660" w:val="left"/>
        </w:tabs>
        <w:numPr>
          <w:ilvl w:val="0"/>
          <w:numId w:val="69"/>
        </w:numPr>
        <w:rPr>
          <w:rFonts w:ascii="Arial" w:cs="Arial" w:eastAsia="Arial" w:hAnsi="Arial"/>
          <w:sz w:val="16"/>
          <w:szCs w:val="16"/>
          <w:color w:val="auto"/>
        </w:rPr>
      </w:pPr>
      <w:r>
        <w:rPr>
          <w:rFonts w:ascii="Arial" w:cs="Arial" w:eastAsia="Arial" w:hAnsi="Arial"/>
          <w:sz w:val="16"/>
          <w:szCs w:val="16"/>
          <w:i w:val="1"/>
          <w:iCs w:val="1"/>
          <w:color w:val="auto"/>
        </w:rPr>
        <w:t xml:space="preserve">Execute on our Opel/Vauxhall restructuring plan. </w:t>
      </w:r>
      <w:r>
        <w:rPr>
          <w:rFonts w:ascii="Arial" w:cs="Arial" w:eastAsia="Arial" w:hAnsi="Arial"/>
          <w:sz w:val="16"/>
          <w:szCs w:val="16"/>
          <w:color w:val="auto"/>
        </w:rPr>
        <w:t>We expect our Opel/Vauxhall restructuring plan to lower our vehicle manufacturing costs. The plan</w:t>
      </w:r>
      <w:r>
        <w:rPr>
          <w:rFonts w:ascii="Arial" w:cs="Arial" w:eastAsia="Arial" w:hAnsi="Arial"/>
          <w:sz w:val="16"/>
          <w:szCs w:val="16"/>
          <w:i w:val="1"/>
          <w:iCs w:val="1"/>
          <w:color w:val="auto"/>
        </w:rPr>
        <w:t xml:space="preserve"> </w:t>
      </w:r>
      <w:r>
        <w:rPr>
          <w:rFonts w:ascii="Arial" w:cs="Arial" w:eastAsia="Arial" w:hAnsi="Arial"/>
          <w:sz w:val="16"/>
          <w:szCs w:val="16"/>
          <w:color w:val="auto"/>
        </w:rPr>
        <w:t>includes manufacturing rationalization, headcount reduction, labor cost concessions from the remaining workforce and selling, general and administrative efficiency initiatives. Specifically, we have reached an agreement to reduce our European manufacturing capacity by 20% through, among other things, the closing of our Antwerp facility in Belgium and the rationalization of our powertrain operations in our Bochum and Kaiserslautern facilities in Germany. Additionally, we have reached an agreement with the labor unions in Europe to reduce labor costs by $323 million per year. The objective of our restructuring, along with the refreshed product portfolio pipeline, is to restore the profitability of the GME business.</w:t>
      </w:r>
    </w:p>
    <w:p>
      <w:pPr>
        <w:spacing w:after="0" w:line="39" w:lineRule="exact"/>
        <w:rPr>
          <w:rFonts w:ascii="Arial" w:cs="Arial" w:eastAsia="Arial" w:hAnsi="Arial"/>
          <w:sz w:val="16"/>
          <w:szCs w:val="16"/>
          <w:color w:val="auto"/>
        </w:rPr>
      </w:pPr>
    </w:p>
    <w:p>
      <w:pPr>
        <w:ind w:left="660" w:right="240" w:hanging="436"/>
        <w:spacing w:after="0" w:line="298" w:lineRule="auto"/>
        <w:tabs>
          <w:tab w:leader="none" w:pos="660" w:val="left"/>
        </w:tabs>
        <w:numPr>
          <w:ilvl w:val="0"/>
          <w:numId w:val="69"/>
        </w:numPr>
        <w:rPr>
          <w:rFonts w:ascii="Arial" w:cs="Arial" w:eastAsia="Arial" w:hAnsi="Arial"/>
          <w:sz w:val="16"/>
          <w:szCs w:val="16"/>
          <w:color w:val="auto"/>
        </w:rPr>
      </w:pPr>
      <w:r>
        <w:rPr>
          <w:rFonts w:ascii="Arial" w:cs="Arial" w:eastAsia="Arial" w:hAnsi="Arial"/>
          <w:sz w:val="16"/>
          <w:szCs w:val="16"/>
          <w:i w:val="1"/>
          <w:iCs w:val="1"/>
          <w:color w:val="auto"/>
        </w:rPr>
        <w:t xml:space="preserve">Enhance manufacturing flexibility. </w:t>
      </w:r>
      <w:r>
        <w:rPr>
          <w:rFonts w:ascii="Arial" w:cs="Arial" w:eastAsia="Arial" w:hAnsi="Arial"/>
          <w:sz w:val="16"/>
          <w:szCs w:val="16"/>
          <w:color w:val="auto"/>
        </w:rPr>
        <w:t>We primarily produce vehicles in locations where we sell them and we have significant manufacturing capacity in</w:t>
      </w:r>
      <w:r>
        <w:rPr>
          <w:rFonts w:ascii="Arial" w:cs="Arial" w:eastAsia="Arial" w:hAnsi="Arial"/>
          <w:sz w:val="16"/>
          <w:szCs w:val="16"/>
          <w:i w:val="1"/>
          <w:iCs w:val="1"/>
          <w:color w:val="auto"/>
        </w:rPr>
        <w:t xml:space="preserve"> </w:t>
      </w:r>
      <w:r>
        <w:rPr>
          <w:rFonts w:ascii="Arial" w:cs="Arial" w:eastAsia="Arial" w:hAnsi="Arial"/>
          <w:sz w:val="16"/>
          <w:szCs w:val="16"/>
          <w:color w:val="auto"/>
        </w:rPr>
        <w:t>medium- and low-cost countries. We intend to maximize capacity utilization across our production footprint to meet demand without requiring significant additional capital investment. For example, we were able to leverage the benefit of a global architecture and start initial production for the U.S. of the Buick Regal 11 months ahead of schedule by temporarily shifting production from North America to Rüsselsheim, Germany.</w:t>
      </w:r>
    </w:p>
    <w:p>
      <w:pPr>
        <w:spacing w:after="0" w:line="9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89</w:t>
      </w:r>
    </w:p>
    <w:p>
      <w:pPr>
        <w:sectPr>
          <w:pgSz w:w="11900" w:h="16838" w:orient="portrait"/>
          <w:cols w:equalWidth="0" w:num="1">
            <w:col w:w="11400"/>
          </w:cols>
          <w:pgMar w:left="240" w:top="459" w:right="259" w:bottom="1440" w:gutter="0" w:footer="0" w:header="0"/>
        </w:sectPr>
      </w:pPr>
    </w:p>
    <w:bookmarkStart w:id="91" w:name="page92"/>
    <w:bookmarkEnd w:id="9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339" w:lineRule="exact"/>
        <w:rPr>
          <w:sz w:val="20"/>
          <w:szCs w:val="20"/>
          <w:color w:val="auto"/>
        </w:rPr>
      </w:pPr>
    </w:p>
    <w:p>
      <w:pPr>
        <w:ind w:right="40" w:firstLine="228"/>
        <w:spacing w:after="0" w:line="256" w:lineRule="auto"/>
        <w:rPr>
          <w:sz w:val="20"/>
          <w:szCs w:val="20"/>
          <w:color w:val="auto"/>
        </w:rPr>
      </w:pPr>
      <w:r>
        <w:rPr>
          <w:rFonts w:ascii="Arial" w:cs="Arial" w:eastAsia="Arial" w:hAnsi="Arial"/>
          <w:sz w:val="18"/>
          <w:szCs w:val="18"/>
          <w:b w:val="1"/>
          <w:bCs w:val="1"/>
          <w:i w:val="1"/>
          <w:iCs w:val="1"/>
          <w:color w:val="auto"/>
        </w:rPr>
        <w:t xml:space="preserve">Maintain a strong balance sheet. </w:t>
      </w:r>
      <w:r>
        <w:rPr>
          <w:rFonts w:ascii="Arial" w:cs="Arial" w:eastAsia="Arial" w:hAnsi="Arial"/>
          <w:sz w:val="18"/>
          <w:szCs w:val="18"/>
          <w:color w:val="auto"/>
        </w:rPr>
        <w:t>Given our business’s high operating leverage and the cyclical nature of our industry, we intend to minimize our financial</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leverage. We plan to use excess cash to repay debt and to make discretionary contributions to our U.S. pension plan. Based on this planned reduction in financial leverage and the anticipated benefits resulting from our operating strategy described above, we will aim to attain an investment grade credit rating over the long term.</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color w:val="auto"/>
        </w:rPr>
        <w:t>Projected Fourth Quarter Results</w:t>
      </w:r>
    </w:p>
    <w:p>
      <w:pPr>
        <w:spacing w:after="0" w:line="165" w:lineRule="exact"/>
        <w:rPr>
          <w:sz w:val="20"/>
          <w:szCs w:val="20"/>
          <w:color w:val="auto"/>
        </w:rPr>
      </w:pPr>
    </w:p>
    <w:p>
      <w:pPr>
        <w:ind w:firstLine="228"/>
        <w:spacing w:after="0" w:line="262" w:lineRule="auto"/>
        <w:rPr>
          <w:sz w:val="20"/>
          <w:szCs w:val="20"/>
          <w:color w:val="auto"/>
        </w:rPr>
      </w:pPr>
      <w:r>
        <w:rPr>
          <w:rFonts w:ascii="Arial" w:cs="Arial" w:eastAsia="Arial" w:hAnsi="Arial"/>
          <w:sz w:val="18"/>
          <w:szCs w:val="18"/>
          <w:b w:val="1"/>
          <w:bCs w:val="1"/>
          <w:color w:val="auto"/>
        </w:rPr>
        <w:t>With respect to the projected fourth quarter results for 2010, our independent registered public accounting firm has not compiled, examined, or performed any procedures with respect to this information, nor have they expressed any opinion or any other form of assurance on such information or its achievability, and assume no responsibility for, and disclaim any association with, it.</w:t>
      </w:r>
    </w:p>
    <w:p>
      <w:pPr>
        <w:spacing w:after="0" w:line="138" w:lineRule="exact"/>
        <w:rPr>
          <w:sz w:val="20"/>
          <w:szCs w:val="20"/>
          <w:color w:val="auto"/>
        </w:rPr>
      </w:pPr>
    </w:p>
    <w:p>
      <w:pPr>
        <w:ind w:right="200" w:firstLine="228"/>
        <w:spacing w:after="0" w:line="259" w:lineRule="auto"/>
        <w:rPr>
          <w:sz w:val="20"/>
          <w:szCs w:val="20"/>
          <w:color w:val="auto"/>
        </w:rPr>
      </w:pPr>
      <w:r>
        <w:rPr>
          <w:rFonts w:ascii="Arial" w:cs="Arial" w:eastAsia="Arial" w:hAnsi="Arial"/>
          <w:sz w:val="18"/>
          <w:szCs w:val="18"/>
          <w:color w:val="auto"/>
        </w:rPr>
        <w:t>We expect to generate positive EBIT in the fourth quarter of 2010, albeit at a significantly lower level than that of each of the first three quarters, due to the fourth quarter having a different production mix, new vehicles launch costs (in particular the Chevrolet Cruze and Volt) and higher engineering expenses for future products.</w:t>
      </w:r>
    </w:p>
    <w:p>
      <w:pPr>
        <w:spacing w:after="0" w:line="140" w:lineRule="exact"/>
        <w:rPr>
          <w:sz w:val="20"/>
          <w:szCs w:val="20"/>
          <w:color w:val="auto"/>
        </w:rPr>
      </w:pPr>
    </w:p>
    <w:p>
      <w:pPr>
        <w:jc w:val="both"/>
        <w:ind w:right="240" w:firstLine="228"/>
        <w:spacing w:after="0" w:line="306" w:lineRule="auto"/>
        <w:rPr>
          <w:sz w:val="20"/>
          <w:szCs w:val="20"/>
          <w:color w:val="auto"/>
        </w:rPr>
      </w:pPr>
      <w:r>
        <w:rPr>
          <w:rFonts w:ascii="Arial" w:cs="Arial" w:eastAsia="Arial" w:hAnsi="Arial"/>
          <w:sz w:val="16"/>
          <w:szCs w:val="16"/>
          <w:color w:val="auto"/>
        </w:rPr>
        <w:t>As the fourth quarter of 2010 is still in progress, any forecast of our operating results is inherently speculative, is subject to substantial uncertainty, and our actual results may differ materially from management’s views. Refer to the section entitled “Risk Factors” for a discussion of risks that could affect our future operating results. Our views for the fourth quarter rely in large part upon assumptions and analyses we have developed.</w:t>
      </w:r>
    </w:p>
    <w:p>
      <w:pPr>
        <w:spacing w:after="0" w:line="107" w:lineRule="exact"/>
        <w:rPr>
          <w:sz w:val="20"/>
          <w:szCs w:val="20"/>
          <w:color w:val="auto"/>
        </w:rPr>
      </w:pPr>
    </w:p>
    <w:p>
      <w:pPr>
        <w:ind w:right="120" w:firstLine="228"/>
        <w:spacing w:after="0" w:line="306" w:lineRule="auto"/>
        <w:rPr>
          <w:sz w:val="20"/>
          <w:szCs w:val="20"/>
          <w:color w:val="auto"/>
        </w:rPr>
      </w:pPr>
      <w:r>
        <w:rPr>
          <w:rFonts w:ascii="Arial" w:cs="Arial" w:eastAsia="Arial" w:hAnsi="Arial"/>
          <w:sz w:val="16"/>
          <w:szCs w:val="16"/>
          <w:color w:val="auto"/>
        </w:rPr>
        <w:t>As a result of the foregoing considerations and the other limitations of non-GAAP measures described elsewhere, investors are cautioned not to place undue reliance on this forecasted financial information. There are material limitations inherent in stating our views of our results for future periods. Refer to “Risk Factors” and “Management’s Discussion and Analysis of Financial Condition and Results of Operations” included herein.</w:t>
      </w:r>
    </w:p>
    <w:p>
      <w:pPr>
        <w:spacing w:after="0" w:line="1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Old GM Bankruptcy and 363 Sale</w:t>
      </w:r>
    </w:p>
    <w:p>
      <w:pPr>
        <w:spacing w:after="0" w:line="177"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Background</w:t>
      </w:r>
    </w:p>
    <w:p>
      <w:pPr>
        <w:spacing w:after="0" w:line="171" w:lineRule="exact"/>
        <w:rPr>
          <w:sz w:val="20"/>
          <w:szCs w:val="20"/>
          <w:color w:val="auto"/>
        </w:rPr>
      </w:pPr>
    </w:p>
    <w:p>
      <w:pPr>
        <w:jc w:val="both"/>
        <w:ind w:right="20" w:firstLine="228"/>
        <w:spacing w:after="0" w:line="306" w:lineRule="auto"/>
        <w:rPr>
          <w:sz w:val="20"/>
          <w:szCs w:val="20"/>
          <w:color w:val="auto"/>
        </w:rPr>
      </w:pPr>
      <w:r>
        <w:rPr>
          <w:rFonts w:ascii="Arial" w:cs="Arial" w:eastAsia="Arial" w:hAnsi="Arial"/>
          <w:sz w:val="16"/>
          <w:szCs w:val="16"/>
          <w:color w:val="auto"/>
        </w:rPr>
        <w:t>As a result of historical unfavorable economic conditions and a rapid decline in sales in the three months ended December 31, 2008 Old GM determined that, despite the previous actions it had then taken to restructure its U.S. business, it would be unable to pay its obligations in the normal course of business in 2009 or service its debt in a timely fashion, which required the development of a new plan that depended on financial assistance from the U.S. government.</w:t>
      </w:r>
    </w:p>
    <w:p>
      <w:pPr>
        <w:spacing w:after="0" w:line="107" w:lineRule="exact"/>
        <w:rPr>
          <w:sz w:val="20"/>
          <w:szCs w:val="20"/>
          <w:color w:val="auto"/>
        </w:rPr>
      </w:pPr>
    </w:p>
    <w:p>
      <w:pPr>
        <w:ind w:right="60" w:firstLine="228"/>
        <w:spacing w:after="0" w:line="298" w:lineRule="auto"/>
        <w:rPr>
          <w:sz w:val="20"/>
          <w:szCs w:val="20"/>
          <w:color w:val="auto"/>
        </w:rPr>
      </w:pPr>
      <w:r>
        <w:rPr>
          <w:rFonts w:ascii="Arial" w:cs="Arial" w:eastAsia="Arial" w:hAnsi="Arial"/>
          <w:sz w:val="16"/>
          <w:szCs w:val="16"/>
          <w:color w:val="auto"/>
        </w:rPr>
        <w:t>In December 2008 Old GM requested and received financial assistance from the U.S. government and entered into a loan and security agreement with the UST, which was subsequently amended (UST Loan Agreement). In early 2009 Old GM’s business results and liquidity continued to deteriorate, and, as a result, Old GM obtained additional funding from the UST under the UST Loan Agreement. Old GM also received funding from Export Development Canada (EDC), a corporation wholly-owned by the government of Canada, under a loan and security agreement entered into in April 2009 (EDC Loan Facility).</w:t>
      </w:r>
    </w:p>
    <w:p>
      <w:pPr>
        <w:spacing w:after="0" w:line="113" w:lineRule="exact"/>
        <w:rPr>
          <w:sz w:val="20"/>
          <w:szCs w:val="20"/>
          <w:color w:val="auto"/>
        </w:rPr>
      </w:pPr>
    </w:p>
    <w:p>
      <w:pPr>
        <w:ind w:right="240" w:firstLine="228"/>
        <w:spacing w:after="0" w:line="259" w:lineRule="auto"/>
        <w:rPr>
          <w:sz w:val="20"/>
          <w:szCs w:val="20"/>
          <w:color w:val="auto"/>
        </w:rPr>
      </w:pPr>
      <w:r>
        <w:rPr>
          <w:rFonts w:ascii="Arial" w:cs="Arial" w:eastAsia="Arial" w:hAnsi="Arial"/>
          <w:sz w:val="18"/>
          <w:szCs w:val="18"/>
          <w:color w:val="auto"/>
        </w:rPr>
        <w:t>As a condition to obtaining the loans (UST Loan Facility) under the UST Loan Agreement, Old GM was required to submit a plan in February 2009 that included specific actions intended to demonstrate that it was a viable entity and to use its best efforts to achieve certain debt reduction, labor modification and VEBA modification targets.</w:t>
      </w:r>
    </w:p>
    <w:p>
      <w:pPr>
        <w:spacing w:after="0" w:line="140" w:lineRule="exact"/>
        <w:rPr>
          <w:sz w:val="20"/>
          <w:szCs w:val="20"/>
          <w:color w:val="auto"/>
        </w:rPr>
      </w:pPr>
    </w:p>
    <w:p>
      <w:pPr>
        <w:ind w:right="40" w:firstLine="228"/>
        <w:spacing w:after="0" w:line="256" w:lineRule="auto"/>
        <w:rPr>
          <w:sz w:val="20"/>
          <w:szCs w:val="20"/>
          <w:color w:val="auto"/>
        </w:rPr>
      </w:pPr>
      <w:r>
        <w:rPr>
          <w:rFonts w:ascii="Arial" w:cs="Arial" w:eastAsia="Arial" w:hAnsi="Arial"/>
          <w:sz w:val="18"/>
          <w:szCs w:val="18"/>
          <w:color w:val="auto"/>
        </w:rPr>
        <w:t>In March 2009 the Presidential Task Force on the Auto Industry (Auto Task Force) determined that the plan was not viable and required substantial revisions. In conjunction with the March 2009 announcement, the administration announced that it would offer Old GM adequate working capital financing for a period of 60 days while it worked with Old GM to develop and implement a more accelerated and aggressive restructuring that would provide a sound long-term foundation.</w:t>
      </w:r>
    </w:p>
    <w:p>
      <w:pPr>
        <w:spacing w:after="0" w:line="130"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90</w:t>
      </w:r>
    </w:p>
    <w:p>
      <w:pPr>
        <w:sectPr>
          <w:pgSz w:w="11900" w:h="16838" w:orient="portrait"/>
          <w:cols w:equalWidth="0" w:num="1">
            <w:col w:w="11340"/>
          </w:cols>
          <w:pgMar w:left="240" w:top="459" w:right="319" w:bottom="1440" w:gutter="0" w:footer="0" w:header="0"/>
        </w:sectPr>
      </w:pPr>
    </w:p>
    <w:bookmarkStart w:id="92" w:name="page93"/>
    <w:bookmarkEnd w:id="9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339" w:lineRule="exact"/>
        <w:rPr>
          <w:sz w:val="20"/>
          <w:szCs w:val="20"/>
          <w:color w:val="auto"/>
        </w:rPr>
      </w:pPr>
    </w:p>
    <w:p>
      <w:pPr>
        <w:ind w:firstLine="228"/>
        <w:spacing w:after="0" w:line="259" w:lineRule="auto"/>
        <w:rPr>
          <w:sz w:val="20"/>
          <w:szCs w:val="20"/>
          <w:color w:val="auto"/>
        </w:rPr>
      </w:pPr>
      <w:r>
        <w:rPr>
          <w:rFonts w:ascii="Arial" w:cs="Arial" w:eastAsia="Arial" w:hAnsi="Arial"/>
          <w:sz w:val="18"/>
          <w:szCs w:val="18"/>
          <w:color w:val="auto"/>
        </w:rPr>
        <w:t>Old GM made further modifications to its plan in an attempt to satisfy the Auto Task Force’s requirement that it undertake a substantially more accelerated and aggressive restructuring plan. The additional significant cost reduction and restructuring actions included reducing Old GM’s indebtedness and VEBA obligations, in addition to other cost reduction and restructuring actions.</w:t>
      </w:r>
    </w:p>
    <w:p>
      <w:pPr>
        <w:spacing w:after="0" w:line="140" w:lineRule="exact"/>
        <w:rPr>
          <w:sz w:val="20"/>
          <w:szCs w:val="20"/>
          <w:color w:val="auto"/>
        </w:rPr>
      </w:pPr>
    </w:p>
    <w:p>
      <w:pPr>
        <w:ind w:right="600" w:firstLine="228"/>
        <w:spacing w:after="0" w:line="268" w:lineRule="auto"/>
        <w:rPr>
          <w:sz w:val="20"/>
          <w:szCs w:val="20"/>
          <w:color w:val="auto"/>
        </w:rPr>
      </w:pPr>
      <w:r>
        <w:rPr>
          <w:rFonts w:ascii="Arial" w:cs="Arial" w:eastAsia="Arial" w:hAnsi="Arial"/>
          <w:sz w:val="18"/>
          <w:szCs w:val="18"/>
          <w:color w:val="auto"/>
        </w:rPr>
        <w:t>Our Form S-1 provides additional detail on Old GM’s liquidity constraints, the terms and conditions of its various funding arrangements with U.S. and Canadian governmental entities, and its various cost reduction and restructuring activities.</w:t>
      </w:r>
    </w:p>
    <w:p>
      <w:pPr>
        <w:spacing w:after="0" w:line="132"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Chapter 11 Proceedings</w:t>
      </w:r>
    </w:p>
    <w:p>
      <w:pPr>
        <w:spacing w:after="0" w:line="171" w:lineRule="exact"/>
        <w:rPr>
          <w:sz w:val="20"/>
          <w:szCs w:val="20"/>
          <w:color w:val="auto"/>
        </w:rPr>
      </w:pPr>
    </w:p>
    <w:p>
      <w:pPr>
        <w:jc w:val="both"/>
        <w:ind w:right="480" w:firstLine="228"/>
        <w:spacing w:after="0" w:line="306" w:lineRule="auto"/>
        <w:rPr>
          <w:sz w:val="20"/>
          <w:szCs w:val="20"/>
          <w:color w:val="auto"/>
        </w:rPr>
      </w:pPr>
      <w:r>
        <w:rPr>
          <w:rFonts w:ascii="Arial" w:cs="Arial" w:eastAsia="Arial" w:hAnsi="Arial"/>
          <w:sz w:val="16"/>
          <w:szCs w:val="16"/>
          <w:color w:val="auto"/>
        </w:rPr>
        <w:t>Old GM was not able to complete the cost reduction and restructuring actions, including the debt reductions and VEBA modifications, which resulted in extreme liquidity constraints. As a result, on June 1, 2009 Old GM and certain of its direct and indirect subsidiaries filed voluntary petitions for relief under Chapter 11 (Chapter 11 Proceedings) of the Bankruptcy Code in the U.S. Bankruptcy Court for the Southern District of New York (Bankruptcy Court).</w:t>
      </w:r>
    </w:p>
    <w:p>
      <w:pPr>
        <w:spacing w:after="0" w:line="107" w:lineRule="exact"/>
        <w:rPr>
          <w:sz w:val="20"/>
          <w:szCs w:val="20"/>
          <w:color w:val="auto"/>
        </w:rPr>
      </w:pPr>
    </w:p>
    <w:p>
      <w:pPr>
        <w:ind w:right="300" w:firstLine="228"/>
        <w:spacing w:after="0" w:line="268" w:lineRule="auto"/>
        <w:rPr>
          <w:sz w:val="20"/>
          <w:szCs w:val="20"/>
          <w:color w:val="auto"/>
        </w:rPr>
      </w:pPr>
      <w:r>
        <w:rPr>
          <w:rFonts w:ascii="Arial" w:cs="Arial" w:eastAsia="Arial" w:hAnsi="Arial"/>
          <w:sz w:val="18"/>
          <w:szCs w:val="18"/>
          <w:color w:val="auto"/>
        </w:rPr>
        <w:t>In connection with the Chapter 11 Proceedings, Old GM entered into a secured superpriority debtor-in-possession credit agreement with the UST and EDC (DIP Facility) and received additional funding commitments from EDC to support Old GM’s Canadian operations.</w:t>
      </w:r>
    </w:p>
    <w:p>
      <w:pPr>
        <w:spacing w:after="0" w:line="132"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363 Sale</w:t>
      </w:r>
    </w:p>
    <w:p>
      <w:pPr>
        <w:spacing w:after="0" w:line="171" w:lineRule="exact"/>
        <w:rPr>
          <w:sz w:val="20"/>
          <w:szCs w:val="20"/>
          <w:color w:val="auto"/>
        </w:rPr>
      </w:pPr>
    </w:p>
    <w:p>
      <w:pPr>
        <w:ind w:right="100" w:firstLine="228"/>
        <w:spacing w:after="0" w:line="306" w:lineRule="auto"/>
        <w:rPr>
          <w:sz w:val="20"/>
          <w:szCs w:val="20"/>
          <w:color w:val="auto"/>
        </w:rPr>
      </w:pPr>
      <w:r>
        <w:rPr>
          <w:rFonts w:ascii="Arial" w:cs="Arial" w:eastAsia="Arial" w:hAnsi="Arial"/>
          <w:sz w:val="16"/>
          <w:szCs w:val="16"/>
          <w:color w:val="auto"/>
        </w:rPr>
        <w:t>On July 10, 2009 we completed the acquisition of substantially all of the assets and assumed certain liabilities of Old GM and certain of its direct and indirect subsidiaries (collectively, the Sellers). The 363 Sale was consummated in accordance with the Amended and Restated Master Sale and Purchase Agreement, dated June 26, 2009, as amended (Purchase Agreement), between us and the Sellers, and pursuant to the Bankruptcy Court’s sale order dated July 5, 2009.</w:t>
      </w:r>
    </w:p>
    <w:p>
      <w:pPr>
        <w:spacing w:after="0" w:line="107"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Accounting for the Effects of the Chapter 11 Proceedings and the 363 Sale</w:t>
      </w:r>
    </w:p>
    <w:p>
      <w:pPr>
        <w:spacing w:after="0" w:line="171"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Chapter 11 Proceedings</w:t>
      </w:r>
    </w:p>
    <w:p>
      <w:pPr>
        <w:spacing w:after="0" w:line="171" w:lineRule="exact"/>
        <w:rPr>
          <w:sz w:val="20"/>
          <w:szCs w:val="20"/>
          <w:color w:val="auto"/>
        </w:rPr>
      </w:pPr>
    </w:p>
    <w:p>
      <w:pPr>
        <w:ind w:right="280" w:firstLine="228"/>
        <w:spacing w:after="0" w:line="256" w:lineRule="auto"/>
        <w:rPr>
          <w:sz w:val="20"/>
          <w:szCs w:val="20"/>
          <w:color w:val="auto"/>
        </w:rPr>
      </w:pPr>
      <w:r>
        <w:rPr>
          <w:rFonts w:ascii="Arial" w:cs="Arial" w:eastAsia="Arial" w:hAnsi="Arial"/>
          <w:sz w:val="18"/>
          <w:szCs w:val="18"/>
          <w:color w:val="auto"/>
        </w:rPr>
        <w:t>Accounting Standards Codification (ASC) 852, “Reorganizations,” (ASC 852) is applicable to entities operating under Chapter 11 of the Bankruptcy Code. ASC 852 generally does not affect the application of U.S. GAAP that we and Old GM followed to prepare the consolidated financial statements, but it does require specific disclosures for transactions and events that were directly related to the Chapter 11 Proceedings and transactions and events that resulted from ongoing operations.</w:t>
      </w:r>
    </w:p>
    <w:p>
      <w:pPr>
        <w:spacing w:after="0" w:line="143" w:lineRule="exact"/>
        <w:rPr>
          <w:sz w:val="20"/>
          <w:szCs w:val="20"/>
          <w:color w:val="auto"/>
        </w:rPr>
      </w:pPr>
    </w:p>
    <w:p>
      <w:pPr>
        <w:ind w:firstLine="228"/>
        <w:spacing w:after="0" w:line="291" w:lineRule="auto"/>
        <w:rPr>
          <w:sz w:val="20"/>
          <w:szCs w:val="20"/>
          <w:color w:val="auto"/>
        </w:rPr>
      </w:pPr>
      <w:r>
        <w:rPr>
          <w:rFonts w:ascii="Arial" w:cs="Arial" w:eastAsia="Arial" w:hAnsi="Arial"/>
          <w:sz w:val="16"/>
          <w:szCs w:val="16"/>
          <w:color w:val="auto"/>
        </w:rPr>
        <w:t>Old GM prepared its consolidated financial statements in accordance with the guidance in ASC 852 in the period June 1, 2009 through July 9, 2009. Revenues, expenses, realized gains and losses, and provisions for losses directly related to the Chapter 11 Proceedings were recorded in Reorganization gains, net. Reorganization gains, net do not constitute an element of operating loss due to their nature and due to the requirement of ASC 852 that they be reported separately. Old GM’s balance sheet prior to the 363 Sale distinguished prepetition liabilities subject to compromise from prepetition liabilities not subject to compromise and from postpetition liabilities. Cash amounts provided by or used in the Chapter 11 Proceedings were separately disclosed in the consolidated statement of cash flows in our Form S-1 for the periods January 1, 2009 through July 9, 2009.</w:t>
      </w:r>
    </w:p>
    <w:p>
      <w:pPr>
        <w:spacing w:after="0" w:line="120"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Application of Fresh-Start Reporting</w:t>
      </w:r>
    </w:p>
    <w:p>
      <w:pPr>
        <w:spacing w:after="0" w:line="171" w:lineRule="exact"/>
        <w:rPr>
          <w:sz w:val="20"/>
          <w:szCs w:val="20"/>
          <w:color w:val="auto"/>
        </w:rPr>
      </w:pPr>
    </w:p>
    <w:p>
      <w:pPr>
        <w:jc w:val="both"/>
        <w:ind w:right="140" w:firstLine="228"/>
        <w:spacing w:after="0" w:line="254" w:lineRule="auto"/>
        <w:rPr>
          <w:sz w:val="20"/>
          <w:szCs w:val="20"/>
          <w:color w:val="auto"/>
        </w:rPr>
      </w:pPr>
      <w:r>
        <w:rPr>
          <w:rFonts w:ascii="Arial" w:cs="Arial" w:eastAsia="Arial" w:hAnsi="Arial"/>
          <w:sz w:val="18"/>
          <w:szCs w:val="18"/>
          <w:color w:val="auto"/>
        </w:rPr>
        <w:t>The Bankruptcy Court did not determine a reorganization value in connection with the 363 Sale. Reorganization value is defined as the value of our assets without liabilities. In order to apply fresh-start reporting, ASC 852 requires that total postpetition liabilities and allowed claims be in excess of reorganization value and prepetition stockholders receive less than 50.0% of our common stock. Based on our estimated reorganization value, we determined that on July 10, 2009 both the criteria of ASC 852 were met and, as a result, we applied fresh-start reporting. In applying fresh-start reporting at July 10, 2009, which generally follows the provisions of ASC 805, “Business Combinations,” (ASC 805) we recorded the assets acquired and the liabilities assumed from Old GM at fair value except</w:t>
      </w:r>
    </w:p>
    <w:p>
      <w:pPr>
        <w:spacing w:after="0" w:line="13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91</w:t>
      </w:r>
    </w:p>
    <w:p>
      <w:pPr>
        <w:sectPr>
          <w:pgSz w:w="11900" w:h="16838" w:orient="portrait"/>
          <w:cols w:equalWidth="0" w:num="1">
            <w:col w:w="11420"/>
          </w:cols>
          <w:pgMar w:left="240" w:top="459" w:right="239" w:bottom="1440" w:gutter="0" w:footer="0" w:header="0"/>
        </w:sectPr>
      </w:pPr>
    </w:p>
    <w:bookmarkStart w:id="93" w:name="page94"/>
    <w:bookmarkEnd w:id="9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164" w:lineRule="exact"/>
        <w:rPr>
          <w:sz w:val="20"/>
          <w:szCs w:val="20"/>
          <w:color w:val="auto"/>
        </w:rPr>
      </w:pPr>
    </w:p>
    <w:p>
      <w:pPr>
        <w:ind w:right="20"/>
        <w:spacing w:after="0" w:line="335" w:lineRule="auto"/>
        <w:rPr>
          <w:sz w:val="20"/>
          <w:szCs w:val="20"/>
          <w:color w:val="auto"/>
        </w:rPr>
      </w:pPr>
      <w:r>
        <w:rPr>
          <w:rFonts w:ascii="Arial" w:cs="Arial" w:eastAsia="Arial" w:hAnsi="Arial"/>
          <w:sz w:val="15"/>
          <w:szCs w:val="15"/>
          <w:color w:val="auto"/>
        </w:rPr>
        <w:t>for deferred income taxes and certain liabilities associated with employee benefits. Our consolidated balance sheet at July 10, 2009, which includes the adjustments to Old GM’s consolidated balance sheet as a result of the 363 Sale and the application of fresh-start reporting, and related disclosures are discussed in Note 2 to our consolidated financial statements in our Form S-1. These adjustments were final and no determinations of fair value were considered provisional.</w:t>
      </w:r>
    </w:p>
    <w:p>
      <w:pPr>
        <w:spacing w:after="0" w:line="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Specific Management Initiatives</w:t>
      </w:r>
    </w:p>
    <w:p>
      <w:pPr>
        <w:spacing w:after="0" w:line="177" w:lineRule="exact"/>
        <w:rPr>
          <w:sz w:val="20"/>
          <w:szCs w:val="20"/>
          <w:color w:val="auto"/>
        </w:rPr>
      </w:pPr>
    </w:p>
    <w:p>
      <w:pPr>
        <w:ind w:right="200" w:firstLine="228"/>
        <w:spacing w:after="0" w:line="268" w:lineRule="auto"/>
        <w:rPr>
          <w:sz w:val="20"/>
          <w:szCs w:val="20"/>
          <w:color w:val="auto"/>
        </w:rPr>
      </w:pPr>
      <w:r>
        <w:rPr>
          <w:rFonts w:ascii="Arial" w:cs="Arial" w:eastAsia="Arial" w:hAnsi="Arial"/>
          <w:sz w:val="18"/>
          <w:szCs w:val="18"/>
          <w:color w:val="auto"/>
        </w:rPr>
        <w:t>The execution of certain management initiatives is critical in achieving our goal of sustained future profitability. The following provides a summary of these management initiatives and significant results and events.</w:t>
      </w:r>
    </w:p>
    <w:p>
      <w:pPr>
        <w:spacing w:after="0" w:line="132"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Streamline U.S. Operations</w:t>
      </w:r>
    </w:p>
    <w:p>
      <w:pPr>
        <w:spacing w:after="0" w:line="171"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Increased Production Volume</w:t>
      </w:r>
    </w:p>
    <w:p>
      <w:pPr>
        <w:spacing w:after="0" w:line="171" w:lineRule="exact"/>
        <w:rPr>
          <w:sz w:val="20"/>
          <w:szCs w:val="20"/>
          <w:color w:val="auto"/>
        </w:rPr>
      </w:pPr>
    </w:p>
    <w:p>
      <w:pPr>
        <w:ind w:right="40" w:firstLine="228"/>
        <w:spacing w:after="0" w:line="259" w:lineRule="auto"/>
        <w:rPr>
          <w:sz w:val="20"/>
          <w:szCs w:val="20"/>
          <w:color w:val="auto"/>
        </w:rPr>
      </w:pPr>
      <w:r>
        <w:rPr>
          <w:rFonts w:ascii="Arial" w:cs="Arial" w:eastAsia="Arial" w:hAnsi="Arial"/>
          <w:sz w:val="18"/>
          <w:szCs w:val="18"/>
          <w:color w:val="auto"/>
        </w:rPr>
        <w:t>We continue to consolidate our U.S. manufacturing operations while maintaining the flexibility to meet increasing 2010 production levels. At December 31, 2009 we had reduced the number of U.S. manufacturing plants to 41 from 47 in 2008, excluding Delphi Corporation’s (Delphi) global steering business (Nexteer) and four domestic facilities recently acquired from Delphi.</w:t>
      </w:r>
    </w:p>
    <w:p>
      <w:pPr>
        <w:spacing w:after="0" w:line="140" w:lineRule="exact"/>
        <w:rPr>
          <w:sz w:val="20"/>
          <w:szCs w:val="20"/>
          <w:color w:val="auto"/>
        </w:rPr>
      </w:pPr>
    </w:p>
    <w:p>
      <w:pPr>
        <w:ind w:right="180" w:firstLine="228"/>
        <w:spacing w:after="0" w:line="256" w:lineRule="auto"/>
        <w:rPr>
          <w:sz w:val="20"/>
          <w:szCs w:val="20"/>
          <w:color w:val="auto"/>
        </w:rPr>
      </w:pPr>
      <w:r>
        <w:rPr>
          <w:rFonts w:ascii="Arial" w:cs="Arial" w:eastAsia="Arial" w:hAnsi="Arial"/>
          <w:sz w:val="18"/>
          <w:szCs w:val="18"/>
          <w:color w:val="auto"/>
        </w:rPr>
        <w:t>The moderate improvement in the U.S. economy, resulting increase in U.S. industry vehicle sales and increase in demand for our products has resulted in increased production volumes for GMNA. In the three and nine months ended September 30, 2010 GMNA produced 707,000 vehicles and 2.1 million vehicles. This represents an increase of 33.1% and 62.2% compared to 531,000 vehicles and 1.3 million vehicles we and Old GM produced in the three and nine months ended September 30, 2009.</w:t>
      </w:r>
    </w:p>
    <w:p>
      <w:pPr>
        <w:spacing w:after="0" w:line="143"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Improve Vehicle Sales</w:t>
      </w:r>
    </w:p>
    <w:p>
      <w:pPr>
        <w:spacing w:after="0" w:line="171" w:lineRule="exact"/>
        <w:rPr>
          <w:sz w:val="20"/>
          <w:szCs w:val="20"/>
          <w:color w:val="auto"/>
        </w:rPr>
      </w:pPr>
    </w:p>
    <w:p>
      <w:pPr>
        <w:ind w:right="60" w:firstLine="228"/>
        <w:spacing w:after="0" w:line="290" w:lineRule="auto"/>
        <w:rPr>
          <w:sz w:val="20"/>
          <w:szCs w:val="20"/>
          <w:color w:val="auto"/>
        </w:rPr>
      </w:pPr>
      <w:r>
        <w:rPr>
          <w:rFonts w:ascii="Arial" w:cs="Arial" w:eastAsia="Arial" w:hAnsi="Arial"/>
          <w:sz w:val="16"/>
          <w:szCs w:val="16"/>
          <w:color w:val="auto"/>
        </w:rPr>
        <w:t>GMNA dealers in the U.S. sold 558,000 vehicles and 1.6 million vehicles in the three and nine months ended September 30, 2010. This represents a decrease of 35,000 vehicles (or 5.8%) and an increase of 92,000 vehicles (or 5.9%) from our and Old GM’s U.S. vehicle sales in the three and nine months ended September 30, 2009. This increase for the nine months ended September 30, 2010 reflects our brand rationalization strategy to focus our product engineering and design and marketing on four brands: Buick, Cadillac, Chevrolet and GMC. This strategy has resulted in increased consumer demand for certain products such as the Chevrolet Equinox, GMC Terrain, Buick LaCrosse and Cadillac SRX. These four brands accounted for 557,000 vehicles and 1.6 million vehicles (or 99.9% and 99.3%) of our U.S. vehicle sales in the three and nine months ended September 30, 2010. In addition, the moderate improvement in the U.S. economy has contributed to a slow but steady improvement in U.S. industry vehicle sales and increased consumer confidence.</w:t>
      </w:r>
    </w:p>
    <w:p>
      <w:pPr>
        <w:spacing w:after="0" w:line="118" w:lineRule="exact"/>
        <w:rPr>
          <w:sz w:val="20"/>
          <w:szCs w:val="20"/>
          <w:color w:val="auto"/>
        </w:rPr>
      </w:pPr>
    </w:p>
    <w:p>
      <w:pPr>
        <w:ind w:left="240" w:right="760"/>
        <w:spacing w:after="0" w:line="438" w:lineRule="auto"/>
        <w:rPr>
          <w:sz w:val="20"/>
          <w:szCs w:val="20"/>
          <w:color w:val="auto"/>
        </w:rPr>
      </w:pPr>
      <w:r>
        <w:rPr>
          <w:rFonts w:ascii="Arial" w:cs="Arial" w:eastAsia="Arial" w:hAnsi="Arial"/>
          <w:sz w:val="18"/>
          <w:szCs w:val="18"/>
          <w:color w:val="auto"/>
        </w:rPr>
        <w:t xml:space="preserve">The continued increase in U.S. industry vehicle sales and the vehicle sales of our four brands is critical for us to achieve our worldwide profitability. </w:t>
      </w:r>
      <w:r>
        <w:rPr>
          <w:rFonts w:ascii="Arial" w:cs="Arial" w:eastAsia="Arial" w:hAnsi="Arial"/>
          <w:sz w:val="18"/>
          <w:szCs w:val="18"/>
          <w:i w:val="1"/>
          <w:iCs w:val="1"/>
          <w:color w:val="auto"/>
        </w:rPr>
        <w:t>U.S. Dealer Reduction</w:t>
      </w:r>
    </w:p>
    <w:p>
      <w:pPr>
        <w:spacing w:after="0" w:line="1" w:lineRule="exact"/>
        <w:rPr>
          <w:sz w:val="20"/>
          <w:szCs w:val="20"/>
          <w:color w:val="auto"/>
        </w:rPr>
      </w:pPr>
    </w:p>
    <w:p>
      <w:pPr>
        <w:ind w:firstLine="228"/>
        <w:spacing w:after="0" w:line="254" w:lineRule="auto"/>
        <w:rPr>
          <w:sz w:val="20"/>
          <w:szCs w:val="20"/>
          <w:color w:val="auto"/>
        </w:rPr>
      </w:pPr>
      <w:r>
        <w:rPr>
          <w:rFonts w:ascii="Arial" w:cs="Arial" w:eastAsia="Arial" w:hAnsi="Arial"/>
          <w:sz w:val="18"/>
          <w:szCs w:val="18"/>
          <w:color w:val="auto"/>
        </w:rPr>
        <w:t>We market vehicles worldwide through a network of independent retail dealers and distributors. As part of achieving and sustaining long-term viability and the viability of our dealer network, we determined that a reduction in the number of U.S. dealerships was necessary. Certain dealers that had signed wind-down agreements with us elected to file for reinstatement through a binding arbitration process. In response to the arbitration filings we offered certain dealers reinstatement contingent upon compliance with our core business criteria for operation of a dealership. At September 30, 2010 the arbitration process had been fundamentally resolved. At September 30, 2010 there were approximately 5,000 vehicle dealers in the U.S. compared to approximately 5,600 at December 31, 2009.</w:t>
      </w:r>
    </w:p>
    <w:p>
      <w:pPr>
        <w:spacing w:after="0" w:line="13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92</w:t>
      </w:r>
    </w:p>
    <w:p>
      <w:pPr>
        <w:sectPr>
          <w:pgSz w:w="11900" w:h="16838" w:orient="portrait"/>
          <w:cols w:equalWidth="0" w:num="1">
            <w:col w:w="11420"/>
          </w:cols>
          <w:pgMar w:left="240" w:top="459" w:right="239" w:bottom="1440" w:gutter="0" w:footer="0" w:header="0"/>
        </w:sectPr>
      </w:pPr>
    </w:p>
    <w:bookmarkStart w:id="94" w:name="page95"/>
    <w:bookmarkEnd w:id="9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339"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Repayment of Debt and Purchase of Preferred Stock</w:t>
      </w:r>
    </w:p>
    <w:p>
      <w:pPr>
        <w:spacing w:after="0" w:line="171"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Repayment of UST Loans and Canadian Loan</w:t>
      </w:r>
    </w:p>
    <w:p>
      <w:pPr>
        <w:spacing w:after="0" w:line="171" w:lineRule="exact"/>
        <w:rPr>
          <w:sz w:val="20"/>
          <w:szCs w:val="20"/>
          <w:color w:val="auto"/>
        </w:rPr>
      </w:pPr>
    </w:p>
    <w:p>
      <w:pPr>
        <w:ind w:firstLine="228"/>
        <w:spacing w:after="0" w:line="255" w:lineRule="auto"/>
        <w:rPr>
          <w:sz w:val="20"/>
          <w:szCs w:val="20"/>
          <w:color w:val="auto"/>
        </w:rPr>
      </w:pPr>
      <w:r>
        <w:rPr>
          <w:rFonts w:ascii="Arial" w:cs="Arial" w:eastAsia="Arial" w:hAnsi="Arial"/>
          <w:sz w:val="18"/>
          <w:szCs w:val="18"/>
          <w:color w:val="auto"/>
        </w:rPr>
        <w:t>Proceeds from the DIP Facility were necessary in order to provide sufficient capital for Old GM to operate pending the closing of the 363 Sale. On July 10, 2009 we entered into the UST Credit Agreement and assumed debt of $7.1 billion (UST Loans), which Old GM incurred under the DIP Facility. On July 10, 2009 we also entered into the Canadian Loan Agreement and assumed a CAD $1.5 billion (equivalent to $1.3 billion when entered into) term loan (Canadian Loan). One of our key priorities was to repay the outstanding balances from these loans prior to maturity. We also plan to use excess cash to repay debt and reduce our financial leverage.</w:t>
      </w:r>
    </w:p>
    <w:p>
      <w:pPr>
        <w:spacing w:after="0" w:line="143" w:lineRule="exact"/>
        <w:rPr>
          <w:sz w:val="20"/>
          <w:szCs w:val="20"/>
          <w:color w:val="auto"/>
        </w:rPr>
      </w:pPr>
    </w:p>
    <w:p>
      <w:pPr>
        <w:ind w:right="20" w:firstLine="228"/>
        <w:spacing w:after="0" w:line="332" w:lineRule="auto"/>
        <w:rPr>
          <w:sz w:val="20"/>
          <w:szCs w:val="20"/>
          <w:color w:val="auto"/>
        </w:rPr>
      </w:pPr>
      <w:r>
        <w:rPr>
          <w:rFonts w:ascii="Arial" w:cs="Arial" w:eastAsia="Arial" w:hAnsi="Arial"/>
          <w:sz w:val="16"/>
          <w:szCs w:val="16"/>
          <w:color w:val="auto"/>
        </w:rPr>
        <w:t>In April 2010 we used funds from our escrow account to repay in full the outstanding amount of the UST Loans of $4.7 billion. In addition, General Motors of Canada Limited (GMCL) repaid in full the outstanding amount of the Canadian Loan of $1.1 billion. Both loans were repaid prior to maturity.</w:t>
      </w:r>
    </w:p>
    <w:p>
      <w:pPr>
        <w:spacing w:after="0" w:line="85" w:lineRule="exact"/>
        <w:rPr>
          <w:sz w:val="20"/>
          <w:szCs w:val="20"/>
          <w:color w:val="auto"/>
        </w:rPr>
      </w:pPr>
    </w:p>
    <w:p>
      <w:pPr>
        <w:ind w:right="600" w:firstLine="228"/>
        <w:spacing w:after="0" w:line="332" w:lineRule="auto"/>
        <w:rPr>
          <w:sz w:val="20"/>
          <w:szCs w:val="20"/>
          <w:color w:val="auto"/>
        </w:rPr>
      </w:pPr>
      <w:r>
        <w:rPr>
          <w:rFonts w:ascii="Arial" w:cs="Arial" w:eastAsia="Arial" w:hAnsi="Arial"/>
          <w:sz w:val="16"/>
          <w:szCs w:val="16"/>
          <w:color w:val="auto"/>
        </w:rPr>
        <w:t>Following the repayment of the UST Loans and the Canadian Loan, the remaining funds in an amount of $6.6 billion that were held in escrow became unrestricted. The availability of those funds is no longer subject to the conditions set forth in the UST Credit Agreement.</w:t>
      </w:r>
    </w:p>
    <w:p>
      <w:pPr>
        <w:spacing w:after="0" w:line="85"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Purchase of Series A Preferred Stock from the UST</w:t>
      </w:r>
    </w:p>
    <w:p>
      <w:pPr>
        <w:spacing w:after="0" w:line="171" w:lineRule="exact"/>
        <w:rPr>
          <w:sz w:val="20"/>
          <w:szCs w:val="20"/>
          <w:color w:val="auto"/>
        </w:rPr>
      </w:pPr>
    </w:p>
    <w:p>
      <w:pPr>
        <w:ind w:right="180" w:firstLine="228"/>
        <w:spacing w:after="0" w:line="256" w:lineRule="auto"/>
        <w:rPr>
          <w:sz w:val="20"/>
          <w:szCs w:val="20"/>
          <w:color w:val="auto"/>
        </w:rPr>
      </w:pPr>
      <w:r>
        <w:rPr>
          <w:rFonts w:ascii="Arial" w:cs="Arial" w:eastAsia="Arial" w:hAnsi="Arial"/>
          <w:sz w:val="18"/>
          <w:szCs w:val="18"/>
          <w:color w:val="auto"/>
        </w:rPr>
        <w:t>We plan to purchase 83.9 million shares of Series A Fixed Rate Cumulative Perpetual Preferred Stock (Series A Preferred Stock) held by the UST at a price equal to 102% of their $2.1 billion aggregate liquidation amount, conditional upon the completion of the common stock offering. We will record a $677 million charge to Net income attributable to common stockholders for the difference between the carrying amount of the Series A Preferred Stock held by the UST of $1.5 billion and the consideration paid of $2.1 billion.</w:t>
      </w:r>
    </w:p>
    <w:p>
      <w:pPr>
        <w:spacing w:after="0" w:line="143" w:lineRule="exact"/>
        <w:rPr>
          <w:sz w:val="20"/>
          <w:szCs w:val="20"/>
          <w:color w:val="auto"/>
        </w:rPr>
      </w:pPr>
    </w:p>
    <w:p>
      <w:pPr>
        <w:ind w:right="100" w:firstLine="228"/>
        <w:spacing w:after="0" w:line="255" w:lineRule="auto"/>
        <w:rPr>
          <w:sz w:val="20"/>
          <w:szCs w:val="20"/>
          <w:color w:val="auto"/>
        </w:rPr>
      </w:pPr>
      <w:r>
        <w:rPr>
          <w:rFonts w:ascii="Arial" w:cs="Arial" w:eastAsia="Arial" w:hAnsi="Arial"/>
          <w:sz w:val="18"/>
          <w:szCs w:val="18"/>
          <w:color w:val="auto"/>
        </w:rPr>
        <w:t>Upon the purchase of the Series A Preferred Stock held by the UST, the Series A Preferred Stock held by Canada Holdings and the New VEBA will be reclassified to permanent equity at its current carrying amount of $5.5 billion as the remaining holders of our Series A Preferred Stock, Canada Holdings and the New VEBA, will no longer own a majority of our common stock and therefore will no longer have the ability to exert control, through the power to vote for the election of our directors, over various matters, including compelling us to redeem the Series A Preferred Stock when it becomes callable by us on or after December 31, 2014.</w:t>
      </w:r>
    </w:p>
    <w:p>
      <w:pPr>
        <w:spacing w:after="0" w:line="143" w:lineRule="exact"/>
        <w:rPr>
          <w:sz w:val="20"/>
          <w:szCs w:val="20"/>
          <w:color w:val="auto"/>
        </w:rPr>
      </w:pPr>
    </w:p>
    <w:p>
      <w:pPr>
        <w:ind w:right="180" w:firstLine="228"/>
        <w:spacing w:after="0" w:line="298" w:lineRule="auto"/>
        <w:rPr>
          <w:sz w:val="20"/>
          <w:szCs w:val="20"/>
          <w:color w:val="auto"/>
        </w:rPr>
      </w:pPr>
      <w:r>
        <w:rPr>
          <w:rFonts w:ascii="Arial" w:cs="Arial" w:eastAsia="Arial" w:hAnsi="Arial"/>
          <w:sz w:val="16"/>
          <w:szCs w:val="16"/>
          <w:color w:val="auto"/>
        </w:rPr>
        <w:t>In the event that we reach an agreement in the future to purchase the shares of Series A Preferred Stock held by Canada Holdings and the New VEBA, we would record a $1.4 billion charge to Net income attributable to common stockholders related to the difference between the carrying amount of $5.5 billion and the face amount of $6.9 billion if purchased at a price equal to the liquidation amount of $25.00 per share. The charge to Net income attributable to common stockholders would be larger if the consideration paid for the remaining Series A Preferred Stock is in excess of the liquidation amount of $25.00 per share.</w:t>
      </w:r>
    </w:p>
    <w:p>
      <w:pPr>
        <w:spacing w:after="0" w:line="113"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Repayment of VEBA Notes</w:t>
      </w:r>
    </w:p>
    <w:p>
      <w:pPr>
        <w:spacing w:after="0" w:line="171" w:lineRule="exact"/>
        <w:rPr>
          <w:sz w:val="20"/>
          <w:szCs w:val="20"/>
          <w:color w:val="auto"/>
        </w:rPr>
      </w:pPr>
    </w:p>
    <w:p>
      <w:pPr>
        <w:ind w:right="460" w:firstLine="228"/>
        <w:spacing w:after="0" w:line="332" w:lineRule="auto"/>
        <w:rPr>
          <w:sz w:val="20"/>
          <w:szCs w:val="20"/>
          <w:color w:val="auto"/>
        </w:rPr>
      </w:pPr>
      <w:r>
        <w:rPr>
          <w:rFonts w:ascii="Arial" w:cs="Arial" w:eastAsia="Arial" w:hAnsi="Arial"/>
          <w:sz w:val="16"/>
          <w:szCs w:val="16"/>
          <w:color w:val="auto"/>
        </w:rPr>
        <w:t>On July 10, 2009 we entered into the VEBA Note Agreement and issued the VEBA Notes in the principal amount of $2.5 billion to the New VEBA. On October 26, 2010, we repaid in full the outstanding amount (together with accreted interest thereon) of the VEBA Notes of $2.8 billion.</w:t>
      </w:r>
    </w:p>
    <w:p>
      <w:pPr>
        <w:spacing w:after="0" w:line="85"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Brand Rationalization</w:t>
      </w:r>
    </w:p>
    <w:p>
      <w:pPr>
        <w:spacing w:after="0" w:line="171" w:lineRule="exact"/>
        <w:rPr>
          <w:sz w:val="20"/>
          <w:szCs w:val="20"/>
          <w:color w:val="auto"/>
        </w:rPr>
      </w:pPr>
    </w:p>
    <w:p>
      <w:pPr>
        <w:ind w:right="540" w:firstLine="228"/>
        <w:spacing w:after="0" w:line="332" w:lineRule="auto"/>
        <w:rPr>
          <w:sz w:val="20"/>
          <w:szCs w:val="20"/>
          <w:color w:val="auto"/>
        </w:rPr>
      </w:pPr>
      <w:r>
        <w:rPr>
          <w:rFonts w:ascii="Arial" w:cs="Arial" w:eastAsia="Arial" w:hAnsi="Arial"/>
          <w:sz w:val="16"/>
          <w:szCs w:val="16"/>
          <w:color w:val="auto"/>
        </w:rPr>
        <w:t>We completed the sale of Saab Automobile AB (Saab) in February 2010 and the sale of Saab Automobile GB (Saab GB) in May 2010 and have ceased production of our Pontiac, Saturn and HUMMER brands and continue the wind-down process of the related dealers.</w:t>
      </w:r>
    </w:p>
    <w:p>
      <w:pPr>
        <w:spacing w:after="0" w:line="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93</w:t>
      </w:r>
    </w:p>
    <w:p>
      <w:pPr>
        <w:sectPr>
          <w:pgSz w:w="11900" w:h="16838" w:orient="portrait"/>
          <w:cols w:equalWidth="0" w:num="1">
            <w:col w:w="11400"/>
          </w:cols>
          <w:pgMar w:left="240" w:top="459" w:right="259" w:bottom="1440" w:gutter="0" w:footer="0" w:header="0"/>
        </w:sectPr>
      </w:pPr>
    </w:p>
    <w:bookmarkStart w:id="95" w:name="page96"/>
    <w:bookmarkEnd w:id="9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339"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Opel/Vauxhall Restructuring Activities</w:t>
      </w:r>
    </w:p>
    <w:p>
      <w:pPr>
        <w:spacing w:after="0" w:line="171" w:lineRule="exact"/>
        <w:rPr>
          <w:sz w:val="20"/>
          <w:szCs w:val="20"/>
          <w:color w:val="auto"/>
        </w:rPr>
      </w:pPr>
    </w:p>
    <w:p>
      <w:pPr>
        <w:ind w:right="260" w:firstLine="228"/>
        <w:spacing w:after="0" w:line="259" w:lineRule="auto"/>
        <w:rPr>
          <w:sz w:val="20"/>
          <w:szCs w:val="20"/>
          <w:color w:val="auto"/>
        </w:rPr>
      </w:pPr>
      <w:r>
        <w:rPr>
          <w:rFonts w:ascii="Arial" w:cs="Arial" w:eastAsia="Arial" w:hAnsi="Arial"/>
          <w:sz w:val="18"/>
          <w:szCs w:val="18"/>
          <w:color w:val="auto"/>
        </w:rPr>
        <w:t>In February 2010 we presented our plan for the long-term viability of our Opel/Vauxhall operations to the German federal government. Our plan included funding requirement estimates of Euro 3.7 billion (equivalent to $5.1 billion) of which we planned to fund Euro 1.9 billion (equivalent to $2.6 billion) with the remaining funding from European governments.</w:t>
      </w:r>
    </w:p>
    <w:p>
      <w:pPr>
        <w:spacing w:after="0" w:line="140" w:lineRule="exact"/>
        <w:rPr>
          <w:sz w:val="20"/>
          <w:szCs w:val="20"/>
          <w:color w:val="auto"/>
        </w:rPr>
      </w:pPr>
    </w:p>
    <w:p>
      <w:pPr>
        <w:ind w:right="160" w:firstLine="228"/>
        <w:spacing w:after="0" w:line="256" w:lineRule="auto"/>
        <w:rPr>
          <w:sz w:val="20"/>
          <w:szCs w:val="20"/>
          <w:color w:val="auto"/>
        </w:rPr>
      </w:pPr>
      <w:r>
        <w:rPr>
          <w:rFonts w:ascii="Arial" w:cs="Arial" w:eastAsia="Arial" w:hAnsi="Arial"/>
          <w:sz w:val="18"/>
          <w:szCs w:val="18"/>
          <w:color w:val="auto"/>
        </w:rPr>
        <w:t>In June 2010 the German federal government notified us of its decision not to provide loan guarantees to Opel/Vauxhall. As a result we have decided to fund the requirements of Opel/Vauxhall internally. Opel/Vauxhall has subsequently withdrawn all applications for government loan guarantees from European governments. In September 2010 we committed up to a total of Euro 3.3 billion (equivalent to $ 4.2 billion when committed) to fund Opel/Vauxhall’s restructuring and ongoing cash requirements.</w:t>
      </w:r>
    </w:p>
    <w:p>
      <w:pPr>
        <w:spacing w:after="0" w:line="143" w:lineRule="exact"/>
        <w:rPr>
          <w:sz w:val="20"/>
          <w:szCs w:val="20"/>
          <w:color w:val="auto"/>
        </w:rPr>
      </w:pPr>
    </w:p>
    <w:p>
      <w:pPr>
        <w:ind w:right="320" w:firstLine="228"/>
        <w:spacing w:after="0" w:line="332" w:lineRule="auto"/>
        <w:rPr>
          <w:sz w:val="20"/>
          <w:szCs w:val="20"/>
          <w:color w:val="auto"/>
        </w:rPr>
      </w:pPr>
      <w:r>
        <w:rPr>
          <w:rFonts w:ascii="Arial" w:cs="Arial" w:eastAsia="Arial" w:hAnsi="Arial"/>
          <w:sz w:val="16"/>
          <w:szCs w:val="16"/>
          <w:color w:val="auto"/>
        </w:rPr>
        <w:t>We plan to continue to invest in capital, engineering and innovative fuel efficient powertrain technologies including an extended-range electric vehicle and battery electric vehicles. Our plan also includes capacity reductions including headcount reductions and the closing of our Antwerp, Belgium facility.</w:t>
      </w:r>
    </w:p>
    <w:p>
      <w:pPr>
        <w:spacing w:after="0" w:line="85" w:lineRule="exact"/>
        <w:rPr>
          <w:sz w:val="20"/>
          <w:szCs w:val="20"/>
          <w:color w:val="auto"/>
        </w:rPr>
      </w:pPr>
    </w:p>
    <w:p>
      <w:pPr>
        <w:ind w:left="240"/>
        <w:spacing w:after="0"/>
        <w:rPr>
          <w:sz w:val="20"/>
          <w:szCs w:val="20"/>
          <w:color w:val="auto"/>
        </w:rPr>
      </w:pPr>
      <w:r>
        <w:rPr>
          <w:rFonts w:ascii="Arial" w:cs="Arial" w:eastAsia="Arial" w:hAnsi="Arial"/>
          <w:sz w:val="18"/>
          <w:szCs w:val="18"/>
          <w:color w:val="auto"/>
        </w:rPr>
        <w:t>The following provides an update of our restructuring activities related to our Opel/Vauxhall operations.</w:t>
      </w:r>
    </w:p>
    <w:p>
      <w:pPr>
        <w:spacing w:after="0" w:line="171" w:lineRule="exact"/>
        <w:rPr>
          <w:sz w:val="20"/>
          <w:szCs w:val="20"/>
          <w:color w:val="auto"/>
        </w:rPr>
      </w:pPr>
    </w:p>
    <w:p>
      <w:pPr>
        <w:jc w:val="both"/>
        <w:ind w:right="220" w:firstLine="228"/>
        <w:spacing w:after="0" w:line="259" w:lineRule="auto"/>
        <w:rPr>
          <w:sz w:val="20"/>
          <w:szCs w:val="20"/>
          <w:color w:val="auto"/>
        </w:rPr>
      </w:pPr>
      <w:r>
        <w:rPr>
          <w:rFonts w:ascii="Arial" w:cs="Arial" w:eastAsia="Arial" w:hAnsi="Arial"/>
          <w:sz w:val="18"/>
          <w:szCs w:val="18"/>
          <w:color w:val="auto"/>
        </w:rPr>
        <w:t>In the three and nine months ended September 30, 2010 GME recorded charges of $28 million and $80 million related to separation programs in the United Kingdom and Germany. In the nine months ended September 30, 2010 GME recorded net charges of $61 million related to separation/layoff plans and an early retirement plan in Spain which will affect 1,200 employees.</w:t>
      </w:r>
    </w:p>
    <w:p>
      <w:pPr>
        <w:spacing w:after="0" w:line="140" w:lineRule="exact"/>
        <w:rPr>
          <w:sz w:val="20"/>
          <w:szCs w:val="20"/>
          <w:color w:val="auto"/>
        </w:rPr>
      </w:pPr>
    </w:p>
    <w:p>
      <w:pPr>
        <w:ind w:firstLine="228"/>
        <w:spacing w:after="0" w:line="254" w:lineRule="auto"/>
        <w:rPr>
          <w:sz w:val="20"/>
          <w:szCs w:val="20"/>
          <w:color w:val="auto"/>
        </w:rPr>
      </w:pPr>
      <w:r>
        <w:rPr>
          <w:rFonts w:ascii="Arial" w:cs="Arial" w:eastAsia="Arial" w:hAnsi="Arial"/>
          <w:sz w:val="18"/>
          <w:szCs w:val="18"/>
          <w:color w:val="auto"/>
        </w:rPr>
        <w:t>In the three and nine months ended September 30, 2010 GME recorded charges of $92 million and $445 million related to a separation plan associated with the closure of the Antwerp, Belgium facility which affects 2,600 employees. Negotiations for the final termination benefits were concluded in April 2010, and the total separation costs are estimated to be Euro 0.4 billion (equivalent to $0.5 billion). In addition, GME and employee representatives entered into a Memorandum of Understanding whereby both parties cooperated in a working group, which included the Flemish government, in order to find an outside investor to acquire and operate the facility. In October 2010 we announced that the search for an investor had been unsuccessful and the vehicle assembly operations in Antwerp, Belgium will cease at the end of 2010.</w:t>
      </w:r>
    </w:p>
    <w:p>
      <w:pPr>
        <w:spacing w:after="0" w:line="144"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Pursue Section 136 Loans</w:t>
      </w:r>
    </w:p>
    <w:p>
      <w:pPr>
        <w:spacing w:after="0" w:line="171" w:lineRule="exact"/>
        <w:rPr>
          <w:sz w:val="20"/>
          <w:szCs w:val="20"/>
          <w:color w:val="auto"/>
        </w:rPr>
      </w:pPr>
    </w:p>
    <w:p>
      <w:pPr>
        <w:ind w:left="240"/>
        <w:spacing w:after="0"/>
        <w:rPr>
          <w:sz w:val="20"/>
          <w:szCs w:val="20"/>
          <w:color w:val="auto"/>
        </w:rPr>
      </w:pPr>
      <w:r>
        <w:rPr>
          <w:rFonts w:ascii="Arial" w:cs="Arial" w:eastAsia="Arial" w:hAnsi="Arial"/>
          <w:sz w:val="16"/>
          <w:szCs w:val="16"/>
          <w:color w:val="auto"/>
        </w:rPr>
        <w:t>Section 136 of the Energy Independence and Security Act of 2007 establishes an incentive program consisting of both grants and direct loans to support the</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development of advanced technology vehicles and associated components in the U.S. The U.S. Congress provided the U.S. Department of Energy (DOE) with</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$25.0 billion in funding to make direct loans to eligible applicants for the costs of re-equipping, expanding, and establishing manufacturing facilities in the United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States to produce advanced technology vehicles and components for these vehicles. In October 2009 we submitted a consolidated application with respect to an</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aggregate amount of $14.4 billion of Section 136 Loans. Ongoing product portfolio updates and project modifications requested from the DOE have the potential</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to reduce the maximum loan amount. To date, the DOE has announced that it would provide approximately $8.4 billion in Section 136 Loans to Ford Motor</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Company, Nissan Motor Company, Tesla Motors, Inc., Fisker Automotive, Inc., and Tenneco Inc. There can be no assurance that we will qualify for any</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remaining loans or receive any such loans even if we qualify.</w:t>
      </w:r>
    </w:p>
    <w:p>
      <w:pPr>
        <w:spacing w:after="0" w:line="165"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Development of Multiple Financing Sources and Acquisition of AmeriCredit Corp.</w:t>
      </w:r>
    </w:p>
    <w:p>
      <w:pPr>
        <w:spacing w:after="0" w:line="171" w:lineRule="exact"/>
        <w:rPr>
          <w:sz w:val="20"/>
          <w:szCs w:val="20"/>
          <w:color w:val="auto"/>
        </w:rPr>
      </w:pPr>
    </w:p>
    <w:p>
      <w:pPr>
        <w:ind w:right="40" w:firstLine="228"/>
        <w:spacing w:after="0" w:line="298" w:lineRule="auto"/>
        <w:rPr>
          <w:sz w:val="20"/>
          <w:szCs w:val="20"/>
          <w:color w:val="auto"/>
        </w:rPr>
      </w:pPr>
      <w:r>
        <w:rPr>
          <w:rFonts w:ascii="Arial" w:cs="Arial" w:eastAsia="Arial" w:hAnsi="Arial"/>
          <w:sz w:val="16"/>
          <w:szCs w:val="16"/>
          <w:color w:val="auto"/>
        </w:rPr>
        <w:t>On October 1, 2010 we acquired AmeriCredit, an independent automobile finance company for cash of approximately $3.5 billion. We expect AmeriCredit, which was subsequently renamed GM Financial, will allow us to complement our existing relationship with Ally Financial in order to provide a more complete range of financing options to our customers, specifically focusing on providing additional capabilities in leasing and sub-prime vehicle financing options. We also plan to use GM Financial for targeted customer marketing initiatives to expand our vehicle sales.</w:t>
      </w:r>
    </w:p>
    <w:p>
      <w:pPr>
        <w:spacing w:after="0" w:line="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94</w:t>
      </w:r>
    </w:p>
    <w:p>
      <w:pPr>
        <w:sectPr>
          <w:pgSz w:w="11900" w:h="16838" w:orient="portrait"/>
          <w:cols w:equalWidth="0" w:num="1">
            <w:col w:w="11420"/>
          </w:cols>
          <w:pgMar w:left="240" w:top="459" w:right="239" w:bottom="1440" w:gutter="0" w:footer="0" w:header="0"/>
        </w:sectPr>
      </w:pPr>
    </w:p>
    <w:bookmarkStart w:id="96" w:name="page97"/>
    <w:bookmarkEnd w:id="9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339" w:lineRule="exact"/>
        <w:rPr>
          <w:sz w:val="20"/>
          <w:szCs w:val="20"/>
          <w:color w:val="auto"/>
        </w:rPr>
      </w:pPr>
    </w:p>
    <w:p>
      <w:pPr>
        <w:ind w:right="200" w:firstLine="228"/>
        <w:spacing w:after="0" w:line="256" w:lineRule="auto"/>
        <w:rPr>
          <w:sz w:val="20"/>
          <w:szCs w:val="20"/>
          <w:color w:val="auto"/>
        </w:rPr>
      </w:pPr>
      <w:r>
        <w:rPr>
          <w:rFonts w:ascii="Arial" w:cs="Arial" w:eastAsia="Arial" w:hAnsi="Arial"/>
          <w:sz w:val="18"/>
          <w:szCs w:val="18"/>
          <w:color w:val="auto"/>
        </w:rPr>
        <w:t>A significant percentage of our customers and dealers require financing to purchase our vehicles. Historically, Ally Financial has provided most of the financing for our dealers and a significant amount of financing for our customers in the U.S., Canada and various other markets around the world. Additionally, we maintain other financing relationships, such as with U.S. Bank for U.S. leasing, GM Financial for sub-prime vehicle lending and a variety of local and regional financing sources around the world.</w:t>
      </w:r>
    </w:p>
    <w:p>
      <w:pPr>
        <w:spacing w:after="0" w:line="143"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Focus on Chinese Market</w:t>
      </w:r>
    </w:p>
    <w:p>
      <w:pPr>
        <w:spacing w:after="0" w:line="171" w:lineRule="exact"/>
        <w:rPr>
          <w:sz w:val="20"/>
          <w:szCs w:val="20"/>
          <w:color w:val="auto"/>
        </w:rPr>
      </w:pPr>
    </w:p>
    <w:p>
      <w:pPr>
        <w:ind w:right="100" w:firstLine="228"/>
        <w:spacing w:after="0" w:line="294" w:lineRule="auto"/>
        <w:rPr>
          <w:sz w:val="20"/>
          <w:szCs w:val="20"/>
          <w:color w:val="auto"/>
        </w:rPr>
      </w:pPr>
      <w:r>
        <w:rPr>
          <w:rFonts w:ascii="Arial" w:cs="Arial" w:eastAsia="Arial" w:hAnsi="Arial"/>
          <w:sz w:val="16"/>
          <w:szCs w:val="16"/>
          <w:color w:val="auto"/>
        </w:rPr>
        <w:t>Our Chinese operations, which we established beginning in 1997, are primarily composed of three joint ventures: SGM, SGMW and FAW-GM. We view the Chinese market, the fastest growing global market by volume of vehicles sold, as important to our global growth strategy and are employing a multi-brand strategy, led by our Buick division, which we believe is a strong brand in China. In the coming years, we plan to increasingly leverage our global architectures to increase the number of nameplates under the Chevrolet brand in China. Sales and income of the joint ventures are not consolidated into our financial statements; rather, our proportionate share of the earnings of each joint venture is reflected as Equity income in the consolidated statement of operations.</w:t>
      </w:r>
    </w:p>
    <w:p>
      <w:pPr>
        <w:spacing w:after="0" w:line="116" w:lineRule="exact"/>
        <w:rPr>
          <w:sz w:val="20"/>
          <w:szCs w:val="20"/>
          <w:color w:val="auto"/>
        </w:rPr>
      </w:pPr>
    </w:p>
    <w:p>
      <w:pPr>
        <w:jc w:val="both"/>
        <w:ind w:right="20" w:firstLine="228"/>
        <w:spacing w:after="0" w:line="298" w:lineRule="auto"/>
        <w:rPr>
          <w:sz w:val="20"/>
          <w:szCs w:val="20"/>
          <w:color w:val="auto"/>
        </w:rPr>
      </w:pPr>
      <w:r>
        <w:rPr>
          <w:rFonts w:ascii="Arial" w:cs="Arial" w:eastAsia="Arial" w:hAnsi="Arial"/>
          <w:sz w:val="16"/>
          <w:szCs w:val="16"/>
          <w:color w:val="auto"/>
        </w:rPr>
        <w:t>SGM is a joint venture established by Shanghai Automotive Industry Corporation (SAIC) (51%) and us (49%) in 1997. SGM has interests in three other joint ventures in China — Shanghai GM (Shenyang) Norsom Motor Co., Ltd (SGM Norsom), Shanghai GM Dong Yue Motors Co., Ltd (SGM DY) and Shanghai GM Dong Yue Powertrain (SGM DYPT). These three joint ventures are jointly held by SGM (50%), SAIC (25%) and us (25%). The four joint ventures (SGM Group) are engaged in the production, import, and sale of a comprehensive range of products under the brands of Buick, Chevrolet, and Cadillac.</w:t>
      </w:r>
    </w:p>
    <w:p>
      <w:pPr>
        <w:spacing w:after="0" w:line="113" w:lineRule="exact"/>
        <w:rPr>
          <w:sz w:val="20"/>
          <w:szCs w:val="20"/>
          <w:color w:val="auto"/>
        </w:rPr>
      </w:pPr>
    </w:p>
    <w:p>
      <w:pPr>
        <w:ind w:right="80" w:firstLine="228"/>
        <w:spacing w:after="0" w:line="254" w:lineRule="auto"/>
        <w:rPr>
          <w:sz w:val="20"/>
          <w:szCs w:val="20"/>
          <w:color w:val="auto"/>
        </w:rPr>
      </w:pPr>
      <w:r>
        <w:rPr>
          <w:rFonts w:ascii="Arial" w:cs="Arial" w:eastAsia="Arial" w:hAnsi="Arial"/>
          <w:sz w:val="18"/>
          <w:szCs w:val="18"/>
          <w:color w:val="auto"/>
        </w:rPr>
        <w:t>SGMW, of which we own 34%, SAIC owns 50% and Liuzhou Wuling Motors Co., Ltd. (Wuling) owns 16%, produces mini-commercial vehicles and passenger cars utilizing local architectures under the Wuling and Chevrolet brands. FAW-GM, of which we own 50% and China FAW Group Corporation (FAW) owns 50%, produces light commercial vehicles under the Jiefang brand and medium vans under the FAW brand. Our joint venture agreements allow for significant rights as a member as well as the contractual right to report SGMW and FAW-GM production volume in China. SAIC, one of our joint venture partners, currently produces vehicles under its own name for sale in the Chinese market. At present, vehicles that SAIC produces primarily serve markets that are different from markets served by our joint ventures.</w:t>
      </w:r>
    </w:p>
    <w:p>
      <w:pPr>
        <w:spacing w:after="0" w:line="144" w:lineRule="exact"/>
        <w:rPr>
          <w:sz w:val="20"/>
          <w:szCs w:val="20"/>
          <w:color w:val="auto"/>
        </w:rPr>
      </w:pPr>
    </w:p>
    <w:p>
      <w:pPr>
        <w:ind w:left="240"/>
        <w:spacing w:after="0"/>
        <w:rPr>
          <w:sz w:val="20"/>
          <w:szCs w:val="20"/>
          <w:color w:val="auto"/>
        </w:rPr>
      </w:pPr>
      <w:r>
        <w:rPr>
          <w:rFonts w:ascii="Arial" w:cs="Arial" w:eastAsia="Arial" w:hAnsi="Arial"/>
          <w:sz w:val="16"/>
          <w:szCs w:val="16"/>
          <w:color w:val="auto"/>
        </w:rPr>
        <w:t>The following table summarizes certain key operational and financial data for the SGM Group, which excludes SGMW and FAW-GM (dollars in millions):</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0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80" w:type="dxa"/>
            <w:vAlign w:val="bottom"/>
            <w:gridSpan w:val="2"/>
          </w:tcPr>
          <w:p>
            <w:pPr>
              <w:jc w:val="right"/>
              <w:ind w:right="1020"/>
              <w:spacing w:after="0"/>
              <w:rPr>
                <w:sz w:val="20"/>
                <w:szCs w:val="20"/>
                <w:color w:val="auto"/>
              </w:rPr>
            </w:pPr>
            <w:r>
              <w:rPr>
                <w:rFonts w:ascii="Arial" w:cs="Arial" w:eastAsia="Arial" w:hAnsi="Arial"/>
                <w:sz w:val="14"/>
                <w:szCs w:val="14"/>
                <w:b w:val="1"/>
                <w:bCs w:val="1"/>
                <w:color w:val="auto"/>
                <w:w w:val="91"/>
              </w:rPr>
              <w:t>Three Months</w:t>
            </w:r>
          </w:p>
        </w:tc>
        <w:tc>
          <w:tcPr>
            <w:tcW w:w="140" w:type="dxa"/>
            <w:vAlign w:val="bottom"/>
          </w:tcPr>
          <w:p>
            <w:pPr>
              <w:spacing w:after="0"/>
              <w:rPr>
                <w:sz w:val="14"/>
                <w:szCs w:val="14"/>
                <w:color w:val="auto"/>
              </w:rPr>
            </w:pPr>
          </w:p>
        </w:tc>
        <w:tc>
          <w:tcPr>
            <w:tcW w:w="1860" w:type="dxa"/>
            <w:vAlign w:val="bottom"/>
            <w:gridSpan w:val="2"/>
          </w:tcPr>
          <w:p>
            <w:pPr>
              <w:jc w:val="right"/>
              <w:ind w:right="1060"/>
              <w:spacing w:after="0"/>
              <w:rPr>
                <w:sz w:val="20"/>
                <w:szCs w:val="20"/>
                <w:color w:val="auto"/>
              </w:rPr>
            </w:pPr>
            <w:r>
              <w:rPr>
                <w:rFonts w:ascii="Arial" w:cs="Arial" w:eastAsia="Arial" w:hAnsi="Arial"/>
                <w:sz w:val="14"/>
                <w:szCs w:val="14"/>
                <w:b w:val="1"/>
                <w:bCs w:val="1"/>
                <w:color w:val="auto"/>
                <w:w w:val="92"/>
              </w:rPr>
              <w:t>Nine Months</w:t>
            </w: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60" w:type="dxa"/>
            <w:vAlign w:val="bottom"/>
            <w:gridSpan w:val="2"/>
          </w:tcPr>
          <w:p>
            <w:pPr>
              <w:jc w:val="right"/>
              <w:ind w:right="1020"/>
              <w:spacing w:after="0"/>
              <w:rPr>
                <w:sz w:val="20"/>
                <w:szCs w:val="20"/>
                <w:color w:val="auto"/>
              </w:rPr>
            </w:pPr>
            <w:r>
              <w:rPr>
                <w:rFonts w:ascii="Arial" w:cs="Arial" w:eastAsia="Arial" w:hAnsi="Arial"/>
                <w:sz w:val="14"/>
                <w:szCs w:val="14"/>
                <w:b w:val="1"/>
                <w:bCs w:val="1"/>
                <w:color w:val="auto"/>
                <w:w w:val="89"/>
              </w:rPr>
              <w:t>Three Months</w:t>
            </w:r>
          </w:p>
        </w:tc>
        <w:tc>
          <w:tcPr>
            <w:tcW w:w="160" w:type="dxa"/>
            <w:vAlign w:val="bottom"/>
          </w:tcPr>
          <w:p>
            <w:pPr>
              <w:spacing w:after="0"/>
              <w:rPr>
                <w:sz w:val="14"/>
                <w:szCs w:val="14"/>
                <w:color w:val="auto"/>
              </w:rPr>
            </w:pPr>
          </w:p>
        </w:tc>
        <w:tc>
          <w:tcPr>
            <w:tcW w:w="1180" w:type="dxa"/>
            <w:vAlign w:val="bottom"/>
            <w:gridSpan w:val="4"/>
          </w:tcPr>
          <w:p>
            <w:pPr>
              <w:ind w:left="40"/>
              <w:spacing w:after="0"/>
              <w:rPr>
                <w:sz w:val="20"/>
                <w:szCs w:val="20"/>
                <w:color w:val="auto"/>
              </w:rPr>
            </w:pPr>
            <w:r>
              <w:rPr>
                <w:rFonts w:ascii="Arial" w:cs="Arial" w:eastAsia="Arial" w:hAnsi="Arial"/>
                <w:sz w:val="14"/>
                <w:szCs w:val="14"/>
                <w:b w:val="1"/>
                <w:bCs w:val="1"/>
                <w:color w:val="auto"/>
              </w:rPr>
              <w:t>Nine Months</w:t>
            </w:r>
          </w:p>
        </w:tc>
      </w:tr>
      <w:tr>
        <w:trPr>
          <w:trHeight w:val="149"/>
        </w:trPr>
        <w:tc>
          <w:tcPr>
            <w:tcW w:w="304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80" w:type="dxa"/>
            <w:vAlign w:val="bottom"/>
            <w:gridSpan w:val="2"/>
          </w:tcPr>
          <w:p>
            <w:pPr>
              <w:jc w:val="right"/>
              <w:ind w:right="1240"/>
              <w:spacing w:after="0" w:line="149" w:lineRule="exact"/>
              <w:rPr>
                <w:sz w:val="20"/>
                <w:szCs w:val="20"/>
                <w:color w:val="auto"/>
              </w:rPr>
            </w:pPr>
            <w:r>
              <w:rPr>
                <w:rFonts w:ascii="Arial" w:cs="Arial" w:eastAsia="Arial" w:hAnsi="Arial"/>
                <w:sz w:val="14"/>
                <w:szCs w:val="14"/>
                <w:b w:val="1"/>
                <w:bCs w:val="1"/>
                <w:color w:val="auto"/>
              </w:rPr>
              <w:t>Ended</w:t>
            </w:r>
          </w:p>
        </w:tc>
        <w:tc>
          <w:tcPr>
            <w:tcW w:w="140" w:type="dxa"/>
            <w:vAlign w:val="bottom"/>
          </w:tcPr>
          <w:p>
            <w:pPr>
              <w:spacing w:after="0"/>
              <w:rPr>
                <w:sz w:val="12"/>
                <w:szCs w:val="12"/>
                <w:color w:val="auto"/>
              </w:rPr>
            </w:pPr>
          </w:p>
        </w:tc>
        <w:tc>
          <w:tcPr>
            <w:tcW w:w="1860" w:type="dxa"/>
            <w:vAlign w:val="bottom"/>
            <w:gridSpan w:val="2"/>
          </w:tcPr>
          <w:p>
            <w:pPr>
              <w:jc w:val="right"/>
              <w:ind w:right="1240"/>
              <w:spacing w:after="0" w:line="149" w:lineRule="exact"/>
              <w:rPr>
                <w:sz w:val="20"/>
                <w:szCs w:val="20"/>
                <w:color w:val="auto"/>
              </w:rPr>
            </w:pPr>
            <w:r>
              <w:rPr>
                <w:rFonts w:ascii="Arial" w:cs="Arial" w:eastAsia="Arial" w:hAnsi="Arial"/>
                <w:sz w:val="14"/>
                <w:szCs w:val="14"/>
                <w:b w:val="1"/>
                <w:bCs w:val="1"/>
                <w:color w:val="auto"/>
              </w:rPr>
              <w:t>Ended</w:t>
            </w: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60" w:type="dxa"/>
            <w:vAlign w:val="bottom"/>
            <w:gridSpan w:val="2"/>
          </w:tcPr>
          <w:p>
            <w:pPr>
              <w:jc w:val="right"/>
              <w:ind w:right="1240"/>
              <w:spacing w:after="0" w:line="149" w:lineRule="exact"/>
              <w:rPr>
                <w:sz w:val="20"/>
                <w:szCs w:val="20"/>
                <w:color w:val="auto"/>
              </w:rPr>
            </w:pPr>
            <w:r>
              <w:rPr>
                <w:rFonts w:ascii="Arial" w:cs="Arial" w:eastAsia="Arial" w:hAnsi="Arial"/>
                <w:sz w:val="14"/>
                <w:szCs w:val="14"/>
                <w:b w:val="1"/>
                <w:bCs w:val="1"/>
                <w:color w:val="auto"/>
              </w:rPr>
              <w:t>Ended</w:t>
            </w: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20" w:type="dxa"/>
            <w:vAlign w:val="bottom"/>
            <w:gridSpan w:val="3"/>
          </w:tcPr>
          <w:p>
            <w:pPr>
              <w:jc w:val="right"/>
              <w:ind w:right="580"/>
              <w:spacing w:after="0" w:line="149" w:lineRule="exact"/>
              <w:rPr>
                <w:sz w:val="20"/>
                <w:szCs w:val="20"/>
                <w:color w:val="auto"/>
              </w:rPr>
            </w:pPr>
            <w:r>
              <w:rPr>
                <w:rFonts w:ascii="Arial" w:cs="Arial" w:eastAsia="Arial" w:hAnsi="Arial"/>
                <w:sz w:val="14"/>
                <w:szCs w:val="14"/>
                <w:b w:val="1"/>
                <w:bCs w:val="1"/>
                <w:color w:val="auto"/>
                <w:w w:val="98"/>
              </w:rPr>
              <w:t>Ended</w:t>
            </w:r>
          </w:p>
        </w:tc>
      </w:tr>
      <w:tr>
        <w:trPr>
          <w:trHeight w:val="161"/>
        </w:trPr>
        <w:tc>
          <w:tcPr>
            <w:tcW w:w="30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b w:val="1"/>
                <w:bCs w:val="1"/>
                <w:color w:val="auto"/>
                <w:w w:val="84"/>
              </w:rPr>
              <w:t>September 30, 2010</w:t>
            </w:r>
          </w:p>
        </w:tc>
        <w:tc>
          <w:tcPr>
            <w:tcW w:w="860" w:type="dxa"/>
            <w:vAlign w:val="bottom"/>
          </w:tcPr>
          <w:p>
            <w:pPr>
              <w:spacing w:after="0"/>
              <w:rPr>
                <w:sz w:val="14"/>
                <w:szCs w:val="14"/>
                <w:color w:val="auto"/>
              </w:rPr>
            </w:pPr>
          </w:p>
        </w:tc>
        <w:tc>
          <w:tcPr>
            <w:tcW w:w="1140" w:type="dxa"/>
            <w:vAlign w:val="bottom"/>
            <w:tcBorders>
              <w:bottom w:val="single" w:sz="8" w:color="auto"/>
            </w:tcBorders>
            <w:gridSpan w:val="2"/>
          </w:tcPr>
          <w:p>
            <w:pPr>
              <w:spacing w:after="0"/>
              <w:rPr>
                <w:sz w:val="20"/>
                <w:szCs w:val="20"/>
                <w:color w:val="auto"/>
              </w:rPr>
            </w:pPr>
            <w:r>
              <w:rPr>
                <w:rFonts w:ascii="Arial" w:cs="Arial" w:eastAsia="Arial" w:hAnsi="Arial"/>
                <w:sz w:val="14"/>
                <w:szCs w:val="14"/>
                <w:b w:val="1"/>
                <w:bCs w:val="1"/>
                <w:color w:val="auto"/>
                <w:w w:val="85"/>
              </w:rPr>
              <w:t>September 30, 2010</w:t>
            </w:r>
          </w:p>
        </w:tc>
        <w:tc>
          <w:tcPr>
            <w:tcW w:w="860" w:type="dxa"/>
            <w:vAlign w:val="bottom"/>
          </w:tcPr>
          <w:p>
            <w:pPr>
              <w:spacing w:after="0"/>
              <w:rPr>
                <w:sz w:val="14"/>
                <w:szCs w:val="14"/>
                <w:color w:val="auto"/>
              </w:rPr>
            </w:pPr>
          </w:p>
        </w:tc>
        <w:tc>
          <w:tcPr>
            <w:tcW w:w="1180" w:type="dxa"/>
            <w:vAlign w:val="bottom"/>
            <w:tcBorders>
              <w:bottom w:val="single" w:sz="8" w:color="auto"/>
            </w:tcBorders>
            <w:gridSpan w:val="3"/>
          </w:tcPr>
          <w:p>
            <w:pPr>
              <w:spacing w:after="0"/>
              <w:rPr>
                <w:sz w:val="20"/>
                <w:szCs w:val="20"/>
                <w:color w:val="auto"/>
              </w:rPr>
            </w:pPr>
            <w:r>
              <w:rPr>
                <w:rFonts w:ascii="Arial" w:cs="Arial" w:eastAsia="Arial" w:hAnsi="Arial"/>
                <w:sz w:val="14"/>
                <w:szCs w:val="14"/>
                <w:b w:val="1"/>
                <w:bCs w:val="1"/>
                <w:color w:val="auto"/>
                <w:w w:val="87"/>
              </w:rPr>
              <w:t>September 30, 2009</w:t>
            </w:r>
          </w:p>
        </w:tc>
        <w:tc>
          <w:tcPr>
            <w:tcW w:w="820" w:type="dxa"/>
            <w:vAlign w:val="bottom"/>
          </w:tcPr>
          <w:p>
            <w:pPr>
              <w:spacing w:after="0"/>
              <w:rPr>
                <w:sz w:val="14"/>
                <w:szCs w:val="14"/>
                <w:color w:val="auto"/>
              </w:rPr>
            </w:pPr>
          </w:p>
        </w:tc>
        <w:tc>
          <w:tcPr>
            <w:tcW w:w="1140" w:type="dxa"/>
            <w:vAlign w:val="bottom"/>
            <w:tcBorders>
              <w:bottom w:val="single" w:sz="8" w:color="auto"/>
            </w:tcBorders>
            <w:gridSpan w:val="3"/>
          </w:tcPr>
          <w:p>
            <w:pPr>
              <w:spacing w:after="0"/>
              <w:rPr>
                <w:sz w:val="20"/>
                <w:szCs w:val="20"/>
                <w:color w:val="auto"/>
              </w:rPr>
            </w:pPr>
            <w:r>
              <w:rPr>
                <w:rFonts w:ascii="Arial" w:cs="Arial" w:eastAsia="Arial" w:hAnsi="Arial"/>
                <w:sz w:val="14"/>
                <w:szCs w:val="14"/>
                <w:b w:val="1"/>
                <w:bCs w:val="1"/>
                <w:color w:val="auto"/>
                <w:w w:val="85"/>
              </w:rPr>
              <w:t>September 30, 2009</w:t>
            </w:r>
          </w:p>
        </w:tc>
        <w:tc>
          <w:tcPr>
            <w:tcW w:w="200" w:type="dxa"/>
            <w:vAlign w:val="bottom"/>
            <w:gridSpan w:val="2"/>
          </w:tcPr>
          <w:p>
            <w:pPr>
              <w:spacing w:after="0"/>
              <w:rPr>
                <w:sz w:val="14"/>
                <w:szCs w:val="14"/>
                <w:color w:val="auto"/>
              </w:rPr>
            </w:pPr>
          </w:p>
        </w:tc>
      </w:tr>
      <w:tr>
        <w:trPr>
          <w:trHeight w:val="210"/>
        </w:trPr>
        <w:tc>
          <w:tcPr>
            <w:tcW w:w="3040" w:type="dxa"/>
            <w:vAlign w:val="bottom"/>
            <w:shd w:val="clear" w:color="auto" w:fill="CCEEFF"/>
          </w:tcPr>
          <w:p>
            <w:pPr>
              <w:spacing w:after="0"/>
              <w:rPr>
                <w:sz w:val="20"/>
                <w:szCs w:val="20"/>
                <w:color w:val="auto"/>
              </w:rPr>
            </w:pPr>
            <w:r>
              <w:rPr>
                <w:rFonts w:ascii="Arial" w:cs="Arial" w:eastAsia="Arial" w:hAnsi="Arial"/>
                <w:sz w:val="18"/>
                <w:szCs w:val="18"/>
                <w:color w:val="auto"/>
              </w:rPr>
              <w:t>Total Wholesale Units</w:t>
            </w:r>
          </w:p>
        </w:tc>
        <w:tc>
          <w:tcPr>
            <w:tcW w:w="10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262,171</w:t>
            </w:r>
          </w:p>
        </w:tc>
        <w:tc>
          <w:tcPr>
            <w:tcW w:w="8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742,162</w:t>
            </w:r>
          </w:p>
        </w:tc>
        <w:tc>
          <w:tcPr>
            <w:tcW w:w="8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191,361</w:t>
            </w:r>
          </w:p>
        </w:tc>
        <w:tc>
          <w:tcPr>
            <w:tcW w:w="8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480,215</w:t>
            </w:r>
          </w:p>
        </w:tc>
        <w:tc>
          <w:tcPr>
            <w:tcW w:w="100" w:type="dxa"/>
            <w:vAlign w:val="bottom"/>
            <w:shd w:val="clear" w:color="auto" w:fill="CCEEFF"/>
          </w:tcPr>
          <w:p>
            <w:pPr>
              <w:spacing w:after="0"/>
              <w:rPr>
                <w:sz w:val="18"/>
                <w:szCs w:val="18"/>
                <w:color w:val="auto"/>
              </w:rPr>
            </w:pPr>
          </w:p>
        </w:tc>
      </w:tr>
      <w:tr>
        <w:trPr>
          <w:trHeight w:val="216"/>
        </w:trPr>
        <w:tc>
          <w:tcPr>
            <w:tcW w:w="3040" w:type="dxa"/>
            <w:vAlign w:val="bottom"/>
          </w:tcPr>
          <w:p>
            <w:pPr>
              <w:spacing w:after="0"/>
              <w:rPr>
                <w:sz w:val="20"/>
                <w:szCs w:val="20"/>
                <w:color w:val="auto"/>
              </w:rPr>
            </w:pPr>
            <w:r>
              <w:rPr>
                <w:rFonts w:ascii="Arial" w:cs="Arial" w:eastAsia="Arial" w:hAnsi="Arial"/>
                <w:sz w:val="18"/>
                <w:szCs w:val="18"/>
                <w:color w:val="auto"/>
              </w:rPr>
              <w:t>Market share</w:t>
            </w: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80" w:type="dxa"/>
            <w:vAlign w:val="bottom"/>
            <w:gridSpan w:val="2"/>
          </w:tcPr>
          <w:p>
            <w:pPr>
              <w:jc w:val="right"/>
              <w:ind w:right="720"/>
              <w:spacing w:after="0"/>
              <w:rPr>
                <w:sz w:val="20"/>
                <w:szCs w:val="20"/>
                <w:color w:val="auto"/>
              </w:rPr>
            </w:pPr>
            <w:r>
              <w:rPr>
                <w:rFonts w:ascii="Arial" w:cs="Arial" w:eastAsia="Arial" w:hAnsi="Arial"/>
                <w:sz w:val="18"/>
                <w:szCs w:val="18"/>
                <w:color w:val="auto"/>
              </w:rPr>
              <w:t>6.31%</w:t>
            </w:r>
          </w:p>
        </w:tc>
        <w:tc>
          <w:tcPr>
            <w:tcW w:w="140" w:type="dxa"/>
            <w:vAlign w:val="bottom"/>
          </w:tcPr>
          <w:p>
            <w:pPr>
              <w:spacing w:after="0"/>
              <w:rPr>
                <w:sz w:val="18"/>
                <w:szCs w:val="18"/>
                <w:color w:val="auto"/>
              </w:rPr>
            </w:pPr>
          </w:p>
        </w:tc>
        <w:tc>
          <w:tcPr>
            <w:tcW w:w="1860" w:type="dxa"/>
            <w:vAlign w:val="bottom"/>
            <w:gridSpan w:val="2"/>
          </w:tcPr>
          <w:p>
            <w:pPr>
              <w:jc w:val="right"/>
              <w:ind w:right="720"/>
              <w:spacing w:after="0"/>
              <w:rPr>
                <w:sz w:val="20"/>
                <w:szCs w:val="20"/>
                <w:color w:val="auto"/>
              </w:rPr>
            </w:pPr>
            <w:r>
              <w:rPr>
                <w:rFonts w:ascii="Arial" w:cs="Arial" w:eastAsia="Arial" w:hAnsi="Arial"/>
                <w:sz w:val="18"/>
                <w:szCs w:val="18"/>
                <w:color w:val="auto"/>
              </w:rPr>
              <w:t>5.58%</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60" w:type="dxa"/>
            <w:vAlign w:val="bottom"/>
            <w:gridSpan w:val="2"/>
          </w:tcPr>
          <w:p>
            <w:pPr>
              <w:jc w:val="right"/>
              <w:ind w:right="720"/>
              <w:spacing w:after="0"/>
              <w:rPr>
                <w:sz w:val="20"/>
                <w:szCs w:val="20"/>
                <w:color w:val="auto"/>
              </w:rPr>
            </w:pPr>
            <w:r>
              <w:rPr>
                <w:rFonts w:ascii="Arial" w:cs="Arial" w:eastAsia="Arial" w:hAnsi="Arial"/>
                <w:sz w:val="18"/>
                <w:szCs w:val="18"/>
                <w:color w:val="auto"/>
              </w:rPr>
              <w:t>5.32%</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gridSpan w:val="3"/>
          </w:tcPr>
          <w:p>
            <w:pPr>
              <w:jc w:val="right"/>
              <w:ind w:right="60"/>
              <w:spacing w:after="0"/>
              <w:rPr>
                <w:sz w:val="20"/>
                <w:szCs w:val="20"/>
                <w:color w:val="auto"/>
              </w:rPr>
            </w:pPr>
            <w:r>
              <w:rPr>
                <w:rFonts w:ascii="Arial" w:cs="Arial" w:eastAsia="Arial" w:hAnsi="Arial"/>
                <w:sz w:val="18"/>
                <w:szCs w:val="18"/>
                <w:color w:val="auto"/>
              </w:rPr>
              <w:t>4.95%</w:t>
            </w:r>
          </w:p>
        </w:tc>
      </w:tr>
      <w:tr>
        <w:trPr>
          <w:trHeight w:val="216"/>
        </w:trPr>
        <w:tc>
          <w:tcPr>
            <w:tcW w:w="3040" w:type="dxa"/>
            <w:vAlign w:val="bottom"/>
            <w:shd w:val="clear" w:color="auto" w:fill="CCEEFF"/>
          </w:tcPr>
          <w:p>
            <w:pPr>
              <w:spacing w:after="0"/>
              <w:rPr>
                <w:sz w:val="20"/>
                <w:szCs w:val="20"/>
                <w:color w:val="auto"/>
              </w:rPr>
            </w:pPr>
            <w:r>
              <w:rPr>
                <w:rFonts w:ascii="Arial" w:cs="Arial" w:eastAsia="Arial" w:hAnsi="Arial"/>
                <w:sz w:val="18"/>
                <w:szCs w:val="18"/>
                <w:color w:val="auto"/>
              </w:rPr>
              <w:t>Total net sales and revenues</w:t>
            </w:r>
          </w:p>
        </w:tc>
        <w:tc>
          <w:tcPr>
            <w:tcW w:w="1160" w:type="dxa"/>
            <w:vAlign w:val="bottom"/>
            <w:gridSpan w:val="2"/>
            <w:shd w:val="clear" w:color="auto" w:fill="CCEEFF"/>
          </w:tcPr>
          <w:p>
            <w:pPr>
              <w:ind w:left="1040"/>
              <w:spacing w:after="0"/>
              <w:rPr>
                <w:sz w:val="20"/>
                <w:szCs w:val="20"/>
                <w:color w:val="auto"/>
              </w:rPr>
            </w:pPr>
            <w:r>
              <w:rPr>
                <w:rFonts w:ascii="Arial" w:cs="Arial" w:eastAsia="Arial" w:hAnsi="Arial"/>
                <w:sz w:val="18"/>
                <w:szCs w:val="18"/>
                <w:color w:val="auto"/>
                <w:w w:val="9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4,788</w:t>
            </w:r>
          </w:p>
        </w:tc>
        <w:tc>
          <w:tcPr>
            <w:tcW w:w="8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13,881</w:t>
            </w:r>
          </w:p>
        </w:tc>
        <w:tc>
          <w:tcPr>
            <w:tcW w:w="860" w:type="dxa"/>
            <w:vAlign w:val="bottom"/>
            <w:shd w:val="clear" w:color="auto" w:fill="CCEEFF"/>
          </w:tcPr>
          <w:p>
            <w:pPr>
              <w:spacing w:after="0"/>
              <w:rPr>
                <w:sz w:val="18"/>
                <w:szCs w:val="18"/>
                <w:color w:val="auto"/>
              </w:rPr>
            </w:pPr>
          </w:p>
        </w:tc>
        <w:tc>
          <w:tcPr>
            <w:tcW w:w="1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10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3,590</w:t>
            </w:r>
          </w:p>
        </w:tc>
        <w:tc>
          <w:tcPr>
            <w:tcW w:w="8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8,657</w:t>
            </w:r>
          </w:p>
        </w:tc>
        <w:tc>
          <w:tcPr>
            <w:tcW w:w="100" w:type="dxa"/>
            <w:vAlign w:val="bottom"/>
            <w:shd w:val="clear" w:color="auto" w:fill="CCEEFF"/>
          </w:tcPr>
          <w:p>
            <w:pPr>
              <w:spacing w:after="0"/>
              <w:rPr>
                <w:sz w:val="18"/>
                <w:szCs w:val="18"/>
                <w:color w:val="auto"/>
              </w:rPr>
            </w:pPr>
          </w:p>
        </w:tc>
      </w:tr>
      <w:tr>
        <w:trPr>
          <w:trHeight w:val="222"/>
        </w:trPr>
        <w:tc>
          <w:tcPr>
            <w:tcW w:w="3040" w:type="dxa"/>
            <w:vAlign w:val="bottom"/>
          </w:tcPr>
          <w:p>
            <w:pPr>
              <w:spacing w:after="0"/>
              <w:rPr>
                <w:sz w:val="20"/>
                <w:szCs w:val="20"/>
                <w:color w:val="auto"/>
              </w:rPr>
            </w:pPr>
            <w:r>
              <w:rPr>
                <w:rFonts w:ascii="Arial" w:cs="Arial" w:eastAsia="Arial" w:hAnsi="Arial"/>
                <w:sz w:val="18"/>
                <w:szCs w:val="18"/>
                <w:color w:val="auto"/>
              </w:rPr>
              <w:t>Net income</w:t>
            </w:r>
          </w:p>
        </w:tc>
        <w:tc>
          <w:tcPr>
            <w:tcW w:w="1160" w:type="dxa"/>
            <w:vAlign w:val="bottom"/>
            <w:gridSpan w:val="2"/>
          </w:tcPr>
          <w:p>
            <w:pPr>
              <w:ind w:left="104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611</w:t>
            </w:r>
          </w:p>
        </w:tc>
        <w:tc>
          <w:tcPr>
            <w:tcW w:w="860" w:type="dxa"/>
            <w:vAlign w:val="bottom"/>
          </w:tcPr>
          <w:p>
            <w:pPr>
              <w:spacing w:after="0"/>
              <w:rPr>
                <w:sz w:val="19"/>
                <w:szCs w:val="19"/>
                <w:color w:val="auto"/>
              </w:rPr>
            </w:pP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1,915</w:t>
            </w:r>
          </w:p>
        </w:tc>
        <w:tc>
          <w:tcPr>
            <w:tcW w:w="860" w:type="dxa"/>
            <w:vAlign w:val="bottom"/>
          </w:tcPr>
          <w:p>
            <w:pPr>
              <w:spacing w:after="0"/>
              <w:rPr>
                <w:sz w:val="19"/>
                <w:szCs w:val="19"/>
                <w:color w:val="auto"/>
              </w:rPr>
            </w:pPr>
          </w:p>
        </w:tc>
        <w:tc>
          <w:tcPr>
            <w:tcW w:w="140" w:type="dxa"/>
            <w:vAlign w:val="bottom"/>
            <w:gridSpan w:val="2"/>
          </w:tcPr>
          <w:p>
            <w:pPr>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382</w:t>
            </w:r>
          </w:p>
        </w:tc>
        <w:tc>
          <w:tcPr>
            <w:tcW w:w="820" w:type="dxa"/>
            <w:vAlign w:val="bottom"/>
          </w:tcPr>
          <w:p>
            <w:pPr>
              <w:spacing w:after="0"/>
              <w:rPr>
                <w:sz w:val="19"/>
                <w:szCs w:val="19"/>
                <w:color w:val="auto"/>
              </w:rPr>
            </w:pP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838</w:t>
            </w:r>
          </w:p>
        </w:tc>
        <w:tc>
          <w:tcPr>
            <w:tcW w:w="100" w:type="dxa"/>
            <w:vAlign w:val="bottom"/>
          </w:tcPr>
          <w:p>
            <w:pPr>
              <w:spacing w:after="0"/>
              <w:rPr>
                <w:sz w:val="19"/>
                <w:szCs w:val="19"/>
                <w:color w:val="auto"/>
              </w:rPr>
            </w:pPr>
          </w:p>
        </w:tc>
      </w:tr>
      <w:tr>
        <w:trPr>
          <w:trHeight w:val="345"/>
        </w:trPr>
        <w:tc>
          <w:tcPr>
            <w:tcW w:w="30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140" w:type="dxa"/>
            <w:vAlign w:val="bottom"/>
            <w:gridSpan w:val="2"/>
          </w:tcPr>
          <w:p>
            <w:pPr>
              <w:spacing w:after="0"/>
              <w:rPr>
                <w:sz w:val="20"/>
                <w:szCs w:val="20"/>
                <w:color w:val="auto"/>
              </w:rPr>
            </w:pPr>
            <w:r>
              <w:rPr>
                <w:rFonts w:ascii="Arial" w:cs="Arial" w:eastAsia="Arial" w:hAnsi="Arial"/>
                <w:sz w:val="14"/>
                <w:szCs w:val="14"/>
                <w:b w:val="1"/>
                <w:bCs w:val="1"/>
                <w:color w:val="auto"/>
                <w:w w:val="84"/>
              </w:rPr>
              <w:t>September 30, 2010</w:t>
            </w:r>
          </w:p>
        </w:tc>
        <w:tc>
          <w:tcPr>
            <w:tcW w:w="8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80" w:type="dxa"/>
            <w:vAlign w:val="bottom"/>
            <w:gridSpan w:val="4"/>
          </w:tcPr>
          <w:p>
            <w:pPr>
              <w:spacing w:after="0"/>
              <w:rPr>
                <w:sz w:val="20"/>
                <w:szCs w:val="20"/>
                <w:color w:val="auto"/>
              </w:rPr>
            </w:pPr>
            <w:r>
              <w:rPr>
                <w:rFonts w:ascii="Arial" w:cs="Arial" w:eastAsia="Arial" w:hAnsi="Arial"/>
                <w:sz w:val="14"/>
                <w:szCs w:val="14"/>
                <w:b w:val="1"/>
                <w:bCs w:val="1"/>
                <w:color w:val="auto"/>
                <w:w w:val="91"/>
              </w:rPr>
              <w:t>December 31, 2009</w:t>
            </w:r>
          </w:p>
        </w:tc>
      </w:tr>
      <w:tr>
        <w:trPr>
          <w:trHeight w:val="20"/>
        </w:trPr>
        <w:tc>
          <w:tcPr>
            <w:tcW w:w="304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40" w:type="dxa"/>
            <w:vAlign w:val="bottom"/>
            <w:tcBorders>
              <w:right w:val="single" w:sz="8" w:color="auto"/>
            </w:tcBorders>
            <w:shd w:val="clear" w:color="auto" w:fill="000000"/>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304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w:t>
            </w:r>
          </w:p>
        </w:tc>
        <w:tc>
          <w:tcPr>
            <w:tcW w:w="10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10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3,601</w:t>
            </w:r>
          </w:p>
        </w:tc>
        <w:tc>
          <w:tcPr>
            <w:tcW w:w="820" w:type="dxa"/>
            <w:vAlign w:val="bottom"/>
            <w:shd w:val="clear" w:color="auto" w:fill="CCEEFF"/>
          </w:tcPr>
          <w:p>
            <w:pPr>
              <w:spacing w:after="0"/>
              <w:rPr>
                <w:sz w:val="18"/>
                <w:szCs w:val="18"/>
                <w:color w:val="auto"/>
              </w:rPr>
            </w:pPr>
          </w:p>
        </w:tc>
        <w:tc>
          <w:tcPr>
            <w:tcW w:w="32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2,995</w:t>
            </w:r>
          </w:p>
        </w:tc>
        <w:tc>
          <w:tcPr>
            <w:tcW w:w="100" w:type="dxa"/>
            <w:vAlign w:val="bottom"/>
            <w:shd w:val="clear" w:color="auto" w:fill="CCEEFF"/>
          </w:tcPr>
          <w:p>
            <w:pPr>
              <w:spacing w:after="0"/>
              <w:rPr>
                <w:sz w:val="18"/>
                <w:szCs w:val="18"/>
                <w:color w:val="auto"/>
              </w:rPr>
            </w:pPr>
          </w:p>
        </w:tc>
      </w:tr>
      <w:tr>
        <w:trPr>
          <w:trHeight w:val="222"/>
        </w:trPr>
        <w:tc>
          <w:tcPr>
            <w:tcW w:w="3040" w:type="dxa"/>
            <w:vAlign w:val="bottom"/>
          </w:tcPr>
          <w:p>
            <w:pPr>
              <w:spacing w:after="0"/>
              <w:rPr>
                <w:sz w:val="20"/>
                <w:szCs w:val="20"/>
                <w:color w:val="auto"/>
              </w:rPr>
            </w:pPr>
            <w:r>
              <w:rPr>
                <w:rFonts w:ascii="Arial" w:cs="Arial" w:eastAsia="Arial" w:hAnsi="Arial"/>
                <w:sz w:val="18"/>
                <w:szCs w:val="18"/>
                <w:color w:val="auto"/>
              </w:rPr>
              <w:t>Debt</w:t>
            </w:r>
          </w:p>
        </w:tc>
        <w:tc>
          <w:tcPr>
            <w:tcW w:w="10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40" w:type="dxa"/>
            <w:vAlign w:val="bottom"/>
            <w:gridSpan w:val="2"/>
          </w:tcPr>
          <w:p>
            <w:pPr>
              <w:ind w:left="40"/>
              <w:spacing w:after="0"/>
              <w:rPr>
                <w:sz w:val="20"/>
                <w:szCs w:val="20"/>
                <w:color w:val="auto"/>
              </w:rPr>
            </w:pPr>
            <w:r>
              <w:rPr>
                <w:rFonts w:ascii="Arial" w:cs="Arial" w:eastAsia="Arial" w:hAnsi="Arial"/>
                <w:sz w:val="18"/>
                <w:szCs w:val="18"/>
                <w:color w:val="auto"/>
                <w:w w:val="79"/>
              </w:rPr>
              <w:t>$</w:t>
            </w:r>
          </w:p>
        </w:tc>
        <w:tc>
          <w:tcPr>
            <w:tcW w:w="1860" w:type="dxa"/>
            <w:vAlign w:val="bottom"/>
            <w:gridSpan w:val="2"/>
          </w:tcPr>
          <w:p>
            <w:pPr>
              <w:jc w:val="right"/>
              <w:ind w:right="820"/>
              <w:spacing w:after="0"/>
              <w:rPr>
                <w:sz w:val="20"/>
                <w:szCs w:val="20"/>
                <w:color w:val="auto"/>
              </w:rPr>
            </w:pPr>
            <w:r>
              <w:rPr>
                <w:rFonts w:ascii="Arial" w:cs="Arial" w:eastAsia="Arial" w:hAnsi="Arial"/>
                <w:sz w:val="18"/>
                <w:szCs w:val="18"/>
                <w:color w:val="auto"/>
              </w:rPr>
              <w:t>7</w:t>
            </w:r>
          </w:p>
        </w:tc>
        <w:tc>
          <w:tcPr>
            <w:tcW w:w="320" w:type="dxa"/>
            <w:vAlign w:val="bottom"/>
            <w:gridSpan w:val="2"/>
          </w:tcPr>
          <w:p>
            <w:pPr>
              <w:ind w:left="160"/>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7</w:t>
            </w:r>
          </w:p>
        </w:tc>
        <w:tc>
          <w:tcPr>
            <w:tcW w:w="100" w:type="dxa"/>
            <w:vAlign w:val="bottom"/>
          </w:tcPr>
          <w:p>
            <w:pPr>
              <w:spacing w:after="0"/>
              <w:rPr>
                <w:sz w:val="19"/>
                <w:szCs w:val="19"/>
                <w:color w:val="auto"/>
              </w:rPr>
            </w:pPr>
          </w:p>
        </w:tc>
      </w:tr>
    </w:tbl>
    <w:p>
      <w:pPr>
        <w:spacing w:after="0" w:line="147" w:lineRule="exact"/>
        <w:rPr>
          <w:sz w:val="20"/>
          <w:szCs w:val="20"/>
          <w:color w:val="auto"/>
        </w:rPr>
      </w:pPr>
    </w:p>
    <w:p>
      <w:pPr>
        <w:jc w:val="both"/>
        <w:ind w:right="320" w:firstLine="228"/>
        <w:spacing w:after="0" w:line="259" w:lineRule="auto"/>
        <w:rPr>
          <w:sz w:val="20"/>
          <w:szCs w:val="20"/>
          <w:color w:val="auto"/>
        </w:rPr>
      </w:pPr>
      <w:r>
        <w:rPr>
          <w:rFonts w:ascii="Arial" w:cs="Arial" w:eastAsia="Arial" w:hAnsi="Arial"/>
          <w:sz w:val="18"/>
          <w:szCs w:val="18"/>
          <w:color w:val="auto"/>
        </w:rPr>
        <w:t>During the three and nine months ended September 30, 2010, SGM, SGMW and FAW-GM joint venture vehicle sales in China were 552,000 vehicles and 1.7 million vehicles. In the three and nine months ended September 30, 2010, SGM and SGMW, the largest of these three joint ventures, combined to provide Equity income, net of tax, to us of $0.3 billion and $1.1 billion.</w:t>
      </w:r>
    </w:p>
    <w:p>
      <w:pPr>
        <w:spacing w:after="0" w:line="140" w:lineRule="exact"/>
        <w:rPr>
          <w:sz w:val="20"/>
          <w:szCs w:val="20"/>
          <w:color w:val="auto"/>
        </w:rPr>
      </w:pPr>
    </w:p>
    <w:p>
      <w:pPr>
        <w:ind w:right="20" w:firstLine="228"/>
        <w:spacing w:after="0" w:line="259" w:lineRule="auto"/>
        <w:rPr>
          <w:sz w:val="20"/>
          <w:szCs w:val="20"/>
          <w:color w:val="auto"/>
        </w:rPr>
      </w:pPr>
      <w:r>
        <w:rPr>
          <w:rFonts w:ascii="Arial" w:cs="Arial" w:eastAsia="Arial" w:hAnsi="Arial"/>
          <w:sz w:val="18"/>
          <w:szCs w:val="18"/>
          <w:color w:val="auto"/>
        </w:rPr>
        <w:t>In the three months ended September 30, 2010 we entered into an equity transfer agreement to purchase an additional 10% interest in SGMW from the Wuling Group for $51 million in cash plus an agreement to provide technical services to the Wuling Group through 2013. The transaction is subject to regulatory approval in China. After completing this transaction, we will own 44% of the outstanding stock of SGMW.</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95</w:t>
      </w:r>
    </w:p>
    <w:p>
      <w:pPr>
        <w:sectPr>
          <w:pgSz w:w="11900" w:h="16838" w:orient="portrait"/>
          <w:cols w:equalWidth="0" w:num="1">
            <w:col w:w="11420"/>
          </w:cols>
          <w:pgMar w:left="240" w:top="459" w:right="239" w:bottom="1440" w:gutter="0" w:footer="0" w:header="0"/>
        </w:sectPr>
      </w:pPr>
    </w:p>
    <w:bookmarkStart w:id="97" w:name="page98"/>
    <w:bookmarkEnd w:id="9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339" w:lineRule="exact"/>
        <w:rPr>
          <w:sz w:val="20"/>
          <w:szCs w:val="20"/>
          <w:color w:val="auto"/>
        </w:rPr>
      </w:pPr>
    </w:p>
    <w:p>
      <w:pPr>
        <w:ind w:right="80" w:firstLine="228"/>
        <w:spacing w:after="0" w:line="332" w:lineRule="auto"/>
        <w:rPr>
          <w:sz w:val="20"/>
          <w:szCs w:val="20"/>
          <w:color w:val="auto"/>
        </w:rPr>
      </w:pPr>
      <w:r>
        <w:rPr>
          <w:rFonts w:ascii="Arial" w:cs="Arial" w:eastAsia="Arial" w:hAnsi="Arial"/>
          <w:sz w:val="16"/>
          <w:szCs w:val="16"/>
          <w:color w:val="auto"/>
        </w:rPr>
        <w:t>On November 3, 2010, we and SAIC entered into a non-binding Memorandum of Understanding (MOU) that would, if binding agreements are concluded by the parties, result in several strategic cooperation initiatives between us and SAIC. The initiatives covered by the MOU include:</w:t>
      </w:r>
    </w:p>
    <w:p>
      <w:pPr>
        <w:spacing w:after="0" w:line="126" w:lineRule="exact"/>
        <w:rPr>
          <w:sz w:val="20"/>
          <w:szCs w:val="20"/>
          <w:color w:val="auto"/>
        </w:rPr>
      </w:pPr>
    </w:p>
    <w:p>
      <w:pPr>
        <w:ind w:left="660" w:right="660" w:hanging="436"/>
        <w:spacing w:after="0" w:line="268" w:lineRule="auto"/>
        <w:tabs>
          <w:tab w:leader="none" w:pos="660" w:val="left"/>
        </w:tabs>
        <w:numPr>
          <w:ilvl w:val="0"/>
          <w:numId w:val="70"/>
        </w:numPr>
        <w:rPr>
          <w:rFonts w:ascii="Arial" w:cs="Arial" w:eastAsia="Arial" w:hAnsi="Arial"/>
          <w:sz w:val="18"/>
          <w:szCs w:val="18"/>
          <w:color w:val="auto"/>
        </w:rPr>
      </w:pPr>
      <w:r>
        <w:rPr>
          <w:rFonts w:ascii="Arial" w:cs="Arial" w:eastAsia="Arial" w:hAnsi="Arial"/>
          <w:sz w:val="18"/>
          <w:szCs w:val="18"/>
          <w:color w:val="auto"/>
        </w:rPr>
        <w:t>Cooperation in the development of new energy vehicles, such as appropriate electric vehicle architectures and battery electric vehicle technical development;</w:t>
      </w:r>
    </w:p>
    <w:p>
      <w:pPr>
        <w:spacing w:after="0" w:line="50" w:lineRule="exact"/>
        <w:rPr>
          <w:rFonts w:ascii="Arial" w:cs="Arial" w:eastAsia="Arial" w:hAnsi="Arial"/>
          <w:sz w:val="18"/>
          <w:szCs w:val="18"/>
          <w:color w:val="auto"/>
        </w:rPr>
      </w:pPr>
    </w:p>
    <w:p>
      <w:pPr>
        <w:ind w:left="660" w:right="140" w:hanging="436"/>
        <w:spacing w:after="0" w:line="332" w:lineRule="auto"/>
        <w:tabs>
          <w:tab w:leader="none" w:pos="660" w:val="left"/>
        </w:tabs>
        <w:numPr>
          <w:ilvl w:val="0"/>
          <w:numId w:val="70"/>
        </w:numPr>
        <w:rPr>
          <w:rFonts w:ascii="Arial" w:cs="Arial" w:eastAsia="Arial" w:hAnsi="Arial"/>
          <w:sz w:val="16"/>
          <w:szCs w:val="16"/>
          <w:color w:val="auto"/>
        </w:rPr>
      </w:pPr>
      <w:r>
        <w:rPr>
          <w:rFonts w:ascii="Arial" w:cs="Arial" w:eastAsia="Arial" w:hAnsi="Arial"/>
          <w:sz w:val="16"/>
          <w:szCs w:val="16"/>
          <w:color w:val="auto"/>
        </w:rPr>
        <w:t>Further expanding the role of Pan Asia Technical Automotive Center Co., Ltd (our China-based engineering and technical joint venture with SAIC) in vehicle development, new technology development and Participation in GM’s global vehicle development process;</w:t>
      </w:r>
    </w:p>
    <w:p>
      <w:pPr>
        <w:spacing w:after="0" w:line="4" w:lineRule="exact"/>
        <w:rPr>
          <w:rFonts w:ascii="Arial" w:cs="Arial" w:eastAsia="Arial" w:hAnsi="Arial"/>
          <w:sz w:val="16"/>
          <w:szCs w:val="16"/>
          <w:color w:val="auto"/>
        </w:rPr>
      </w:pPr>
    </w:p>
    <w:p>
      <w:pPr>
        <w:ind w:left="660" w:right="620" w:hanging="436"/>
        <w:spacing w:after="0" w:line="268" w:lineRule="auto"/>
        <w:tabs>
          <w:tab w:leader="none" w:pos="660" w:val="left"/>
        </w:tabs>
        <w:numPr>
          <w:ilvl w:val="0"/>
          <w:numId w:val="70"/>
        </w:numPr>
        <w:rPr>
          <w:rFonts w:ascii="Arial" w:cs="Arial" w:eastAsia="Arial" w:hAnsi="Arial"/>
          <w:sz w:val="18"/>
          <w:szCs w:val="18"/>
          <w:color w:val="auto"/>
        </w:rPr>
      </w:pPr>
      <w:r>
        <w:rPr>
          <w:rFonts w:ascii="Arial" w:cs="Arial" w:eastAsia="Arial" w:hAnsi="Arial"/>
          <w:sz w:val="18"/>
          <w:szCs w:val="18"/>
          <w:color w:val="auto"/>
        </w:rPr>
        <w:t>Sharing an additional vehicle architecture and powertrain application with SAIC in an effort to help reduce development costs and benefit from economies of scale;</w:t>
      </w:r>
    </w:p>
    <w:p>
      <w:pPr>
        <w:spacing w:after="0" w:line="50" w:lineRule="exact"/>
        <w:rPr>
          <w:rFonts w:ascii="Arial" w:cs="Arial" w:eastAsia="Arial" w:hAnsi="Arial"/>
          <w:sz w:val="18"/>
          <w:szCs w:val="18"/>
          <w:color w:val="auto"/>
        </w:rPr>
      </w:pPr>
    </w:p>
    <w:p>
      <w:pPr>
        <w:ind w:left="660" w:hanging="436"/>
        <w:spacing w:after="0"/>
        <w:tabs>
          <w:tab w:leader="none" w:pos="660" w:val="left"/>
        </w:tabs>
        <w:numPr>
          <w:ilvl w:val="0"/>
          <w:numId w:val="70"/>
        </w:numPr>
        <w:rPr>
          <w:rFonts w:ascii="Arial" w:cs="Arial" w:eastAsia="Arial" w:hAnsi="Arial"/>
          <w:sz w:val="18"/>
          <w:szCs w:val="18"/>
          <w:color w:val="auto"/>
        </w:rPr>
      </w:pPr>
      <w:r>
        <w:rPr>
          <w:rFonts w:ascii="Arial" w:cs="Arial" w:eastAsia="Arial" w:hAnsi="Arial"/>
          <w:sz w:val="18"/>
          <w:szCs w:val="18"/>
          <w:color w:val="auto"/>
        </w:rPr>
        <w:t>Potential cooperation in providing access to a GM distribution network outside China for certain of SAIC’s MG branded products;</w:t>
      </w:r>
    </w:p>
    <w:p>
      <w:pPr>
        <w:spacing w:after="0" w:line="90" w:lineRule="exact"/>
        <w:rPr>
          <w:rFonts w:ascii="Arial" w:cs="Arial" w:eastAsia="Arial" w:hAnsi="Arial"/>
          <w:sz w:val="18"/>
          <w:szCs w:val="18"/>
          <w:color w:val="auto"/>
        </w:rPr>
      </w:pPr>
    </w:p>
    <w:p>
      <w:pPr>
        <w:ind w:left="660" w:hanging="436"/>
        <w:spacing w:after="0"/>
        <w:tabs>
          <w:tab w:leader="none" w:pos="660" w:val="left"/>
        </w:tabs>
        <w:numPr>
          <w:ilvl w:val="0"/>
          <w:numId w:val="70"/>
        </w:numPr>
        <w:rPr>
          <w:rFonts w:ascii="Arial" w:cs="Arial" w:eastAsia="Arial" w:hAnsi="Arial"/>
          <w:sz w:val="18"/>
          <w:szCs w:val="18"/>
          <w:color w:val="auto"/>
        </w:rPr>
      </w:pPr>
      <w:r>
        <w:rPr>
          <w:rFonts w:ascii="Arial" w:cs="Arial" w:eastAsia="Arial" w:hAnsi="Arial"/>
          <w:sz w:val="18"/>
          <w:szCs w:val="18"/>
          <w:color w:val="auto"/>
        </w:rPr>
        <w:t>Technology and systems development training for SAIC’s engineers; and</w:t>
      </w:r>
    </w:p>
    <w:p>
      <w:pPr>
        <w:spacing w:after="0" w:line="90" w:lineRule="exact"/>
        <w:rPr>
          <w:rFonts w:ascii="Arial" w:cs="Arial" w:eastAsia="Arial" w:hAnsi="Arial"/>
          <w:sz w:val="18"/>
          <w:szCs w:val="18"/>
          <w:color w:val="auto"/>
        </w:rPr>
      </w:pPr>
    </w:p>
    <w:p>
      <w:pPr>
        <w:ind w:left="660" w:hanging="436"/>
        <w:spacing w:after="0"/>
        <w:tabs>
          <w:tab w:leader="none" w:pos="660" w:val="left"/>
        </w:tabs>
        <w:numPr>
          <w:ilvl w:val="0"/>
          <w:numId w:val="70"/>
        </w:numPr>
        <w:rPr>
          <w:rFonts w:ascii="Arial" w:cs="Arial" w:eastAsia="Arial" w:hAnsi="Arial"/>
          <w:sz w:val="18"/>
          <w:szCs w:val="18"/>
          <w:color w:val="auto"/>
        </w:rPr>
      </w:pPr>
      <w:r>
        <w:rPr>
          <w:rFonts w:ascii="Arial" w:cs="Arial" w:eastAsia="Arial" w:hAnsi="Arial"/>
          <w:sz w:val="18"/>
          <w:szCs w:val="18"/>
          <w:color w:val="auto"/>
        </w:rPr>
        <w:t>Discussions to determine possible areas of cooperation in the development of future diesel engines.</w:t>
      </w:r>
    </w:p>
    <w:p>
      <w:pPr>
        <w:spacing w:after="0" w:line="171" w:lineRule="exact"/>
        <w:rPr>
          <w:sz w:val="20"/>
          <w:szCs w:val="20"/>
          <w:color w:val="auto"/>
        </w:rPr>
      </w:pPr>
    </w:p>
    <w:p>
      <w:pPr>
        <w:ind w:left="240"/>
        <w:spacing w:after="0"/>
        <w:rPr>
          <w:sz w:val="20"/>
          <w:szCs w:val="20"/>
          <w:color w:val="auto"/>
        </w:rPr>
      </w:pPr>
      <w:r>
        <w:rPr>
          <w:rFonts w:ascii="Arial" w:cs="Arial" w:eastAsia="Arial" w:hAnsi="Arial"/>
          <w:sz w:val="18"/>
          <w:szCs w:val="18"/>
          <w:color w:val="auto"/>
        </w:rPr>
        <w:t>The parties expect to reach definitive agreements regarding the MOU initiatives by December 31, 2010.</w:t>
      </w:r>
    </w:p>
    <w:p>
      <w:pPr>
        <w:spacing w:after="0" w:line="171"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GM South America</w:t>
      </w:r>
    </w:p>
    <w:p>
      <w:pPr>
        <w:spacing w:after="0" w:line="171" w:lineRule="exact"/>
        <w:rPr>
          <w:sz w:val="20"/>
          <w:szCs w:val="20"/>
          <w:color w:val="auto"/>
        </w:rPr>
      </w:pPr>
    </w:p>
    <w:p>
      <w:pPr>
        <w:ind w:right="40" w:firstLine="228"/>
        <w:spacing w:after="0" w:line="254" w:lineRule="auto"/>
        <w:rPr>
          <w:sz w:val="20"/>
          <w:szCs w:val="20"/>
          <w:color w:val="auto"/>
        </w:rPr>
      </w:pPr>
      <w:r>
        <w:rPr>
          <w:rFonts w:ascii="Arial" w:cs="Arial" w:eastAsia="Arial" w:hAnsi="Arial"/>
          <w:sz w:val="18"/>
          <w:szCs w:val="18"/>
          <w:color w:val="auto"/>
        </w:rPr>
        <w:t>In June 2010 we announced that, beginning in the fourth quarter of 2010, we are creating a new regional organization in South America. The new organization, GM South America, will be headquartered in Sao Paulo, Brazil, and its president will report to our chairman and chief executive officer. GM South America will include existing sales and manufacturing operations in Brazil, Argentina, Colombia, Ecuador and Venezuela, as well as sales activities in those countries and Bolivia, Chile, Paraguay, Peru and Uruguay. As part of our global product operations organization, GM South America will have product design and engineering capabilities, which will allow it to continue creating local cars and trucks that complement our global product architectures. GM South America will initially have approximately 30,000 employees.</w:t>
      </w:r>
    </w:p>
    <w:p>
      <w:pPr>
        <w:spacing w:after="0" w:line="144"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Sale of Nexteer</w:t>
      </w:r>
    </w:p>
    <w:p>
      <w:pPr>
        <w:spacing w:after="0" w:line="171" w:lineRule="exact"/>
        <w:rPr>
          <w:sz w:val="20"/>
          <w:szCs w:val="20"/>
          <w:color w:val="auto"/>
        </w:rPr>
      </w:pPr>
    </w:p>
    <w:p>
      <w:pPr>
        <w:ind w:right="100" w:firstLine="228"/>
        <w:spacing w:after="0" w:line="255" w:lineRule="auto"/>
        <w:rPr>
          <w:sz w:val="20"/>
          <w:szCs w:val="20"/>
          <w:color w:val="auto"/>
        </w:rPr>
      </w:pPr>
      <w:r>
        <w:rPr>
          <w:rFonts w:ascii="Arial" w:cs="Arial" w:eastAsia="Arial" w:hAnsi="Arial"/>
          <w:sz w:val="18"/>
          <w:szCs w:val="18"/>
          <w:color w:val="auto"/>
        </w:rPr>
        <w:t>On July 7, 2010 we entered into a definitive agreement to sell Nexteer to an unaffiliated party. The transaction is subject to customary closing conditions, regulatory approvals and review by government agencies in the U.S. and China. At September 30, 2010 Nexteer had total assets of $857 million, total liabilities of $376 million, and recorded revenue of $1.4 billion in the nine months ended September 30, 2010, of which $765 million were sales to us and our affiliates. Nexteer did not qualify for held for sale classification at September 30, 2010. Once consummated, we do not expect the sale of Nexteer to have a material effect on our consolidated financial statements.</w:t>
      </w:r>
    </w:p>
    <w:p>
      <w:pPr>
        <w:spacing w:after="0" w:line="143"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Contribution of Cash and Common Stock to U.S. Hourly and Salaried Pension Plans</w:t>
      </w:r>
    </w:p>
    <w:p>
      <w:pPr>
        <w:spacing w:after="0" w:line="171" w:lineRule="exact"/>
        <w:rPr>
          <w:sz w:val="20"/>
          <w:szCs w:val="20"/>
          <w:color w:val="auto"/>
        </w:rPr>
      </w:pPr>
    </w:p>
    <w:p>
      <w:pPr>
        <w:ind w:left="240"/>
        <w:spacing w:after="0"/>
        <w:rPr>
          <w:sz w:val="20"/>
          <w:szCs w:val="20"/>
          <w:color w:val="auto"/>
        </w:rPr>
      </w:pPr>
      <w:r>
        <w:rPr>
          <w:rFonts w:ascii="Arial" w:cs="Arial" w:eastAsia="Arial" w:hAnsi="Arial"/>
          <w:sz w:val="16"/>
          <w:szCs w:val="16"/>
          <w:color w:val="auto"/>
        </w:rPr>
        <w:t>In October 2010, we announced our intention to contribute $6.0 billion to our U.S. hourly and salaried pension plans, consisting of $4.0 billion of cash and</w:t>
      </w:r>
    </w:p>
    <w:p>
      <w:pPr>
        <w:spacing w:after="0" w:line="38" w:lineRule="exact"/>
        <w:rPr>
          <w:sz w:val="20"/>
          <w:szCs w:val="20"/>
          <w:color w:val="auto"/>
        </w:rPr>
      </w:pPr>
    </w:p>
    <w:p>
      <w:pPr>
        <w:spacing w:after="0" w:line="292" w:lineRule="auto"/>
        <w:rPr>
          <w:sz w:val="20"/>
          <w:szCs w:val="20"/>
          <w:color w:val="auto"/>
        </w:rPr>
      </w:pPr>
      <w:r>
        <w:rPr>
          <w:rFonts w:ascii="Arial" w:cs="Arial" w:eastAsia="Arial" w:hAnsi="Arial"/>
          <w:sz w:val="16"/>
          <w:szCs w:val="16"/>
          <w:color w:val="auto"/>
        </w:rPr>
        <w:t>$2.0 billion of our common stock, following the completion the common stock offering and the Series B Mandatory Convertible Junior Preferred Stock (Series B Preferred Stock) offering. The common stock contribution is contingent on Department of Labor approval, which we expect to receive in the near-term. Based on the number of shares determined using an assumed public offering price per share of our common stock in the common stock offering of $27.50, the midpoint of the range for the common stock offering, the anticipated common stock contribution would consist of 72.7 million shares of our common stock. Although we currently expect to make the cash and common stock contributions, we are not obligated to do so and cannot assure you that they will occur.</w:t>
      </w:r>
    </w:p>
    <w:p>
      <w:pPr>
        <w:spacing w:after="0" w:line="103"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96</w:t>
      </w:r>
    </w:p>
    <w:p>
      <w:pPr>
        <w:sectPr>
          <w:pgSz w:w="11900" w:h="16838" w:orient="portrait"/>
          <w:cols w:equalWidth="0" w:num="1">
            <w:col w:w="11360"/>
          </w:cols>
          <w:pgMar w:left="240" w:top="459" w:right="299" w:bottom="1440" w:gutter="0" w:footer="0" w:header="0"/>
        </w:sectPr>
      </w:pPr>
    </w:p>
    <w:bookmarkStart w:id="98" w:name="page99"/>
    <w:bookmarkEnd w:id="9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339"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New Secured Revolving Credit Facility</w:t>
      </w:r>
    </w:p>
    <w:p>
      <w:pPr>
        <w:spacing w:after="0" w:line="171" w:lineRule="exact"/>
        <w:rPr>
          <w:sz w:val="20"/>
          <w:szCs w:val="20"/>
          <w:color w:val="auto"/>
        </w:rPr>
      </w:pPr>
    </w:p>
    <w:p>
      <w:pPr>
        <w:jc w:val="both"/>
        <w:ind w:right="60" w:firstLine="228"/>
        <w:spacing w:after="0" w:line="306" w:lineRule="auto"/>
        <w:rPr>
          <w:sz w:val="20"/>
          <w:szCs w:val="20"/>
          <w:color w:val="auto"/>
        </w:rPr>
      </w:pPr>
      <w:r>
        <w:rPr>
          <w:rFonts w:ascii="Arial" w:cs="Arial" w:eastAsia="Arial" w:hAnsi="Arial"/>
          <w:sz w:val="16"/>
          <w:szCs w:val="16"/>
          <w:color w:val="auto"/>
        </w:rPr>
        <w:t>In October 2010, we entered into a new five year, $5.0 billion secured revolving credit facility. While we do not believe the proceeds of the secured revolving credit facility are required to fund operating activities, the facility is expected to provide additional liquidity and financing flexibility. Refer to the section entitled “— Liquidity and Capital Resources — Recent Initiatives” for additional information about the secured revolving credit facility.</w:t>
      </w:r>
    </w:p>
    <w:p>
      <w:pPr>
        <w:spacing w:after="0" w:line="1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Benefit Plan Changes</w:t>
      </w:r>
    </w:p>
    <w:p>
      <w:pPr>
        <w:spacing w:after="0" w:line="177"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U.S. Hourly Defined Benefit Pension Plan Remeasurement</w:t>
      </w:r>
    </w:p>
    <w:p>
      <w:pPr>
        <w:spacing w:after="0" w:line="171" w:lineRule="exact"/>
        <w:rPr>
          <w:sz w:val="20"/>
          <w:szCs w:val="20"/>
          <w:color w:val="auto"/>
        </w:rPr>
      </w:pPr>
    </w:p>
    <w:p>
      <w:pPr>
        <w:ind w:right="20" w:firstLine="228"/>
        <w:spacing w:after="0" w:line="254" w:lineRule="auto"/>
        <w:rPr>
          <w:sz w:val="20"/>
          <w:szCs w:val="20"/>
          <w:color w:val="auto"/>
        </w:rPr>
      </w:pPr>
      <w:r>
        <w:rPr>
          <w:rFonts w:ascii="Arial" w:cs="Arial" w:eastAsia="Arial" w:hAnsi="Arial"/>
          <w:sz w:val="18"/>
          <w:szCs w:val="18"/>
          <w:color w:val="auto"/>
        </w:rPr>
        <w:t>In September 2010 the U.S. hourly defined benefit pension plan was amended to create a legally separate new defined benefit pension plan for the participants who are covered by the cash balance benefit formula. The underlying benefits offered to plan participants were unchanged. This plan amendment resulted in a remeasurement of the U.S. hourly defined benefit pension plan as of September 30, 2010. The remeasurement used a discount rate of 4.56%, increasing the projected benefit obligations (PBO) by $5.8 billion. A discount rate of 5.49% was used at December 31, 2009. Additionally, higher than expected asset returns of $3.4 billion partially offset the discount rate effect, and the remeasurement resulted in a net decrease to the funded status of the U.S. hourly defined benefit pension plan of $2.4 billion.</w:t>
      </w:r>
    </w:p>
    <w:p>
      <w:pPr>
        <w:spacing w:after="0" w:line="144"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Patient Protection and Affordable Care Act</w:t>
      </w:r>
    </w:p>
    <w:p>
      <w:pPr>
        <w:spacing w:after="0" w:line="171" w:lineRule="exact"/>
        <w:rPr>
          <w:sz w:val="20"/>
          <w:szCs w:val="20"/>
          <w:color w:val="auto"/>
        </w:rPr>
      </w:pPr>
    </w:p>
    <w:p>
      <w:pPr>
        <w:ind w:right="20" w:firstLine="228"/>
        <w:spacing w:after="0" w:line="294" w:lineRule="auto"/>
        <w:rPr>
          <w:sz w:val="20"/>
          <w:szCs w:val="20"/>
          <w:color w:val="auto"/>
        </w:rPr>
      </w:pPr>
      <w:r>
        <w:rPr>
          <w:rFonts w:ascii="Arial" w:cs="Arial" w:eastAsia="Arial" w:hAnsi="Arial"/>
          <w:sz w:val="16"/>
          <w:szCs w:val="16"/>
          <w:color w:val="auto"/>
        </w:rPr>
        <w:t>The Patient Protection and Affordable Care Act was signed into law in March 2010 and contains provisions that require all future reimbursement receipts under the Medicare Part D retiree drug subsidy program to be included in taxable income. This taxable income inclusion will not significantly affect us because effective January 1, 2010 we no longer provide prescription drug coverage to post-age 65 Medicare-eligible participants and we have a full valuation allowance against our net deferred tax assets in the U.S. We have assessed the other provisions of this new law, based on information known at this time, and we believe that the new law will not have a significant effect on our consolidated financial statements.</w:t>
      </w:r>
    </w:p>
    <w:p>
      <w:pPr>
        <w:spacing w:after="0" w:line="1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Venezuelan Exchange Regulations</w:t>
      </w:r>
    </w:p>
    <w:p>
      <w:pPr>
        <w:spacing w:after="0" w:line="177" w:lineRule="exact"/>
        <w:rPr>
          <w:sz w:val="20"/>
          <w:szCs w:val="20"/>
          <w:color w:val="auto"/>
        </w:rPr>
      </w:pPr>
    </w:p>
    <w:p>
      <w:pPr>
        <w:ind w:firstLine="228"/>
        <w:spacing w:after="0" w:line="254" w:lineRule="auto"/>
        <w:rPr>
          <w:sz w:val="20"/>
          <w:szCs w:val="20"/>
          <w:color w:val="auto"/>
        </w:rPr>
      </w:pPr>
      <w:r>
        <w:rPr>
          <w:rFonts w:ascii="Arial" w:cs="Arial" w:eastAsia="Arial" w:hAnsi="Arial"/>
          <w:sz w:val="18"/>
          <w:szCs w:val="18"/>
          <w:color w:val="auto"/>
        </w:rPr>
        <w:t>Our Venezuelan subsidiaries changed their functional currency from Bolivar Fuerte (BsF), the local currency, to the U.S. dollar, our reporting currency, on January 1, 2010 because of the hyperinflationary status of the Venezuelan economy. Further, pursuant to the official devaluation of the Venezuelan currency and establishment of the dual fixed exchange rates in January 2010, we remeasured the BsF denominated monetary assets and liabilities held by our Venezuelan subsidiaries at the nonessential rate of 4.30 BsF to $1.00. The remeasurement resulted in a charge of $25 million recorded in Cost of sales in the three months ended March 31, 2010. In the nine months ended September 30, 2010 all BsF denominated transactions have been remeasured at the nonessential rate of 4.30 BsF to $1.00.</w:t>
      </w:r>
    </w:p>
    <w:p>
      <w:pPr>
        <w:spacing w:after="0" w:line="144" w:lineRule="exact"/>
        <w:rPr>
          <w:sz w:val="20"/>
          <w:szCs w:val="20"/>
          <w:color w:val="auto"/>
        </w:rPr>
      </w:pPr>
    </w:p>
    <w:p>
      <w:pPr>
        <w:ind w:right="20" w:firstLine="228"/>
        <w:spacing w:after="0" w:line="254" w:lineRule="auto"/>
        <w:rPr>
          <w:sz w:val="20"/>
          <w:szCs w:val="20"/>
          <w:color w:val="auto"/>
        </w:rPr>
      </w:pPr>
      <w:r>
        <w:rPr>
          <w:rFonts w:ascii="Arial" w:cs="Arial" w:eastAsia="Arial" w:hAnsi="Arial"/>
          <w:sz w:val="18"/>
          <w:szCs w:val="18"/>
          <w:color w:val="auto"/>
        </w:rPr>
        <w:t>In June 2010, the Venezuelan government introduced additional foreign currency exchange control regulations, which imposed restrictions on the use of the parallel foreign currency exchange market, thereby making it more difficult to convert BsF to U.S. Dollars. We, like most Venezuelan importers, periodically accessed the parallel exchange market, which historically enabled entities to obtain foreign currency for transactions that could not be processed by the Commission for the Administration of Currency Exchange (CADIVI). The restrictions on the foreign currency exchange market could affect our Venezuelan subsidiaries’ ability to pay its non-BsF denominated obligations that do not qualify to be processed by CADIVI at the official exchange rates as well as our ability to benefit from those operations.</w:t>
      </w:r>
    </w:p>
    <w:p>
      <w:pPr>
        <w:spacing w:after="0" w:line="13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97</w:t>
      </w:r>
    </w:p>
    <w:p>
      <w:pPr>
        <w:sectPr>
          <w:pgSz w:w="11900" w:h="16838" w:orient="portrait"/>
          <w:cols w:equalWidth="0" w:num="1">
            <w:col w:w="11400"/>
          </w:cols>
          <w:pgMar w:left="240" w:top="459" w:right="259" w:bottom="1440" w:gutter="0" w:footer="0" w:header="0"/>
        </w:sectPr>
      </w:pPr>
    </w:p>
    <w:bookmarkStart w:id="99" w:name="page100"/>
    <w:bookmarkEnd w:id="9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Effect of Fresh-Start Reporting</w:t>
      </w:r>
    </w:p>
    <w:p>
      <w:pPr>
        <w:spacing w:after="0" w:line="177" w:lineRule="exact"/>
        <w:rPr>
          <w:sz w:val="20"/>
          <w:szCs w:val="20"/>
          <w:color w:val="auto"/>
        </w:rPr>
      </w:pPr>
    </w:p>
    <w:p>
      <w:pPr>
        <w:ind w:right="100" w:firstLine="228"/>
        <w:spacing w:after="0" w:line="298" w:lineRule="auto"/>
        <w:rPr>
          <w:sz w:val="20"/>
          <w:szCs w:val="20"/>
          <w:color w:val="auto"/>
        </w:rPr>
      </w:pPr>
      <w:r>
        <w:rPr>
          <w:rFonts w:ascii="Arial" w:cs="Arial" w:eastAsia="Arial" w:hAnsi="Arial"/>
          <w:sz w:val="16"/>
          <w:szCs w:val="16"/>
          <w:color w:val="auto"/>
        </w:rPr>
        <w:t>The application of fresh-start reporting significantly affected certain assets, liabilities, and expenses. As a result, certain financial information in the nine months ended September 30, 2010 is not comparable to Old GM’s financial information. Total net sales and revenue was not significantly affected by fresh-start reporting and facilitates a comparison to combined vehicle sales data. We have determined that the three months ended September 30, 2010 and the period July 10, 2009 through September 30, 2009 are comparable based on the immaterial results of Old GM for the period July 1, 2009 through July 9, 2009.</w:t>
      </w:r>
    </w:p>
    <w:p>
      <w:pPr>
        <w:spacing w:after="0" w:line="113" w:lineRule="exact"/>
        <w:rPr>
          <w:sz w:val="20"/>
          <w:szCs w:val="20"/>
          <w:color w:val="auto"/>
        </w:rPr>
      </w:pPr>
    </w:p>
    <w:p>
      <w:pPr>
        <w:ind w:right="100" w:firstLine="228"/>
        <w:spacing w:after="0" w:line="259" w:lineRule="auto"/>
        <w:rPr>
          <w:sz w:val="20"/>
          <w:szCs w:val="20"/>
          <w:color w:val="auto"/>
        </w:rPr>
      </w:pPr>
      <w:r>
        <w:rPr>
          <w:rFonts w:ascii="Arial" w:cs="Arial" w:eastAsia="Arial" w:hAnsi="Arial"/>
          <w:sz w:val="18"/>
          <w:szCs w:val="18"/>
          <w:color w:val="auto"/>
        </w:rPr>
        <w:t>Because our and Old GM’s financial information is not comparable for the nine months ended September 30, 2010 and the period January 1, 2009 through July 9, 2009, we are providing additional financial metrics for these periods presented in addition to disclosures concerning significant transactions and trends at September 30, 2010 and in these periods presented.</w:t>
      </w:r>
    </w:p>
    <w:p>
      <w:pPr>
        <w:spacing w:after="0" w:line="140" w:lineRule="exact"/>
        <w:rPr>
          <w:sz w:val="20"/>
          <w:szCs w:val="20"/>
          <w:color w:val="auto"/>
        </w:rPr>
      </w:pPr>
    </w:p>
    <w:p>
      <w:pPr>
        <w:ind w:right="700" w:firstLine="228"/>
        <w:spacing w:after="0" w:line="268" w:lineRule="auto"/>
        <w:rPr>
          <w:sz w:val="20"/>
          <w:szCs w:val="20"/>
          <w:color w:val="auto"/>
        </w:rPr>
      </w:pPr>
      <w:r>
        <w:rPr>
          <w:rFonts w:ascii="Arial" w:cs="Arial" w:eastAsia="Arial" w:hAnsi="Arial"/>
          <w:sz w:val="18"/>
          <w:szCs w:val="18"/>
          <w:color w:val="auto"/>
        </w:rPr>
        <w:t>Total net sales and revenue is primarily comprised of revenue generated from the sales of vehicles, in addition to revenue from OnStar, our customer subscription service, vehicle sales accounted for as operating leases and sales of parts and accessories.</w:t>
      </w:r>
    </w:p>
    <w:p>
      <w:pPr>
        <w:spacing w:after="0" w:line="132" w:lineRule="exact"/>
        <w:rPr>
          <w:sz w:val="20"/>
          <w:szCs w:val="20"/>
          <w:color w:val="auto"/>
        </w:rPr>
      </w:pPr>
    </w:p>
    <w:p>
      <w:pPr>
        <w:ind w:firstLine="228"/>
        <w:spacing w:after="0" w:line="323" w:lineRule="auto"/>
        <w:rPr>
          <w:sz w:val="20"/>
          <w:szCs w:val="20"/>
          <w:color w:val="auto"/>
        </w:rPr>
      </w:pPr>
      <w:r>
        <w:rPr>
          <w:rFonts w:ascii="Arial" w:cs="Arial" w:eastAsia="Arial" w:hAnsi="Arial"/>
          <w:sz w:val="15"/>
          <w:szCs w:val="15"/>
          <w:color w:val="auto"/>
        </w:rPr>
        <w:t>Cost of sales is primarily comprised of material, labor, manufacturing overhead, freight, foreign currency transaction and translation gains and losses, product engineering, design and development expenses, depreciation and amortization, policy and warranty costs, postemployment benefit gains and losses, and separation and impairment charges. Prior to our application of fresh-start reporting on July 10, 2009, Cost of sales also included gains and losses on derivative instruments. Effective July 10, 2009 gains and losses related to all nondesignated derivatives are recorded in Interest income and other non-operating income, net.</w:t>
      </w:r>
    </w:p>
    <w:p>
      <w:pPr>
        <w:spacing w:after="0" w:line="98" w:lineRule="exact"/>
        <w:rPr>
          <w:sz w:val="20"/>
          <w:szCs w:val="20"/>
          <w:color w:val="auto"/>
        </w:rPr>
      </w:pPr>
    </w:p>
    <w:p>
      <w:pPr>
        <w:ind w:right="20" w:firstLine="228"/>
        <w:spacing w:after="0" w:line="259" w:lineRule="auto"/>
        <w:rPr>
          <w:sz w:val="20"/>
          <w:szCs w:val="20"/>
          <w:color w:val="auto"/>
        </w:rPr>
      </w:pPr>
      <w:r>
        <w:rPr>
          <w:rFonts w:ascii="Arial" w:cs="Arial" w:eastAsia="Arial" w:hAnsi="Arial"/>
          <w:sz w:val="18"/>
          <w:szCs w:val="18"/>
          <w:color w:val="auto"/>
        </w:rPr>
        <w:t>Selling, general and administrative expense is primarily comprised of costs related to the advertising, selling and promotion of products, support services, including central office expenses, labor and benefit expenses for employees not considered part of the manufacturing process, consulting costs, rental expense for offices, bad debt expense and non-income based state and local taxes.</w:t>
      </w:r>
    </w:p>
    <w:p>
      <w:pPr>
        <w:spacing w:after="0" w:line="12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98</w:t>
      </w:r>
    </w:p>
    <w:p>
      <w:pPr>
        <w:sectPr>
          <w:pgSz w:w="11900" w:h="16838" w:orient="portrait"/>
          <w:cols w:equalWidth="0" w:num="1">
            <w:col w:w="11380"/>
          </w:cols>
          <w:pgMar w:left="240" w:top="459" w:right="279" w:bottom="1440" w:gutter="0" w:footer="0" w:header="0"/>
        </w:sectPr>
      </w:pPr>
    </w:p>
    <w:bookmarkStart w:id="100" w:name="page101"/>
    <w:bookmarkEnd w:id="10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Consolidated Results of Operations</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(Dollars in millions)</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7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60" w:type="dxa"/>
            <w:vAlign w:val="bottom"/>
            <w:gridSpan w:val="2"/>
          </w:tcPr>
          <w:p>
            <w:pPr>
              <w:jc w:val="center"/>
              <w:ind w:right="520"/>
              <w:spacing w:after="0"/>
              <w:rPr>
                <w:sz w:val="20"/>
                <w:szCs w:val="20"/>
                <w:color w:val="auto"/>
              </w:rPr>
            </w:pPr>
            <w:r>
              <w:rPr>
                <w:rFonts w:ascii="Arial" w:cs="Arial" w:eastAsia="Arial" w:hAnsi="Arial"/>
                <w:sz w:val="14"/>
                <w:szCs w:val="14"/>
                <w:b w:val="1"/>
                <w:bCs w:val="1"/>
                <w:color w:val="auto"/>
                <w:w w:val="79"/>
              </w:rPr>
              <w:t>Successor</w:t>
            </w:r>
          </w:p>
        </w:tc>
        <w:tc>
          <w:tcPr>
            <w:tcW w:w="1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60" w:type="dxa"/>
            <w:vAlign w:val="bottom"/>
            <w:tcBorders>
              <w:right w:val="single" w:sz="8" w:color="auto"/>
            </w:tcBorders>
          </w:tcPr>
          <w:p>
            <w:pPr>
              <w:spacing w:after="0"/>
              <w:rPr>
                <w:sz w:val="14"/>
                <w:szCs w:val="14"/>
                <w:color w:val="auto"/>
              </w:rPr>
            </w:pP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40" w:type="dxa"/>
            <w:vAlign w:val="bottom"/>
            <w:gridSpan w:val="6"/>
          </w:tcPr>
          <w:p>
            <w:pPr>
              <w:jc w:val="right"/>
              <w:ind w:right="620"/>
              <w:spacing w:after="0"/>
              <w:rPr>
                <w:sz w:val="20"/>
                <w:szCs w:val="20"/>
                <w:color w:val="auto"/>
              </w:rPr>
            </w:pPr>
            <w:r>
              <w:rPr>
                <w:rFonts w:ascii="Arial" w:cs="Arial" w:eastAsia="Arial" w:hAnsi="Arial"/>
                <w:sz w:val="14"/>
                <w:szCs w:val="14"/>
                <w:b w:val="1"/>
                <w:bCs w:val="1"/>
                <w:color w:val="auto"/>
              </w:rPr>
              <w:t>Predecessor</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470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1020" w:type="dxa"/>
            <w:vAlign w:val="bottom"/>
            <w:tcBorders>
              <w:top w:val="single" w:sz="8" w:color="auto"/>
            </w:tcBorders>
          </w:tcPr>
          <w:p>
            <w:pPr>
              <w:spacing w:after="0"/>
              <w:rPr>
                <w:sz w:val="11"/>
                <w:szCs w:val="11"/>
                <w:color w:val="auto"/>
              </w:rPr>
            </w:pPr>
          </w:p>
        </w:tc>
        <w:tc>
          <w:tcPr>
            <w:tcW w:w="200" w:type="dxa"/>
            <w:vAlign w:val="bottom"/>
            <w:tcBorders>
              <w:top w:val="single" w:sz="8" w:color="auto"/>
            </w:tcBorders>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1000" w:type="dxa"/>
            <w:vAlign w:val="bottom"/>
            <w:tcBorders>
              <w:top w:val="single" w:sz="8" w:color="auto"/>
            </w:tcBorders>
          </w:tcPr>
          <w:p>
            <w:pPr>
              <w:spacing w:after="0"/>
              <w:rPr>
                <w:sz w:val="11"/>
                <w:szCs w:val="11"/>
                <w:color w:val="auto"/>
              </w:rPr>
            </w:pPr>
          </w:p>
        </w:tc>
        <w:tc>
          <w:tcPr>
            <w:tcW w:w="360" w:type="dxa"/>
            <w:vAlign w:val="bottom"/>
            <w:tcBorders>
              <w:top w:val="single" w:sz="8" w:color="auto"/>
            </w:tcBorders>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1000" w:type="dxa"/>
            <w:vAlign w:val="bottom"/>
            <w:tcBorders>
              <w:top w:val="single" w:sz="8" w:color="auto"/>
            </w:tcBorders>
          </w:tcPr>
          <w:p>
            <w:pPr>
              <w:spacing w:after="0"/>
              <w:rPr>
                <w:sz w:val="11"/>
                <w:szCs w:val="11"/>
                <w:color w:val="auto"/>
              </w:rPr>
            </w:pPr>
          </w:p>
        </w:tc>
        <w:tc>
          <w:tcPr>
            <w:tcW w:w="460" w:type="dxa"/>
            <w:vAlign w:val="bottom"/>
            <w:tcBorders>
              <w:right w:val="single" w:sz="8" w:color="auto"/>
            </w:tcBorders>
          </w:tcPr>
          <w:p>
            <w:pPr>
              <w:spacing w:after="0"/>
              <w:rPr>
                <w:sz w:val="11"/>
                <w:szCs w:val="11"/>
                <w:color w:val="auto"/>
              </w:rPr>
            </w:pPr>
          </w:p>
        </w:tc>
        <w:tc>
          <w:tcPr>
            <w:tcW w:w="26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800" w:type="dxa"/>
            <w:vAlign w:val="bottom"/>
            <w:tcBorders>
              <w:top w:val="single" w:sz="8" w:color="auto"/>
            </w:tcBorders>
            <w:gridSpan w:val="2"/>
          </w:tcPr>
          <w:p>
            <w:pPr>
              <w:jc w:val="center"/>
              <w:ind w:right="340"/>
              <w:spacing w:after="0" w:line="129" w:lineRule="exact"/>
              <w:rPr>
                <w:sz w:val="20"/>
                <w:szCs w:val="20"/>
                <w:color w:val="auto"/>
              </w:rPr>
            </w:pPr>
            <w:r>
              <w:rPr>
                <w:rFonts w:ascii="Arial" w:cs="Arial" w:eastAsia="Arial" w:hAnsi="Arial"/>
                <w:sz w:val="14"/>
                <w:szCs w:val="14"/>
                <w:b w:val="1"/>
                <w:bCs w:val="1"/>
                <w:color w:val="auto"/>
                <w:w w:val="87"/>
              </w:rPr>
              <w:t>July 1,</w:t>
            </w:r>
          </w:p>
        </w:tc>
        <w:tc>
          <w:tcPr>
            <w:tcW w:w="160" w:type="dxa"/>
            <w:vAlign w:val="bottom"/>
            <w:tcBorders>
              <w:top w:val="single" w:sz="8" w:color="auto"/>
            </w:tcBorders>
          </w:tcPr>
          <w:p>
            <w:pPr>
              <w:spacing w:after="0"/>
              <w:rPr>
                <w:sz w:val="11"/>
                <w:szCs w:val="11"/>
                <w:color w:val="auto"/>
              </w:rPr>
            </w:pPr>
          </w:p>
        </w:tc>
        <w:tc>
          <w:tcPr>
            <w:tcW w:w="680" w:type="dxa"/>
            <w:vAlign w:val="bottom"/>
            <w:tcBorders>
              <w:top w:val="single" w:sz="8" w:color="auto"/>
            </w:tcBorders>
            <w:gridSpan w:val="2"/>
          </w:tcPr>
          <w:p>
            <w:pPr>
              <w:jc w:val="center"/>
              <w:spacing w:after="0" w:line="129" w:lineRule="exact"/>
              <w:rPr>
                <w:sz w:val="20"/>
                <w:szCs w:val="20"/>
                <w:color w:val="auto"/>
              </w:rPr>
            </w:pPr>
            <w:r>
              <w:rPr>
                <w:rFonts w:ascii="Arial" w:cs="Arial" w:eastAsia="Arial" w:hAnsi="Arial"/>
                <w:sz w:val="14"/>
                <w:szCs w:val="14"/>
                <w:b w:val="1"/>
                <w:bCs w:val="1"/>
                <w:color w:val="auto"/>
                <w:w w:val="89"/>
              </w:rPr>
              <w:t>January 1,</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460" w:type="dxa"/>
            <w:vAlign w:val="bottom"/>
            <w:tcBorders>
              <w:right w:val="single" w:sz="8" w:color="auto"/>
            </w:tcBorders>
          </w:tcPr>
          <w:p>
            <w:pPr>
              <w:spacing w:after="0"/>
              <w:rPr>
                <w:sz w:val="12"/>
                <w:szCs w:val="12"/>
                <w:color w:val="auto"/>
              </w:rPr>
            </w:pP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jc w:val="center"/>
              <w:ind w:right="16"/>
              <w:spacing w:after="0" w:line="149" w:lineRule="exact"/>
              <w:rPr>
                <w:sz w:val="20"/>
                <w:szCs w:val="20"/>
                <w:color w:val="auto"/>
              </w:rPr>
            </w:pPr>
            <w:r>
              <w:rPr>
                <w:rFonts w:ascii="Arial" w:cs="Arial" w:eastAsia="Arial" w:hAnsi="Arial"/>
                <w:sz w:val="14"/>
                <w:szCs w:val="14"/>
                <w:b w:val="1"/>
                <w:bCs w:val="1"/>
                <w:color w:val="auto"/>
                <w:w w:val="89"/>
              </w:rPr>
              <w:t>2009</w:t>
            </w: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jc w:val="center"/>
              <w:ind w:right="35"/>
              <w:spacing w:after="0" w:line="149" w:lineRule="exact"/>
              <w:rPr>
                <w:sz w:val="20"/>
                <w:szCs w:val="20"/>
                <w:color w:val="auto"/>
              </w:rPr>
            </w:pPr>
            <w:r>
              <w:rPr>
                <w:rFonts w:ascii="Arial" w:cs="Arial" w:eastAsia="Arial" w:hAnsi="Arial"/>
                <w:sz w:val="14"/>
                <w:szCs w:val="14"/>
                <w:b w:val="1"/>
                <w:bCs w:val="1"/>
                <w:color w:val="auto"/>
                <w:w w:val="83"/>
              </w:rPr>
              <w:t>2009</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20" w:type="dxa"/>
            <w:vAlign w:val="bottom"/>
            <w:gridSpan w:val="2"/>
          </w:tcPr>
          <w:p>
            <w:pPr>
              <w:jc w:val="right"/>
              <w:ind w:right="360"/>
              <w:spacing w:after="0" w:line="149" w:lineRule="exact"/>
              <w:rPr>
                <w:sz w:val="20"/>
                <w:szCs w:val="20"/>
                <w:color w:val="auto"/>
              </w:rPr>
            </w:pPr>
            <w:r>
              <w:rPr>
                <w:rFonts w:ascii="Arial" w:cs="Arial" w:eastAsia="Arial" w:hAnsi="Arial"/>
                <w:sz w:val="14"/>
                <w:szCs w:val="14"/>
                <w:b w:val="1"/>
                <w:bCs w:val="1"/>
                <w:color w:val="auto"/>
                <w:w w:val="91"/>
              </w:rPr>
              <w:t>Three Months</w:t>
            </w: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360" w:type="dxa"/>
            <w:vAlign w:val="bottom"/>
            <w:gridSpan w:val="2"/>
          </w:tcPr>
          <w:p>
            <w:pPr>
              <w:jc w:val="center"/>
              <w:ind w:right="500"/>
              <w:spacing w:after="0" w:line="149" w:lineRule="exact"/>
              <w:rPr>
                <w:sz w:val="20"/>
                <w:szCs w:val="20"/>
                <w:color w:val="auto"/>
              </w:rPr>
            </w:pPr>
            <w:r>
              <w:rPr>
                <w:rFonts w:ascii="Arial" w:cs="Arial" w:eastAsia="Arial" w:hAnsi="Arial"/>
                <w:sz w:val="14"/>
                <w:szCs w:val="14"/>
                <w:b w:val="1"/>
                <w:bCs w:val="1"/>
                <w:color w:val="auto"/>
                <w:w w:val="88"/>
              </w:rPr>
              <w:t>Nine Months</w:t>
            </w:r>
          </w:p>
        </w:tc>
        <w:tc>
          <w:tcPr>
            <w:tcW w:w="140" w:type="dxa"/>
            <w:vAlign w:val="bottom"/>
          </w:tcPr>
          <w:p>
            <w:pPr>
              <w:spacing w:after="0"/>
              <w:rPr>
                <w:sz w:val="12"/>
                <w:szCs w:val="12"/>
                <w:color w:val="auto"/>
              </w:rPr>
            </w:pPr>
          </w:p>
        </w:tc>
        <w:tc>
          <w:tcPr>
            <w:tcW w:w="1460" w:type="dxa"/>
            <w:vAlign w:val="bottom"/>
            <w:tcBorders>
              <w:right w:val="single" w:sz="8" w:color="auto"/>
            </w:tcBorders>
            <w:gridSpan w:val="2"/>
          </w:tcPr>
          <w:p>
            <w:pPr>
              <w:jc w:val="right"/>
              <w:ind w:right="660"/>
              <w:spacing w:after="0" w:line="149" w:lineRule="exact"/>
              <w:rPr>
                <w:sz w:val="20"/>
                <w:szCs w:val="20"/>
                <w:color w:val="auto"/>
              </w:rPr>
            </w:pPr>
            <w:r>
              <w:rPr>
                <w:rFonts w:ascii="Arial" w:cs="Arial" w:eastAsia="Arial" w:hAnsi="Arial"/>
                <w:sz w:val="14"/>
                <w:szCs w:val="14"/>
                <w:b w:val="1"/>
                <w:bCs w:val="1"/>
                <w:color w:val="auto"/>
                <w:w w:val="90"/>
              </w:rPr>
              <w:t>July 10, 2009</w:t>
            </w:r>
          </w:p>
        </w:tc>
        <w:tc>
          <w:tcPr>
            <w:tcW w:w="260" w:type="dxa"/>
            <w:vAlign w:val="bottom"/>
          </w:tcPr>
          <w:p>
            <w:pPr>
              <w:spacing w:after="0"/>
              <w:rPr>
                <w:sz w:val="12"/>
                <w:szCs w:val="12"/>
                <w:color w:val="auto"/>
              </w:rPr>
            </w:pPr>
          </w:p>
        </w:tc>
        <w:tc>
          <w:tcPr>
            <w:tcW w:w="900" w:type="dxa"/>
            <w:vAlign w:val="bottom"/>
            <w:gridSpan w:val="3"/>
          </w:tcPr>
          <w:p>
            <w:pPr>
              <w:jc w:val="center"/>
              <w:ind w:right="220"/>
              <w:spacing w:after="0" w:line="149" w:lineRule="exact"/>
              <w:rPr>
                <w:sz w:val="20"/>
                <w:szCs w:val="20"/>
                <w:color w:val="auto"/>
              </w:rPr>
            </w:pPr>
            <w:r>
              <w:rPr>
                <w:rFonts w:ascii="Arial" w:cs="Arial" w:eastAsia="Arial" w:hAnsi="Arial"/>
                <w:sz w:val="14"/>
                <w:szCs w:val="14"/>
                <w:b w:val="1"/>
                <w:bCs w:val="1"/>
                <w:color w:val="auto"/>
                <w:w w:val="91"/>
              </w:rPr>
              <w:t>Through</w:t>
            </w:r>
          </w:p>
        </w:tc>
        <w:tc>
          <w:tcPr>
            <w:tcW w:w="160" w:type="dxa"/>
            <w:vAlign w:val="bottom"/>
          </w:tcPr>
          <w:p>
            <w:pPr>
              <w:spacing w:after="0"/>
              <w:rPr>
                <w:sz w:val="12"/>
                <w:szCs w:val="12"/>
                <w:color w:val="auto"/>
              </w:rPr>
            </w:pPr>
          </w:p>
        </w:tc>
        <w:tc>
          <w:tcPr>
            <w:tcW w:w="780" w:type="dxa"/>
            <w:vAlign w:val="bottom"/>
            <w:gridSpan w:val="3"/>
          </w:tcPr>
          <w:p>
            <w:pPr>
              <w:jc w:val="center"/>
              <w:ind w:right="120"/>
              <w:spacing w:after="0" w:line="149" w:lineRule="exact"/>
              <w:rPr>
                <w:sz w:val="20"/>
                <w:szCs w:val="20"/>
                <w:color w:val="auto"/>
              </w:rPr>
            </w:pPr>
            <w:r>
              <w:rPr>
                <w:rFonts w:ascii="Arial" w:cs="Arial" w:eastAsia="Arial" w:hAnsi="Arial"/>
                <w:sz w:val="14"/>
                <w:szCs w:val="14"/>
                <w:b w:val="1"/>
                <w:bCs w:val="1"/>
                <w:color w:val="auto"/>
                <w:w w:val="87"/>
              </w:rPr>
              <w:t>Through</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20" w:type="dxa"/>
            <w:vAlign w:val="bottom"/>
            <w:gridSpan w:val="2"/>
          </w:tcPr>
          <w:p>
            <w:pPr>
              <w:jc w:val="right"/>
              <w:ind w:right="580"/>
              <w:spacing w:after="0" w:line="149" w:lineRule="exact"/>
              <w:rPr>
                <w:sz w:val="20"/>
                <w:szCs w:val="20"/>
                <w:color w:val="auto"/>
              </w:rPr>
            </w:pPr>
            <w:r>
              <w:rPr>
                <w:rFonts w:ascii="Arial" w:cs="Arial" w:eastAsia="Arial" w:hAnsi="Arial"/>
                <w:sz w:val="14"/>
                <w:szCs w:val="14"/>
                <w:b w:val="1"/>
                <w:bCs w:val="1"/>
                <w:color w:val="auto"/>
              </w:rPr>
              <w:t>Ended</w:t>
            </w: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360" w:type="dxa"/>
            <w:vAlign w:val="bottom"/>
            <w:gridSpan w:val="2"/>
          </w:tcPr>
          <w:p>
            <w:pPr>
              <w:jc w:val="center"/>
              <w:ind w:right="500"/>
              <w:spacing w:after="0" w:line="149" w:lineRule="exact"/>
              <w:rPr>
                <w:sz w:val="20"/>
                <w:szCs w:val="20"/>
                <w:color w:val="auto"/>
              </w:rPr>
            </w:pPr>
            <w:r>
              <w:rPr>
                <w:rFonts w:ascii="Arial" w:cs="Arial" w:eastAsia="Arial" w:hAnsi="Arial"/>
                <w:sz w:val="14"/>
                <w:szCs w:val="14"/>
                <w:b w:val="1"/>
                <w:bCs w:val="1"/>
                <w:color w:val="auto"/>
                <w:w w:val="88"/>
              </w:rPr>
              <w:t>Ended</w:t>
            </w:r>
          </w:p>
        </w:tc>
        <w:tc>
          <w:tcPr>
            <w:tcW w:w="140" w:type="dxa"/>
            <w:vAlign w:val="bottom"/>
          </w:tcPr>
          <w:p>
            <w:pPr>
              <w:spacing w:after="0"/>
              <w:rPr>
                <w:sz w:val="12"/>
                <w:szCs w:val="12"/>
                <w:color w:val="auto"/>
              </w:rPr>
            </w:pPr>
          </w:p>
        </w:tc>
        <w:tc>
          <w:tcPr>
            <w:tcW w:w="1460" w:type="dxa"/>
            <w:vAlign w:val="bottom"/>
            <w:tcBorders>
              <w:right w:val="single" w:sz="8" w:color="auto"/>
            </w:tcBorders>
            <w:gridSpan w:val="2"/>
          </w:tcPr>
          <w:p>
            <w:pPr>
              <w:jc w:val="right"/>
              <w:ind w:right="780"/>
              <w:spacing w:after="0" w:line="149" w:lineRule="exact"/>
              <w:rPr>
                <w:sz w:val="20"/>
                <w:szCs w:val="20"/>
                <w:color w:val="auto"/>
              </w:rPr>
            </w:pPr>
            <w:r>
              <w:rPr>
                <w:rFonts w:ascii="Arial" w:cs="Arial" w:eastAsia="Arial" w:hAnsi="Arial"/>
                <w:sz w:val="14"/>
                <w:szCs w:val="14"/>
                <w:b w:val="1"/>
                <w:bCs w:val="1"/>
                <w:color w:val="auto"/>
              </w:rPr>
              <w:t>Through</w:t>
            </w: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1"/>
              </w:rPr>
              <w:t>July 9,</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87"/>
              </w:rPr>
              <w:t>July 9,</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4700" w:type="dxa"/>
            <w:vAlign w:val="bottom"/>
          </w:tcPr>
          <w:p>
            <w:pPr>
              <w:spacing w:after="0"/>
              <w:rPr>
                <w:sz w:val="14"/>
                <w:szCs w:val="14"/>
                <w:color w:val="auto"/>
              </w:rPr>
            </w:pPr>
          </w:p>
        </w:tc>
        <w:tc>
          <w:tcPr>
            <w:tcW w:w="1140" w:type="dxa"/>
            <w:vAlign w:val="bottom"/>
            <w:tcBorders>
              <w:bottom w:val="single" w:sz="8" w:color="auto"/>
            </w:tcBorders>
            <w:gridSpan w:val="2"/>
          </w:tcPr>
          <w:p>
            <w:pPr>
              <w:spacing w:after="0"/>
              <w:rPr>
                <w:sz w:val="20"/>
                <w:szCs w:val="20"/>
                <w:color w:val="auto"/>
              </w:rPr>
            </w:pPr>
            <w:r>
              <w:rPr>
                <w:rFonts w:ascii="Arial" w:cs="Arial" w:eastAsia="Arial" w:hAnsi="Arial"/>
                <w:sz w:val="14"/>
                <w:szCs w:val="14"/>
                <w:b w:val="1"/>
                <w:bCs w:val="1"/>
                <w:color w:val="auto"/>
                <w:w w:val="85"/>
              </w:rPr>
              <w:t>September 30, 2010</w:t>
            </w: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4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87"/>
              </w:rPr>
              <w:t>September 30, 2010</w:t>
            </w:r>
          </w:p>
        </w:tc>
        <w:tc>
          <w:tcPr>
            <w:tcW w:w="360" w:type="dxa"/>
            <w:vAlign w:val="bottom"/>
          </w:tcPr>
          <w:p>
            <w:pPr>
              <w:spacing w:after="0"/>
              <w:rPr>
                <w:sz w:val="14"/>
                <w:szCs w:val="14"/>
                <w:color w:val="auto"/>
              </w:rPr>
            </w:pPr>
          </w:p>
        </w:tc>
        <w:tc>
          <w:tcPr>
            <w:tcW w:w="1140" w:type="dxa"/>
            <w:vAlign w:val="bottom"/>
            <w:tcBorders>
              <w:bottom w:val="single" w:sz="8" w:color="auto"/>
            </w:tcBorders>
            <w:gridSpan w:val="2"/>
          </w:tcPr>
          <w:p>
            <w:pPr>
              <w:spacing w:after="0"/>
              <w:rPr>
                <w:sz w:val="20"/>
                <w:szCs w:val="20"/>
                <w:color w:val="auto"/>
              </w:rPr>
            </w:pPr>
            <w:r>
              <w:rPr>
                <w:rFonts w:ascii="Arial" w:cs="Arial" w:eastAsia="Arial" w:hAnsi="Arial"/>
                <w:sz w:val="14"/>
                <w:szCs w:val="14"/>
                <w:b w:val="1"/>
                <w:bCs w:val="1"/>
                <w:color w:val="auto"/>
                <w:w w:val="85"/>
              </w:rPr>
              <w:t>September 30, 2009</w:t>
            </w:r>
          </w:p>
        </w:tc>
        <w:tc>
          <w:tcPr>
            <w:tcW w:w="460" w:type="dxa"/>
            <w:vAlign w:val="bottom"/>
            <w:tcBorders>
              <w:right w:val="single" w:sz="8" w:color="auto"/>
            </w:tcBorders>
          </w:tcPr>
          <w:p>
            <w:pPr>
              <w:spacing w:after="0"/>
              <w:rPr>
                <w:sz w:val="14"/>
                <w:szCs w:val="14"/>
                <w:color w:val="auto"/>
              </w:rPr>
            </w:pPr>
          </w:p>
        </w:tc>
        <w:tc>
          <w:tcPr>
            <w:tcW w:w="2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center"/>
              <w:ind w:right="16"/>
              <w:spacing w:after="0"/>
              <w:rPr>
                <w:sz w:val="20"/>
                <w:szCs w:val="20"/>
                <w:color w:val="auto"/>
              </w:rPr>
            </w:pPr>
            <w:r>
              <w:rPr>
                <w:rFonts w:ascii="Arial" w:cs="Arial" w:eastAsia="Arial" w:hAnsi="Arial"/>
                <w:sz w:val="14"/>
                <w:szCs w:val="14"/>
                <w:b w:val="1"/>
                <w:bCs w:val="1"/>
                <w:color w:val="auto"/>
                <w:w w:val="89"/>
              </w:rPr>
              <w:t>2009</w:t>
            </w: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center"/>
              <w:ind w:right="35"/>
              <w:spacing w:after="0"/>
              <w:rPr>
                <w:sz w:val="20"/>
                <w:szCs w:val="20"/>
                <w:color w:val="auto"/>
              </w:rPr>
            </w:pPr>
            <w:r>
              <w:rPr>
                <w:rFonts w:ascii="Arial" w:cs="Arial" w:eastAsia="Arial" w:hAnsi="Arial"/>
                <w:sz w:val="14"/>
                <w:szCs w:val="14"/>
                <w:b w:val="1"/>
                <w:bCs w:val="1"/>
                <w:color w:val="auto"/>
                <w:w w:val="83"/>
              </w:rPr>
              <w:t>2009</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7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sales and revenue</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34,060</w:t>
            </w:r>
          </w:p>
        </w:tc>
        <w:tc>
          <w:tcPr>
            <w:tcW w:w="200" w:type="dxa"/>
            <w:vAlign w:val="bottom"/>
            <w:shd w:val="clear" w:color="auto" w:fill="CCEEFF"/>
          </w:tcPr>
          <w:p>
            <w:pPr>
              <w:spacing w:after="0"/>
              <w:rPr>
                <w:sz w:val="18"/>
                <w:szCs w:val="18"/>
                <w:color w:val="auto"/>
              </w:rPr>
            </w:pP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98,710</w:t>
            </w:r>
          </w:p>
        </w:tc>
        <w:tc>
          <w:tcPr>
            <w:tcW w:w="3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460" w:type="dxa"/>
            <w:vAlign w:val="bottom"/>
            <w:tcBorders>
              <w:right w:val="single" w:sz="8" w:color="auto"/>
            </w:tcBorders>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25,147</w:t>
            </w: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1,637</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47,115</w:t>
            </w:r>
          </w:p>
        </w:tc>
        <w:tc>
          <w:tcPr>
            <w:tcW w:w="0" w:type="dxa"/>
            <w:vAlign w:val="bottom"/>
          </w:tcPr>
          <w:p>
            <w:pPr>
              <w:spacing w:after="0"/>
              <w:rPr>
                <w:sz w:val="1"/>
                <w:szCs w:val="1"/>
                <w:color w:val="auto"/>
              </w:rPr>
            </w:pPr>
          </w:p>
        </w:tc>
      </w:tr>
      <w:tr>
        <w:trPr>
          <w:trHeight w:val="222"/>
        </w:trPr>
        <w:tc>
          <w:tcPr>
            <w:tcW w:w="4720" w:type="dxa"/>
            <w:vAlign w:val="bottom"/>
            <w:gridSpan w:val="2"/>
          </w:tcPr>
          <w:p>
            <w:pPr>
              <w:spacing w:after="0"/>
              <w:rPr>
                <w:sz w:val="20"/>
                <w:szCs w:val="20"/>
                <w:color w:val="auto"/>
              </w:rPr>
            </w:pPr>
            <w:r>
              <w:rPr>
                <w:rFonts w:ascii="Arial" w:cs="Arial" w:eastAsia="Arial" w:hAnsi="Arial"/>
                <w:sz w:val="18"/>
                <w:szCs w:val="18"/>
                <w:b w:val="1"/>
                <w:bCs w:val="1"/>
                <w:color w:val="auto"/>
              </w:rPr>
              <w:t>Costs and expenses</w:t>
            </w:r>
          </w:p>
        </w:tc>
        <w:tc>
          <w:tcPr>
            <w:tcW w:w="120" w:type="dxa"/>
            <w:vAlign w:val="bottom"/>
            <w:tcBorders>
              <w:top w:val="single" w:sz="8" w:color="auto"/>
            </w:tcBorders>
          </w:tcPr>
          <w:p>
            <w:pPr>
              <w:spacing w:after="0"/>
              <w:rPr>
                <w:sz w:val="19"/>
                <w:szCs w:val="19"/>
                <w:color w:val="auto"/>
              </w:rPr>
            </w:pPr>
          </w:p>
        </w:tc>
        <w:tc>
          <w:tcPr>
            <w:tcW w:w="1020" w:type="dxa"/>
            <w:vAlign w:val="bottom"/>
            <w:tcBorders>
              <w:top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1000" w:type="dxa"/>
            <w:vAlign w:val="bottom"/>
            <w:tcBorders>
              <w:top w:val="single" w:sz="8" w:color="auto"/>
            </w:tcBorders>
          </w:tcPr>
          <w:p>
            <w:pPr>
              <w:spacing w:after="0"/>
              <w:rPr>
                <w:sz w:val="19"/>
                <w:szCs w:val="19"/>
                <w:color w:val="auto"/>
              </w:rPr>
            </w:pPr>
          </w:p>
        </w:tc>
        <w:tc>
          <w:tcPr>
            <w:tcW w:w="36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1000" w:type="dxa"/>
            <w:vAlign w:val="bottom"/>
            <w:tcBorders>
              <w:top w:val="single" w:sz="8" w:color="auto"/>
            </w:tcBorders>
          </w:tcPr>
          <w:p>
            <w:pPr>
              <w:spacing w:after="0"/>
              <w:rPr>
                <w:sz w:val="19"/>
                <w:szCs w:val="19"/>
                <w:color w:val="auto"/>
              </w:rPr>
            </w:pPr>
          </w:p>
        </w:tc>
        <w:tc>
          <w:tcPr>
            <w:tcW w:w="460" w:type="dxa"/>
            <w:vAlign w:val="bottom"/>
            <w:tcBorders>
              <w:right w:val="single" w:sz="8" w:color="auto"/>
            </w:tcBorders>
          </w:tcPr>
          <w:p>
            <w:pPr>
              <w:spacing w:after="0"/>
              <w:rPr>
                <w:sz w:val="19"/>
                <w:szCs w:val="19"/>
                <w:color w:val="auto"/>
              </w:rPr>
            </w:pPr>
          </w:p>
        </w:tc>
        <w:tc>
          <w:tcPr>
            <w:tcW w:w="26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47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Cost of sales</w:t>
            </w: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29,468</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85,818</w:t>
            </w:r>
          </w:p>
        </w:tc>
        <w:tc>
          <w:tcPr>
            <w:tcW w:w="3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60" w:type="dxa"/>
            <w:vAlign w:val="bottom"/>
            <w:tcBorders>
              <w:right w:val="single" w:sz="8" w:color="auto"/>
            </w:tcBorders>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23,554</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1,819</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55,814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tcPr>
          <w:p>
            <w:pPr>
              <w:ind w:left="200"/>
              <w:spacing w:after="0"/>
              <w:rPr>
                <w:sz w:val="20"/>
                <w:szCs w:val="20"/>
                <w:color w:val="auto"/>
              </w:rPr>
            </w:pPr>
            <w:r>
              <w:rPr>
                <w:rFonts w:ascii="Arial" w:cs="Arial" w:eastAsia="Arial" w:hAnsi="Arial"/>
                <w:sz w:val="18"/>
                <w:szCs w:val="18"/>
                <w:color w:val="auto"/>
              </w:rPr>
              <w:t>Selling, general and administrative expense</w:t>
            </w:r>
          </w:p>
        </w:tc>
        <w:tc>
          <w:tcPr>
            <w:tcW w:w="1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2,710</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8,017</w:t>
            </w:r>
          </w:p>
        </w:tc>
        <w:tc>
          <w:tcPr>
            <w:tcW w:w="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60" w:type="dxa"/>
            <w:vAlign w:val="bottom"/>
            <w:tcBorders>
              <w:right w:val="single" w:sz="8" w:color="auto"/>
            </w:tcBorders>
            <w:gridSpan w:val="2"/>
          </w:tcPr>
          <w:p>
            <w:pPr>
              <w:jc w:val="right"/>
              <w:ind w:right="460"/>
              <w:spacing w:after="0"/>
              <w:rPr>
                <w:sz w:val="20"/>
                <w:szCs w:val="20"/>
                <w:color w:val="auto"/>
              </w:rPr>
            </w:pPr>
            <w:r>
              <w:rPr>
                <w:rFonts w:ascii="Arial" w:cs="Arial" w:eastAsia="Arial" w:hAnsi="Arial"/>
                <w:sz w:val="18"/>
                <w:szCs w:val="18"/>
                <w:color w:val="auto"/>
              </w:rPr>
              <w:t>2,636</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8"/>
                <w:szCs w:val="18"/>
                <w:color w:val="auto"/>
              </w:rPr>
              <w:t>728</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6,161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Other expenses, net</w:t>
            </w: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w:t>
            </w:r>
          </w:p>
        </w:tc>
        <w:tc>
          <w:tcPr>
            <w:tcW w:w="3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60" w:type="dxa"/>
            <w:vAlign w:val="bottom"/>
            <w:tcBorders>
              <w:right w:val="single" w:sz="8" w:color="auto"/>
            </w:tcBorders>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(40)</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81</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1,235</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700" w:type="dxa"/>
            <w:vAlign w:val="bottom"/>
          </w:tcPr>
          <w:p>
            <w:pPr>
              <w:ind w:left="200"/>
              <w:spacing w:after="0"/>
              <w:rPr>
                <w:sz w:val="20"/>
                <w:szCs w:val="20"/>
                <w:color w:val="auto"/>
              </w:rPr>
            </w:pPr>
            <w:r>
              <w:rPr>
                <w:rFonts w:ascii="Arial" w:cs="Arial" w:eastAsia="Arial" w:hAnsi="Arial"/>
                <w:sz w:val="18"/>
                <w:szCs w:val="18"/>
                <w:color w:val="auto"/>
              </w:rPr>
              <w:t>Total costs and expenses</w:t>
            </w:r>
          </w:p>
        </w:tc>
        <w:tc>
          <w:tcPr>
            <w:tcW w:w="120" w:type="dxa"/>
            <w:vAlign w:val="bottom"/>
            <w:tcBorders>
              <w:top w:val="single" w:sz="8" w:color="auto"/>
              <w:bottom w:val="single" w:sz="8" w:color="auto"/>
            </w:tcBorders>
          </w:tcPr>
          <w:p>
            <w:pPr>
              <w:spacing w:after="0"/>
              <w:rPr>
                <w:sz w:val="20"/>
                <w:szCs w:val="20"/>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32,208</w:t>
            </w: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 w:type="dxa"/>
            <w:vAlign w:val="bottom"/>
            <w:tcBorders>
              <w:top w:val="single" w:sz="8" w:color="auto"/>
              <w:bottom w:val="single" w:sz="8" w:color="auto"/>
            </w:tcBorders>
          </w:tcPr>
          <w:p>
            <w:pPr>
              <w:spacing w:after="0"/>
              <w:rPr>
                <w:sz w:val="20"/>
                <w:szCs w:val="20"/>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93,950</w:t>
            </w:r>
          </w:p>
        </w:tc>
        <w:tc>
          <w:tcPr>
            <w:tcW w:w="360" w:type="dxa"/>
            <w:vAlign w:val="bottom"/>
          </w:tcPr>
          <w:p>
            <w:pPr>
              <w:spacing w:after="0"/>
              <w:rPr>
                <w:sz w:val="20"/>
                <w:szCs w:val="20"/>
                <w:color w:val="auto"/>
              </w:rPr>
            </w:pPr>
          </w:p>
        </w:tc>
        <w:tc>
          <w:tcPr>
            <w:tcW w:w="140" w:type="dxa"/>
            <w:vAlign w:val="bottom"/>
            <w:tcBorders>
              <w:top w:val="single" w:sz="8" w:color="auto"/>
              <w:bottom w:val="single" w:sz="8" w:color="auto"/>
            </w:tcBorders>
          </w:tcPr>
          <w:p>
            <w:pPr>
              <w:spacing w:after="0"/>
              <w:rPr>
                <w:sz w:val="20"/>
                <w:szCs w:val="20"/>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26,150</w:t>
            </w:r>
          </w:p>
        </w:tc>
        <w:tc>
          <w:tcPr>
            <w:tcW w:w="460" w:type="dxa"/>
            <w:vAlign w:val="bottom"/>
            <w:tcBorders>
              <w:right w:val="single" w:sz="8" w:color="auto"/>
            </w:tcBorders>
          </w:tcPr>
          <w:p>
            <w:pPr>
              <w:spacing w:after="0"/>
              <w:rPr>
                <w:sz w:val="20"/>
                <w:szCs w:val="20"/>
                <w:color w:val="auto"/>
              </w:rPr>
            </w:pPr>
          </w:p>
        </w:tc>
        <w:tc>
          <w:tcPr>
            <w:tcW w:w="26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2,628</w:t>
            </w: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63,210</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Operating income (loss)</w:t>
            </w: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1,852</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4,760</w:t>
            </w:r>
          </w:p>
        </w:tc>
        <w:tc>
          <w:tcPr>
            <w:tcW w:w="3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60" w:type="dxa"/>
            <w:vAlign w:val="bottom"/>
            <w:tcBorders>
              <w:right w:val="single" w:sz="8" w:color="auto"/>
            </w:tcBorders>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(1,003)</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(991)</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2"/>
              </w:rPr>
              <w:t>(16,095)</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4700" w:type="dxa"/>
            <w:vAlign w:val="bottom"/>
          </w:tcPr>
          <w:p>
            <w:pPr>
              <w:spacing w:after="0"/>
              <w:rPr>
                <w:sz w:val="20"/>
                <w:szCs w:val="20"/>
                <w:color w:val="auto"/>
              </w:rPr>
            </w:pPr>
            <w:r>
              <w:rPr>
                <w:rFonts w:ascii="Arial" w:cs="Arial" w:eastAsia="Arial" w:hAnsi="Arial"/>
                <w:sz w:val="18"/>
                <w:szCs w:val="18"/>
                <w:color w:val="auto"/>
              </w:rPr>
              <w:t>Equity in income of and disposition of interest in Ally</w:t>
            </w: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460" w:type="dxa"/>
            <w:vAlign w:val="bottom"/>
            <w:tcBorders>
              <w:right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700" w:type="dxa"/>
            <w:vAlign w:val="bottom"/>
          </w:tcPr>
          <w:p>
            <w:pPr>
              <w:ind w:left="200"/>
              <w:spacing w:after="0"/>
              <w:rPr>
                <w:sz w:val="20"/>
                <w:szCs w:val="20"/>
                <w:color w:val="auto"/>
              </w:rPr>
            </w:pPr>
            <w:r>
              <w:rPr>
                <w:rFonts w:ascii="Arial" w:cs="Arial" w:eastAsia="Arial" w:hAnsi="Arial"/>
                <w:sz w:val="18"/>
                <w:szCs w:val="18"/>
                <w:color w:val="auto"/>
              </w:rPr>
              <w:t>Financial</w:t>
            </w:r>
          </w:p>
        </w:tc>
        <w:tc>
          <w:tcPr>
            <w:tcW w:w="120" w:type="dxa"/>
            <w:vAlign w:val="bottom"/>
          </w:tcPr>
          <w:p>
            <w:pPr>
              <w:spacing w:after="0"/>
              <w:rPr>
                <w:sz w:val="19"/>
                <w:szCs w:val="19"/>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6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460" w:type="dxa"/>
            <w:vAlign w:val="bottom"/>
            <w:tcBorders>
              <w:right w:val="single" w:sz="8" w:color="auto"/>
            </w:tcBorders>
            <w:gridSpan w:val="2"/>
          </w:tcPr>
          <w:p>
            <w:pPr>
              <w:jc w:val="right"/>
              <w:ind w:right="46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1,380</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4700" w:type="dxa"/>
            <w:vAlign w:val="bottom"/>
            <w:shd w:val="clear" w:color="auto" w:fill="CCEEFF"/>
          </w:tcPr>
          <w:p>
            <w:pPr>
              <w:spacing w:after="0"/>
              <w:rPr>
                <w:sz w:val="20"/>
                <w:szCs w:val="20"/>
                <w:color w:val="auto"/>
              </w:rPr>
            </w:pPr>
            <w:r>
              <w:rPr>
                <w:rFonts w:ascii="Arial" w:cs="Arial" w:eastAsia="Arial" w:hAnsi="Arial"/>
                <w:sz w:val="18"/>
                <w:szCs w:val="18"/>
                <w:color w:val="auto"/>
              </w:rPr>
              <w:t>Interest expense</w:t>
            </w: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(263)</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(850)</w:t>
            </w:r>
          </w:p>
        </w:tc>
        <w:tc>
          <w:tcPr>
            <w:tcW w:w="140" w:type="dxa"/>
            <w:vAlign w:val="bottom"/>
            <w:shd w:val="clear" w:color="auto" w:fill="CCEEFF"/>
          </w:tcPr>
          <w:p>
            <w:pPr>
              <w:spacing w:after="0"/>
              <w:rPr>
                <w:sz w:val="18"/>
                <w:szCs w:val="18"/>
                <w:color w:val="auto"/>
              </w:rPr>
            </w:pPr>
          </w:p>
        </w:tc>
        <w:tc>
          <w:tcPr>
            <w:tcW w:w="1460" w:type="dxa"/>
            <w:vAlign w:val="bottom"/>
            <w:tcBorders>
              <w:right w:val="single" w:sz="8" w:color="auto"/>
            </w:tcBorders>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(365)</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(823)</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(5,428)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tcPr>
          <w:p>
            <w:pPr>
              <w:spacing w:after="0"/>
              <w:rPr>
                <w:sz w:val="20"/>
                <w:szCs w:val="20"/>
                <w:color w:val="auto"/>
              </w:rPr>
            </w:pPr>
            <w:r>
              <w:rPr>
                <w:rFonts w:ascii="Arial" w:cs="Arial" w:eastAsia="Arial" w:hAnsi="Arial"/>
                <w:sz w:val="18"/>
                <w:szCs w:val="18"/>
                <w:color w:val="auto"/>
              </w:rPr>
              <w:t>Interest income and other non-operating income, net</w:t>
            </w:r>
          </w:p>
        </w:tc>
        <w:tc>
          <w:tcPr>
            <w:tcW w:w="1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258</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802</w:t>
            </w:r>
          </w:p>
        </w:tc>
        <w:tc>
          <w:tcPr>
            <w:tcW w:w="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60" w:type="dxa"/>
            <w:vAlign w:val="bottom"/>
            <w:tcBorders>
              <w:right w:val="single" w:sz="8" w:color="auto"/>
            </w:tcBorders>
            <w:gridSpan w:val="2"/>
          </w:tcPr>
          <w:p>
            <w:pPr>
              <w:jc w:val="right"/>
              <w:ind w:right="460"/>
              <w:spacing w:after="0"/>
              <w:rPr>
                <w:sz w:val="20"/>
                <w:szCs w:val="20"/>
                <w:color w:val="auto"/>
              </w:rPr>
            </w:pPr>
            <w:r>
              <w:rPr>
                <w:rFonts w:ascii="Arial" w:cs="Arial" w:eastAsia="Arial" w:hAnsi="Arial"/>
                <w:sz w:val="18"/>
                <w:szCs w:val="18"/>
                <w:color w:val="auto"/>
              </w:rPr>
              <w:t>454</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8"/>
                <w:szCs w:val="18"/>
                <w:color w:val="auto"/>
              </w:rPr>
              <w:t>19</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852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shd w:val="clear" w:color="auto" w:fill="CCEEFF"/>
          </w:tcPr>
          <w:p>
            <w:pPr>
              <w:spacing w:after="0"/>
              <w:rPr>
                <w:sz w:val="20"/>
                <w:szCs w:val="20"/>
                <w:color w:val="auto"/>
              </w:rPr>
            </w:pPr>
            <w:r>
              <w:rPr>
                <w:rFonts w:ascii="Arial" w:cs="Arial" w:eastAsia="Arial" w:hAnsi="Arial"/>
                <w:sz w:val="18"/>
                <w:szCs w:val="18"/>
                <w:color w:val="auto"/>
              </w:rPr>
              <w:t>Loss on extinguishment of debt</w:t>
            </w: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w:t>
            </w:r>
          </w:p>
        </w:tc>
        <w:tc>
          <w:tcPr>
            <w:tcW w:w="140" w:type="dxa"/>
            <w:vAlign w:val="bottom"/>
            <w:shd w:val="clear" w:color="auto" w:fill="CCEEFF"/>
          </w:tcPr>
          <w:p>
            <w:pPr>
              <w:spacing w:after="0"/>
              <w:rPr>
                <w:sz w:val="18"/>
                <w:szCs w:val="18"/>
                <w:color w:val="auto"/>
              </w:rPr>
            </w:pPr>
          </w:p>
        </w:tc>
        <w:tc>
          <w:tcPr>
            <w:tcW w:w="1460" w:type="dxa"/>
            <w:vAlign w:val="bottom"/>
            <w:tcBorders>
              <w:right w:val="single" w:sz="8" w:color="auto"/>
            </w:tcBorders>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(1,088)</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700" w:type="dxa"/>
            <w:vAlign w:val="bottom"/>
          </w:tcPr>
          <w:p>
            <w:pPr>
              <w:spacing w:after="0"/>
              <w:rPr>
                <w:sz w:val="20"/>
                <w:szCs w:val="20"/>
                <w:color w:val="auto"/>
              </w:rPr>
            </w:pPr>
            <w:r>
              <w:rPr>
                <w:rFonts w:ascii="Arial" w:cs="Arial" w:eastAsia="Arial" w:hAnsi="Arial"/>
                <w:sz w:val="18"/>
                <w:szCs w:val="18"/>
                <w:color w:val="auto"/>
              </w:rPr>
              <w:t>Reorganization gains, net</w:t>
            </w:r>
          </w:p>
        </w:tc>
        <w:tc>
          <w:tcPr>
            <w:tcW w:w="1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460" w:type="dxa"/>
            <w:vAlign w:val="bottom"/>
            <w:tcBorders>
              <w:right w:val="single" w:sz="8" w:color="auto"/>
            </w:tcBorders>
          </w:tcPr>
          <w:p>
            <w:pPr>
              <w:spacing w:after="0"/>
              <w:rPr>
                <w:sz w:val="19"/>
                <w:szCs w:val="19"/>
                <w:color w:val="auto"/>
              </w:rPr>
            </w:pPr>
          </w:p>
        </w:tc>
        <w:tc>
          <w:tcPr>
            <w:tcW w:w="2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6"/>
              </w:rPr>
              <w:t>129,312</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6"/>
              </w:rPr>
              <w:t>128,155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shd w:val="clear" w:color="auto" w:fill="CCEEFF"/>
          </w:tcPr>
          <w:p>
            <w:pPr>
              <w:spacing w:after="0"/>
              <w:rPr>
                <w:sz w:val="20"/>
                <w:szCs w:val="20"/>
                <w:color w:val="auto"/>
              </w:rPr>
            </w:pPr>
            <w:r>
              <w:rPr>
                <w:rFonts w:ascii="Arial" w:cs="Arial" w:eastAsia="Arial" w:hAnsi="Arial"/>
                <w:sz w:val="18"/>
                <w:szCs w:val="18"/>
                <w:color w:val="auto"/>
              </w:rPr>
              <w:t>Income (loss) before income taxes and equity income</w:t>
            </w: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1,847</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4,711</w:t>
            </w:r>
          </w:p>
        </w:tc>
        <w:tc>
          <w:tcPr>
            <w:tcW w:w="140" w:type="dxa"/>
            <w:vAlign w:val="bottom"/>
            <w:shd w:val="clear" w:color="auto" w:fill="CCEEFF"/>
          </w:tcPr>
          <w:p>
            <w:pPr>
              <w:spacing w:after="0"/>
              <w:rPr>
                <w:sz w:val="18"/>
                <w:szCs w:val="18"/>
                <w:color w:val="auto"/>
              </w:rPr>
            </w:pPr>
          </w:p>
        </w:tc>
        <w:tc>
          <w:tcPr>
            <w:tcW w:w="1460" w:type="dxa"/>
            <w:vAlign w:val="bottom"/>
            <w:tcBorders>
              <w:right w:val="single" w:sz="8" w:color="auto"/>
            </w:tcBorders>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(914)</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86"/>
              </w:rPr>
              <w:t>127,517</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6"/>
              </w:rPr>
              <w:t>107,776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tcPr>
          <w:p>
            <w:pPr>
              <w:spacing w:after="0"/>
              <w:rPr>
                <w:sz w:val="20"/>
                <w:szCs w:val="20"/>
                <w:color w:val="auto"/>
              </w:rPr>
            </w:pPr>
            <w:r>
              <w:rPr>
                <w:rFonts w:ascii="Arial" w:cs="Arial" w:eastAsia="Arial" w:hAnsi="Arial"/>
                <w:sz w:val="18"/>
                <w:szCs w:val="18"/>
                <w:color w:val="auto"/>
              </w:rPr>
              <w:t>Income tax expense (benefit)</w:t>
            </w:r>
          </w:p>
        </w:tc>
        <w:tc>
          <w:tcPr>
            <w:tcW w:w="120" w:type="dxa"/>
            <w:vAlign w:val="bottom"/>
          </w:tcPr>
          <w:p>
            <w:pPr>
              <w:spacing w:after="0"/>
              <w:rPr>
                <w:sz w:val="18"/>
                <w:szCs w:val="18"/>
                <w:color w:val="auto"/>
              </w:rPr>
            </w:pPr>
          </w:p>
        </w:tc>
        <w:tc>
          <w:tcPr>
            <w:tcW w:w="1220" w:type="dxa"/>
            <w:vAlign w:val="bottom"/>
            <w:gridSpan w:val="2"/>
          </w:tcPr>
          <w:p>
            <w:pPr>
              <w:jc w:val="right"/>
              <w:ind w:right="140"/>
              <w:spacing w:after="0"/>
              <w:rPr>
                <w:sz w:val="20"/>
                <w:szCs w:val="20"/>
                <w:color w:val="auto"/>
              </w:rPr>
            </w:pPr>
            <w:r>
              <w:rPr>
                <w:rFonts w:ascii="Arial" w:cs="Arial" w:eastAsia="Arial" w:hAnsi="Arial"/>
                <w:sz w:val="18"/>
                <w:szCs w:val="18"/>
                <w:color w:val="auto"/>
              </w:rPr>
              <w:t>(25)</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845</w:t>
            </w:r>
          </w:p>
        </w:tc>
        <w:tc>
          <w:tcPr>
            <w:tcW w:w="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60" w:type="dxa"/>
            <w:vAlign w:val="bottom"/>
            <w:tcBorders>
              <w:right w:val="single" w:sz="8" w:color="auto"/>
            </w:tcBorders>
            <w:gridSpan w:val="2"/>
          </w:tcPr>
          <w:p>
            <w:pPr>
              <w:jc w:val="right"/>
              <w:ind w:right="400"/>
              <w:spacing w:after="0"/>
              <w:rPr>
                <w:sz w:val="20"/>
                <w:szCs w:val="20"/>
                <w:color w:val="auto"/>
              </w:rPr>
            </w:pPr>
            <w:r>
              <w:rPr>
                <w:rFonts w:ascii="Arial" w:cs="Arial" w:eastAsia="Arial" w:hAnsi="Arial"/>
                <w:sz w:val="18"/>
                <w:szCs w:val="18"/>
                <w:color w:val="auto"/>
              </w:rPr>
              <w:t>(139)</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8"/>
                <w:szCs w:val="18"/>
                <w:color w:val="auto"/>
              </w:rPr>
              <w:t>(607)</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rPr>
              <w:t>(1,166)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shd w:val="clear" w:color="auto" w:fill="CCEEFF"/>
          </w:tcPr>
          <w:p>
            <w:pPr>
              <w:spacing w:after="0"/>
              <w:rPr>
                <w:sz w:val="20"/>
                <w:szCs w:val="20"/>
                <w:color w:val="auto"/>
              </w:rPr>
            </w:pPr>
            <w:r>
              <w:rPr>
                <w:rFonts w:ascii="Arial" w:cs="Arial" w:eastAsia="Arial" w:hAnsi="Arial"/>
                <w:sz w:val="18"/>
                <w:szCs w:val="18"/>
                <w:color w:val="auto"/>
              </w:rPr>
              <w:t>Equity income, net of tax</w:t>
            </w:r>
          </w:p>
        </w:tc>
        <w:tc>
          <w:tcPr>
            <w:tcW w:w="12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351</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1,165</w:t>
            </w:r>
          </w:p>
        </w:tc>
        <w:tc>
          <w:tcPr>
            <w:tcW w:w="36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204</w:t>
            </w:r>
          </w:p>
        </w:tc>
        <w:tc>
          <w:tcPr>
            <w:tcW w:w="460" w:type="dxa"/>
            <w:vAlign w:val="bottom"/>
            <w:tcBorders>
              <w:right w:val="single" w:sz="8" w:color="auto"/>
            </w:tcBorders>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4720" w:type="dxa"/>
            <w:vAlign w:val="bottom"/>
            <w:gridSpan w:val="2"/>
          </w:tcPr>
          <w:p>
            <w:pPr>
              <w:spacing w:after="0"/>
              <w:rPr>
                <w:sz w:val="20"/>
                <w:szCs w:val="20"/>
                <w:color w:val="auto"/>
              </w:rPr>
            </w:pPr>
            <w:r>
              <w:rPr>
                <w:rFonts w:ascii="Arial" w:cs="Arial" w:eastAsia="Arial" w:hAnsi="Arial"/>
                <w:sz w:val="18"/>
                <w:szCs w:val="18"/>
                <w:b w:val="1"/>
                <w:bCs w:val="1"/>
                <w:color w:val="auto"/>
              </w:rPr>
              <w:t>Net income (loss)</w:t>
            </w:r>
          </w:p>
        </w:tc>
        <w:tc>
          <w:tcPr>
            <w:tcW w:w="1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2,223</w:t>
            </w: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5,031</w:t>
            </w:r>
          </w:p>
        </w:tc>
        <w:tc>
          <w:tcPr>
            <w:tcW w:w="3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60" w:type="dxa"/>
            <w:vAlign w:val="bottom"/>
            <w:tcBorders>
              <w:right w:val="single" w:sz="8" w:color="auto"/>
            </w:tcBorders>
            <w:gridSpan w:val="2"/>
          </w:tcPr>
          <w:p>
            <w:pPr>
              <w:jc w:val="right"/>
              <w:ind w:right="400"/>
              <w:spacing w:after="0"/>
              <w:rPr>
                <w:sz w:val="20"/>
                <w:szCs w:val="20"/>
                <w:color w:val="auto"/>
              </w:rPr>
            </w:pPr>
            <w:r>
              <w:rPr>
                <w:rFonts w:ascii="Arial" w:cs="Arial" w:eastAsia="Arial" w:hAnsi="Arial"/>
                <w:sz w:val="18"/>
                <w:szCs w:val="18"/>
                <w:color w:val="auto"/>
              </w:rPr>
              <w:t>(571)</w:t>
            </w: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8"/>
                <w:szCs w:val="18"/>
                <w:color w:val="auto"/>
                <w:w w:val="86"/>
              </w:rPr>
              <w:t>128,139</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w w:val="86"/>
              </w:rPr>
              <w:t>109,003</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4700" w:type="dxa"/>
            <w:vAlign w:val="bottom"/>
            <w:shd w:val="clear" w:color="auto" w:fill="CCEEFF"/>
          </w:tcPr>
          <w:p>
            <w:pPr>
              <w:spacing w:after="0"/>
              <w:rPr>
                <w:sz w:val="20"/>
                <w:szCs w:val="20"/>
                <w:color w:val="auto"/>
              </w:rPr>
            </w:pPr>
            <w:r>
              <w:rPr>
                <w:rFonts w:ascii="Arial" w:cs="Arial" w:eastAsia="Arial" w:hAnsi="Arial"/>
                <w:sz w:val="18"/>
                <w:szCs w:val="18"/>
                <w:color w:val="auto"/>
                <w:w w:val="95"/>
              </w:rPr>
              <w:t>Less: Net income (loss) attributable to noncontrolling interests</w:t>
            </w: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265</w:t>
            </w:r>
          </w:p>
        </w:tc>
        <w:tc>
          <w:tcPr>
            <w:tcW w:w="3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287</w:t>
            </w:r>
          </w:p>
        </w:tc>
        <w:tc>
          <w:tcPr>
            <w:tcW w:w="460" w:type="dxa"/>
            <w:vAlign w:val="bottom"/>
            <w:tcBorders>
              <w:right w:val="single" w:sz="8" w:color="auto"/>
            </w:tcBorders>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141</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(115)</w:t>
            </w:r>
          </w:p>
        </w:tc>
        <w:tc>
          <w:tcPr>
            <w:tcW w:w="0" w:type="dxa"/>
            <w:vAlign w:val="bottom"/>
          </w:tcPr>
          <w:p>
            <w:pPr>
              <w:spacing w:after="0"/>
              <w:rPr>
                <w:sz w:val="1"/>
                <w:szCs w:val="1"/>
                <w:color w:val="auto"/>
              </w:rPr>
            </w:pPr>
          </w:p>
        </w:tc>
      </w:tr>
      <w:tr>
        <w:trPr>
          <w:trHeight w:val="20"/>
        </w:trPr>
        <w:tc>
          <w:tcPr>
            <w:tcW w:w="472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Net income (loss) attributable to stockholders</w:t>
            </w:r>
          </w:p>
        </w:tc>
        <w:tc>
          <w:tcPr>
            <w:tcW w:w="12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460" w:type="dxa"/>
            <w:vAlign w:val="bottom"/>
            <w:tcBorders>
              <w:right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4720" w:type="dxa"/>
            <w:vAlign w:val="bottom"/>
            <w:gridSpan w:val="2"/>
            <w:vMerge w:val="continue"/>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2,162</w:t>
            </w: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4,766</w:t>
            </w:r>
          </w:p>
        </w:tc>
        <w:tc>
          <w:tcPr>
            <w:tcW w:w="3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60" w:type="dxa"/>
            <w:vAlign w:val="bottom"/>
            <w:tcBorders>
              <w:right w:val="single" w:sz="8" w:color="auto"/>
            </w:tcBorders>
            <w:gridSpan w:val="2"/>
          </w:tcPr>
          <w:p>
            <w:pPr>
              <w:jc w:val="right"/>
              <w:ind w:right="400"/>
              <w:spacing w:after="0"/>
              <w:rPr>
                <w:sz w:val="20"/>
                <w:szCs w:val="20"/>
                <w:color w:val="auto"/>
              </w:rPr>
            </w:pPr>
            <w:r>
              <w:rPr>
                <w:rFonts w:ascii="Arial" w:cs="Arial" w:eastAsia="Arial" w:hAnsi="Arial"/>
                <w:sz w:val="18"/>
                <w:szCs w:val="18"/>
                <w:color w:val="auto"/>
              </w:rPr>
              <w:t>(858)</w:t>
            </w: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8"/>
                <w:szCs w:val="18"/>
                <w:color w:val="auto"/>
                <w:w w:val="86"/>
              </w:rPr>
              <w:t>127,998</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w w:val="86"/>
              </w:rPr>
              <w:t>109,118</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4700" w:type="dxa"/>
            <w:vAlign w:val="bottom"/>
            <w:shd w:val="clear" w:color="auto" w:fill="CCEEFF"/>
          </w:tcPr>
          <w:p>
            <w:pPr>
              <w:spacing w:after="0"/>
              <w:rPr>
                <w:sz w:val="20"/>
                <w:szCs w:val="20"/>
                <w:color w:val="auto"/>
              </w:rPr>
            </w:pPr>
            <w:r>
              <w:rPr>
                <w:rFonts w:ascii="Arial" w:cs="Arial" w:eastAsia="Arial" w:hAnsi="Arial"/>
                <w:sz w:val="18"/>
                <w:szCs w:val="18"/>
                <w:color w:val="auto"/>
              </w:rPr>
              <w:t>Less: Cumulative dividends on preferred stock</w:t>
            </w:r>
          </w:p>
        </w:tc>
        <w:tc>
          <w:tcPr>
            <w:tcW w:w="12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203</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608</w:t>
            </w:r>
          </w:p>
        </w:tc>
        <w:tc>
          <w:tcPr>
            <w:tcW w:w="36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w:t>
            </w:r>
          </w:p>
        </w:tc>
        <w:tc>
          <w:tcPr>
            <w:tcW w:w="460" w:type="dxa"/>
            <w:vAlign w:val="bottom"/>
            <w:tcBorders>
              <w:right w:val="single" w:sz="8" w:color="auto"/>
            </w:tcBorders>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4720" w:type="dxa"/>
            <w:vAlign w:val="bottom"/>
            <w:gridSpan w:val="2"/>
          </w:tcPr>
          <w:p>
            <w:pPr>
              <w:spacing w:after="0"/>
              <w:rPr>
                <w:sz w:val="20"/>
                <w:szCs w:val="20"/>
                <w:color w:val="auto"/>
              </w:rPr>
            </w:pPr>
            <w:r>
              <w:rPr>
                <w:rFonts w:ascii="Arial" w:cs="Arial" w:eastAsia="Arial" w:hAnsi="Arial"/>
                <w:sz w:val="18"/>
                <w:szCs w:val="18"/>
                <w:b w:val="1"/>
                <w:bCs w:val="1"/>
                <w:color w:val="auto"/>
                <w:w w:val="99"/>
              </w:rPr>
              <w:t>Net income (loss) attributable to common stockholders</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1,959</w:t>
            </w:r>
          </w:p>
        </w:tc>
        <w:tc>
          <w:tcPr>
            <w:tcW w:w="200" w:type="dxa"/>
            <w:vAlign w:val="bottom"/>
          </w:tcPr>
          <w:p>
            <w:pPr>
              <w:spacing w:after="0"/>
              <w:rPr>
                <w:sz w:val="19"/>
                <w:szCs w:val="19"/>
                <w:color w:val="auto"/>
              </w:rPr>
            </w:pP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4,158</w:t>
            </w:r>
          </w:p>
        </w:tc>
        <w:tc>
          <w:tcPr>
            <w:tcW w:w="360" w:type="dxa"/>
            <w:vAlign w:val="bottom"/>
          </w:tcPr>
          <w:p>
            <w:pPr>
              <w:spacing w:after="0"/>
              <w:rPr>
                <w:sz w:val="19"/>
                <w:szCs w:val="19"/>
                <w:color w:val="auto"/>
              </w:rPr>
            </w:pP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1460" w:type="dxa"/>
            <w:vAlign w:val="bottom"/>
            <w:tcBorders>
              <w:right w:val="single" w:sz="8" w:color="auto"/>
            </w:tcBorders>
            <w:gridSpan w:val="2"/>
          </w:tcPr>
          <w:p>
            <w:pPr>
              <w:jc w:val="right"/>
              <w:ind w:right="400"/>
              <w:spacing w:after="0"/>
              <w:rPr>
                <w:sz w:val="20"/>
                <w:szCs w:val="20"/>
                <w:color w:val="auto"/>
              </w:rPr>
            </w:pPr>
            <w:r>
              <w:rPr>
                <w:rFonts w:ascii="Arial" w:cs="Arial" w:eastAsia="Arial" w:hAnsi="Arial"/>
                <w:sz w:val="18"/>
                <w:szCs w:val="18"/>
                <w:color w:val="auto"/>
              </w:rPr>
              <w:t>(908)</w:t>
            </w:r>
          </w:p>
        </w:tc>
        <w:tc>
          <w:tcPr>
            <w:tcW w:w="36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p>
        </w:tc>
        <w:tc>
          <w:tcPr>
            <w:tcW w:w="800" w:type="dxa"/>
            <w:vAlign w:val="bottom"/>
            <w:gridSpan w:val="2"/>
          </w:tcPr>
          <w:p>
            <w:pPr>
              <w:jc w:val="right"/>
              <w:ind w:right="220"/>
              <w:spacing w:after="0"/>
              <w:rPr>
                <w:sz w:val="20"/>
                <w:szCs w:val="20"/>
                <w:color w:val="auto"/>
              </w:rPr>
            </w:pPr>
            <w:r>
              <w:rPr>
                <w:rFonts w:ascii="Arial" w:cs="Arial" w:eastAsia="Arial" w:hAnsi="Arial"/>
                <w:sz w:val="18"/>
                <w:szCs w:val="18"/>
                <w:color w:val="auto"/>
                <w:w w:val="86"/>
              </w:rPr>
              <w:t>127,998</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w w:val="86"/>
              </w:rPr>
              <w:t>109,118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7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right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4"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Production and Vehicle Sales Volume</w:t>
      </w:r>
    </w:p>
    <w:p>
      <w:pPr>
        <w:spacing w:after="0" w:line="171" w:lineRule="exact"/>
        <w:rPr>
          <w:sz w:val="20"/>
          <w:szCs w:val="20"/>
          <w:color w:val="auto"/>
        </w:rPr>
      </w:pPr>
    </w:p>
    <w:p>
      <w:pPr>
        <w:ind w:right="20" w:firstLine="228"/>
        <w:spacing w:after="0" w:line="255" w:lineRule="auto"/>
        <w:rPr>
          <w:sz w:val="20"/>
          <w:szCs w:val="20"/>
          <w:color w:val="auto"/>
        </w:rPr>
      </w:pPr>
      <w:r>
        <w:rPr>
          <w:rFonts w:ascii="Arial" w:cs="Arial" w:eastAsia="Arial" w:hAnsi="Arial"/>
          <w:sz w:val="18"/>
          <w:szCs w:val="18"/>
          <w:color w:val="auto"/>
        </w:rPr>
        <w:t>Management believes that production volume and vehicle sales data provide meaningful information regarding our operating results. Production volumes manufactured by our assembly facilities are generally aligned with current period net sales and revenue, as we generally recognize revenue upon the release of the vehicle to the carrier responsible for transporting it to a dealer, which is shortly after the completion of production. Vehicle sales data, which includes retail and fleet sales, does not correlate directly to the revenue we recognize during the period. However, vehicle sales data is indicative of the underlying demand for our vehicles, and is the basis for our market share.</w:t>
      </w:r>
    </w:p>
    <w:p>
      <w:pPr>
        <w:spacing w:after="0" w:line="1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99</w:t>
      </w:r>
    </w:p>
    <w:p>
      <w:pPr>
        <w:sectPr>
          <w:pgSz w:w="11900" w:h="16838" w:orient="portrait"/>
          <w:cols w:equalWidth="0" w:num="1">
            <w:col w:w="11420"/>
          </w:cols>
          <w:pgMar w:left="240" w:top="459" w:right="239" w:bottom="1440" w:gutter="0" w:footer="0" w:header="0"/>
        </w:sectPr>
      </w:pPr>
    </w:p>
    <w:bookmarkStart w:id="101" w:name="page102"/>
    <w:bookmarkEnd w:id="10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339" w:lineRule="exact"/>
        <w:rPr>
          <w:sz w:val="20"/>
          <w:szCs w:val="20"/>
          <w:color w:val="auto"/>
        </w:rPr>
      </w:pPr>
    </w:p>
    <w:p>
      <w:pPr>
        <w:ind w:left="240"/>
        <w:spacing w:after="0"/>
        <w:rPr>
          <w:sz w:val="20"/>
          <w:szCs w:val="20"/>
          <w:color w:val="auto"/>
        </w:rPr>
      </w:pPr>
      <w:r>
        <w:rPr>
          <w:rFonts w:ascii="Arial" w:cs="Arial" w:eastAsia="Arial" w:hAnsi="Arial"/>
          <w:sz w:val="18"/>
          <w:szCs w:val="18"/>
          <w:color w:val="auto"/>
        </w:rPr>
        <w:t>The following tables summarize total production volume and sales of new motor vehicles and competitive position (in thousands):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33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620" w:type="dxa"/>
            <w:vAlign w:val="bottom"/>
            <w:gridSpan w:val="3"/>
          </w:tcPr>
          <w:p>
            <w:pPr>
              <w:ind w:left="60"/>
              <w:spacing w:after="0"/>
              <w:rPr>
                <w:sz w:val="20"/>
                <w:szCs w:val="20"/>
                <w:color w:val="auto"/>
              </w:rPr>
            </w:pPr>
            <w:r>
              <w:rPr>
                <w:rFonts w:ascii="Arial" w:cs="Arial" w:eastAsia="Arial" w:hAnsi="Arial"/>
                <w:sz w:val="14"/>
                <w:szCs w:val="14"/>
                <w:b w:val="1"/>
                <w:bCs w:val="1"/>
                <w:color w:val="auto"/>
              </w:rPr>
              <w:t>Successor</w:t>
            </w:r>
          </w:p>
        </w:tc>
        <w:tc>
          <w:tcPr>
            <w:tcW w:w="3140" w:type="dxa"/>
            <w:vAlign w:val="bottom"/>
            <w:gridSpan w:val="4"/>
          </w:tcPr>
          <w:p>
            <w:pPr>
              <w:ind w:left="700"/>
              <w:spacing w:after="0"/>
              <w:rPr>
                <w:sz w:val="20"/>
                <w:szCs w:val="20"/>
                <w:color w:val="auto"/>
              </w:rPr>
            </w:pPr>
            <w:r>
              <w:rPr>
                <w:rFonts w:ascii="Arial" w:cs="Arial" w:eastAsia="Arial" w:hAnsi="Arial"/>
                <w:sz w:val="14"/>
                <w:szCs w:val="14"/>
                <w:b w:val="1"/>
                <w:bCs w:val="1"/>
                <w:color w:val="auto"/>
              </w:rPr>
              <w:t>Combined GM and Old GM</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3320" w:type="dxa"/>
            <w:vAlign w:val="bottom"/>
          </w:tcPr>
          <w:p>
            <w:pPr>
              <w:spacing w:after="0"/>
              <w:rPr>
                <w:sz w:val="11"/>
                <w:szCs w:val="11"/>
                <w:color w:val="auto"/>
              </w:rPr>
            </w:pPr>
          </w:p>
        </w:tc>
        <w:tc>
          <w:tcPr>
            <w:tcW w:w="1180" w:type="dxa"/>
            <w:vAlign w:val="bottom"/>
            <w:tcBorders>
              <w:top w:val="single" w:sz="8" w:color="auto"/>
            </w:tcBorders>
            <w:gridSpan w:val="2"/>
          </w:tcPr>
          <w:p>
            <w:pPr>
              <w:jc w:val="center"/>
              <w:ind w:right="40"/>
              <w:spacing w:after="0" w:line="129" w:lineRule="exact"/>
              <w:rPr>
                <w:sz w:val="20"/>
                <w:szCs w:val="20"/>
                <w:color w:val="auto"/>
              </w:rPr>
            </w:pPr>
            <w:r>
              <w:rPr>
                <w:rFonts w:ascii="Arial" w:cs="Arial" w:eastAsia="Arial" w:hAnsi="Arial"/>
                <w:sz w:val="14"/>
                <w:szCs w:val="14"/>
                <w:b w:val="1"/>
                <w:bCs w:val="1"/>
                <w:color w:val="auto"/>
                <w:w w:val="89"/>
              </w:rPr>
              <w:t>Three Months</w:t>
            </w:r>
          </w:p>
        </w:tc>
        <w:tc>
          <w:tcPr>
            <w:tcW w:w="720" w:type="dxa"/>
            <w:vAlign w:val="bottom"/>
            <w:tcBorders>
              <w:top w:val="single" w:sz="8" w:color="auto"/>
            </w:tcBorders>
          </w:tcPr>
          <w:p>
            <w:pPr>
              <w:spacing w:after="0"/>
              <w:rPr>
                <w:sz w:val="11"/>
                <w:szCs w:val="11"/>
                <w:color w:val="auto"/>
              </w:rPr>
            </w:pPr>
          </w:p>
        </w:tc>
        <w:tc>
          <w:tcPr>
            <w:tcW w:w="1140" w:type="dxa"/>
            <w:vAlign w:val="bottom"/>
            <w:tcBorders>
              <w:top w:val="single" w:sz="8" w:color="auto"/>
            </w:tcBorders>
          </w:tcPr>
          <w:p>
            <w:pPr>
              <w:jc w:val="center"/>
              <w:spacing w:after="0" w:line="129" w:lineRule="exact"/>
              <w:rPr>
                <w:sz w:val="20"/>
                <w:szCs w:val="20"/>
                <w:color w:val="auto"/>
              </w:rPr>
            </w:pPr>
            <w:r>
              <w:rPr>
                <w:rFonts w:ascii="Arial" w:cs="Arial" w:eastAsia="Arial" w:hAnsi="Arial"/>
                <w:sz w:val="14"/>
                <w:szCs w:val="14"/>
                <w:b w:val="1"/>
                <w:bCs w:val="1"/>
                <w:color w:val="auto"/>
                <w:w w:val="88"/>
              </w:rPr>
              <w:t>Nine Months</w:t>
            </w:r>
          </w:p>
        </w:tc>
        <w:tc>
          <w:tcPr>
            <w:tcW w:w="760" w:type="dxa"/>
            <w:vAlign w:val="bottom"/>
          </w:tcPr>
          <w:p>
            <w:pPr>
              <w:spacing w:after="0"/>
              <w:rPr>
                <w:sz w:val="11"/>
                <w:szCs w:val="11"/>
                <w:color w:val="auto"/>
              </w:rPr>
            </w:pPr>
          </w:p>
        </w:tc>
        <w:tc>
          <w:tcPr>
            <w:tcW w:w="1920" w:type="dxa"/>
            <w:vAlign w:val="bottom"/>
            <w:tcBorders>
              <w:top w:val="single" w:sz="8" w:color="auto"/>
            </w:tcBorders>
            <w:gridSpan w:val="2"/>
          </w:tcPr>
          <w:p>
            <w:pPr>
              <w:jc w:val="center"/>
              <w:ind w:right="780"/>
              <w:spacing w:after="0" w:line="129" w:lineRule="exact"/>
              <w:rPr>
                <w:sz w:val="20"/>
                <w:szCs w:val="20"/>
                <w:color w:val="auto"/>
              </w:rPr>
            </w:pPr>
            <w:r>
              <w:rPr>
                <w:rFonts w:ascii="Arial" w:cs="Arial" w:eastAsia="Arial" w:hAnsi="Arial"/>
                <w:sz w:val="14"/>
                <w:szCs w:val="14"/>
                <w:b w:val="1"/>
                <w:bCs w:val="1"/>
                <w:color w:val="auto"/>
                <w:w w:val="89"/>
              </w:rPr>
              <w:t>Three Months</w:t>
            </w:r>
          </w:p>
        </w:tc>
        <w:tc>
          <w:tcPr>
            <w:tcW w:w="1120" w:type="dxa"/>
            <w:vAlign w:val="bottom"/>
            <w:tcBorders>
              <w:top w:val="single" w:sz="8" w:color="auto"/>
            </w:tcBorders>
          </w:tcPr>
          <w:p>
            <w:pPr>
              <w:jc w:val="center"/>
              <w:spacing w:after="0" w:line="129" w:lineRule="exact"/>
              <w:rPr>
                <w:sz w:val="20"/>
                <w:szCs w:val="20"/>
                <w:color w:val="auto"/>
              </w:rPr>
            </w:pPr>
            <w:r>
              <w:rPr>
                <w:rFonts w:ascii="Arial" w:cs="Arial" w:eastAsia="Arial" w:hAnsi="Arial"/>
                <w:sz w:val="14"/>
                <w:szCs w:val="14"/>
                <w:b w:val="1"/>
                <w:bCs w:val="1"/>
                <w:color w:val="auto"/>
                <w:w w:val="90"/>
              </w:rPr>
              <w:t>Nine Months</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3320" w:type="dxa"/>
            <w:vAlign w:val="bottom"/>
          </w:tcPr>
          <w:p>
            <w:pPr>
              <w:spacing w:after="0"/>
              <w:rPr>
                <w:sz w:val="12"/>
                <w:szCs w:val="12"/>
                <w:color w:val="auto"/>
              </w:rPr>
            </w:pPr>
          </w:p>
        </w:tc>
        <w:tc>
          <w:tcPr>
            <w:tcW w:w="1180" w:type="dxa"/>
            <w:vAlign w:val="bottom"/>
            <w:gridSpan w:val="2"/>
          </w:tcPr>
          <w:p>
            <w:pPr>
              <w:jc w:val="center"/>
              <w:ind w:right="40"/>
              <w:spacing w:after="0" w:line="149" w:lineRule="exact"/>
              <w:rPr>
                <w:sz w:val="20"/>
                <w:szCs w:val="20"/>
                <w:color w:val="auto"/>
              </w:rPr>
            </w:pPr>
            <w:r>
              <w:rPr>
                <w:rFonts w:ascii="Arial" w:cs="Arial" w:eastAsia="Arial" w:hAnsi="Arial"/>
                <w:sz w:val="14"/>
                <w:szCs w:val="14"/>
                <w:b w:val="1"/>
                <w:bCs w:val="1"/>
                <w:color w:val="auto"/>
                <w:w w:val="88"/>
              </w:rPr>
              <w:t>Ended</w:t>
            </w:r>
          </w:p>
        </w:tc>
        <w:tc>
          <w:tcPr>
            <w:tcW w:w="720" w:type="dxa"/>
            <w:vAlign w:val="bottom"/>
          </w:tcPr>
          <w:p>
            <w:pPr>
              <w:spacing w:after="0"/>
              <w:rPr>
                <w:sz w:val="12"/>
                <w:szCs w:val="12"/>
                <w:color w:val="auto"/>
              </w:rPr>
            </w:pPr>
          </w:p>
        </w:tc>
        <w:tc>
          <w:tcPr>
            <w:tcW w:w="1900" w:type="dxa"/>
            <w:vAlign w:val="bottom"/>
            <w:gridSpan w:val="2"/>
          </w:tcPr>
          <w:p>
            <w:pPr>
              <w:jc w:val="center"/>
              <w:ind w:right="760"/>
              <w:spacing w:after="0" w:line="149" w:lineRule="exact"/>
              <w:rPr>
                <w:sz w:val="20"/>
                <w:szCs w:val="20"/>
                <w:color w:val="auto"/>
              </w:rPr>
            </w:pPr>
            <w:r>
              <w:rPr>
                <w:rFonts w:ascii="Arial" w:cs="Arial" w:eastAsia="Arial" w:hAnsi="Arial"/>
                <w:sz w:val="14"/>
                <w:szCs w:val="14"/>
                <w:b w:val="1"/>
                <w:bCs w:val="1"/>
                <w:color w:val="auto"/>
                <w:w w:val="88"/>
              </w:rPr>
              <w:t>Ended</w:t>
            </w:r>
          </w:p>
        </w:tc>
        <w:tc>
          <w:tcPr>
            <w:tcW w:w="1920" w:type="dxa"/>
            <w:vAlign w:val="bottom"/>
            <w:gridSpan w:val="2"/>
          </w:tcPr>
          <w:p>
            <w:pPr>
              <w:jc w:val="center"/>
              <w:ind w:right="780"/>
              <w:spacing w:after="0" w:line="149" w:lineRule="exact"/>
              <w:rPr>
                <w:sz w:val="20"/>
                <w:szCs w:val="20"/>
                <w:color w:val="auto"/>
              </w:rPr>
            </w:pPr>
            <w:r>
              <w:rPr>
                <w:rFonts w:ascii="Arial" w:cs="Arial" w:eastAsia="Arial" w:hAnsi="Arial"/>
                <w:sz w:val="14"/>
                <w:szCs w:val="14"/>
                <w:b w:val="1"/>
                <w:bCs w:val="1"/>
                <w:color w:val="auto"/>
                <w:w w:val="88"/>
              </w:rPr>
              <w:t>Ended</w:t>
            </w:r>
          </w:p>
        </w:tc>
        <w:tc>
          <w:tcPr>
            <w:tcW w:w="122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84"/>
              </w:rPr>
              <w:t>Ended</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3320" w:type="dxa"/>
            <w:vAlign w:val="bottom"/>
          </w:tcPr>
          <w:p>
            <w:pPr>
              <w:spacing w:after="0"/>
              <w:rPr>
                <w:sz w:val="14"/>
                <w:szCs w:val="14"/>
                <w:color w:val="auto"/>
              </w:rPr>
            </w:pPr>
          </w:p>
        </w:tc>
        <w:tc>
          <w:tcPr>
            <w:tcW w:w="1180" w:type="dxa"/>
            <w:vAlign w:val="bottom"/>
            <w:gridSpan w:val="2"/>
          </w:tcPr>
          <w:p>
            <w:pPr>
              <w:jc w:val="center"/>
              <w:ind w:right="60"/>
              <w:spacing w:after="0"/>
              <w:rPr>
                <w:sz w:val="20"/>
                <w:szCs w:val="20"/>
                <w:color w:val="auto"/>
              </w:rPr>
            </w:pPr>
            <w:r>
              <w:rPr>
                <w:rFonts w:ascii="Arial" w:cs="Arial" w:eastAsia="Arial" w:hAnsi="Arial"/>
                <w:sz w:val="14"/>
                <w:szCs w:val="14"/>
                <w:b w:val="1"/>
                <w:bCs w:val="1"/>
                <w:color w:val="auto"/>
                <w:w w:val="85"/>
              </w:rPr>
              <w:t>September 30, 2010</w:t>
            </w:r>
          </w:p>
        </w:tc>
        <w:tc>
          <w:tcPr>
            <w:tcW w:w="720" w:type="dxa"/>
            <w:vAlign w:val="bottom"/>
          </w:tcPr>
          <w:p>
            <w:pPr>
              <w:spacing w:after="0"/>
              <w:rPr>
                <w:sz w:val="14"/>
                <w:szCs w:val="14"/>
                <w:color w:val="auto"/>
              </w:rPr>
            </w:pPr>
          </w:p>
        </w:tc>
        <w:tc>
          <w:tcPr>
            <w:tcW w:w="1900" w:type="dxa"/>
            <w:vAlign w:val="bottom"/>
            <w:gridSpan w:val="2"/>
          </w:tcPr>
          <w:p>
            <w:pPr>
              <w:jc w:val="center"/>
              <w:ind w:right="760"/>
              <w:spacing w:after="0"/>
              <w:rPr>
                <w:sz w:val="20"/>
                <w:szCs w:val="20"/>
                <w:color w:val="auto"/>
              </w:rPr>
            </w:pPr>
            <w:r>
              <w:rPr>
                <w:rFonts w:ascii="Arial" w:cs="Arial" w:eastAsia="Arial" w:hAnsi="Arial"/>
                <w:sz w:val="14"/>
                <w:szCs w:val="14"/>
                <w:b w:val="1"/>
                <w:bCs w:val="1"/>
                <w:color w:val="auto"/>
                <w:w w:val="87"/>
              </w:rPr>
              <w:t>September 30, 2010</w:t>
            </w:r>
          </w:p>
        </w:tc>
        <w:tc>
          <w:tcPr>
            <w:tcW w:w="1920" w:type="dxa"/>
            <w:vAlign w:val="bottom"/>
            <w:gridSpan w:val="2"/>
          </w:tcPr>
          <w:p>
            <w:pPr>
              <w:jc w:val="center"/>
              <w:ind w:right="760"/>
              <w:spacing w:after="0"/>
              <w:rPr>
                <w:sz w:val="20"/>
                <w:szCs w:val="20"/>
                <w:color w:val="auto"/>
              </w:rPr>
            </w:pPr>
            <w:r>
              <w:rPr>
                <w:rFonts w:ascii="Arial" w:cs="Arial" w:eastAsia="Arial" w:hAnsi="Arial"/>
                <w:sz w:val="14"/>
                <w:szCs w:val="14"/>
                <w:b w:val="1"/>
                <w:bCs w:val="1"/>
                <w:color w:val="auto"/>
                <w:w w:val="85"/>
              </w:rPr>
              <w:t>September 30, 2009</w:t>
            </w:r>
          </w:p>
        </w:tc>
        <w:tc>
          <w:tcPr>
            <w:tcW w:w="12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5"/>
              </w:rPr>
              <w:t>September 30, 2009</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4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Production Volume (a)</w:t>
            </w:r>
          </w:p>
        </w:tc>
        <w:tc>
          <w:tcPr>
            <w:tcW w:w="1140" w:type="dxa"/>
            <w:vAlign w:val="bottom"/>
            <w:tcBorders>
              <w:top w:val="single" w:sz="8" w:color="auto"/>
            </w:tcBorders>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60" w:type="dxa"/>
            <w:vAlign w:val="bottom"/>
            <w:gridSpan w:val="2"/>
          </w:tcPr>
          <w:p>
            <w:pPr>
              <w:spacing w:after="0"/>
              <w:rPr>
                <w:sz w:val="20"/>
                <w:szCs w:val="20"/>
                <w:color w:val="auto"/>
              </w:rPr>
            </w:pPr>
            <w:r>
              <w:rPr>
                <w:rFonts w:ascii="Arial" w:cs="Arial" w:eastAsia="Arial" w:hAnsi="Arial"/>
                <w:sz w:val="18"/>
                <w:szCs w:val="18"/>
                <w:color w:val="auto"/>
              </w:rPr>
              <w:t>GMNA</w:t>
            </w:r>
          </w:p>
        </w:tc>
        <w:tc>
          <w:tcPr>
            <w:tcW w:w="1180" w:type="dxa"/>
            <w:vAlign w:val="bottom"/>
            <w:gridSpan w:val="2"/>
          </w:tcPr>
          <w:p>
            <w:pPr>
              <w:jc w:val="right"/>
              <w:ind w:right="40"/>
              <w:spacing w:after="0"/>
              <w:rPr>
                <w:sz w:val="20"/>
                <w:szCs w:val="20"/>
                <w:color w:val="auto"/>
              </w:rPr>
            </w:pPr>
            <w:r>
              <w:rPr>
                <w:rFonts w:ascii="Arial" w:cs="Arial" w:eastAsia="Arial" w:hAnsi="Arial"/>
                <w:sz w:val="18"/>
                <w:szCs w:val="18"/>
                <w:color w:val="auto"/>
              </w:rPr>
              <w:t>707</w:t>
            </w:r>
          </w:p>
        </w:tc>
        <w:tc>
          <w:tcPr>
            <w:tcW w:w="2620" w:type="dxa"/>
            <w:vAlign w:val="bottom"/>
            <w:gridSpan w:val="3"/>
          </w:tcPr>
          <w:p>
            <w:pPr>
              <w:jc w:val="right"/>
              <w:ind w:right="760"/>
              <w:spacing w:after="0"/>
              <w:rPr>
                <w:sz w:val="20"/>
                <w:szCs w:val="20"/>
                <w:color w:val="auto"/>
              </w:rPr>
            </w:pPr>
            <w:r>
              <w:rPr>
                <w:rFonts w:ascii="Arial" w:cs="Arial" w:eastAsia="Arial" w:hAnsi="Arial"/>
                <w:sz w:val="18"/>
                <w:szCs w:val="18"/>
                <w:color w:val="auto"/>
              </w:rPr>
              <w:t>2,106</w:t>
            </w:r>
          </w:p>
        </w:tc>
        <w:tc>
          <w:tcPr>
            <w:tcW w:w="1920" w:type="dxa"/>
            <w:vAlign w:val="bottom"/>
            <w:gridSpan w:val="2"/>
          </w:tcPr>
          <w:p>
            <w:pPr>
              <w:jc w:val="right"/>
              <w:ind w:right="780"/>
              <w:spacing w:after="0"/>
              <w:rPr>
                <w:sz w:val="20"/>
                <w:szCs w:val="20"/>
                <w:color w:val="auto"/>
              </w:rPr>
            </w:pPr>
            <w:r>
              <w:rPr>
                <w:rFonts w:ascii="Arial" w:cs="Arial" w:eastAsia="Arial" w:hAnsi="Arial"/>
                <w:sz w:val="18"/>
                <w:szCs w:val="18"/>
                <w:color w:val="auto"/>
              </w:rPr>
              <w:t>531</w:t>
            </w:r>
          </w:p>
        </w:tc>
        <w:tc>
          <w:tcPr>
            <w:tcW w:w="1120" w:type="dxa"/>
            <w:vAlign w:val="bottom"/>
          </w:tcPr>
          <w:p>
            <w:pPr>
              <w:jc w:val="right"/>
              <w:spacing w:after="0"/>
              <w:rPr>
                <w:sz w:val="20"/>
                <w:szCs w:val="20"/>
                <w:color w:val="auto"/>
              </w:rPr>
            </w:pPr>
            <w:r>
              <w:rPr>
                <w:rFonts w:ascii="Arial" w:cs="Arial" w:eastAsia="Arial" w:hAnsi="Arial"/>
                <w:sz w:val="18"/>
                <w:szCs w:val="18"/>
                <w:color w:val="auto"/>
              </w:rPr>
              <w:t>1,298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GMIO (b)(c)</w:t>
            </w:r>
          </w:p>
        </w:tc>
        <w:tc>
          <w:tcPr>
            <w:tcW w:w="11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1,111</w:t>
            </w:r>
          </w:p>
        </w:tc>
        <w:tc>
          <w:tcPr>
            <w:tcW w:w="2620" w:type="dxa"/>
            <w:vAlign w:val="bottom"/>
            <w:gridSpan w:val="3"/>
            <w:shd w:val="clear" w:color="auto" w:fill="CCEEFF"/>
          </w:tcPr>
          <w:p>
            <w:pPr>
              <w:jc w:val="right"/>
              <w:ind w:right="760"/>
              <w:spacing w:after="0"/>
              <w:rPr>
                <w:sz w:val="20"/>
                <w:szCs w:val="20"/>
                <w:color w:val="auto"/>
              </w:rPr>
            </w:pPr>
            <w:r>
              <w:rPr>
                <w:rFonts w:ascii="Arial" w:cs="Arial" w:eastAsia="Arial" w:hAnsi="Arial"/>
                <w:sz w:val="18"/>
                <w:szCs w:val="18"/>
                <w:color w:val="auto"/>
              </w:rPr>
              <w:t>3,418</w:t>
            </w:r>
          </w:p>
        </w:tc>
        <w:tc>
          <w:tcPr>
            <w:tcW w:w="1920" w:type="dxa"/>
            <w:vAlign w:val="bottom"/>
            <w:gridSpan w:val="2"/>
            <w:shd w:val="clear" w:color="auto" w:fill="CCEEFF"/>
          </w:tcPr>
          <w:p>
            <w:pPr>
              <w:jc w:val="right"/>
              <w:ind w:right="780"/>
              <w:spacing w:after="0"/>
              <w:rPr>
                <w:sz w:val="20"/>
                <w:szCs w:val="20"/>
                <w:color w:val="auto"/>
              </w:rPr>
            </w:pPr>
            <w:r>
              <w:rPr>
                <w:rFonts w:ascii="Arial" w:cs="Arial" w:eastAsia="Arial" w:hAnsi="Arial"/>
                <w:sz w:val="18"/>
                <w:szCs w:val="18"/>
                <w:color w:val="auto"/>
              </w:rPr>
              <w:t>910</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2,433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60" w:type="dxa"/>
            <w:vAlign w:val="bottom"/>
            <w:gridSpan w:val="2"/>
          </w:tcPr>
          <w:p>
            <w:pPr>
              <w:spacing w:after="0"/>
              <w:rPr>
                <w:sz w:val="20"/>
                <w:szCs w:val="20"/>
                <w:color w:val="auto"/>
              </w:rPr>
            </w:pPr>
            <w:r>
              <w:rPr>
                <w:rFonts w:ascii="Arial" w:cs="Arial" w:eastAsia="Arial" w:hAnsi="Arial"/>
                <w:sz w:val="18"/>
                <w:szCs w:val="18"/>
                <w:color w:val="auto"/>
              </w:rPr>
              <w:t>GME</w:t>
            </w:r>
          </w:p>
        </w:tc>
        <w:tc>
          <w:tcPr>
            <w:tcW w:w="1140" w:type="dxa"/>
            <w:vAlign w:val="bottom"/>
          </w:tcPr>
          <w:p>
            <w:pPr>
              <w:jc w:val="right"/>
              <w:spacing w:after="0"/>
              <w:rPr>
                <w:sz w:val="20"/>
                <w:szCs w:val="20"/>
                <w:color w:val="auto"/>
              </w:rPr>
            </w:pPr>
            <w:r>
              <w:rPr>
                <w:rFonts w:ascii="Arial" w:cs="Arial" w:eastAsia="Arial" w:hAnsi="Arial"/>
                <w:sz w:val="18"/>
                <w:szCs w:val="18"/>
                <w:color w:val="auto"/>
              </w:rPr>
              <w:t>286</w:t>
            </w:r>
          </w:p>
        </w:tc>
        <w:tc>
          <w:tcPr>
            <w:tcW w:w="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921</w:t>
            </w:r>
          </w:p>
        </w:tc>
        <w:tc>
          <w:tcPr>
            <w:tcW w:w="760" w:type="dxa"/>
            <w:vAlign w:val="bottom"/>
          </w:tcPr>
          <w:p>
            <w:pPr>
              <w:spacing w:after="0"/>
              <w:rPr>
                <w:sz w:val="18"/>
                <w:szCs w:val="18"/>
                <w:color w:val="auto"/>
              </w:rPr>
            </w:pPr>
          </w:p>
        </w:tc>
        <w:tc>
          <w:tcPr>
            <w:tcW w:w="1920" w:type="dxa"/>
            <w:vAlign w:val="bottom"/>
            <w:gridSpan w:val="2"/>
          </w:tcPr>
          <w:p>
            <w:pPr>
              <w:jc w:val="right"/>
              <w:ind w:right="780"/>
              <w:spacing w:after="0"/>
              <w:rPr>
                <w:sz w:val="20"/>
                <w:szCs w:val="20"/>
                <w:color w:val="auto"/>
              </w:rPr>
            </w:pPr>
            <w:r>
              <w:rPr>
                <w:rFonts w:ascii="Arial" w:cs="Arial" w:eastAsia="Arial" w:hAnsi="Arial"/>
                <w:sz w:val="18"/>
                <w:szCs w:val="18"/>
                <w:color w:val="auto"/>
              </w:rPr>
              <w:t>272</w:t>
            </w:r>
          </w:p>
        </w:tc>
        <w:tc>
          <w:tcPr>
            <w:tcW w:w="1120" w:type="dxa"/>
            <w:vAlign w:val="bottom"/>
          </w:tcPr>
          <w:p>
            <w:pPr>
              <w:jc w:val="right"/>
              <w:spacing w:after="0"/>
              <w:rPr>
                <w:sz w:val="20"/>
                <w:szCs w:val="20"/>
                <w:color w:val="auto"/>
              </w:rPr>
            </w:pPr>
            <w:r>
              <w:rPr>
                <w:rFonts w:ascii="Arial" w:cs="Arial" w:eastAsia="Arial" w:hAnsi="Arial"/>
                <w:sz w:val="18"/>
                <w:szCs w:val="18"/>
                <w:color w:val="auto"/>
              </w:rPr>
              <w:t>851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1140" w:type="dxa"/>
            <w:vAlign w:val="bottom"/>
          </w:tcPr>
          <w:p>
            <w:pPr>
              <w:spacing w:after="0"/>
              <w:rPr>
                <w:sz w:val="2"/>
                <w:szCs w:val="2"/>
                <w:color w:val="auto"/>
              </w:rPr>
            </w:pPr>
          </w:p>
        </w:tc>
        <w:tc>
          <w:tcPr>
            <w:tcW w:w="3320" w:type="dxa"/>
            <w:vAlign w:val="bottom"/>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720" w:type="dxa"/>
            <w:vAlign w:val="bottom"/>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760" w:type="dxa"/>
            <w:vAlign w:val="bottom"/>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780" w:type="dxa"/>
            <w:vAlign w:val="bottom"/>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4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Worldwide</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2,104</w:t>
            </w:r>
          </w:p>
        </w:tc>
        <w:tc>
          <w:tcPr>
            <w:tcW w:w="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6,445</w:t>
            </w:r>
          </w:p>
        </w:tc>
        <w:tc>
          <w:tcPr>
            <w:tcW w:w="760" w:type="dxa"/>
            <w:vAlign w:val="bottom"/>
            <w:shd w:val="clear" w:color="auto" w:fill="CCEEFF"/>
          </w:tcPr>
          <w:p>
            <w:pPr>
              <w:spacing w:after="0"/>
              <w:rPr>
                <w:sz w:val="18"/>
                <w:szCs w:val="18"/>
                <w:color w:val="auto"/>
              </w:rPr>
            </w:pPr>
          </w:p>
        </w:tc>
        <w:tc>
          <w:tcPr>
            <w:tcW w:w="1920" w:type="dxa"/>
            <w:vAlign w:val="bottom"/>
            <w:gridSpan w:val="2"/>
            <w:shd w:val="clear" w:color="auto" w:fill="CCEEFF"/>
          </w:tcPr>
          <w:p>
            <w:pPr>
              <w:jc w:val="right"/>
              <w:ind w:right="780"/>
              <w:spacing w:after="0"/>
              <w:rPr>
                <w:sz w:val="20"/>
                <w:szCs w:val="20"/>
                <w:color w:val="auto"/>
              </w:rPr>
            </w:pPr>
            <w:r>
              <w:rPr>
                <w:rFonts w:ascii="Arial" w:cs="Arial" w:eastAsia="Arial" w:hAnsi="Arial"/>
                <w:sz w:val="18"/>
                <w:szCs w:val="18"/>
                <w:color w:val="auto"/>
              </w:rPr>
              <w:t>1,713</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4,582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332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2"/>
        </w:trPr>
        <w:tc>
          <w:tcPr>
            <w:tcW w:w="20" w:type="dxa"/>
            <w:vAlign w:val="bottom"/>
          </w:tcPr>
          <w:p>
            <w:pPr>
              <w:spacing w:after="0"/>
              <w:rPr>
                <w:sz w:val="8"/>
                <w:szCs w:val="8"/>
                <w:color w:val="auto"/>
              </w:rPr>
            </w:pPr>
          </w:p>
        </w:tc>
        <w:tc>
          <w:tcPr>
            <w:tcW w:w="1140" w:type="dxa"/>
            <w:vAlign w:val="bottom"/>
            <w:tcBorders>
              <w:bottom w:val="single" w:sz="8" w:color="auto"/>
            </w:tcBorders>
          </w:tcPr>
          <w:p>
            <w:pPr>
              <w:spacing w:after="0"/>
              <w:rPr>
                <w:sz w:val="8"/>
                <w:szCs w:val="8"/>
                <w:color w:val="auto"/>
              </w:rPr>
            </w:pPr>
          </w:p>
        </w:tc>
        <w:tc>
          <w:tcPr>
            <w:tcW w:w="33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40" w:type="dxa"/>
            <w:vAlign w:val="bottom"/>
          </w:tcPr>
          <w:p>
            <w:pPr>
              <w:spacing w:after="0"/>
              <w:rPr>
                <w:sz w:val="8"/>
                <w:szCs w:val="8"/>
                <w:color w:val="auto"/>
              </w:rPr>
            </w:pPr>
          </w:p>
        </w:tc>
        <w:tc>
          <w:tcPr>
            <w:tcW w:w="7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760" w:type="dxa"/>
            <w:vAlign w:val="bottom"/>
          </w:tcPr>
          <w:p>
            <w:pPr>
              <w:spacing w:after="0"/>
              <w:rPr>
                <w:sz w:val="8"/>
                <w:szCs w:val="8"/>
                <w:color w:val="auto"/>
              </w:rPr>
            </w:pPr>
          </w:p>
        </w:tc>
        <w:tc>
          <w:tcPr>
            <w:tcW w:w="1140" w:type="dxa"/>
            <w:vAlign w:val="bottom"/>
          </w:tcPr>
          <w:p>
            <w:pPr>
              <w:spacing w:after="0"/>
              <w:rPr>
                <w:sz w:val="8"/>
                <w:szCs w:val="8"/>
                <w:color w:val="auto"/>
              </w:rPr>
            </w:pPr>
          </w:p>
        </w:tc>
        <w:tc>
          <w:tcPr>
            <w:tcW w:w="78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19" w:lineRule="exact"/>
        <w:rPr>
          <w:sz w:val="20"/>
          <w:szCs w:val="20"/>
          <w:color w:val="auto"/>
        </w:rPr>
      </w:pPr>
    </w:p>
    <w:p>
      <w:pPr>
        <w:ind w:left="460" w:right="20" w:hanging="452"/>
        <w:spacing w:after="0" w:line="268" w:lineRule="auto"/>
        <w:tabs>
          <w:tab w:leader="none" w:pos="460" w:val="left"/>
        </w:tabs>
        <w:numPr>
          <w:ilvl w:val="0"/>
          <w:numId w:val="71"/>
        </w:numPr>
        <w:rPr>
          <w:rFonts w:ascii="Arial" w:cs="Arial" w:eastAsia="Arial" w:hAnsi="Arial"/>
          <w:sz w:val="18"/>
          <w:szCs w:val="18"/>
          <w:color w:val="auto"/>
        </w:rPr>
      </w:pPr>
      <w:r>
        <w:rPr>
          <w:rFonts w:ascii="Arial" w:cs="Arial" w:eastAsia="Arial" w:hAnsi="Arial"/>
          <w:sz w:val="18"/>
          <w:szCs w:val="18"/>
          <w:color w:val="auto"/>
        </w:rPr>
        <w:t>Production volume represents the number of vehicles manufactured by our and Old GM’s assembly facilities and also includes vehicles produced by certain joint ventures.</w:t>
      </w:r>
    </w:p>
    <w:p>
      <w:pPr>
        <w:spacing w:after="0" w:line="50" w:lineRule="exact"/>
        <w:rPr>
          <w:rFonts w:ascii="Arial" w:cs="Arial" w:eastAsia="Arial" w:hAnsi="Arial"/>
          <w:sz w:val="18"/>
          <w:szCs w:val="18"/>
          <w:color w:val="auto"/>
        </w:rPr>
      </w:pPr>
    </w:p>
    <w:p>
      <w:pPr>
        <w:ind w:left="460" w:right="140" w:hanging="452"/>
        <w:spacing w:after="0" w:line="255" w:lineRule="auto"/>
        <w:tabs>
          <w:tab w:leader="none" w:pos="460" w:val="left"/>
        </w:tabs>
        <w:numPr>
          <w:ilvl w:val="0"/>
          <w:numId w:val="71"/>
        </w:numPr>
        <w:rPr>
          <w:rFonts w:ascii="Arial" w:cs="Arial" w:eastAsia="Arial" w:hAnsi="Arial"/>
          <w:sz w:val="18"/>
          <w:szCs w:val="18"/>
          <w:color w:val="auto"/>
        </w:rPr>
      </w:pPr>
      <w:r>
        <w:rPr>
          <w:rFonts w:ascii="Arial" w:cs="Arial" w:eastAsia="Arial" w:hAnsi="Arial"/>
          <w:sz w:val="18"/>
          <w:szCs w:val="18"/>
          <w:color w:val="auto"/>
        </w:rPr>
        <w:t>Includes SGM joint venture production in China of 246,000 vehicles and 735,000 vehicles and SGMW, FAW-GM joint venture production in China and SAIC GM Investment Ltd. (HKJV) joint venture production in India of 321,000 vehicles and 1.1 million vehicles in the three and nine months ended September 30, 2010 and combined GM and Old GM SGM joint venture production in China of 191,000 vehicles and 473,000 vehicles and combined GM and Old GM SGMW and FAW-GM joint venture production in China of 290,000 vehicles and 817,000 vehicles in the three and nine months ended September 30, 2009.</w:t>
      </w:r>
    </w:p>
    <w:p>
      <w:pPr>
        <w:spacing w:after="0" w:line="61" w:lineRule="exact"/>
        <w:rPr>
          <w:rFonts w:ascii="Arial" w:cs="Arial" w:eastAsia="Arial" w:hAnsi="Arial"/>
          <w:sz w:val="18"/>
          <w:szCs w:val="18"/>
          <w:color w:val="auto"/>
        </w:rPr>
      </w:pPr>
    </w:p>
    <w:p>
      <w:pPr>
        <w:ind w:left="460" w:right="300" w:hanging="452"/>
        <w:spacing w:after="0" w:line="268" w:lineRule="auto"/>
        <w:tabs>
          <w:tab w:leader="none" w:pos="460" w:val="left"/>
        </w:tabs>
        <w:numPr>
          <w:ilvl w:val="0"/>
          <w:numId w:val="71"/>
        </w:numPr>
        <w:rPr>
          <w:rFonts w:ascii="Arial" w:cs="Arial" w:eastAsia="Arial" w:hAnsi="Arial"/>
          <w:sz w:val="18"/>
          <w:szCs w:val="18"/>
          <w:color w:val="auto"/>
        </w:rPr>
      </w:pPr>
      <w:r>
        <w:rPr>
          <w:rFonts w:ascii="Arial" w:cs="Arial" w:eastAsia="Arial" w:hAnsi="Arial"/>
          <w:sz w:val="18"/>
          <w:szCs w:val="18"/>
          <w:color w:val="auto"/>
        </w:rPr>
        <w:t>The joint venture agreements with SGMW (34%) and FAW-GM (50%) allow for significant rights as a member as well as the contractual right to report SGMW and FAW-GM joint venture production in China.</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3800" w:type="dxa"/>
            <w:vAlign w:val="bottom"/>
          </w:tcPr>
          <w:p>
            <w:pPr>
              <w:spacing w:after="0"/>
              <w:rPr>
                <w:sz w:val="14"/>
                <w:szCs w:val="14"/>
                <w:color w:val="auto"/>
              </w:rPr>
            </w:pPr>
          </w:p>
        </w:tc>
        <w:tc>
          <w:tcPr>
            <w:tcW w:w="1260" w:type="dxa"/>
            <w:vAlign w:val="bottom"/>
            <w:gridSpan w:val="3"/>
          </w:tcPr>
          <w:p>
            <w:pPr>
              <w:jc w:val="center"/>
              <w:spacing w:after="0"/>
              <w:rPr>
                <w:sz w:val="20"/>
                <w:szCs w:val="20"/>
                <w:color w:val="auto"/>
              </w:rPr>
            </w:pPr>
            <w:r>
              <w:rPr>
                <w:rFonts w:ascii="Arial" w:cs="Arial" w:eastAsia="Arial" w:hAnsi="Arial"/>
                <w:sz w:val="14"/>
                <w:szCs w:val="14"/>
                <w:b w:val="1"/>
                <w:bCs w:val="1"/>
                <w:color w:val="auto"/>
                <w:w w:val="89"/>
              </w:rPr>
              <w:t>Three Months</w:t>
            </w:r>
          </w:p>
        </w:tc>
        <w:tc>
          <w:tcPr>
            <w:tcW w:w="280" w:type="dxa"/>
            <w:vAlign w:val="bottom"/>
          </w:tcPr>
          <w:p>
            <w:pPr>
              <w:spacing w:after="0"/>
              <w:rPr>
                <w:sz w:val="14"/>
                <w:szCs w:val="14"/>
                <w:color w:val="auto"/>
              </w:rPr>
            </w:pPr>
          </w:p>
        </w:tc>
        <w:tc>
          <w:tcPr>
            <w:tcW w:w="1260" w:type="dxa"/>
            <w:vAlign w:val="bottom"/>
            <w:gridSpan w:val="3"/>
          </w:tcPr>
          <w:p>
            <w:pPr>
              <w:jc w:val="right"/>
              <w:ind w:right="192"/>
              <w:spacing w:after="0"/>
              <w:rPr>
                <w:sz w:val="20"/>
                <w:szCs w:val="20"/>
                <w:color w:val="auto"/>
              </w:rPr>
            </w:pPr>
            <w:r>
              <w:rPr>
                <w:rFonts w:ascii="Arial" w:cs="Arial" w:eastAsia="Arial" w:hAnsi="Arial"/>
                <w:sz w:val="14"/>
                <w:szCs w:val="14"/>
                <w:b w:val="1"/>
                <w:bCs w:val="1"/>
                <w:color w:val="auto"/>
              </w:rPr>
              <w:t>Nine Months</w:t>
            </w:r>
          </w:p>
        </w:tc>
        <w:tc>
          <w:tcPr>
            <w:tcW w:w="280" w:type="dxa"/>
            <w:vAlign w:val="bottom"/>
          </w:tcPr>
          <w:p>
            <w:pPr>
              <w:spacing w:after="0"/>
              <w:rPr>
                <w:sz w:val="14"/>
                <w:szCs w:val="14"/>
                <w:color w:val="auto"/>
              </w:rPr>
            </w:pPr>
          </w:p>
        </w:tc>
        <w:tc>
          <w:tcPr>
            <w:tcW w:w="1780" w:type="dxa"/>
            <w:vAlign w:val="bottom"/>
            <w:gridSpan w:val="4"/>
          </w:tcPr>
          <w:p>
            <w:pPr>
              <w:jc w:val="center"/>
              <w:ind w:right="280"/>
              <w:spacing w:after="0"/>
              <w:rPr>
                <w:sz w:val="20"/>
                <w:szCs w:val="20"/>
                <w:color w:val="auto"/>
              </w:rPr>
            </w:pPr>
            <w:r>
              <w:rPr>
                <w:rFonts w:ascii="Arial" w:cs="Arial" w:eastAsia="Arial" w:hAnsi="Arial"/>
                <w:sz w:val="14"/>
                <w:szCs w:val="14"/>
                <w:b w:val="1"/>
                <w:bCs w:val="1"/>
                <w:color w:val="auto"/>
                <w:w w:val="89"/>
              </w:rPr>
              <w:t>Three Months</w:t>
            </w:r>
          </w:p>
        </w:tc>
        <w:tc>
          <w:tcPr>
            <w:tcW w:w="1600" w:type="dxa"/>
            <w:vAlign w:val="bottom"/>
            <w:gridSpan w:val="4"/>
          </w:tcPr>
          <w:p>
            <w:pPr>
              <w:jc w:val="center"/>
              <w:ind w:right="100"/>
              <w:spacing w:after="0"/>
              <w:rPr>
                <w:sz w:val="20"/>
                <w:szCs w:val="20"/>
                <w:color w:val="auto"/>
              </w:rPr>
            </w:pPr>
            <w:r>
              <w:rPr>
                <w:rFonts w:ascii="Arial" w:cs="Arial" w:eastAsia="Arial" w:hAnsi="Arial"/>
                <w:sz w:val="14"/>
                <w:szCs w:val="14"/>
                <w:b w:val="1"/>
                <w:bCs w:val="1"/>
                <w:color w:val="auto"/>
                <w:w w:val="88"/>
              </w:rPr>
              <w:t>Nine Months</w:t>
            </w:r>
          </w:p>
        </w:tc>
      </w:tr>
      <w:tr>
        <w:trPr>
          <w:trHeight w:val="149"/>
        </w:trPr>
        <w:tc>
          <w:tcPr>
            <w:tcW w:w="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3800" w:type="dxa"/>
            <w:vAlign w:val="bottom"/>
          </w:tcPr>
          <w:p>
            <w:pPr>
              <w:spacing w:after="0"/>
              <w:rPr>
                <w:sz w:val="12"/>
                <w:szCs w:val="12"/>
                <w:color w:val="auto"/>
              </w:rPr>
            </w:pPr>
          </w:p>
        </w:tc>
        <w:tc>
          <w:tcPr>
            <w:tcW w:w="1260" w:type="dxa"/>
            <w:vAlign w:val="bottom"/>
            <w:gridSpan w:val="3"/>
          </w:tcPr>
          <w:p>
            <w:pPr>
              <w:jc w:val="center"/>
              <w:spacing w:after="0" w:line="149" w:lineRule="exact"/>
              <w:rPr>
                <w:sz w:val="20"/>
                <w:szCs w:val="20"/>
                <w:color w:val="auto"/>
              </w:rPr>
            </w:pPr>
            <w:r>
              <w:rPr>
                <w:rFonts w:ascii="Arial" w:cs="Arial" w:eastAsia="Arial" w:hAnsi="Arial"/>
                <w:sz w:val="14"/>
                <w:szCs w:val="14"/>
                <w:b w:val="1"/>
                <w:bCs w:val="1"/>
                <w:color w:val="auto"/>
                <w:w w:val="88"/>
              </w:rPr>
              <w:t>Ended</w:t>
            </w:r>
          </w:p>
        </w:tc>
        <w:tc>
          <w:tcPr>
            <w:tcW w:w="280" w:type="dxa"/>
            <w:vAlign w:val="bottom"/>
          </w:tcPr>
          <w:p>
            <w:pPr>
              <w:spacing w:after="0"/>
              <w:rPr>
                <w:sz w:val="12"/>
                <w:szCs w:val="12"/>
                <w:color w:val="auto"/>
              </w:rPr>
            </w:pPr>
          </w:p>
        </w:tc>
        <w:tc>
          <w:tcPr>
            <w:tcW w:w="1260" w:type="dxa"/>
            <w:vAlign w:val="bottom"/>
            <w:gridSpan w:val="3"/>
          </w:tcPr>
          <w:p>
            <w:pPr>
              <w:jc w:val="right"/>
              <w:ind w:right="372"/>
              <w:spacing w:after="0" w:line="149" w:lineRule="exact"/>
              <w:rPr>
                <w:sz w:val="20"/>
                <w:szCs w:val="20"/>
                <w:color w:val="auto"/>
              </w:rPr>
            </w:pPr>
            <w:r>
              <w:rPr>
                <w:rFonts w:ascii="Arial" w:cs="Arial" w:eastAsia="Arial" w:hAnsi="Arial"/>
                <w:sz w:val="14"/>
                <w:szCs w:val="14"/>
                <w:b w:val="1"/>
                <w:bCs w:val="1"/>
                <w:color w:val="auto"/>
              </w:rPr>
              <w:t>Ended</w:t>
            </w:r>
          </w:p>
        </w:tc>
        <w:tc>
          <w:tcPr>
            <w:tcW w:w="280" w:type="dxa"/>
            <w:vAlign w:val="bottom"/>
          </w:tcPr>
          <w:p>
            <w:pPr>
              <w:spacing w:after="0"/>
              <w:rPr>
                <w:sz w:val="12"/>
                <w:szCs w:val="12"/>
                <w:color w:val="auto"/>
              </w:rPr>
            </w:pPr>
          </w:p>
        </w:tc>
        <w:tc>
          <w:tcPr>
            <w:tcW w:w="1780" w:type="dxa"/>
            <w:vAlign w:val="bottom"/>
            <w:gridSpan w:val="4"/>
          </w:tcPr>
          <w:p>
            <w:pPr>
              <w:jc w:val="center"/>
              <w:ind w:right="280"/>
              <w:spacing w:after="0" w:line="149" w:lineRule="exact"/>
              <w:rPr>
                <w:sz w:val="20"/>
                <w:szCs w:val="20"/>
                <w:color w:val="auto"/>
              </w:rPr>
            </w:pPr>
            <w:r>
              <w:rPr>
                <w:rFonts w:ascii="Arial" w:cs="Arial" w:eastAsia="Arial" w:hAnsi="Arial"/>
                <w:sz w:val="14"/>
                <w:szCs w:val="14"/>
                <w:b w:val="1"/>
                <w:bCs w:val="1"/>
                <w:color w:val="auto"/>
                <w:w w:val="88"/>
              </w:rPr>
              <w:t>Ended</w:t>
            </w:r>
          </w:p>
        </w:tc>
        <w:tc>
          <w:tcPr>
            <w:tcW w:w="1600" w:type="dxa"/>
            <w:vAlign w:val="bottom"/>
            <w:gridSpan w:val="4"/>
          </w:tcPr>
          <w:p>
            <w:pPr>
              <w:jc w:val="center"/>
              <w:ind w:right="100"/>
              <w:spacing w:after="0" w:line="149" w:lineRule="exact"/>
              <w:rPr>
                <w:sz w:val="20"/>
                <w:szCs w:val="20"/>
                <w:color w:val="auto"/>
              </w:rPr>
            </w:pPr>
            <w:r>
              <w:rPr>
                <w:rFonts w:ascii="Arial" w:cs="Arial" w:eastAsia="Arial" w:hAnsi="Arial"/>
                <w:sz w:val="14"/>
                <w:szCs w:val="14"/>
                <w:b w:val="1"/>
                <w:bCs w:val="1"/>
                <w:color w:val="auto"/>
                <w:w w:val="88"/>
              </w:rPr>
              <w:t>Ended</w:t>
            </w:r>
          </w:p>
        </w:tc>
      </w:tr>
      <w:tr>
        <w:trPr>
          <w:trHeight w:val="161"/>
        </w:trPr>
        <w:tc>
          <w:tcPr>
            <w:tcW w:w="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3800" w:type="dxa"/>
            <w:vAlign w:val="bottom"/>
          </w:tcPr>
          <w:p>
            <w:pPr>
              <w:spacing w:after="0"/>
              <w:rPr>
                <w:sz w:val="14"/>
                <w:szCs w:val="14"/>
                <w:color w:val="auto"/>
              </w:rPr>
            </w:pPr>
          </w:p>
        </w:tc>
        <w:tc>
          <w:tcPr>
            <w:tcW w:w="1260" w:type="dxa"/>
            <w:vAlign w:val="bottom"/>
            <w:gridSpan w:val="3"/>
          </w:tcPr>
          <w:p>
            <w:pPr>
              <w:jc w:val="center"/>
              <w:spacing w:after="0"/>
              <w:rPr>
                <w:sz w:val="20"/>
                <w:szCs w:val="20"/>
                <w:color w:val="auto"/>
              </w:rPr>
            </w:pPr>
            <w:r>
              <w:rPr>
                <w:rFonts w:ascii="Arial" w:cs="Arial" w:eastAsia="Arial" w:hAnsi="Arial"/>
                <w:sz w:val="14"/>
                <w:szCs w:val="14"/>
                <w:b w:val="1"/>
                <w:bCs w:val="1"/>
                <w:color w:val="auto"/>
                <w:w w:val="87"/>
              </w:rPr>
              <w:t>September 30, 2010</w:t>
            </w:r>
          </w:p>
        </w:tc>
        <w:tc>
          <w:tcPr>
            <w:tcW w:w="280" w:type="dxa"/>
            <w:vAlign w:val="bottom"/>
          </w:tcPr>
          <w:p>
            <w:pPr>
              <w:spacing w:after="0"/>
              <w:rPr>
                <w:sz w:val="14"/>
                <w:szCs w:val="14"/>
                <w:color w:val="auto"/>
              </w:rPr>
            </w:pPr>
          </w:p>
        </w:tc>
        <w:tc>
          <w:tcPr>
            <w:tcW w:w="1260" w:type="dxa"/>
            <w:vAlign w:val="bottom"/>
            <w:gridSpan w:val="3"/>
          </w:tcPr>
          <w:p>
            <w:pPr>
              <w:ind w:left="60"/>
              <w:spacing w:after="0"/>
              <w:rPr>
                <w:sz w:val="20"/>
                <w:szCs w:val="20"/>
                <w:color w:val="auto"/>
              </w:rPr>
            </w:pPr>
            <w:r>
              <w:rPr>
                <w:rFonts w:ascii="Arial" w:cs="Arial" w:eastAsia="Arial" w:hAnsi="Arial"/>
                <w:sz w:val="14"/>
                <w:szCs w:val="14"/>
                <w:b w:val="1"/>
                <w:bCs w:val="1"/>
                <w:color w:val="auto"/>
                <w:w w:val="90"/>
              </w:rPr>
              <w:t>September 30, 2010</w:t>
            </w:r>
          </w:p>
        </w:tc>
        <w:tc>
          <w:tcPr>
            <w:tcW w:w="280" w:type="dxa"/>
            <w:vAlign w:val="bottom"/>
          </w:tcPr>
          <w:p>
            <w:pPr>
              <w:spacing w:after="0"/>
              <w:rPr>
                <w:sz w:val="14"/>
                <w:szCs w:val="14"/>
                <w:color w:val="auto"/>
              </w:rPr>
            </w:pPr>
          </w:p>
        </w:tc>
        <w:tc>
          <w:tcPr>
            <w:tcW w:w="1780" w:type="dxa"/>
            <w:vAlign w:val="bottom"/>
            <w:gridSpan w:val="4"/>
          </w:tcPr>
          <w:p>
            <w:pPr>
              <w:jc w:val="center"/>
              <w:ind w:right="260"/>
              <w:spacing w:after="0"/>
              <w:rPr>
                <w:sz w:val="20"/>
                <w:szCs w:val="20"/>
                <w:color w:val="auto"/>
              </w:rPr>
            </w:pPr>
            <w:r>
              <w:rPr>
                <w:rFonts w:ascii="Arial" w:cs="Arial" w:eastAsia="Arial" w:hAnsi="Arial"/>
                <w:sz w:val="14"/>
                <w:szCs w:val="14"/>
                <w:b w:val="1"/>
                <w:bCs w:val="1"/>
                <w:color w:val="auto"/>
                <w:w w:val="85"/>
              </w:rPr>
              <w:t>September 30, 2009</w:t>
            </w:r>
          </w:p>
        </w:tc>
        <w:tc>
          <w:tcPr>
            <w:tcW w:w="1600" w:type="dxa"/>
            <w:vAlign w:val="bottom"/>
            <w:gridSpan w:val="4"/>
          </w:tcPr>
          <w:p>
            <w:pPr>
              <w:jc w:val="center"/>
              <w:ind w:right="80"/>
              <w:spacing w:after="0"/>
              <w:rPr>
                <w:sz w:val="20"/>
                <w:szCs w:val="20"/>
                <w:color w:val="auto"/>
              </w:rPr>
            </w:pPr>
            <w:r>
              <w:rPr>
                <w:rFonts w:ascii="Arial" w:cs="Arial" w:eastAsia="Arial" w:hAnsi="Arial"/>
                <w:sz w:val="14"/>
                <w:szCs w:val="14"/>
                <w:b w:val="1"/>
                <w:bCs w:val="1"/>
                <w:color w:val="auto"/>
                <w:w w:val="85"/>
              </w:rPr>
              <w:t>September 30, 2009</w:t>
            </w:r>
          </w:p>
        </w:tc>
      </w:tr>
      <w:tr>
        <w:trPr>
          <w:trHeight w:val="129"/>
        </w:trPr>
        <w:tc>
          <w:tcPr>
            <w:tcW w:w="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3800" w:type="dxa"/>
            <w:vAlign w:val="bottom"/>
          </w:tcPr>
          <w:p>
            <w:pPr>
              <w:spacing w:after="0"/>
              <w:rPr>
                <w:sz w:val="11"/>
                <w:szCs w:val="11"/>
                <w:color w:val="auto"/>
              </w:rPr>
            </w:pPr>
          </w:p>
        </w:tc>
        <w:tc>
          <w:tcPr>
            <w:tcW w:w="460" w:type="dxa"/>
            <w:vAlign w:val="bottom"/>
            <w:tcBorders>
              <w:top w:val="single" w:sz="8" w:color="auto"/>
            </w:tcBorders>
          </w:tcPr>
          <w:p>
            <w:pPr>
              <w:spacing w:after="0"/>
              <w:rPr>
                <w:sz w:val="11"/>
                <w:szCs w:val="11"/>
                <w:color w:val="auto"/>
              </w:rPr>
            </w:pPr>
          </w:p>
        </w:tc>
        <w:tc>
          <w:tcPr>
            <w:tcW w:w="280" w:type="dxa"/>
            <w:vAlign w:val="bottom"/>
            <w:tcBorders>
              <w:top w:val="single" w:sz="8" w:color="auto"/>
            </w:tcBorders>
          </w:tcPr>
          <w:p>
            <w:pPr>
              <w:spacing w:after="0"/>
              <w:rPr>
                <w:sz w:val="11"/>
                <w:szCs w:val="11"/>
                <w:color w:val="auto"/>
              </w:rPr>
            </w:pPr>
          </w:p>
        </w:tc>
        <w:tc>
          <w:tcPr>
            <w:tcW w:w="520" w:type="dxa"/>
            <w:vAlign w:val="bottom"/>
            <w:tcBorders>
              <w:top w:val="single" w:sz="8" w:color="auto"/>
            </w:tcBorders>
          </w:tcPr>
          <w:p>
            <w:pPr>
              <w:spacing w:after="0"/>
              <w:rPr>
                <w:sz w:val="11"/>
                <w:szCs w:val="11"/>
                <w:color w:val="auto"/>
              </w:rPr>
            </w:pPr>
          </w:p>
        </w:tc>
        <w:tc>
          <w:tcPr>
            <w:tcW w:w="280" w:type="dxa"/>
            <w:vAlign w:val="bottom"/>
          </w:tcPr>
          <w:p>
            <w:pPr>
              <w:spacing w:after="0"/>
              <w:rPr>
                <w:sz w:val="11"/>
                <w:szCs w:val="11"/>
                <w:color w:val="auto"/>
              </w:rPr>
            </w:pPr>
          </w:p>
        </w:tc>
        <w:tc>
          <w:tcPr>
            <w:tcW w:w="460" w:type="dxa"/>
            <w:vAlign w:val="bottom"/>
            <w:tcBorders>
              <w:top w:val="single" w:sz="8" w:color="auto"/>
            </w:tcBorders>
          </w:tcPr>
          <w:p>
            <w:pPr>
              <w:spacing w:after="0"/>
              <w:rPr>
                <w:sz w:val="11"/>
                <w:szCs w:val="11"/>
                <w:color w:val="auto"/>
              </w:rPr>
            </w:pPr>
          </w:p>
        </w:tc>
        <w:tc>
          <w:tcPr>
            <w:tcW w:w="280" w:type="dxa"/>
            <w:vAlign w:val="bottom"/>
            <w:tcBorders>
              <w:top w:val="single" w:sz="8" w:color="auto"/>
            </w:tcBorders>
          </w:tcPr>
          <w:p>
            <w:pPr>
              <w:spacing w:after="0"/>
              <w:rPr>
                <w:sz w:val="11"/>
                <w:szCs w:val="11"/>
                <w:color w:val="auto"/>
              </w:rPr>
            </w:pPr>
          </w:p>
        </w:tc>
        <w:tc>
          <w:tcPr>
            <w:tcW w:w="520" w:type="dxa"/>
            <w:vAlign w:val="bottom"/>
            <w:tcBorders>
              <w:top w:val="single" w:sz="8" w:color="auto"/>
            </w:tcBorders>
          </w:tcPr>
          <w:p>
            <w:pPr>
              <w:spacing w:after="0"/>
              <w:rPr>
                <w:sz w:val="11"/>
                <w:szCs w:val="11"/>
                <w:color w:val="auto"/>
              </w:rPr>
            </w:pPr>
          </w:p>
        </w:tc>
        <w:tc>
          <w:tcPr>
            <w:tcW w:w="280" w:type="dxa"/>
            <w:vAlign w:val="bottom"/>
          </w:tcPr>
          <w:p>
            <w:pPr>
              <w:spacing w:after="0"/>
              <w:rPr>
                <w:sz w:val="11"/>
                <w:szCs w:val="11"/>
                <w:color w:val="auto"/>
              </w:rPr>
            </w:pPr>
          </w:p>
        </w:tc>
        <w:tc>
          <w:tcPr>
            <w:tcW w:w="620" w:type="dxa"/>
            <w:vAlign w:val="bottom"/>
            <w:tcBorders>
              <w:top w:val="single" w:sz="8" w:color="auto"/>
            </w:tcBorders>
          </w:tcPr>
          <w:p>
            <w:pPr>
              <w:spacing w:after="0"/>
              <w:rPr>
                <w:sz w:val="11"/>
                <w:szCs w:val="11"/>
                <w:color w:val="auto"/>
              </w:rPr>
            </w:pPr>
          </w:p>
        </w:tc>
        <w:tc>
          <w:tcPr>
            <w:tcW w:w="280" w:type="dxa"/>
            <w:vAlign w:val="bottom"/>
            <w:tcBorders>
              <w:top w:val="single" w:sz="8" w:color="auto"/>
            </w:tcBorders>
          </w:tcPr>
          <w:p>
            <w:pPr>
              <w:spacing w:after="0"/>
              <w:rPr>
                <w:sz w:val="11"/>
                <w:szCs w:val="11"/>
                <w:color w:val="auto"/>
              </w:rPr>
            </w:pPr>
          </w:p>
        </w:tc>
        <w:tc>
          <w:tcPr>
            <w:tcW w:w="600" w:type="dxa"/>
            <w:vAlign w:val="bottom"/>
            <w:tcBorders>
              <w:top w:val="single" w:sz="8" w:color="auto"/>
            </w:tcBorders>
          </w:tcPr>
          <w:p>
            <w:pPr>
              <w:jc w:val="center"/>
              <w:spacing w:after="0" w:line="129" w:lineRule="exact"/>
              <w:rPr>
                <w:sz w:val="20"/>
                <w:szCs w:val="20"/>
                <w:color w:val="auto"/>
              </w:rPr>
            </w:pPr>
            <w:r>
              <w:rPr>
                <w:rFonts w:ascii="Arial" w:cs="Arial" w:eastAsia="Arial" w:hAnsi="Arial"/>
                <w:sz w:val="14"/>
                <w:szCs w:val="14"/>
                <w:b w:val="1"/>
                <w:bCs w:val="1"/>
                <w:color w:val="auto"/>
                <w:w w:val="87"/>
              </w:rPr>
              <w:t>Combined</w:t>
            </w:r>
          </w:p>
        </w:tc>
        <w:tc>
          <w:tcPr>
            <w:tcW w:w="280" w:type="dxa"/>
            <w:vAlign w:val="bottom"/>
          </w:tcPr>
          <w:p>
            <w:pPr>
              <w:spacing w:after="0"/>
              <w:rPr>
                <w:sz w:val="11"/>
                <w:szCs w:val="11"/>
                <w:color w:val="auto"/>
              </w:rPr>
            </w:pPr>
          </w:p>
        </w:tc>
        <w:tc>
          <w:tcPr>
            <w:tcW w:w="620" w:type="dxa"/>
            <w:vAlign w:val="bottom"/>
            <w:tcBorders>
              <w:top w:val="single" w:sz="8" w:color="auto"/>
            </w:tcBorders>
          </w:tcPr>
          <w:p>
            <w:pPr>
              <w:spacing w:after="0"/>
              <w:rPr>
                <w:sz w:val="11"/>
                <w:szCs w:val="11"/>
                <w:color w:val="auto"/>
              </w:rPr>
            </w:pPr>
          </w:p>
        </w:tc>
        <w:tc>
          <w:tcPr>
            <w:tcW w:w="280" w:type="dxa"/>
            <w:vAlign w:val="bottom"/>
            <w:tcBorders>
              <w:top w:val="single" w:sz="8" w:color="auto"/>
            </w:tcBorders>
          </w:tcPr>
          <w:p>
            <w:pPr>
              <w:spacing w:after="0"/>
              <w:rPr>
                <w:sz w:val="11"/>
                <w:szCs w:val="11"/>
                <w:color w:val="auto"/>
              </w:rPr>
            </w:pPr>
          </w:p>
        </w:tc>
        <w:tc>
          <w:tcPr>
            <w:tcW w:w="600" w:type="dxa"/>
            <w:vAlign w:val="bottom"/>
            <w:tcBorders>
              <w:top w:val="single" w:sz="8" w:color="auto"/>
            </w:tcBorders>
          </w:tcPr>
          <w:p>
            <w:pPr>
              <w:jc w:val="center"/>
              <w:spacing w:after="0" w:line="129" w:lineRule="exact"/>
              <w:rPr>
                <w:sz w:val="20"/>
                <w:szCs w:val="20"/>
                <w:color w:val="auto"/>
              </w:rPr>
            </w:pPr>
            <w:r>
              <w:rPr>
                <w:rFonts w:ascii="Arial" w:cs="Arial" w:eastAsia="Arial" w:hAnsi="Arial"/>
                <w:sz w:val="14"/>
                <w:szCs w:val="14"/>
                <w:b w:val="1"/>
                <w:bCs w:val="1"/>
                <w:color w:val="auto"/>
                <w:w w:val="87"/>
              </w:rPr>
              <w:t>Combined</w:t>
            </w:r>
          </w:p>
        </w:tc>
        <w:tc>
          <w:tcPr>
            <w:tcW w:w="100" w:type="dxa"/>
            <w:vAlign w:val="bottom"/>
          </w:tcPr>
          <w:p>
            <w:pPr>
              <w:spacing w:after="0"/>
              <w:rPr>
                <w:sz w:val="11"/>
                <w:szCs w:val="11"/>
                <w:color w:val="auto"/>
              </w:rPr>
            </w:pPr>
          </w:p>
        </w:tc>
      </w:tr>
      <w:tr>
        <w:trPr>
          <w:trHeight w:val="149"/>
        </w:trPr>
        <w:tc>
          <w:tcPr>
            <w:tcW w:w="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38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5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rPr>
              <w:t>GM</w:t>
            </w:r>
          </w:p>
        </w:tc>
        <w:tc>
          <w:tcPr>
            <w:tcW w:w="2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5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rPr>
              <w:t>GM</w:t>
            </w:r>
          </w:p>
        </w:tc>
        <w:tc>
          <w:tcPr>
            <w:tcW w:w="2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8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3"/>
              </w:rPr>
              <w:t>GM and</w:t>
            </w:r>
          </w:p>
        </w:tc>
        <w:tc>
          <w:tcPr>
            <w:tcW w:w="6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0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3"/>
              </w:rPr>
              <w:t>GM and</w:t>
            </w:r>
          </w:p>
        </w:tc>
      </w:tr>
      <w:tr>
        <w:trPr>
          <w:trHeight w:val="149"/>
        </w:trPr>
        <w:tc>
          <w:tcPr>
            <w:tcW w:w="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38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5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7"/>
              </w:rPr>
              <w:t>as a %</w:t>
            </w:r>
          </w:p>
        </w:tc>
        <w:tc>
          <w:tcPr>
            <w:tcW w:w="2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5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7"/>
              </w:rPr>
              <w:t>as a %</w:t>
            </w:r>
          </w:p>
        </w:tc>
        <w:tc>
          <w:tcPr>
            <w:tcW w:w="280" w:type="dxa"/>
            <w:vAlign w:val="bottom"/>
          </w:tcPr>
          <w:p>
            <w:pPr>
              <w:spacing w:after="0"/>
              <w:rPr>
                <w:sz w:val="12"/>
                <w:szCs w:val="12"/>
                <w:color w:val="auto"/>
              </w:rPr>
            </w:pPr>
          </w:p>
        </w:tc>
        <w:tc>
          <w:tcPr>
            <w:tcW w:w="90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87"/>
              </w:rPr>
              <w:t>Combined</w:t>
            </w:r>
          </w:p>
        </w:tc>
        <w:tc>
          <w:tcPr>
            <w:tcW w:w="88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6"/>
              </w:rPr>
              <w:t>Old GM</w:t>
            </w:r>
          </w:p>
        </w:tc>
        <w:tc>
          <w:tcPr>
            <w:tcW w:w="620" w:type="dxa"/>
            <w:vAlign w:val="bottom"/>
          </w:tcPr>
          <w:p>
            <w:pPr>
              <w:jc w:val="right"/>
              <w:spacing w:after="0" w:line="149" w:lineRule="exact"/>
              <w:rPr>
                <w:sz w:val="20"/>
                <w:szCs w:val="20"/>
                <w:color w:val="auto"/>
              </w:rPr>
            </w:pPr>
            <w:r>
              <w:rPr>
                <w:rFonts w:ascii="Arial" w:cs="Arial" w:eastAsia="Arial" w:hAnsi="Arial"/>
                <w:sz w:val="14"/>
                <w:szCs w:val="14"/>
                <w:b w:val="1"/>
                <w:bCs w:val="1"/>
                <w:color w:val="auto"/>
                <w:w w:val="87"/>
              </w:rPr>
              <w:t>Combined</w:t>
            </w:r>
          </w:p>
        </w:tc>
        <w:tc>
          <w:tcPr>
            <w:tcW w:w="280" w:type="dxa"/>
            <w:vAlign w:val="bottom"/>
          </w:tcPr>
          <w:p>
            <w:pPr>
              <w:spacing w:after="0"/>
              <w:rPr>
                <w:sz w:val="12"/>
                <w:szCs w:val="12"/>
                <w:color w:val="auto"/>
              </w:rPr>
            </w:pPr>
          </w:p>
        </w:tc>
        <w:tc>
          <w:tcPr>
            <w:tcW w:w="70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6"/>
              </w:rPr>
              <w:t>Old GM</w:t>
            </w:r>
          </w:p>
        </w:tc>
      </w:tr>
      <w:tr>
        <w:trPr>
          <w:trHeight w:val="149"/>
        </w:trPr>
        <w:tc>
          <w:tcPr>
            <w:tcW w:w="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38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5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of</w:t>
            </w:r>
          </w:p>
        </w:tc>
        <w:tc>
          <w:tcPr>
            <w:tcW w:w="2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5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of</w:t>
            </w:r>
          </w:p>
        </w:tc>
        <w:tc>
          <w:tcPr>
            <w:tcW w:w="280" w:type="dxa"/>
            <w:vAlign w:val="bottom"/>
          </w:tcPr>
          <w:p>
            <w:pPr>
              <w:spacing w:after="0"/>
              <w:rPr>
                <w:sz w:val="12"/>
                <w:szCs w:val="12"/>
                <w:color w:val="auto"/>
              </w:rPr>
            </w:pPr>
          </w:p>
        </w:tc>
        <w:tc>
          <w:tcPr>
            <w:tcW w:w="90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3"/>
              </w:rPr>
              <w:t>GM and</w:t>
            </w:r>
          </w:p>
        </w:tc>
        <w:tc>
          <w:tcPr>
            <w:tcW w:w="88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85"/>
              </w:rPr>
              <w:t>as a % of</w:t>
            </w:r>
          </w:p>
        </w:tc>
        <w:tc>
          <w:tcPr>
            <w:tcW w:w="620" w:type="dxa"/>
            <w:vAlign w:val="bottom"/>
          </w:tcPr>
          <w:p>
            <w:pPr>
              <w:jc w:val="right"/>
              <w:spacing w:after="0" w:line="149" w:lineRule="exact"/>
              <w:rPr>
                <w:sz w:val="20"/>
                <w:szCs w:val="20"/>
                <w:color w:val="auto"/>
              </w:rPr>
            </w:pPr>
            <w:r>
              <w:rPr>
                <w:rFonts w:ascii="Arial" w:cs="Arial" w:eastAsia="Arial" w:hAnsi="Arial"/>
                <w:sz w:val="14"/>
                <w:szCs w:val="14"/>
                <w:b w:val="1"/>
                <w:bCs w:val="1"/>
                <w:color w:val="auto"/>
              </w:rPr>
              <w:t>GM and</w:t>
            </w:r>
          </w:p>
        </w:tc>
        <w:tc>
          <w:tcPr>
            <w:tcW w:w="280" w:type="dxa"/>
            <w:vAlign w:val="bottom"/>
          </w:tcPr>
          <w:p>
            <w:pPr>
              <w:spacing w:after="0"/>
              <w:rPr>
                <w:sz w:val="12"/>
                <w:szCs w:val="12"/>
                <w:color w:val="auto"/>
              </w:rPr>
            </w:pPr>
          </w:p>
        </w:tc>
        <w:tc>
          <w:tcPr>
            <w:tcW w:w="70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85"/>
              </w:rPr>
              <w:t>as a % of</w:t>
            </w:r>
          </w:p>
        </w:tc>
      </w:tr>
      <w:tr>
        <w:trPr>
          <w:trHeight w:val="161"/>
        </w:trPr>
        <w:tc>
          <w:tcPr>
            <w:tcW w:w="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3800" w:type="dxa"/>
            <w:vAlign w:val="bottom"/>
          </w:tcPr>
          <w:p>
            <w:pPr>
              <w:spacing w:after="0"/>
              <w:rPr>
                <w:sz w:val="14"/>
                <w:szCs w:val="14"/>
                <w:color w:val="auto"/>
              </w:rPr>
            </w:pPr>
          </w:p>
        </w:tc>
        <w:tc>
          <w:tcPr>
            <w:tcW w:w="460" w:type="dxa"/>
            <w:vAlign w:val="bottom"/>
          </w:tcPr>
          <w:p>
            <w:pPr>
              <w:jc w:val="right"/>
              <w:ind w:right="22"/>
              <w:spacing w:after="0"/>
              <w:rPr>
                <w:sz w:val="20"/>
                <w:szCs w:val="20"/>
                <w:color w:val="auto"/>
              </w:rPr>
            </w:pPr>
            <w:r>
              <w:rPr>
                <w:rFonts w:ascii="Arial" w:cs="Arial" w:eastAsia="Arial" w:hAnsi="Arial"/>
                <w:sz w:val="14"/>
                <w:szCs w:val="14"/>
                <w:b w:val="1"/>
                <w:bCs w:val="1"/>
                <w:color w:val="auto"/>
              </w:rPr>
              <w:t>GM</w:t>
            </w:r>
          </w:p>
        </w:tc>
        <w:tc>
          <w:tcPr>
            <w:tcW w:w="280" w:type="dxa"/>
            <w:vAlign w:val="bottom"/>
          </w:tcPr>
          <w:p>
            <w:pPr>
              <w:spacing w:after="0"/>
              <w:rPr>
                <w:sz w:val="14"/>
                <w:szCs w:val="14"/>
                <w:color w:val="auto"/>
              </w:rPr>
            </w:pPr>
          </w:p>
        </w:tc>
        <w:tc>
          <w:tcPr>
            <w:tcW w:w="520" w:type="dxa"/>
            <w:vAlign w:val="bottom"/>
          </w:tcPr>
          <w:p>
            <w:pPr>
              <w:jc w:val="center"/>
              <w:spacing w:after="0"/>
              <w:rPr>
                <w:sz w:val="20"/>
                <w:szCs w:val="20"/>
                <w:color w:val="auto"/>
              </w:rPr>
            </w:pPr>
            <w:r>
              <w:rPr>
                <w:rFonts w:ascii="Arial" w:cs="Arial" w:eastAsia="Arial" w:hAnsi="Arial"/>
                <w:sz w:val="14"/>
                <w:szCs w:val="14"/>
                <w:b w:val="1"/>
                <w:bCs w:val="1"/>
                <w:color w:val="auto"/>
                <w:w w:val="90"/>
              </w:rPr>
              <w:t>Industry</w:t>
            </w:r>
          </w:p>
        </w:tc>
        <w:tc>
          <w:tcPr>
            <w:tcW w:w="280" w:type="dxa"/>
            <w:vAlign w:val="bottom"/>
          </w:tcPr>
          <w:p>
            <w:pPr>
              <w:spacing w:after="0"/>
              <w:rPr>
                <w:sz w:val="14"/>
                <w:szCs w:val="14"/>
                <w:color w:val="auto"/>
              </w:rPr>
            </w:pPr>
          </w:p>
        </w:tc>
        <w:tc>
          <w:tcPr>
            <w:tcW w:w="460" w:type="dxa"/>
            <w:vAlign w:val="bottom"/>
          </w:tcPr>
          <w:p>
            <w:pPr>
              <w:ind w:left="120"/>
              <w:spacing w:after="0"/>
              <w:rPr>
                <w:sz w:val="20"/>
                <w:szCs w:val="20"/>
                <w:color w:val="auto"/>
              </w:rPr>
            </w:pPr>
            <w:r>
              <w:rPr>
                <w:rFonts w:ascii="Arial" w:cs="Arial" w:eastAsia="Arial" w:hAnsi="Arial"/>
                <w:sz w:val="14"/>
                <w:szCs w:val="14"/>
                <w:b w:val="1"/>
                <w:bCs w:val="1"/>
                <w:color w:val="auto"/>
              </w:rPr>
              <w:t>GM</w:t>
            </w:r>
          </w:p>
        </w:tc>
        <w:tc>
          <w:tcPr>
            <w:tcW w:w="280" w:type="dxa"/>
            <w:vAlign w:val="bottom"/>
          </w:tcPr>
          <w:p>
            <w:pPr>
              <w:spacing w:after="0"/>
              <w:rPr>
                <w:sz w:val="14"/>
                <w:szCs w:val="14"/>
                <w:color w:val="auto"/>
              </w:rPr>
            </w:pPr>
          </w:p>
        </w:tc>
        <w:tc>
          <w:tcPr>
            <w:tcW w:w="520" w:type="dxa"/>
            <w:vAlign w:val="bottom"/>
          </w:tcPr>
          <w:p>
            <w:pPr>
              <w:jc w:val="center"/>
              <w:spacing w:after="0"/>
              <w:rPr>
                <w:sz w:val="20"/>
                <w:szCs w:val="20"/>
                <w:color w:val="auto"/>
              </w:rPr>
            </w:pPr>
            <w:r>
              <w:rPr>
                <w:rFonts w:ascii="Arial" w:cs="Arial" w:eastAsia="Arial" w:hAnsi="Arial"/>
                <w:sz w:val="14"/>
                <w:szCs w:val="14"/>
                <w:b w:val="1"/>
                <w:bCs w:val="1"/>
                <w:color w:val="auto"/>
                <w:w w:val="90"/>
              </w:rPr>
              <w:t>Industry</w:t>
            </w:r>
          </w:p>
        </w:tc>
        <w:tc>
          <w:tcPr>
            <w:tcW w:w="280" w:type="dxa"/>
            <w:vAlign w:val="bottom"/>
          </w:tcPr>
          <w:p>
            <w:pPr>
              <w:spacing w:after="0"/>
              <w:rPr>
                <w:sz w:val="14"/>
                <w:szCs w:val="14"/>
                <w:color w:val="auto"/>
              </w:rPr>
            </w:pPr>
          </w:p>
        </w:tc>
        <w:tc>
          <w:tcPr>
            <w:tcW w:w="90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6"/>
              </w:rPr>
              <w:t>Old GM</w:t>
            </w:r>
          </w:p>
        </w:tc>
        <w:tc>
          <w:tcPr>
            <w:tcW w:w="88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4"/>
              </w:rPr>
              <w:t>Industry</w:t>
            </w:r>
          </w:p>
        </w:tc>
        <w:tc>
          <w:tcPr>
            <w:tcW w:w="620" w:type="dxa"/>
            <w:vAlign w:val="bottom"/>
          </w:tcPr>
          <w:p>
            <w:pPr>
              <w:jc w:val="right"/>
              <w:spacing w:after="0"/>
              <w:rPr>
                <w:sz w:val="20"/>
                <w:szCs w:val="20"/>
                <w:color w:val="auto"/>
              </w:rPr>
            </w:pPr>
            <w:r>
              <w:rPr>
                <w:rFonts w:ascii="Arial" w:cs="Arial" w:eastAsia="Arial" w:hAnsi="Arial"/>
                <w:sz w:val="14"/>
                <w:szCs w:val="14"/>
                <w:b w:val="1"/>
                <w:bCs w:val="1"/>
                <w:color w:val="auto"/>
              </w:rPr>
              <w:t>Old GM</w:t>
            </w:r>
          </w:p>
        </w:tc>
        <w:tc>
          <w:tcPr>
            <w:tcW w:w="280" w:type="dxa"/>
            <w:vAlign w:val="bottom"/>
          </w:tcPr>
          <w:p>
            <w:pPr>
              <w:spacing w:after="0"/>
              <w:rPr>
                <w:sz w:val="14"/>
                <w:szCs w:val="14"/>
                <w:color w:val="auto"/>
              </w:rPr>
            </w:pPr>
          </w:p>
        </w:tc>
        <w:tc>
          <w:tcPr>
            <w:tcW w:w="70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90"/>
              </w:rPr>
              <w:t>Industry</w:t>
            </w:r>
          </w:p>
        </w:tc>
      </w:tr>
      <w:tr>
        <w:trPr>
          <w:trHeight w:val="210"/>
        </w:trPr>
        <w:tc>
          <w:tcPr>
            <w:tcW w:w="20" w:type="dxa"/>
            <w:vAlign w:val="bottom"/>
          </w:tcPr>
          <w:p>
            <w:pPr>
              <w:spacing w:after="0"/>
              <w:rPr>
                <w:sz w:val="18"/>
                <w:szCs w:val="18"/>
                <w:color w:val="auto"/>
              </w:rPr>
            </w:pPr>
          </w:p>
        </w:tc>
        <w:tc>
          <w:tcPr>
            <w:tcW w:w="49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Vehicle Sales (a)(b)(c)(d)</w:t>
            </w:r>
          </w:p>
        </w:tc>
        <w:tc>
          <w:tcPr>
            <w:tcW w:w="460" w:type="dxa"/>
            <w:vAlign w:val="bottom"/>
            <w:tcBorders>
              <w:top w:val="single" w:sz="8" w:color="auto"/>
            </w:tcBorders>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940" w:type="dxa"/>
            <w:vAlign w:val="bottom"/>
            <w:gridSpan w:val="2"/>
          </w:tcPr>
          <w:p>
            <w:pPr>
              <w:spacing w:after="0"/>
              <w:rPr>
                <w:sz w:val="20"/>
                <w:szCs w:val="20"/>
                <w:color w:val="auto"/>
              </w:rPr>
            </w:pPr>
            <w:r>
              <w:rPr>
                <w:rFonts w:ascii="Arial" w:cs="Arial" w:eastAsia="Arial" w:hAnsi="Arial"/>
                <w:sz w:val="18"/>
                <w:szCs w:val="18"/>
                <w:color w:val="auto"/>
              </w:rPr>
              <w:t>GMNA (e)</w:t>
            </w:r>
          </w:p>
        </w:tc>
        <w:tc>
          <w:tcPr>
            <w:tcW w:w="460" w:type="dxa"/>
            <w:vAlign w:val="bottom"/>
          </w:tcPr>
          <w:p>
            <w:pPr>
              <w:jc w:val="right"/>
              <w:spacing w:after="0"/>
              <w:rPr>
                <w:sz w:val="20"/>
                <w:szCs w:val="20"/>
                <w:color w:val="auto"/>
              </w:rPr>
            </w:pPr>
            <w:r>
              <w:rPr>
                <w:rFonts w:ascii="Arial" w:cs="Arial" w:eastAsia="Arial" w:hAnsi="Arial"/>
                <w:sz w:val="18"/>
                <w:szCs w:val="18"/>
                <w:color w:val="auto"/>
              </w:rPr>
              <w:t>661</w:t>
            </w: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17.7%</w:t>
            </w:r>
          </w:p>
        </w:tc>
        <w:tc>
          <w:tcPr>
            <w:tcW w:w="740" w:type="dxa"/>
            <w:vAlign w:val="bottom"/>
            <w:gridSpan w:val="2"/>
          </w:tcPr>
          <w:p>
            <w:pPr>
              <w:ind w:left="340"/>
              <w:spacing w:after="0"/>
              <w:rPr>
                <w:sz w:val="20"/>
                <w:szCs w:val="20"/>
                <w:color w:val="auto"/>
              </w:rPr>
            </w:pPr>
            <w:r>
              <w:rPr>
                <w:rFonts w:ascii="Arial" w:cs="Arial" w:eastAsia="Arial" w:hAnsi="Arial"/>
                <w:sz w:val="18"/>
                <w:szCs w:val="18"/>
                <w:color w:val="auto"/>
                <w:w w:val="84"/>
              </w:rPr>
              <w:t>1,941</w:t>
            </w: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18.1%</w:t>
            </w:r>
          </w:p>
        </w:tc>
        <w:tc>
          <w:tcPr>
            <w:tcW w:w="1180" w:type="dxa"/>
            <w:vAlign w:val="bottom"/>
            <w:gridSpan w:val="3"/>
          </w:tcPr>
          <w:p>
            <w:pPr>
              <w:jc w:val="right"/>
              <w:ind w:right="280"/>
              <w:spacing w:after="0"/>
              <w:rPr>
                <w:sz w:val="20"/>
                <w:szCs w:val="20"/>
                <w:color w:val="auto"/>
              </w:rPr>
            </w:pPr>
            <w:r>
              <w:rPr>
                <w:rFonts w:ascii="Arial" w:cs="Arial" w:eastAsia="Arial" w:hAnsi="Arial"/>
                <w:sz w:val="18"/>
                <w:szCs w:val="18"/>
                <w:color w:val="auto"/>
              </w:rPr>
              <w:t>690</w:t>
            </w:r>
          </w:p>
        </w:tc>
        <w:tc>
          <w:tcPr>
            <w:tcW w:w="880" w:type="dxa"/>
            <w:vAlign w:val="bottom"/>
            <w:gridSpan w:val="2"/>
          </w:tcPr>
          <w:p>
            <w:pPr>
              <w:jc w:val="right"/>
              <w:ind w:right="280"/>
              <w:spacing w:after="0"/>
              <w:rPr>
                <w:sz w:val="20"/>
                <w:szCs w:val="20"/>
                <w:color w:val="auto"/>
              </w:rPr>
            </w:pPr>
            <w:r>
              <w:rPr>
                <w:rFonts w:ascii="Arial" w:cs="Arial" w:eastAsia="Arial" w:hAnsi="Arial"/>
                <w:sz w:val="18"/>
                <w:szCs w:val="18"/>
                <w:color w:val="auto"/>
              </w:rPr>
              <w:t>18.7%</w:t>
            </w:r>
          </w:p>
        </w:tc>
        <w:tc>
          <w:tcPr>
            <w:tcW w:w="620" w:type="dxa"/>
            <w:vAlign w:val="bottom"/>
          </w:tcPr>
          <w:p>
            <w:pPr>
              <w:jc w:val="right"/>
              <w:spacing w:after="0"/>
              <w:rPr>
                <w:sz w:val="20"/>
                <w:szCs w:val="20"/>
                <w:color w:val="auto"/>
              </w:rPr>
            </w:pPr>
            <w:r>
              <w:rPr>
                <w:rFonts w:ascii="Arial" w:cs="Arial" w:eastAsia="Arial" w:hAnsi="Arial"/>
                <w:sz w:val="18"/>
                <w:szCs w:val="18"/>
                <w:color w:val="auto"/>
              </w:rPr>
              <w:t>1,847</w:t>
            </w: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18.9%</w:t>
            </w: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9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GMIO (f)(g)(h)</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1,014</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10.3%</w:t>
            </w:r>
          </w:p>
        </w:tc>
        <w:tc>
          <w:tcPr>
            <w:tcW w:w="74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w w:val="84"/>
              </w:rPr>
              <w:t>3,041</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10.2%</w:t>
            </w:r>
          </w:p>
        </w:tc>
        <w:tc>
          <w:tcPr>
            <w:tcW w:w="118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872</w:t>
            </w:r>
          </w:p>
        </w:tc>
        <w:tc>
          <w:tcPr>
            <w:tcW w:w="8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10.3%</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2,389</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10.2%</w:t>
            </w:r>
          </w:p>
        </w:tc>
        <w:tc>
          <w:tcPr>
            <w:tcW w:w="10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4940" w:type="dxa"/>
            <w:vAlign w:val="bottom"/>
            <w:gridSpan w:val="2"/>
          </w:tcPr>
          <w:p>
            <w:pPr>
              <w:spacing w:after="0"/>
              <w:rPr>
                <w:sz w:val="20"/>
                <w:szCs w:val="20"/>
                <w:color w:val="auto"/>
              </w:rPr>
            </w:pPr>
            <w:r>
              <w:rPr>
                <w:rFonts w:ascii="Arial" w:cs="Arial" w:eastAsia="Arial" w:hAnsi="Arial"/>
                <w:sz w:val="18"/>
                <w:szCs w:val="18"/>
                <w:color w:val="auto"/>
              </w:rPr>
              <w:t>GME (f)</w:t>
            </w: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391</w:t>
            </w: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8.9%</w:t>
            </w:r>
          </w:p>
        </w:tc>
        <w:tc>
          <w:tcPr>
            <w:tcW w:w="280" w:type="dxa"/>
            <w:vAlign w:val="bottom"/>
          </w:tcPr>
          <w:p>
            <w:pPr>
              <w:spacing w:after="0"/>
              <w:rPr>
                <w:sz w:val="19"/>
                <w:szCs w:val="19"/>
                <w:color w:val="auto"/>
              </w:rPr>
            </w:pPr>
          </w:p>
        </w:tc>
        <w:tc>
          <w:tcPr>
            <w:tcW w:w="460" w:type="dxa"/>
            <w:vAlign w:val="bottom"/>
            <w:tcBorders>
              <w:bottom w:val="single" w:sz="8" w:color="auto"/>
            </w:tcBorders>
          </w:tcPr>
          <w:p>
            <w:pPr>
              <w:ind w:left="60"/>
              <w:spacing w:after="0"/>
              <w:rPr>
                <w:sz w:val="20"/>
                <w:szCs w:val="20"/>
                <w:color w:val="auto"/>
              </w:rPr>
            </w:pPr>
            <w:r>
              <w:rPr>
                <w:rFonts w:ascii="Arial" w:cs="Arial" w:eastAsia="Arial" w:hAnsi="Arial"/>
                <w:sz w:val="18"/>
                <w:szCs w:val="18"/>
                <w:color w:val="auto"/>
                <w:w w:val="84"/>
              </w:rPr>
              <w:t>1,238</w:t>
            </w: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8.7%</w:t>
            </w:r>
          </w:p>
        </w:tc>
        <w:tc>
          <w:tcPr>
            <w:tcW w:w="280" w:type="dxa"/>
            <w:vAlign w:val="bottom"/>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409</w:t>
            </w:r>
          </w:p>
        </w:tc>
        <w:tc>
          <w:tcPr>
            <w:tcW w:w="280" w:type="dxa"/>
            <w:vAlign w:val="bottom"/>
          </w:tcPr>
          <w:p>
            <w:pPr>
              <w:spacing w:after="0"/>
              <w:rPr>
                <w:sz w:val="19"/>
                <w:szCs w:val="19"/>
                <w:color w:val="auto"/>
              </w:rPr>
            </w:pPr>
          </w:p>
        </w:tc>
        <w:tc>
          <w:tcPr>
            <w:tcW w:w="880" w:type="dxa"/>
            <w:vAlign w:val="bottom"/>
            <w:gridSpan w:val="2"/>
          </w:tcPr>
          <w:p>
            <w:pPr>
              <w:jc w:val="right"/>
              <w:ind w:right="280"/>
              <w:spacing w:after="0"/>
              <w:rPr>
                <w:sz w:val="20"/>
                <w:szCs w:val="20"/>
                <w:color w:val="auto"/>
              </w:rPr>
            </w:pPr>
            <w:r>
              <w:rPr>
                <w:rFonts w:ascii="Arial" w:cs="Arial" w:eastAsia="Arial" w:hAnsi="Arial"/>
                <w:sz w:val="18"/>
                <w:szCs w:val="18"/>
                <w:color w:val="auto"/>
              </w:rPr>
              <w:t>9.0%</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1,290</w:t>
            </w: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9.1%</w:t>
            </w:r>
          </w:p>
        </w:tc>
        <w:tc>
          <w:tcPr>
            <w:tcW w:w="1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49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Worldwide (f)</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2,065</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11.5%</w:t>
            </w:r>
          </w:p>
        </w:tc>
        <w:tc>
          <w:tcPr>
            <w:tcW w:w="74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w w:val="84"/>
              </w:rPr>
              <w:t>6,220</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11.4%</w:t>
            </w:r>
          </w:p>
        </w:tc>
        <w:tc>
          <w:tcPr>
            <w:tcW w:w="118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1,972</w:t>
            </w:r>
          </w:p>
        </w:tc>
        <w:tc>
          <w:tcPr>
            <w:tcW w:w="8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11.8%</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5,526</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11.6%</w:t>
            </w:r>
          </w:p>
        </w:tc>
        <w:tc>
          <w:tcPr>
            <w:tcW w:w="100" w:type="dxa"/>
            <w:vAlign w:val="bottom"/>
            <w:shd w:val="clear" w:color="auto" w:fill="CCEEFF"/>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380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02"/>
        </w:trPr>
        <w:tc>
          <w:tcPr>
            <w:tcW w:w="20" w:type="dxa"/>
            <w:vAlign w:val="bottom"/>
          </w:tcPr>
          <w:p>
            <w:pPr>
              <w:spacing w:after="0"/>
              <w:rPr>
                <w:sz w:val="8"/>
                <w:szCs w:val="8"/>
                <w:color w:val="auto"/>
              </w:rPr>
            </w:pPr>
          </w:p>
        </w:tc>
        <w:tc>
          <w:tcPr>
            <w:tcW w:w="1140" w:type="dxa"/>
            <w:vAlign w:val="bottom"/>
            <w:tcBorders>
              <w:bottom w:val="single" w:sz="8" w:color="auto"/>
            </w:tcBorders>
          </w:tcPr>
          <w:p>
            <w:pPr>
              <w:spacing w:after="0"/>
              <w:rPr>
                <w:sz w:val="8"/>
                <w:szCs w:val="8"/>
                <w:color w:val="auto"/>
              </w:rPr>
            </w:pPr>
          </w:p>
        </w:tc>
        <w:tc>
          <w:tcPr>
            <w:tcW w:w="3800" w:type="dxa"/>
            <w:vAlign w:val="bottom"/>
          </w:tcPr>
          <w:p>
            <w:pPr>
              <w:spacing w:after="0"/>
              <w:rPr>
                <w:sz w:val="8"/>
                <w:szCs w:val="8"/>
                <w:color w:val="auto"/>
              </w:rPr>
            </w:pPr>
          </w:p>
        </w:tc>
        <w:tc>
          <w:tcPr>
            <w:tcW w:w="460" w:type="dxa"/>
            <w:vAlign w:val="bottom"/>
          </w:tcPr>
          <w:p>
            <w:pPr>
              <w:spacing w:after="0"/>
              <w:rPr>
                <w:sz w:val="8"/>
                <w:szCs w:val="8"/>
                <w:color w:val="auto"/>
              </w:rPr>
            </w:pPr>
          </w:p>
        </w:tc>
        <w:tc>
          <w:tcPr>
            <w:tcW w:w="280" w:type="dxa"/>
            <w:vAlign w:val="bottom"/>
          </w:tcPr>
          <w:p>
            <w:pPr>
              <w:spacing w:after="0"/>
              <w:rPr>
                <w:sz w:val="8"/>
                <w:szCs w:val="8"/>
                <w:color w:val="auto"/>
              </w:rPr>
            </w:pPr>
          </w:p>
        </w:tc>
        <w:tc>
          <w:tcPr>
            <w:tcW w:w="520" w:type="dxa"/>
            <w:vAlign w:val="bottom"/>
          </w:tcPr>
          <w:p>
            <w:pPr>
              <w:spacing w:after="0"/>
              <w:rPr>
                <w:sz w:val="8"/>
                <w:szCs w:val="8"/>
                <w:color w:val="auto"/>
              </w:rPr>
            </w:pPr>
          </w:p>
        </w:tc>
        <w:tc>
          <w:tcPr>
            <w:tcW w:w="280" w:type="dxa"/>
            <w:vAlign w:val="bottom"/>
          </w:tcPr>
          <w:p>
            <w:pPr>
              <w:spacing w:after="0"/>
              <w:rPr>
                <w:sz w:val="8"/>
                <w:szCs w:val="8"/>
                <w:color w:val="auto"/>
              </w:rPr>
            </w:pPr>
          </w:p>
        </w:tc>
        <w:tc>
          <w:tcPr>
            <w:tcW w:w="460" w:type="dxa"/>
            <w:vAlign w:val="bottom"/>
          </w:tcPr>
          <w:p>
            <w:pPr>
              <w:spacing w:after="0"/>
              <w:rPr>
                <w:sz w:val="8"/>
                <w:szCs w:val="8"/>
                <w:color w:val="auto"/>
              </w:rPr>
            </w:pPr>
          </w:p>
        </w:tc>
        <w:tc>
          <w:tcPr>
            <w:tcW w:w="280" w:type="dxa"/>
            <w:vAlign w:val="bottom"/>
          </w:tcPr>
          <w:p>
            <w:pPr>
              <w:spacing w:after="0"/>
              <w:rPr>
                <w:sz w:val="8"/>
                <w:szCs w:val="8"/>
                <w:color w:val="auto"/>
              </w:rPr>
            </w:pPr>
          </w:p>
        </w:tc>
        <w:tc>
          <w:tcPr>
            <w:tcW w:w="520" w:type="dxa"/>
            <w:vAlign w:val="bottom"/>
          </w:tcPr>
          <w:p>
            <w:pPr>
              <w:spacing w:after="0"/>
              <w:rPr>
                <w:sz w:val="8"/>
                <w:szCs w:val="8"/>
                <w:color w:val="auto"/>
              </w:rPr>
            </w:pPr>
          </w:p>
        </w:tc>
        <w:tc>
          <w:tcPr>
            <w:tcW w:w="280" w:type="dxa"/>
            <w:vAlign w:val="bottom"/>
          </w:tcPr>
          <w:p>
            <w:pPr>
              <w:spacing w:after="0"/>
              <w:rPr>
                <w:sz w:val="8"/>
                <w:szCs w:val="8"/>
                <w:color w:val="auto"/>
              </w:rPr>
            </w:pPr>
          </w:p>
        </w:tc>
        <w:tc>
          <w:tcPr>
            <w:tcW w:w="620" w:type="dxa"/>
            <w:vAlign w:val="bottom"/>
          </w:tcPr>
          <w:p>
            <w:pPr>
              <w:spacing w:after="0"/>
              <w:rPr>
                <w:sz w:val="8"/>
                <w:szCs w:val="8"/>
                <w:color w:val="auto"/>
              </w:rPr>
            </w:pPr>
          </w:p>
        </w:tc>
        <w:tc>
          <w:tcPr>
            <w:tcW w:w="280" w:type="dxa"/>
            <w:vAlign w:val="bottom"/>
          </w:tcPr>
          <w:p>
            <w:pPr>
              <w:spacing w:after="0"/>
              <w:rPr>
                <w:sz w:val="8"/>
                <w:szCs w:val="8"/>
                <w:color w:val="auto"/>
              </w:rPr>
            </w:pPr>
          </w:p>
        </w:tc>
        <w:tc>
          <w:tcPr>
            <w:tcW w:w="600" w:type="dxa"/>
            <w:vAlign w:val="bottom"/>
          </w:tcPr>
          <w:p>
            <w:pPr>
              <w:spacing w:after="0"/>
              <w:rPr>
                <w:sz w:val="8"/>
                <w:szCs w:val="8"/>
                <w:color w:val="auto"/>
              </w:rPr>
            </w:pPr>
          </w:p>
        </w:tc>
        <w:tc>
          <w:tcPr>
            <w:tcW w:w="280" w:type="dxa"/>
            <w:vAlign w:val="bottom"/>
          </w:tcPr>
          <w:p>
            <w:pPr>
              <w:spacing w:after="0"/>
              <w:rPr>
                <w:sz w:val="8"/>
                <w:szCs w:val="8"/>
                <w:color w:val="auto"/>
              </w:rPr>
            </w:pPr>
          </w:p>
        </w:tc>
        <w:tc>
          <w:tcPr>
            <w:tcW w:w="620" w:type="dxa"/>
            <w:vAlign w:val="bottom"/>
          </w:tcPr>
          <w:p>
            <w:pPr>
              <w:spacing w:after="0"/>
              <w:rPr>
                <w:sz w:val="8"/>
                <w:szCs w:val="8"/>
                <w:color w:val="auto"/>
              </w:rPr>
            </w:pPr>
          </w:p>
        </w:tc>
        <w:tc>
          <w:tcPr>
            <w:tcW w:w="280" w:type="dxa"/>
            <w:vAlign w:val="bottom"/>
          </w:tcPr>
          <w:p>
            <w:pPr>
              <w:spacing w:after="0"/>
              <w:rPr>
                <w:sz w:val="8"/>
                <w:szCs w:val="8"/>
                <w:color w:val="auto"/>
              </w:rPr>
            </w:pPr>
          </w:p>
        </w:tc>
        <w:tc>
          <w:tcPr>
            <w:tcW w:w="600" w:type="dxa"/>
            <w:vAlign w:val="bottom"/>
          </w:tcPr>
          <w:p>
            <w:pPr>
              <w:spacing w:after="0"/>
              <w:rPr>
                <w:sz w:val="8"/>
                <w:szCs w:val="8"/>
                <w:color w:val="auto"/>
              </w:rPr>
            </w:pPr>
          </w:p>
        </w:tc>
        <w:tc>
          <w:tcPr>
            <w:tcW w:w="100" w:type="dxa"/>
            <w:vAlign w:val="bottom"/>
          </w:tcPr>
          <w:p>
            <w:pPr>
              <w:spacing w:after="0"/>
              <w:rPr>
                <w:sz w:val="8"/>
                <w:szCs w:val="8"/>
                <w:color w:val="auto"/>
              </w:rPr>
            </w:pPr>
          </w:p>
        </w:tc>
      </w:tr>
    </w:tbl>
    <w:p>
      <w:pPr>
        <w:spacing w:after="0" w:line="19" w:lineRule="exact"/>
        <w:rPr>
          <w:sz w:val="20"/>
          <w:szCs w:val="20"/>
          <w:color w:val="auto"/>
        </w:rPr>
      </w:pPr>
    </w:p>
    <w:p>
      <w:pPr>
        <w:ind w:left="460" w:hanging="452"/>
        <w:spacing w:after="0"/>
        <w:tabs>
          <w:tab w:leader="none" w:pos="460" w:val="left"/>
        </w:tabs>
        <w:numPr>
          <w:ilvl w:val="0"/>
          <w:numId w:val="72"/>
        </w:numPr>
        <w:rPr>
          <w:rFonts w:ascii="Arial" w:cs="Arial" w:eastAsia="Arial" w:hAnsi="Arial"/>
          <w:sz w:val="18"/>
          <w:szCs w:val="18"/>
          <w:color w:val="auto"/>
        </w:rPr>
      </w:pPr>
      <w:r>
        <w:rPr>
          <w:rFonts w:ascii="Arial" w:cs="Arial" w:eastAsia="Arial" w:hAnsi="Arial"/>
          <w:sz w:val="18"/>
          <w:szCs w:val="18"/>
          <w:color w:val="auto"/>
        </w:rPr>
        <w:t>Includes HUMMER, Saturn and Pontiac vehicle sales data.</w:t>
      </w:r>
    </w:p>
    <w:p>
      <w:pPr>
        <w:spacing w:after="0" w:line="90" w:lineRule="exact"/>
        <w:rPr>
          <w:rFonts w:ascii="Arial" w:cs="Arial" w:eastAsia="Arial" w:hAnsi="Arial"/>
          <w:sz w:val="18"/>
          <w:szCs w:val="18"/>
          <w:color w:val="auto"/>
        </w:rPr>
      </w:pPr>
    </w:p>
    <w:p>
      <w:pPr>
        <w:ind w:left="460" w:hanging="452"/>
        <w:spacing w:after="0"/>
        <w:tabs>
          <w:tab w:leader="none" w:pos="460" w:val="left"/>
        </w:tabs>
        <w:numPr>
          <w:ilvl w:val="0"/>
          <w:numId w:val="72"/>
        </w:numPr>
        <w:rPr>
          <w:rFonts w:ascii="Arial" w:cs="Arial" w:eastAsia="Arial" w:hAnsi="Arial"/>
          <w:sz w:val="18"/>
          <w:szCs w:val="18"/>
          <w:color w:val="auto"/>
        </w:rPr>
      </w:pPr>
      <w:r>
        <w:rPr>
          <w:rFonts w:ascii="Arial" w:cs="Arial" w:eastAsia="Arial" w:hAnsi="Arial"/>
          <w:sz w:val="18"/>
          <w:szCs w:val="18"/>
          <w:color w:val="auto"/>
        </w:rPr>
        <w:t>Includes Saab vehicle sales data through February 2010.</w:t>
      </w:r>
    </w:p>
    <w:p>
      <w:pPr>
        <w:spacing w:after="0" w:line="90" w:lineRule="exact"/>
        <w:rPr>
          <w:rFonts w:ascii="Arial" w:cs="Arial" w:eastAsia="Arial" w:hAnsi="Arial"/>
          <w:sz w:val="18"/>
          <w:szCs w:val="18"/>
          <w:color w:val="auto"/>
        </w:rPr>
      </w:pPr>
    </w:p>
    <w:p>
      <w:pPr>
        <w:ind w:left="460" w:hanging="452"/>
        <w:spacing w:after="0"/>
        <w:tabs>
          <w:tab w:leader="none" w:pos="460" w:val="left"/>
        </w:tabs>
        <w:numPr>
          <w:ilvl w:val="0"/>
          <w:numId w:val="72"/>
        </w:numPr>
        <w:rPr>
          <w:rFonts w:ascii="Arial" w:cs="Arial" w:eastAsia="Arial" w:hAnsi="Arial"/>
          <w:sz w:val="18"/>
          <w:szCs w:val="18"/>
          <w:color w:val="auto"/>
        </w:rPr>
      </w:pPr>
      <w:r>
        <w:rPr>
          <w:rFonts w:ascii="Arial" w:cs="Arial" w:eastAsia="Arial" w:hAnsi="Arial"/>
          <w:sz w:val="18"/>
          <w:szCs w:val="18"/>
          <w:color w:val="auto"/>
        </w:rPr>
        <w:t>Vehicle sales data may include rounding differences.</w:t>
      </w:r>
    </w:p>
    <w:p>
      <w:pPr>
        <w:spacing w:after="0" w:line="90" w:lineRule="exact"/>
        <w:rPr>
          <w:rFonts w:ascii="Arial" w:cs="Arial" w:eastAsia="Arial" w:hAnsi="Arial"/>
          <w:sz w:val="18"/>
          <w:szCs w:val="18"/>
          <w:color w:val="auto"/>
        </w:rPr>
      </w:pPr>
    </w:p>
    <w:p>
      <w:pPr>
        <w:ind w:left="460" w:hanging="452"/>
        <w:spacing w:after="0"/>
        <w:tabs>
          <w:tab w:leader="none" w:pos="460" w:val="left"/>
        </w:tabs>
        <w:numPr>
          <w:ilvl w:val="0"/>
          <w:numId w:val="72"/>
        </w:numPr>
        <w:rPr>
          <w:rFonts w:ascii="Arial" w:cs="Arial" w:eastAsia="Arial" w:hAnsi="Arial"/>
          <w:sz w:val="16"/>
          <w:szCs w:val="16"/>
          <w:color w:val="auto"/>
        </w:rPr>
      </w:pPr>
      <w:r>
        <w:rPr>
          <w:rFonts w:ascii="Arial" w:cs="Arial" w:eastAsia="Arial" w:hAnsi="Arial"/>
          <w:sz w:val="16"/>
          <w:szCs w:val="16"/>
          <w:color w:val="auto"/>
        </w:rPr>
        <w:t>Certain fleet sales that are accounted for as operating leases are included in vehicle sales at the time of delivery to the daily rental car companies.</w:t>
      </w:r>
    </w:p>
    <w:p>
      <w:pPr>
        <w:spacing w:after="0" w:line="113" w:lineRule="exact"/>
        <w:rPr>
          <w:rFonts w:ascii="Arial" w:cs="Arial" w:eastAsia="Arial" w:hAnsi="Arial"/>
          <w:sz w:val="16"/>
          <w:szCs w:val="16"/>
          <w:color w:val="auto"/>
        </w:rPr>
      </w:pPr>
    </w:p>
    <w:p>
      <w:pPr>
        <w:ind w:left="460" w:hanging="452"/>
        <w:spacing w:after="0"/>
        <w:tabs>
          <w:tab w:leader="none" w:pos="460" w:val="left"/>
        </w:tabs>
        <w:numPr>
          <w:ilvl w:val="0"/>
          <w:numId w:val="72"/>
        </w:numPr>
        <w:rPr>
          <w:rFonts w:ascii="Arial" w:cs="Arial" w:eastAsia="Arial" w:hAnsi="Arial"/>
          <w:sz w:val="18"/>
          <w:szCs w:val="18"/>
          <w:color w:val="auto"/>
        </w:rPr>
      </w:pPr>
      <w:r>
        <w:rPr>
          <w:rFonts w:ascii="Arial" w:cs="Arial" w:eastAsia="Arial" w:hAnsi="Arial"/>
          <w:sz w:val="18"/>
          <w:szCs w:val="18"/>
          <w:color w:val="auto"/>
        </w:rPr>
        <w:t>Vehicle sales primarily represent sales to the ultimate customer.</w:t>
      </w:r>
    </w:p>
    <w:p>
      <w:pPr>
        <w:spacing w:after="0" w:line="90" w:lineRule="exact"/>
        <w:rPr>
          <w:rFonts w:ascii="Arial" w:cs="Arial" w:eastAsia="Arial" w:hAnsi="Arial"/>
          <w:sz w:val="18"/>
          <w:szCs w:val="18"/>
          <w:color w:val="auto"/>
        </w:rPr>
      </w:pPr>
    </w:p>
    <w:p>
      <w:pPr>
        <w:ind w:left="460" w:hanging="452"/>
        <w:spacing w:after="0"/>
        <w:tabs>
          <w:tab w:leader="none" w:pos="460" w:val="left"/>
        </w:tabs>
        <w:numPr>
          <w:ilvl w:val="0"/>
          <w:numId w:val="72"/>
        </w:numPr>
        <w:rPr>
          <w:rFonts w:ascii="Arial" w:cs="Arial" w:eastAsia="Arial" w:hAnsi="Arial"/>
          <w:sz w:val="18"/>
          <w:szCs w:val="18"/>
          <w:color w:val="auto"/>
        </w:rPr>
      </w:pPr>
      <w:r>
        <w:rPr>
          <w:rFonts w:ascii="Arial" w:cs="Arial" w:eastAsia="Arial" w:hAnsi="Arial"/>
          <w:sz w:val="18"/>
          <w:szCs w:val="18"/>
          <w:color w:val="auto"/>
        </w:rPr>
        <w:t>Vehicle sales primarily represent estimated sales to the ultimate customer.</w:t>
      </w:r>
    </w:p>
    <w:p>
      <w:pPr>
        <w:spacing w:after="0" w:line="90" w:lineRule="exact"/>
        <w:rPr>
          <w:rFonts w:ascii="Arial" w:cs="Arial" w:eastAsia="Arial" w:hAnsi="Arial"/>
          <w:sz w:val="18"/>
          <w:szCs w:val="18"/>
          <w:color w:val="auto"/>
        </w:rPr>
      </w:pPr>
    </w:p>
    <w:p>
      <w:pPr>
        <w:ind w:left="460" w:hanging="452"/>
        <w:spacing w:after="0" w:line="255" w:lineRule="auto"/>
        <w:tabs>
          <w:tab w:leader="none" w:pos="460" w:val="left"/>
        </w:tabs>
        <w:numPr>
          <w:ilvl w:val="0"/>
          <w:numId w:val="72"/>
        </w:numPr>
        <w:rPr>
          <w:rFonts w:ascii="Arial" w:cs="Arial" w:eastAsia="Arial" w:hAnsi="Arial"/>
          <w:sz w:val="18"/>
          <w:szCs w:val="18"/>
          <w:color w:val="auto"/>
        </w:rPr>
      </w:pPr>
      <w:r>
        <w:rPr>
          <w:rFonts w:ascii="Arial" w:cs="Arial" w:eastAsia="Arial" w:hAnsi="Arial"/>
          <w:sz w:val="18"/>
          <w:szCs w:val="18"/>
          <w:color w:val="auto"/>
        </w:rPr>
        <w:t>Includes SGM joint venture vehicle sales in China of 262,000 vehicles and 713,000 vehicles and SGMW, FAW-GM joint venture vehicle sales in China and HKJV joint venture vehicle sales in India of 313,000 vehicles and 1.0 million vehicles in the three and nine months ended September 30, 2010 and combined GM and Old GM SGM joint venture vehicle sales in China of 195,000 vehicles and 473,000 vehicles and combined GM and Old GM SGMW and FAW-GM joint venture vehicle sales in China of 271,000 vehicles and 763,000 vehicles in the three and nine months ended September 30, 2009. We do not record revenue from our joint ventures’ vehicle sales.</w:t>
      </w:r>
    </w:p>
    <w:p>
      <w:pPr>
        <w:spacing w:after="0" w:line="1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100</w:t>
      </w:r>
    </w:p>
    <w:p>
      <w:pPr>
        <w:sectPr>
          <w:pgSz w:w="11900" w:h="16838" w:orient="portrait"/>
          <w:cols w:equalWidth="0" w:num="1">
            <w:col w:w="11420"/>
          </w:cols>
          <w:pgMar w:left="240" w:top="459" w:right="239" w:bottom="1440" w:gutter="0" w:footer="0" w:header="0"/>
        </w:sectPr>
      </w:pPr>
    </w:p>
    <w:bookmarkStart w:id="102" w:name="page103"/>
    <w:bookmarkEnd w:id="10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258" w:lineRule="exact"/>
        <w:rPr>
          <w:sz w:val="20"/>
          <w:szCs w:val="20"/>
          <w:color w:val="auto"/>
        </w:rPr>
      </w:pPr>
    </w:p>
    <w:p>
      <w:pPr>
        <w:ind w:left="460" w:right="300" w:hanging="452"/>
        <w:spacing w:after="0" w:line="268" w:lineRule="auto"/>
        <w:tabs>
          <w:tab w:leader="none" w:pos="460" w:val="left"/>
        </w:tabs>
        <w:numPr>
          <w:ilvl w:val="0"/>
          <w:numId w:val="73"/>
        </w:numPr>
        <w:rPr>
          <w:rFonts w:ascii="Arial" w:cs="Arial" w:eastAsia="Arial" w:hAnsi="Arial"/>
          <w:sz w:val="18"/>
          <w:szCs w:val="18"/>
          <w:color w:val="auto"/>
        </w:rPr>
      </w:pPr>
      <w:r>
        <w:rPr>
          <w:rFonts w:ascii="Arial" w:cs="Arial" w:eastAsia="Arial" w:hAnsi="Arial"/>
          <w:sz w:val="18"/>
          <w:szCs w:val="18"/>
          <w:color w:val="auto"/>
        </w:rPr>
        <w:t>The joint venture agreements with SGMW (34%) and FAW-GM (50%) allow for significant rights as a member as well as the contractual right to report SGMW and FAW-GM joint venture vehicle sales in China.</w:t>
      </w:r>
    </w:p>
    <w:p>
      <w:pPr>
        <w:spacing w:after="0" w:line="132"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Reconciliation of Consolidated and Segment Results</w:t>
      </w:r>
    </w:p>
    <w:p>
      <w:pPr>
        <w:spacing w:after="0" w:line="171" w:lineRule="exact"/>
        <w:rPr>
          <w:sz w:val="20"/>
          <w:szCs w:val="20"/>
          <w:color w:val="auto"/>
        </w:rPr>
      </w:pPr>
    </w:p>
    <w:p>
      <w:pPr>
        <w:ind w:right="20" w:firstLine="228"/>
        <w:spacing w:after="0" w:line="294" w:lineRule="auto"/>
        <w:rPr>
          <w:sz w:val="20"/>
          <w:szCs w:val="20"/>
          <w:color w:val="auto"/>
        </w:rPr>
      </w:pPr>
      <w:r>
        <w:rPr>
          <w:rFonts w:ascii="Arial" w:cs="Arial" w:eastAsia="Arial" w:hAnsi="Arial"/>
          <w:sz w:val="16"/>
          <w:szCs w:val="16"/>
          <w:color w:val="auto"/>
        </w:rPr>
        <w:t>Management believes EBIT provides meaningful supplemental information regarding our operating results because it excludes amounts that management does not consider part of operating results when assessing and measuring the operational and financial performance of the organization. Management believes these measures allow it to readily view operating trends, perform analytical comparisons, benchmark performance between periods and among geographic regions and assess whether our plan to return to profitability is on target. Accordingly, we believe EBIT is useful in allowing for greater transparency of our core operations and it is therefore used by management in its financial and operational decision-making.</w:t>
      </w:r>
    </w:p>
    <w:p>
      <w:pPr>
        <w:spacing w:after="0" w:line="116" w:lineRule="exact"/>
        <w:rPr>
          <w:sz w:val="20"/>
          <w:szCs w:val="20"/>
          <w:color w:val="auto"/>
        </w:rPr>
      </w:pPr>
    </w:p>
    <w:p>
      <w:pPr>
        <w:ind w:right="100" w:firstLine="228"/>
        <w:spacing w:after="0" w:line="255" w:lineRule="auto"/>
        <w:rPr>
          <w:sz w:val="20"/>
          <w:szCs w:val="20"/>
          <w:color w:val="auto"/>
        </w:rPr>
      </w:pPr>
      <w:r>
        <w:rPr>
          <w:rFonts w:ascii="Arial" w:cs="Arial" w:eastAsia="Arial" w:hAnsi="Arial"/>
          <w:sz w:val="18"/>
          <w:szCs w:val="18"/>
          <w:color w:val="auto"/>
        </w:rPr>
        <w:t>While management believes that EBIT provides useful information, it is not an operating measure under U.S. GAAP and there are limitations associated with its use. Our calculation of EBIT may not be completely comparable to similarly titled measures of other companies due to potential differences between companies in the method of calculation. As a result, the use of EBIT has limitations and should not be considered in isolation from, or as a substitute for, other measures such as Net income (loss) or Net income (loss) attributable to common stockholders. Due to these limitations, EBIT is used as a supplement to U.S. GAAP measures.</w:t>
      </w:r>
    </w:p>
    <w:p>
      <w:pPr>
        <w:spacing w:after="0" w:line="143" w:lineRule="exact"/>
        <w:rPr>
          <w:sz w:val="20"/>
          <w:szCs w:val="20"/>
          <w:color w:val="auto"/>
        </w:rPr>
      </w:pPr>
    </w:p>
    <w:p>
      <w:pPr>
        <w:ind w:right="340" w:firstLine="228"/>
        <w:spacing w:after="0" w:line="268" w:lineRule="auto"/>
        <w:rPr>
          <w:sz w:val="20"/>
          <w:szCs w:val="20"/>
          <w:color w:val="auto"/>
        </w:rPr>
      </w:pPr>
      <w:r>
        <w:rPr>
          <w:rFonts w:ascii="Arial" w:cs="Arial" w:eastAsia="Arial" w:hAnsi="Arial"/>
          <w:sz w:val="18"/>
          <w:szCs w:val="18"/>
          <w:color w:val="auto"/>
        </w:rPr>
        <w:t>The following table summarizes the reconciliation of EBIT to Net income (loss) attributable to stockholders for each of our operating segments (dollars in millions):</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740" w:type="dxa"/>
            <w:vAlign w:val="bottom"/>
            <w:tcBorders>
              <w:bottom w:val="single" w:sz="8" w:color="auto"/>
            </w:tcBorders>
            <w:gridSpan w:val="4"/>
          </w:tcPr>
          <w:p>
            <w:pPr>
              <w:jc w:val="right"/>
              <w:ind w:right="740"/>
              <w:spacing w:after="0"/>
              <w:rPr>
                <w:sz w:val="20"/>
                <w:szCs w:val="20"/>
                <w:color w:val="auto"/>
              </w:rPr>
            </w:pPr>
            <w:r>
              <w:rPr>
                <w:rFonts w:ascii="Arial" w:cs="Arial" w:eastAsia="Arial" w:hAnsi="Arial"/>
                <w:sz w:val="14"/>
                <w:szCs w:val="14"/>
                <w:b w:val="1"/>
                <w:bCs w:val="1"/>
                <w:color w:val="auto"/>
              </w:rPr>
              <w:t>Successor</w:t>
            </w:r>
          </w:p>
        </w:tc>
        <w:tc>
          <w:tcPr>
            <w:tcW w:w="8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460" w:type="dxa"/>
            <w:vAlign w:val="bottom"/>
            <w:tcBorders>
              <w:right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820" w:type="dxa"/>
            <w:vAlign w:val="bottom"/>
            <w:tcBorders>
              <w:bottom w:val="single" w:sz="8" w:color="auto"/>
            </w:tcBorders>
            <w:gridSpan w:val="5"/>
          </w:tcPr>
          <w:p>
            <w:pPr>
              <w:jc w:val="right"/>
              <w:ind w:right="720"/>
              <w:spacing w:after="0"/>
              <w:rPr>
                <w:sz w:val="20"/>
                <w:szCs w:val="20"/>
                <w:color w:val="auto"/>
              </w:rPr>
            </w:pPr>
            <w:r>
              <w:rPr>
                <w:rFonts w:ascii="Arial" w:cs="Arial" w:eastAsia="Arial" w:hAnsi="Arial"/>
                <w:sz w:val="14"/>
                <w:szCs w:val="14"/>
                <w:b w:val="1"/>
                <w:bCs w:val="1"/>
                <w:color w:val="auto"/>
              </w:rPr>
              <w:t>Predecessor</w:t>
            </w:r>
          </w:p>
        </w:tc>
        <w:tc>
          <w:tcPr>
            <w:tcW w:w="60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3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0" w:type="dxa"/>
            <w:vAlign w:val="bottom"/>
            <w:gridSpan w:val="4"/>
          </w:tcPr>
          <w:p>
            <w:pPr>
              <w:jc w:val="center"/>
              <w:ind w:right="260"/>
              <w:spacing w:after="0" w:line="129" w:lineRule="exact"/>
              <w:rPr>
                <w:sz w:val="20"/>
                <w:szCs w:val="20"/>
                <w:color w:val="auto"/>
              </w:rPr>
            </w:pPr>
            <w:r>
              <w:rPr>
                <w:rFonts w:ascii="Arial" w:cs="Arial" w:eastAsia="Arial" w:hAnsi="Arial"/>
                <w:sz w:val="14"/>
                <w:szCs w:val="14"/>
                <w:b w:val="1"/>
                <w:bCs w:val="1"/>
                <w:color w:val="auto"/>
                <w:w w:val="89"/>
              </w:rPr>
              <w:t>Three Months</w:t>
            </w:r>
          </w:p>
        </w:tc>
        <w:tc>
          <w:tcPr>
            <w:tcW w:w="80" w:type="dxa"/>
            <w:vAlign w:val="bottom"/>
          </w:tcPr>
          <w:p>
            <w:pPr>
              <w:spacing w:after="0"/>
              <w:rPr>
                <w:sz w:val="11"/>
                <w:szCs w:val="11"/>
                <w:color w:val="auto"/>
              </w:rPr>
            </w:pPr>
          </w:p>
        </w:tc>
        <w:tc>
          <w:tcPr>
            <w:tcW w:w="1740" w:type="dxa"/>
            <w:vAlign w:val="bottom"/>
            <w:gridSpan w:val="4"/>
          </w:tcPr>
          <w:p>
            <w:pPr>
              <w:jc w:val="center"/>
              <w:ind w:right="360"/>
              <w:spacing w:after="0" w:line="129" w:lineRule="exact"/>
              <w:rPr>
                <w:sz w:val="20"/>
                <w:szCs w:val="20"/>
                <w:color w:val="auto"/>
              </w:rPr>
            </w:pPr>
            <w:r>
              <w:rPr>
                <w:rFonts w:ascii="Arial" w:cs="Arial" w:eastAsia="Arial" w:hAnsi="Arial"/>
                <w:sz w:val="14"/>
                <w:szCs w:val="14"/>
                <w:b w:val="1"/>
                <w:bCs w:val="1"/>
                <w:color w:val="auto"/>
                <w:w w:val="88"/>
              </w:rPr>
              <w:t>Nine Months</w:t>
            </w:r>
          </w:p>
        </w:tc>
        <w:tc>
          <w:tcPr>
            <w:tcW w:w="80" w:type="dxa"/>
            <w:vAlign w:val="bottom"/>
          </w:tcPr>
          <w:p>
            <w:pPr>
              <w:spacing w:after="0"/>
              <w:rPr>
                <w:sz w:val="11"/>
                <w:szCs w:val="11"/>
                <w:color w:val="auto"/>
              </w:rPr>
            </w:pPr>
          </w:p>
        </w:tc>
        <w:tc>
          <w:tcPr>
            <w:tcW w:w="1280" w:type="dxa"/>
            <w:vAlign w:val="bottom"/>
            <w:gridSpan w:val="3"/>
          </w:tcPr>
          <w:p>
            <w:pPr>
              <w:jc w:val="center"/>
              <w:ind w:right="22"/>
              <w:spacing w:after="0" w:line="129" w:lineRule="exact"/>
              <w:rPr>
                <w:sz w:val="20"/>
                <w:szCs w:val="20"/>
                <w:color w:val="auto"/>
              </w:rPr>
            </w:pPr>
            <w:r>
              <w:rPr>
                <w:rFonts w:ascii="Arial" w:cs="Arial" w:eastAsia="Arial" w:hAnsi="Arial"/>
                <w:sz w:val="14"/>
                <w:szCs w:val="14"/>
                <w:b w:val="1"/>
                <w:bCs w:val="1"/>
                <w:color w:val="auto"/>
                <w:w w:val="85"/>
              </w:rPr>
              <w:t>July 10, 2009</w:t>
            </w:r>
          </w:p>
        </w:tc>
        <w:tc>
          <w:tcPr>
            <w:tcW w:w="460" w:type="dxa"/>
            <w:vAlign w:val="bottom"/>
            <w:tcBorders>
              <w:right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20" w:type="dxa"/>
            <w:vAlign w:val="bottom"/>
            <w:gridSpan w:val="4"/>
          </w:tcPr>
          <w:p>
            <w:pPr>
              <w:jc w:val="center"/>
              <w:ind w:right="320"/>
              <w:spacing w:after="0" w:line="129" w:lineRule="exact"/>
              <w:rPr>
                <w:sz w:val="20"/>
                <w:szCs w:val="20"/>
                <w:color w:val="auto"/>
              </w:rPr>
            </w:pPr>
            <w:r>
              <w:rPr>
                <w:rFonts w:ascii="Arial" w:cs="Arial" w:eastAsia="Arial" w:hAnsi="Arial"/>
                <w:sz w:val="14"/>
                <w:szCs w:val="14"/>
                <w:b w:val="1"/>
                <w:bCs w:val="1"/>
                <w:color w:val="auto"/>
                <w:w w:val="88"/>
              </w:rPr>
              <w:t>July 1, 2009</w:t>
            </w:r>
          </w:p>
        </w:tc>
        <w:tc>
          <w:tcPr>
            <w:tcW w:w="100" w:type="dxa"/>
            <w:vAlign w:val="bottom"/>
          </w:tcPr>
          <w:p>
            <w:pPr>
              <w:spacing w:after="0"/>
              <w:rPr>
                <w:sz w:val="11"/>
                <w:szCs w:val="11"/>
                <w:color w:val="auto"/>
              </w:rPr>
            </w:pPr>
          </w:p>
        </w:tc>
        <w:tc>
          <w:tcPr>
            <w:tcW w:w="1500" w:type="dxa"/>
            <w:vAlign w:val="bottom"/>
            <w:gridSpan w:val="3"/>
          </w:tcPr>
          <w:p>
            <w:pPr>
              <w:jc w:val="center"/>
              <w:spacing w:after="0" w:line="129" w:lineRule="exact"/>
              <w:rPr>
                <w:sz w:val="20"/>
                <w:szCs w:val="20"/>
                <w:color w:val="auto"/>
              </w:rPr>
            </w:pPr>
            <w:r>
              <w:rPr>
                <w:rFonts w:ascii="Arial" w:cs="Arial" w:eastAsia="Arial" w:hAnsi="Arial"/>
                <w:sz w:val="14"/>
                <w:szCs w:val="14"/>
                <w:b w:val="1"/>
                <w:bCs w:val="1"/>
                <w:color w:val="auto"/>
                <w:w w:val="88"/>
              </w:rPr>
              <w:t>January 1, 2009</w:t>
            </w:r>
          </w:p>
        </w:tc>
        <w:tc>
          <w:tcPr>
            <w:tcW w:w="2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600" w:type="dxa"/>
            <w:vAlign w:val="bottom"/>
            <w:gridSpan w:val="4"/>
          </w:tcPr>
          <w:p>
            <w:pPr>
              <w:jc w:val="center"/>
              <w:ind w:right="280"/>
              <w:spacing w:after="0" w:line="149" w:lineRule="exact"/>
              <w:rPr>
                <w:sz w:val="20"/>
                <w:szCs w:val="20"/>
                <w:color w:val="auto"/>
              </w:rPr>
            </w:pPr>
            <w:r>
              <w:rPr>
                <w:rFonts w:ascii="Arial" w:cs="Arial" w:eastAsia="Arial" w:hAnsi="Arial"/>
                <w:sz w:val="14"/>
                <w:szCs w:val="14"/>
                <w:b w:val="1"/>
                <w:bCs w:val="1"/>
                <w:color w:val="auto"/>
                <w:w w:val="84"/>
              </w:rPr>
              <w:t>Ended</w:t>
            </w:r>
          </w:p>
        </w:tc>
        <w:tc>
          <w:tcPr>
            <w:tcW w:w="80" w:type="dxa"/>
            <w:vAlign w:val="bottom"/>
          </w:tcPr>
          <w:p>
            <w:pPr>
              <w:spacing w:after="0"/>
              <w:rPr>
                <w:sz w:val="12"/>
                <w:szCs w:val="12"/>
                <w:color w:val="auto"/>
              </w:rPr>
            </w:pPr>
          </w:p>
        </w:tc>
        <w:tc>
          <w:tcPr>
            <w:tcW w:w="1740" w:type="dxa"/>
            <w:vAlign w:val="bottom"/>
            <w:gridSpan w:val="4"/>
          </w:tcPr>
          <w:p>
            <w:pPr>
              <w:jc w:val="center"/>
              <w:ind w:right="360"/>
              <w:spacing w:after="0" w:line="149" w:lineRule="exact"/>
              <w:rPr>
                <w:sz w:val="20"/>
                <w:szCs w:val="20"/>
                <w:color w:val="auto"/>
              </w:rPr>
            </w:pPr>
            <w:r>
              <w:rPr>
                <w:rFonts w:ascii="Arial" w:cs="Arial" w:eastAsia="Arial" w:hAnsi="Arial"/>
                <w:sz w:val="14"/>
                <w:szCs w:val="14"/>
                <w:b w:val="1"/>
                <w:bCs w:val="1"/>
                <w:color w:val="auto"/>
                <w:w w:val="88"/>
              </w:rPr>
              <w:t>Ended</w:t>
            </w:r>
          </w:p>
        </w:tc>
        <w:tc>
          <w:tcPr>
            <w:tcW w:w="80" w:type="dxa"/>
            <w:vAlign w:val="bottom"/>
          </w:tcPr>
          <w:p>
            <w:pPr>
              <w:spacing w:after="0"/>
              <w:rPr>
                <w:sz w:val="12"/>
                <w:szCs w:val="12"/>
                <w:color w:val="auto"/>
              </w:rPr>
            </w:pPr>
          </w:p>
        </w:tc>
        <w:tc>
          <w:tcPr>
            <w:tcW w:w="1740" w:type="dxa"/>
            <w:vAlign w:val="bottom"/>
            <w:tcBorders>
              <w:right w:val="single" w:sz="8" w:color="auto"/>
            </w:tcBorders>
            <w:gridSpan w:val="4"/>
          </w:tcPr>
          <w:p>
            <w:pPr>
              <w:jc w:val="center"/>
              <w:ind w:right="560"/>
              <w:spacing w:after="0" w:line="149" w:lineRule="exact"/>
              <w:rPr>
                <w:sz w:val="20"/>
                <w:szCs w:val="20"/>
                <w:color w:val="auto"/>
              </w:rPr>
            </w:pPr>
            <w:r>
              <w:rPr>
                <w:rFonts w:ascii="Arial" w:cs="Arial" w:eastAsia="Arial" w:hAnsi="Arial"/>
                <w:sz w:val="14"/>
                <w:szCs w:val="14"/>
                <w:b w:val="1"/>
                <w:bCs w:val="1"/>
                <w:color w:val="auto"/>
                <w:w w:val="87"/>
              </w:rPr>
              <w:t>Through</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20" w:type="dxa"/>
            <w:vAlign w:val="bottom"/>
            <w:gridSpan w:val="4"/>
          </w:tcPr>
          <w:p>
            <w:pPr>
              <w:jc w:val="center"/>
              <w:ind w:right="320"/>
              <w:spacing w:after="0" w:line="149" w:lineRule="exact"/>
              <w:rPr>
                <w:sz w:val="20"/>
                <w:szCs w:val="20"/>
                <w:color w:val="auto"/>
              </w:rPr>
            </w:pPr>
            <w:r>
              <w:rPr>
                <w:rFonts w:ascii="Arial" w:cs="Arial" w:eastAsia="Arial" w:hAnsi="Arial"/>
                <w:sz w:val="14"/>
                <w:szCs w:val="14"/>
                <w:b w:val="1"/>
                <w:bCs w:val="1"/>
                <w:color w:val="auto"/>
                <w:w w:val="87"/>
              </w:rPr>
              <w:t>Through</w:t>
            </w:r>
          </w:p>
        </w:tc>
        <w:tc>
          <w:tcPr>
            <w:tcW w:w="100" w:type="dxa"/>
            <w:vAlign w:val="bottom"/>
          </w:tcPr>
          <w:p>
            <w:pPr>
              <w:spacing w:after="0"/>
              <w:rPr>
                <w:sz w:val="12"/>
                <w:szCs w:val="12"/>
                <w:color w:val="auto"/>
              </w:rPr>
            </w:pPr>
          </w:p>
        </w:tc>
        <w:tc>
          <w:tcPr>
            <w:tcW w:w="1700" w:type="dxa"/>
            <w:vAlign w:val="bottom"/>
            <w:gridSpan w:val="4"/>
          </w:tcPr>
          <w:p>
            <w:pPr>
              <w:jc w:val="center"/>
              <w:ind w:right="200"/>
              <w:spacing w:after="0" w:line="149" w:lineRule="exact"/>
              <w:rPr>
                <w:sz w:val="20"/>
                <w:szCs w:val="20"/>
                <w:color w:val="auto"/>
              </w:rPr>
            </w:pPr>
            <w:r>
              <w:rPr>
                <w:rFonts w:ascii="Arial" w:cs="Arial" w:eastAsia="Arial" w:hAnsi="Arial"/>
                <w:sz w:val="14"/>
                <w:szCs w:val="14"/>
                <w:b w:val="1"/>
                <w:bCs w:val="1"/>
                <w:color w:val="auto"/>
                <w:w w:val="87"/>
              </w:rPr>
              <w:t>Through</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600" w:type="dxa"/>
            <w:vAlign w:val="bottom"/>
            <w:gridSpan w:val="4"/>
          </w:tcPr>
          <w:p>
            <w:pPr>
              <w:jc w:val="center"/>
              <w:ind w:right="280"/>
              <w:spacing w:after="0"/>
              <w:rPr>
                <w:sz w:val="20"/>
                <w:szCs w:val="20"/>
                <w:color w:val="auto"/>
              </w:rPr>
            </w:pPr>
            <w:r>
              <w:rPr>
                <w:rFonts w:ascii="Arial" w:cs="Arial" w:eastAsia="Arial" w:hAnsi="Arial"/>
                <w:sz w:val="14"/>
                <w:szCs w:val="14"/>
                <w:b w:val="1"/>
                <w:bCs w:val="1"/>
                <w:color w:val="auto"/>
                <w:w w:val="85"/>
              </w:rPr>
              <w:t>September 30, 2010</w:t>
            </w:r>
          </w:p>
        </w:tc>
        <w:tc>
          <w:tcPr>
            <w:tcW w:w="80" w:type="dxa"/>
            <w:vAlign w:val="bottom"/>
          </w:tcPr>
          <w:p>
            <w:pPr>
              <w:spacing w:after="0"/>
              <w:rPr>
                <w:sz w:val="14"/>
                <w:szCs w:val="14"/>
                <w:color w:val="auto"/>
              </w:rPr>
            </w:pPr>
          </w:p>
        </w:tc>
        <w:tc>
          <w:tcPr>
            <w:tcW w:w="1740" w:type="dxa"/>
            <w:vAlign w:val="bottom"/>
            <w:gridSpan w:val="4"/>
          </w:tcPr>
          <w:p>
            <w:pPr>
              <w:jc w:val="center"/>
              <w:ind w:right="380"/>
              <w:spacing w:after="0"/>
              <w:rPr>
                <w:sz w:val="20"/>
                <w:szCs w:val="20"/>
                <w:color w:val="auto"/>
              </w:rPr>
            </w:pPr>
            <w:r>
              <w:rPr>
                <w:rFonts w:ascii="Arial" w:cs="Arial" w:eastAsia="Arial" w:hAnsi="Arial"/>
                <w:sz w:val="14"/>
                <w:szCs w:val="14"/>
                <w:b w:val="1"/>
                <w:bCs w:val="1"/>
                <w:color w:val="auto"/>
                <w:w w:val="85"/>
              </w:rPr>
              <w:t>September 30, 2010</w:t>
            </w:r>
          </w:p>
        </w:tc>
        <w:tc>
          <w:tcPr>
            <w:tcW w:w="80" w:type="dxa"/>
            <w:vAlign w:val="bottom"/>
          </w:tcPr>
          <w:p>
            <w:pPr>
              <w:spacing w:after="0"/>
              <w:rPr>
                <w:sz w:val="14"/>
                <w:szCs w:val="14"/>
                <w:color w:val="auto"/>
              </w:rPr>
            </w:pPr>
          </w:p>
        </w:tc>
        <w:tc>
          <w:tcPr>
            <w:tcW w:w="1740" w:type="dxa"/>
            <w:vAlign w:val="bottom"/>
            <w:tcBorders>
              <w:right w:val="single" w:sz="8" w:color="auto"/>
            </w:tcBorders>
            <w:gridSpan w:val="4"/>
          </w:tcPr>
          <w:p>
            <w:pPr>
              <w:jc w:val="center"/>
              <w:ind w:right="560"/>
              <w:spacing w:after="0"/>
              <w:rPr>
                <w:sz w:val="20"/>
                <w:szCs w:val="20"/>
                <w:color w:val="auto"/>
              </w:rPr>
            </w:pPr>
            <w:r>
              <w:rPr>
                <w:rFonts w:ascii="Arial" w:cs="Arial" w:eastAsia="Arial" w:hAnsi="Arial"/>
                <w:sz w:val="14"/>
                <w:szCs w:val="14"/>
                <w:b w:val="1"/>
                <w:bCs w:val="1"/>
                <w:color w:val="auto"/>
                <w:w w:val="87"/>
              </w:rPr>
              <w:t>September 30, 2009</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20" w:type="dxa"/>
            <w:vAlign w:val="bottom"/>
            <w:gridSpan w:val="4"/>
          </w:tcPr>
          <w:p>
            <w:pPr>
              <w:jc w:val="center"/>
              <w:ind w:right="320"/>
              <w:spacing w:after="0"/>
              <w:rPr>
                <w:sz w:val="20"/>
                <w:szCs w:val="20"/>
                <w:color w:val="auto"/>
              </w:rPr>
            </w:pPr>
            <w:r>
              <w:rPr>
                <w:rFonts w:ascii="Arial" w:cs="Arial" w:eastAsia="Arial" w:hAnsi="Arial"/>
                <w:sz w:val="14"/>
                <w:szCs w:val="14"/>
                <w:b w:val="1"/>
                <w:bCs w:val="1"/>
                <w:color w:val="auto"/>
                <w:w w:val="88"/>
              </w:rPr>
              <w:t>July 9, 2009</w:t>
            </w:r>
          </w:p>
        </w:tc>
        <w:tc>
          <w:tcPr>
            <w:tcW w:w="100" w:type="dxa"/>
            <w:vAlign w:val="bottom"/>
          </w:tcPr>
          <w:p>
            <w:pPr>
              <w:spacing w:after="0"/>
              <w:rPr>
                <w:sz w:val="14"/>
                <w:szCs w:val="14"/>
                <w:color w:val="auto"/>
              </w:rPr>
            </w:pPr>
          </w:p>
        </w:tc>
        <w:tc>
          <w:tcPr>
            <w:tcW w:w="1700" w:type="dxa"/>
            <w:vAlign w:val="bottom"/>
            <w:gridSpan w:val="4"/>
          </w:tcPr>
          <w:p>
            <w:pPr>
              <w:jc w:val="center"/>
              <w:ind w:right="200"/>
              <w:spacing w:after="0"/>
              <w:rPr>
                <w:sz w:val="20"/>
                <w:szCs w:val="20"/>
                <w:color w:val="auto"/>
              </w:rPr>
            </w:pPr>
            <w:r>
              <w:rPr>
                <w:rFonts w:ascii="Arial" w:cs="Arial" w:eastAsia="Arial" w:hAnsi="Arial"/>
                <w:sz w:val="14"/>
                <w:szCs w:val="14"/>
                <w:b w:val="1"/>
                <w:bCs w:val="1"/>
                <w:color w:val="auto"/>
                <w:w w:val="88"/>
              </w:rPr>
              <w:t>July 9, 2009</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3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00" w:type="dxa"/>
            <w:vAlign w:val="bottom"/>
            <w:tcBorders>
              <w:top w:val="single" w:sz="8" w:color="auto"/>
            </w:tcBorders>
          </w:tcPr>
          <w:p>
            <w:pPr>
              <w:spacing w:after="0"/>
              <w:rPr>
                <w:sz w:val="11"/>
                <w:szCs w:val="11"/>
                <w:color w:val="auto"/>
              </w:rPr>
            </w:pPr>
          </w:p>
        </w:tc>
        <w:tc>
          <w:tcPr>
            <w:tcW w:w="220" w:type="dxa"/>
            <w:vAlign w:val="bottom"/>
            <w:tcBorders>
              <w:top w:val="single" w:sz="8" w:color="auto"/>
            </w:tcBorders>
          </w:tcPr>
          <w:p>
            <w:pPr>
              <w:spacing w:after="0"/>
              <w:rPr>
                <w:sz w:val="11"/>
                <w:szCs w:val="11"/>
                <w:color w:val="auto"/>
              </w:rPr>
            </w:pPr>
          </w:p>
        </w:tc>
        <w:tc>
          <w:tcPr>
            <w:tcW w:w="600" w:type="dxa"/>
            <w:vAlign w:val="bottom"/>
            <w:tcBorders>
              <w:top w:val="single" w:sz="8" w:color="auto"/>
            </w:tcBorders>
          </w:tcPr>
          <w:p>
            <w:pPr>
              <w:jc w:val="center"/>
              <w:spacing w:after="0" w:line="129" w:lineRule="exact"/>
              <w:rPr>
                <w:sz w:val="20"/>
                <w:szCs w:val="20"/>
                <w:color w:val="auto"/>
              </w:rPr>
            </w:pPr>
            <w:r>
              <w:rPr>
                <w:rFonts w:ascii="Arial" w:cs="Arial" w:eastAsia="Arial" w:hAnsi="Arial"/>
                <w:sz w:val="14"/>
                <w:szCs w:val="14"/>
                <w:b w:val="1"/>
                <w:bCs w:val="1"/>
                <w:color w:val="auto"/>
              </w:rPr>
              <w:t>EBIT</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Borders>
              <w:top w:val="single" w:sz="8" w:color="auto"/>
            </w:tcBorders>
          </w:tcPr>
          <w:p>
            <w:pPr>
              <w:spacing w:after="0"/>
              <w:rPr>
                <w:sz w:val="11"/>
                <w:szCs w:val="11"/>
                <w:color w:val="auto"/>
              </w:rPr>
            </w:pPr>
          </w:p>
        </w:tc>
        <w:tc>
          <w:tcPr>
            <w:tcW w:w="220" w:type="dxa"/>
            <w:vAlign w:val="bottom"/>
            <w:tcBorders>
              <w:top w:val="single" w:sz="8" w:color="auto"/>
            </w:tcBorders>
          </w:tcPr>
          <w:p>
            <w:pPr>
              <w:spacing w:after="0"/>
              <w:rPr>
                <w:sz w:val="11"/>
                <w:szCs w:val="11"/>
                <w:color w:val="auto"/>
              </w:rPr>
            </w:pPr>
          </w:p>
        </w:tc>
        <w:tc>
          <w:tcPr>
            <w:tcW w:w="580" w:type="dxa"/>
            <w:vAlign w:val="bottom"/>
            <w:tcBorders>
              <w:top w:val="single" w:sz="8" w:color="auto"/>
            </w:tcBorders>
          </w:tcPr>
          <w:p>
            <w:pPr>
              <w:jc w:val="center"/>
              <w:spacing w:after="0" w:line="129" w:lineRule="exact"/>
              <w:rPr>
                <w:sz w:val="20"/>
                <w:szCs w:val="20"/>
                <w:color w:val="auto"/>
              </w:rPr>
            </w:pPr>
            <w:r>
              <w:rPr>
                <w:rFonts w:ascii="Arial" w:cs="Arial" w:eastAsia="Arial" w:hAnsi="Arial"/>
                <w:sz w:val="14"/>
                <w:szCs w:val="14"/>
                <w:b w:val="1"/>
                <w:bCs w:val="1"/>
                <w:color w:val="auto"/>
              </w:rPr>
              <w:t>EBIT</w:t>
            </w:r>
          </w:p>
        </w:tc>
        <w:tc>
          <w:tcPr>
            <w:tcW w:w="38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460" w:type="dxa"/>
            <w:vAlign w:val="bottom"/>
            <w:tcBorders>
              <w:top w:val="single" w:sz="8" w:color="auto"/>
            </w:tcBorders>
          </w:tcPr>
          <w:p>
            <w:pPr>
              <w:spacing w:after="0"/>
              <w:rPr>
                <w:sz w:val="11"/>
                <w:szCs w:val="11"/>
                <w:color w:val="auto"/>
              </w:rPr>
            </w:pPr>
          </w:p>
        </w:tc>
        <w:tc>
          <w:tcPr>
            <w:tcW w:w="220" w:type="dxa"/>
            <w:vAlign w:val="bottom"/>
            <w:tcBorders>
              <w:top w:val="single" w:sz="8" w:color="auto"/>
            </w:tcBorders>
          </w:tcPr>
          <w:p>
            <w:pPr>
              <w:spacing w:after="0"/>
              <w:rPr>
                <w:sz w:val="11"/>
                <w:szCs w:val="11"/>
                <w:color w:val="auto"/>
              </w:rPr>
            </w:pPr>
          </w:p>
        </w:tc>
        <w:tc>
          <w:tcPr>
            <w:tcW w:w="600" w:type="dxa"/>
            <w:vAlign w:val="bottom"/>
            <w:tcBorders>
              <w:top w:val="single" w:sz="8" w:color="auto"/>
            </w:tcBorders>
          </w:tcPr>
          <w:p>
            <w:pPr>
              <w:jc w:val="center"/>
              <w:spacing w:after="0" w:line="129" w:lineRule="exact"/>
              <w:rPr>
                <w:sz w:val="20"/>
                <w:szCs w:val="20"/>
                <w:color w:val="auto"/>
              </w:rPr>
            </w:pPr>
            <w:r>
              <w:rPr>
                <w:rFonts w:ascii="Arial" w:cs="Arial" w:eastAsia="Arial" w:hAnsi="Arial"/>
                <w:sz w:val="14"/>
                <w:szCs w:val="14"/>
                <w:b w:val="1"/>
                <w:bCs w:val="1"/>
                <w:color w:val="auto"/>
              </w:rPr>
              <w:t>EBIT</w:t>
            </w:r>
          </w:p>
        </w:tc>
        <w:tc>
          <w:tcPr>
            <w:tcW w:w="460" w:type="dxa"/>
            <w:vAlign w:val="bottom"/>
            <w:tcBorders>
              <w:right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580" w:type="dxa"/>
            <w:vAlign w:val="bottom"/>
            <w:tcBorders>
              <w:top w:val="single" w:sz="8" w:color="auto"/>
            </w:tcBorders>
          </w:tcPr>
          <w:p>
            <w:pPr>
              <w:spacing w:after="0"/>
              <w:rPr>
                <w:sz w:val="11"/>
                <w:szCs w:val="11"/>
                <w:color w:val="auto"/>
              </w:rPr>
            </w:pPr>
          </w:p>
        </w:tc>
        <w:tc>
          <w:tcPr>
            <w:tcW w:w="220" w:type="dxa"/>
            <w:vAlign w:val="bottom"/>
            <w:tcBorders>
              <w:top w:val="single" w:sz="8" w:color="auto"/>
            </w:tcBorders>
          </w:tcPr>
          <w:p>
            <w:pPr>
              <w:spacing w:after="0"/>
              <w:rPr>
                <w:sz w:val="11"/>
                <w:szCs w:val="11"/>
                <w:color w:val="auto"/>
              </w:rPr>
            </w:pPr>
          </w:p>
        </w:tc>
        <w:tc>
          <w:tcPr>
            <w:tcW w:w="600" w:type="dxa"/>
            <w:vAlign w:val="bottom"/>
            <w:tcBorders>
              <w:top w:val="single" w:sz="8" w:color="auto"/>
            </w:tcBorders>
          </w:tcPr>
          <w:p>
            <w:pPr>
              <w:jc w:val="center"/>
              <w:spacing w:after="0" w:line="129" w:lineRule="exact"/>
              <w:rPr>
                <w:sz w:val="20"/>
                <w:szCs w:val="20"/>
                <w:color w:val="auto"/>
              </w:rPr>
            </w:pPr>
            <w:r>
              <w:rPr>
                <w:rFonts w:ascii="Arial" w:cs="Arial" w:eastAsia="Arial" w:hAnsi="Arial"/>
                <w:sz w:val="14"/>
                <w:szCs w:val="14"/>
                <w:b w:val="1"/>
                <w:bCs w:val="1"/>
                <w:color w:val="auto"/>
              </w:rPr>
              <w:t>EBIT</w:t>
            </w: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Borders>
              <w:top w:val="single" w:sz="8" w:color="auto"/>
            </w:tcBorders>
          </w:tcPr>
          <w:p>
            <w:pPr>
              <w:spacing w:after="0"/>
              <w:rPr>
                <w:sz w:val="11"/>
                <w:szCs w:val="11"/>
                <w:color w:val="auto"/>
              </w:rPr>
            </w:pPr>
          </w:p>
        </w:tc>
        <w:tc>
          <w:tcPr>
            <w:tcW w:w="220" w:type="dxa"/>
            <w:vAlign w:val="bottom"/>
            <w:tcBorders>
              <w:top w:val="single" w:sz="8" w:color="auto"/>
            </w:tcBorders>
          </w:tcPr>
          <w:p>
            <w:pPr>
              <w:spacing w:after="0"/>
              <w:rPr>
                <w:sz w:val="11"/>
                <w:szCs w:val="11"/>
                <w:color w:val="auto"/>
              </w:rPr>
            </w:pPr>
          </w:p>
        </w:tc>
        <w:tc>
          <w:tcPr>
            <w:tcW w:w="600" w:type="dxa"/>
            <w:vAlign w:val="bottom"/>
            <w:tcBorders>
              <w:top w:val="single" w:sz="8" w:color="auto"/>
            </w:tcBorders>
          </w:tcPr>
          <w:p>
            <w:pPr>
              <w:jc w:val="center"/>
              <w:spacing w:after="0" w:line="129" w:lineRule="exact"/>
              <w:rPr>
                <w:sz w:val="20"/>
                <w:szCs w:val="20"/>
                <w:color w:val="auto"/>
              </w:rPr>
            </w:pPr>
            <w:r>
              <w:rPr>
                <w:rFonts w:ascii="Arial" w:cs="Arial" w:eastAsia="Arial" w:hAnsi="Arial"/>
                <w:sz w:val="14"/>
                <w:szCs w:val="14"/>
                <w:b w:val="1"/>
                <w:bCs w:val="1"/>
                <w:color w:val="auto"/>
              </w:rPr>
              <w:t>EBIT</w:t>
            </w:r>
          </w:p>
        </w:tc>
        <w:tc>
          <w:tcPr>
            <w:tcW w:w="2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8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85"/>
              </w:rPr>
              <w:t>as a % of</w:t>
            </w:r>
          </w:p>
        </w:tc>
        <w:tc>
          <w:tcPr>
            <w:tcW w:w="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60" w:type="dxa"/>
            <w:vAlign w:val="bottom"/>
            <w:gridSpan w:val="2"/>
          </w:tcPr>
          <w:p>
            <w:pPr>
              <w:jc w:val="center"/>
              <w:ind w:right="380"/>
              <w:spacing w:after="0" w:line="149" w:lineRule="exact"/>
              <w:rPr>
                <w:sz w:val="20"/>
                <w:szCs w:val="20"/>
                <w:color w:val="auto"/>
              </w:rPr>
            </w:pPr>
            <w:r>
              <w:rPr>
                <w:rFonts w:ascii="Arial" w:cs="Arial" w:eastAsia="Arial" w:hAnsi="Arial"/>
                <w:sz w:val="14"/>
                <w:szCs w:val="14"/>
                <w:b w:val="1"/>
                <w:bCs w:val="1"/>
                <w:color w:val="auto"/>
                <w:w w:val="88"/>
              </w:rPr>
              <w:t>as a % of</w:t>
            </w: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60" w:type="dxa"/>
            <w:vAlign w:val="bottom"/>
            <w:tcBorders>
              <w:right w:val="single" w:sz="8" w:color="auto"/>
            </w:tcBorders>
            <w:gridSpan w:val="2"/>
          </w:tcPr>
          <w:p>
            <w:pPr>
              <w:jc w:val="center"/>
              <w:ind w:right="480"/>
              <w:spacing w:after="0" w:line="149" w:lineRule="exact"/>
              <w:rPr>
                <w:sz w:val="20"/>
                <w:szCs w:val="20"/>
                <w:color w:val="auto"/>
              </w:rPr>
            </w:pPr>
            <w:r>
              <w:rPr>
                <w:rFonts w:ascii="Arial" w:cs="Arial" w:eastAsia="Arial" w:hAnsi="Arial"/>
                <w:sz w:val="14"/>
                <w:szCs w:val="14"/>
                <w:b w:val="1"/>
                <w:bCs w:val="1"/>
                <w:color w:val="auto"/>
                <w:w w:val="88"/>
              </w:rPr>
              <w:t>as a % of</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2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88"/>
              </w:rPr>
              <w:t>as a % of</w:t>
            </w: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85"/>
              </w:rPr>
              <w:t>as a % of</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8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0"/>
              </w:rPr>
              <w:t>Operating</w:t>
            </w:r>
          </w:p>
        </w:tc>
        <w:tc>
          <w:tcPr>
            <w:tcW w:w="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60" w:type="dxa"/>
            <w:vAlign w:val="bottom"/>
            <w:gridSpan w:val="2"/>
          </w:tcPr>
          <w:p>
            <w:pPr>
              <w:jc w:val="center"/>
              <w:ind w:right="380"/>
              <w:spacing w:after="0" w:line="149" w:lineRule="exact"/>
              <w:rPr>
                <w:sz w:val="20"/>
                <w:szCs w:val="20"/>
                <w:color w:val="auto"/>
              </w:rPr>
            </w:pPr>
            <w:r>
              <w:rPr>
                <w:rFonts w:ascii="Arial" w:cs="Arial" w:eastAsia="Arial" w:hAnsi="Arial"/>
                <w:sz w:val="14"/>
                <w:szCs w:val="14"/>
                <w:b w:val="1"/>
                <w:bCs w:val="1"/>
                <w:color w:val="auto"/>
                <w:w w:val="87"/>
              </w:rPr>
              <w:t>Operating</w:t>
            </w: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60" w:type="dxa"/>
            <w:vAlign w:val="bottom"/>
            <w:tcBorders>
              <w:right w:val="single" w:sz="8" w:color="auto"/>
            </w:tcBorders>
            <w:gridSpan w:val="2"/>
          </w:tcPr>
          <w:p>
            <w:pPr>
              <w:jc w:val="center"/>
              <w:ind w:right="460"/>
              <w:spacing w:after="0" w:line="149" w:lineRule="exact"/>
              <w:rPr>
                <w:sz w:val="20"/>
                <w:szCs w:val="20"/>
                <w:color w:val="auto"/>
              </w:rPr>
            </w:pPr>
            <w:r>
              <w:rPr>
                <w:rFonts w:ascii="Arial" w:cs="Arial" w:eastAsia="Arial" w:hAnsi="Arial"/>
                <w:sz w:val="14"/>
                <w:szCs w:val="14"/>
                <w:b w:val="1"/>
                <w:bCs w:val="1"/>
                <w:color w:val="auto"/>
                <w:w w:val="90"/>
              </w:rPr>
              <w:t>Operating</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2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0"/>
              </w:rPr>
              <w:t>Operating</w:t>
            </w: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90"/>
              </w:rPr>
              <w:t>Operating</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2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w w:val="90"/>
              </w:rPr>
              <w:t>Amount</w:t>
            </w:r>
          </w:p>
        </w:tc>
        <w:tc>
          <w:tcPr>
            <w:tcW w:w="88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83"/>
              </w:rPr>
              <w:t>Segments</w:t>
            </w:r>
          </w:p>
        </w:tc>
        <w:tc>
          <w:tcPr>
            <w:tcW w:w="80" w:type="dxa"/>
            <w:vAlign w:val="bottom"/>
          </w:tcPr>
          <w:p>
            <w:pPr>
              <w:spacing w:after="0"/>
              <w:rPr>
                <w:sz w:val="14"/>
                <w:szCs w:val="14"/>
                <w:color w:val="auto"/>
              </w:rPr>
            </w:pPr>
          </w:p>
        </w:tc>
        <w:tc>
          <w:tcPr>
            <w:tcW w:w="78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w w:val="94"/>
              </w:rPr>
              <w:t>Amount</w:t>
            </w:r>
          </w:p>
        </w:tc>
        <w:tc>
          <w:tcPr>
            <w:tcW w:w="96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80"/>
              </w:rPr>
              <w:t>Segments</w:t>
            </w:r>
          </w:p>
        </w:tc>
        <w:tc>
          <w:tcPr>
            <w:tcW w:w="760" w:type="dxa"/>
            <w:vAlign w:val="bottom"/>
            <w:gridSpan w:val="3"/>
          </w:tcPr>
          <w:p>
            <w:pPr>
              <w:jc w:val="right"/>
              <w:ind w:right="260"/>
              <w:spacing w:after="0"/>
              <w:rPr>
                <w:sz w:val="20"/>
                <w:szCs w:val="20"/>
                <w:color w:val="auto"/>
              </w:rPr>
            </w:pPr>
            <w:r>
              <w:rPr>
                <w:rFonts w:ascii="Arial" w:cs="Arial" w:eastAsia="Arial" w:hAnsi="Arial"/>
                <w:sz w:val="14"/>
                <w:szCs w:val="14"/>
                <w:b w:val="1"/>
                <w:bCs w:val="1"/>
                <w:color w:val="auto"/>
                <w:w w:val="90"/>
              </w:rPr>
              <w:t>Amount</w:t>
            </w:r>
          </w:p>
        </w:tc>
        <w:tc>
          <w:tcPr>
            <w:tcW w:w="1060" w:type="dxa"/>
            <w:vAlign w:val="bottom"/>
            <w:tcBorders>
              <w:right w:val="single" w:sz="8" w:color="auto"/>
            </w:tcBorders>
            <w:gridSpan w:val="2"/>
          </w:tcPr>
          <w:p>
            <w:pPr>
              <w:jc w:val="center"/>
              <w:ind w:right="460"/>
              <w:spacing w:after="0"/>
              <w:rPr>
                <w:sz w:val="20"/>
                <w:szCs w:val="20"/>
                <w:color w:val="auto"/>
              </w:rPr>
            </w:pPr>
            <w:r>
              <w:rPr>
                <w:rFonts w:ascii="Arial" w:cs="Arial" w:eastAsia="Arial" w:hAnsi="Arial"/>
                <w:sz w:val="14"/>
                <w:szCs w:val="14"/>
                <w:b w:val="1"/>
                <w:bCs w:val="1"/>
                <w:color w:val="auto"/>
                <w:w w:val="83"/>
              </w:rPr>
              <w:t>Segments</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auto"/>
                <w:w w:val="86"/>
              </w:rPr>
              <w:t>Amount</w:t>
            </w:r>
          </w:p>
        </w:tc>
        <w:tc>
          <w:tcPr>
            <w:tcW w:w="82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3"/>
              </w:rPr>
              <w:t>Segments</w:t>
            </w:r>
          </w:p>
        </w:tc>
        <w:tc>
          <w:tcPr>
            <w:tcW w:w="100" w:type="dxa"/>
            <w:vAlign w:val="bottom"/>
          </w:tcPr>
          <w:p>
            <w:pPr>
              <w:spacing w:after="0"/>
              <w:rPr>
                <w:sz w:val="14"/>
                <w:szCs w:val="14"/>
                <w:color w:val="auto"/>
              </w:rPr>
            </w:pPr>
          </w:p>
        </w:tc>
        <w:tc>
          <w:tcPr>
            <w:tcW w:w="90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auto"/>
              </w:rPr>
              <w:t>Amount</w:t>
            </w:r>
          </w:p>
        </w:tc>
        <w:tc>
          <w:tcPr>
            <w:tcW w:w="80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83"/>
              </w:rPr>
              <w:t>Segments</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46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Operating segments</w:t>
            </w:r>
          </w:p>
        </w:tc>
        <w:tc>
          <w:tcPr>
            <w:tcW w:w="60" w:type="dxa"/>
            <w:vAlign w:val="bottom"/>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spacing w:after="0"/>
              <w:rPr>
                <w:sz w:val="18"/>
                <w:szCs w:val="18"/>
                <w:color w:val="auto"/>
              </w:rPr>
            </w:pPr>
          </w:p>
        </w:tc>
        <w:tc>
          <w:tcPr>
            <w:tcW w:w="460" w:type="dxa"/>
            <w:vAlign w:val="bottom"/>
            <w:tcBorders>
              <w:right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60" w:type="dxa"/>
            <w:vAlign w:val="bottom"/>
            <w:gridSpan w:val="2"/>
          </w:tcPr>
          <w:p>
            <w:pPr>
              <w:ind w:left="200"/>
              <w:spacing w:after="0"/>
              <w:rPr>
                <w:sz w:val="20"/>
                <w:szCs w:val="20"/>
                <w:color w:val="auto"/>
              </w:rPr>
            </w:pPr>
            <w:r>
              <w:rPr>
                <w:rFonts w:ascii="Arial" w:cs="Arial" w:eastAsia="Arial" w:hAnsi="Arial"/>
                <w:sz w:val="18"/>
                <w:szCs w:val="18"/>
                <w:color w:val="auto"/>
              </w:rPr>
              <w:t>GMNA (a)</w:t>
            </w:r>
          </w:p>
        </w:tc>
        <w:tc>
          <w:tcPr>
            <w:tcW w:w="780" w:type="dxa"/>
            <w:vAlign w:val="bottom"/>
            <w:gridSpan w:val="3"/>
          </w:tcPr>
          <w:p>
            <w:pPr>
              <w:jc w:val="right"/>
              <w:ind w:right="220"/>
              <w:spacing w:after="0"/>
              <w:rPr>
                <w:sz w:val="20"/>
                <w:szCs w:val="20"/>
                <w:color w:val="auto"/>
              </w:rPr>
            </w:pPr>
            <w:r>
              <w:rPr>
                <w:rFonts w:ascii="Arial" w:cs="Arial" w:eastAsia="Arial" w:hAnsi="Arial"/>
                <w:sz w:val="18"/>
                <w:szCs w:val="18"/>
                <w:color w:val="auto"/>
                <w:w w:val="98"/>
              </w:rPr>
              <w:t>$2,125</w:t>
            </w:r>
          </w:p>
        </w:tc>
        <w:tc>
          <w:tcPr>
            <w:tcW w:w="880" w:type="dxa"/>
            <w:vAlign w:val="bottom"/>
            <w:gridSpan w:val="2"/>
          </w:tcPr>
          <w:p>
            <w:pPr>
              <w:jc w:val="right"/>
              <w:ind w:right="140"/>
              <w:spacing w:after="0"/>
              <w:rPr>
                <w:sz w:val="20"/>
                <w:szCs w:val="20"/>
                <w:color w:val="auto"/>
              </w:rPr>
            </w:pPr>
            <w:r>
              <w:rPr>
                <w:rFonts w:ascii="Arial" w:cs="Arial" w:eastAsia="Arial" w:hAnsi="Arial"/>
                <w:sz w:val="18"/>
                <w:szCs w:val="18"/>
                <w:color w:val="auto"/>
              </w:rPr>
              <w:t>96.1%</w:t>
            </w:r>
          </w:p>
        </w:tc>
        <w:tc>
          <w:tcPr>
            <w:tcW w:w="860" w:type="dxa"/>
            <w:vAlign w:val="bottom"/>
            <w:gridSpan w:val="3"/>
          </w:tcPr>
          <w:p>
            <w:pPr>
              <w:jc w:val="right"/>
              <w:ind w:right="220"/>
              <w:spacing w:after="0"/>
              <w:rPr>
                <w:sz w:val="20"/>
                <w:szCs w:val="20"/>
                <w:color w:val="auto"/>
              </w:rPr>
            </w:pPr>
            <w:r>
              <w:rPr>
                <w:rFonts w:ascii="Arial" w:cs="Arial" w:eastAsia="Arial" w:hAnsi="Arial"/>
                <w:sz w:val="18"/>
                <w:szCs w:val="18"/>
                <w:color w:val="auto"/>
              </w:rPr>
              <w:t>$ 4,935</w:t>
            </w: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79.3%</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gridSpan w:val="2"/>
          </w:tcPr>
          <w:p>
            <w:pPr>
              <w:jc w:val="right"/>
              <w:ind w:right="160"/>
              <w:spacing w:after="0"/>
              <w:rPr>
                <w:sz w:val="20"/>
                <w:szCs w:val="20"/>
                <w:color w:val="auto"/>
              </w:rPr>
            </w:pPr>
            <w:r>
              <w:rPr>
                <w:rFonts w:ascii="Arial" w:cs="Arial" w:eastAsia="Arial" w:hAnsi="Arial"/>
                <w:sz w:val="18"/>
                <w:szCs w:val="18"/>
                <w:color w:val="auto"/>
                <w:w w:val="87"/>
              </w:rPr>
              <w:t>(1,377)</w:t>
            </w:r>
          </w:p>
        </w:tc>
        <w:tc>
          <w:tcPr>
            <w:tcW w:w="1060" w:type="dxa"/>
            <w:vAlign w:val="bottom"/>
            <w:tcBorders>
              <w:right w:val="single" w:sz="8" w:color="auto"/>
            </w:tcBorders>
            <w:gridSpan w:val="2"/>
          </w:tcPr>
          <w:p>
            <w:pPr>
              <w:jc w:val="right"/>
              <w:ind w:right="320"/>
              <w:spacing w:after="0"/>
              <w:rPr>
                <w:sz w:val="20"/>
                <w:szCs w:val="20"/>
                <w:color w:val="auto"/>
              </w:rPr>
            </w:pPr>
            <w:r>
              <w:rPr>
                <w:rFonts w:ascii="Arial" w:cs="Arial" w:eastAsia="Arial" w:hAnsi="Arial"/>
                <w:sz w:val="18"/>
                <w:szCs w:val="18"/>
                <w:color w:val="auto"/>
              </w:rPr>
              <w:t>150.0%</w:t>
            </w:r>
          </w:p>
        </w:tc>
        <w:tc>
          <w:tcPr>
            <w:tcW w:w="12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gridSpan w:val="2"/>
          </w:tcPr>
          <w:p>
            <w:pPr>
              <w:jc w:val="right"/>
              <w:ind w:right="160"/>
              <w:spacing w:after="0"/>
              <w:rPr>
                <w:sz w:val="20"/>
                <w:szCs w:val="20"/>
                <w:color w:val="auto"/>
              </w:rPr>
            </w:pPr>
            <w:r>
              <w:rPr>
                <w:rFonts w:ascii="Arial" w:cs="Arial" w:eastAsia="Arial" w:hAnsi="Arial"/>
                <w:sz w:val="18"/>
                <w:szCs w:val="18"/>
                <w:color w:val="auto"/>
              </w:rPr>
              <w:t>(640)</w:t>
            </w:r>
          </w:p>
        </w:tc>
        <w:tc>
          <w:tcPr>
            <w:tcW w:w="820" w:type="dxa"/>
            <w:vAlign w:val="bottom"/>
            <w:gridSpan w:val="2"/>
          </w:tcPr>
          <w:p>
            <w:pPr>
              <w:jc w:val="right"/>
              <w:ind w:right="80"/>
              <w:spacing w:after="0"/>
              <w:rPr>
                <w:sz w:val="20"/>
                <w:szCs w:val="20"/>
                <w:color w:val="auto"/>
              </w:rPr>
            </w:pPr>
            <w:r>
              <w:rPr>
                <w:rFonts w:ascii="Arial" w:cs="Arial" w:eastAsia="Arial" w:hAnsi="Arial"/>
                <w:sz w:val="18"/>
                <w:szCs w:val="18"/>
                <w:color w:val="auto"/>
              </w:rPr>
              <w:t>63.4%</w:t>
            </w:r>
          </w:p>
        </w:tc>
        <w:tc>
          <w:tcPr>
            <w:tcW w:w="1000" w:type="dxa"/>
            <w:vAlign w:val="bottom"/>
            <w:gridSpan w:val="3"/>
          </w:tcPr>
          <w:p>
            <w:pPr>
              <w:jc w:val="right"/>
              <w:ind w:right="160"/>
              <w:spacing w:after="0"/>
              <w:rPr>
                <w:sz w:val="20"/>
                <w:szCs w:val="20"/>
                <w:color w:val="auto"/>
              </w:rPr>
            </w:pPr>
            <w:r>
              <w:rPr>
                <w:rFonts w:ascii="Arial" w:cs="Arial" w:eastAsia="Arial" w:hAnsi="Arial"/>
                <w:sz w:val="18"/>
                <w:szCs w:val="18"/>
                <w:color w:val="auto"/>
                <w:w w:val="99"/>
              </w:rPr>
              <w:t>$ (11,092)</w:t>
            </w:r>
          </w:p>
        </w:tc>
        <w:tc>
          <w:tcPr>
            <w:tcW w:w="800" w:type="dxa"/>
            <w:vAlign w:val="bottom"/>
            <w:gridSpan w:val="2"/>
          </w:tcPr>
          <w:p>
            <w:pPr>
              <w:jc w:val="right"/>
              <w:ind w:right="60"/>
              <w:spacing w:after="0"/>
              <w:rPr>
                <w:sz w:val="20"/>
                <w:szCs w:val="20"/>
                <w:color w:val="auto"/>
              </w:rPr>
            </w:pPr>
            <w:r>
              <w:rPr>
                <w:rFonts w:ascii="Arial" w:cs="Arial" w:eastAsia="Arial" w:hAnsi="Arial"/>
                <w:sz w:val="18"/>
                <w:szCs w:val="18"/>
                <w:color w:val="auto"/>
              </w:rPr>
              <w:t>74.6%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6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GMIO (a)</w:t>
            </w:r>
          </w:p>
        </w:tc>
        <w:tc>
          <w:tcPr>
            <w:tcW w:w="78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646</w:t>
            </w: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29.2%</w:t>
            </w:r>
          </w:p>
        </w:tc>
        <w:tc>
          <w:tcPr>
            <w:tcW w:w="86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2,484</w:t>
            </w: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39.9%</w:t>
            </w:r>
          </w:p>
        </w:tc>
        <w:tc>
          <w:tcPr>
            <w:tcW w:w="8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474</w:t>
            </w:r>
          </w:p>
        </w:tc>
        <w:tc>
          <w:tcPr>
            <w:tcW w:w="220" w:type="dxa"/>
            <w:vAlign w:val="bottom"/>
            <w:shd w:val="clear" w:color="auto" w:fill="CCEEFF"/>
          </w:tcPr>
          <w:p>
            <w:pPr>
              <w:spacing w:after="0"/>
              <w:rPr>
                <w:sz w:val="18"/>
                <w:szCs w:val="18"/>
                <w:color w:val="auto"/>
              </w:rPr>
            </w:pPr>
          </w:p>
        </w:tc>
        <w:tc>
          <w:tcPr>
            <w:tcW w:w="1060" w:type="dxa"/>
            <w:vAlign w:val="bottom"/>
            <w:tcBorders>
              <w:right w:val="single" w:sz="8" w:color="auto"/>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(51.6)%</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(265)</w:t>
            </w:r>
          </w:p>
        </w:tc>
        <w:tc>
          <w:tcPr>
            <w:tcW w:w="8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26.3%</w:t>
            </w:r>
          </w:p>
        </w:tc>
        <w:tc>
          <w:tcPr>
            <w:tcW w:w="100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(964)</w:t>
            </w:r>
          </w:p>
        </w:tc>
        <w:tc>
          <w:tcPr>
            <w:tcW w:w="8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60" w:type="dxa"/>
            <w:vAlign w:val="bottom"/>
            <w:gridSpan w:val="2"/>
          </w:tcPr>
          <w:p>
            <w:pPr>
              <w:ind w:left="200"/>
              <w:spacing w:after="0"/>
              <w:rPr>
                <w:sz w:val="20"/>
                <w:szCs w:val="20"/>
                <w:color w:val="auto"/>
              </w:rPr>
            </w:pPr>
            <w:r>
              <w:rPr>
                <w:rFonts w:ascii="Arial" w:cs="Arial" w:eastAsia="Arial" w:hAnsi="Arial"/>
                <w:sz w:val="18"/>
                <w:szCs w:val="18"/>
                <w:color w:val="auto"/>
              </w:rPr>
              <w:t>GME (a)</w:t>
            </w:r>
          </w:p>
        </w:tc>
        <w:tc>
          <w:tcPr>
            <w:tcW w:w="60" w:type="dxa"/>
            <w:vAlign w:val="bottom"/>
          </w:tcPr>
          <w:p>
            <w:pPr>
              <w:spacing w:after="0"/>
              <w:rPr>
                <w:sz w:val="18"/>
                <w:szCs w:val="18"/>
                <w:color w:val="auto"/>
              </w:rPr>
            </w:pPr>
          </w:p>
        </w:tc>
        <w:tc>
          <w:tcPr>
            <w:tcW w:w="720" w:type="dxa"/>
            <w:vAlign w:val="bottom"/>
            <w:gridSpan w:val="2"/>
          </w:tcPr>
          <w:p>
            <w:pPr>
              <w:jc w:val="right"/>
              <w:ind w:right="160"/>
              <w:spacing w:after="0"/>
              <w:rPr>
                <w:sz w:val="20"/>
                <w:szCs w:val="20"/>
                <w:color w:val="auto"/>
              </w:rPr>
            </w:pPr>
            <w:r>
              <w:rPr>
                <w:rFonts w:ascii="Arial" w:cs="Arial" w:eastAsia="Arial" w:hAnsi="Arial"/>
                <w:sz w:val="18"/>
                <w:szCs w:val="18"/>
                <w:color w:val="auto"/>
              </w:rPr>
              <w:t>(559)</w:t>
            </w:r>
          </w:p>
        </w:tc>
        <w:tc>
          <w:tcPr>
            <w:tcW w:w="880" w:type="dxa"/>
            <w:vAlign w:val="bottom"/>
            <w:gridSpan w:val="2"/>
          </w:tcPr>
          <w:p>
            <w:pPr>
              <w:jc w:val="right"/>
              <w:ind w:right="80"/>
              <w:spacing w:after="0"/>
              <w:rPr>
                <w:sz w:val="20"/>
                <w:szCs w:val="20"/>
                <w:color w:val="auto"/>
              </w:rPr>
            </w:pPr>
            <w:r>
              <w:rPr>
                <w:rFonts w:ascii="Arial" w:cs="Arial" w:eastAsia="Arial" w:hAnsi="Arial"/>
                <w:sz w:val="18"/>
                <w:szCs w:val="18"/>
                <w:color w:val="auto"/>
              </w:rPr>
              <w:t>(25.3)%</w:t>
            </w:r>
          </w:p>
        </w:tc>
        <w:tc>
          <w:tcPr>
            <w:tcW w:w="860" w:type="dxa"/>
            <w:vAlign w:val="bottom"/>
            <w:gridSpan w:val="3"/>
          </w:tcPr>
          <w:p>
            <w:pPr>
              <w:jc w:val="right"/>
              <w:ind w:right="160"/>
              <w:spacing w:after="0"/>
              <w:rPr>
                <w:sz w:val="20"/>
                <w:szCs w:val="20"/>
                <w:color w:val="auto"/>
              </w:rPr>
            </w:pPr>
            <w:r>
              <w:rPr>
                <w:rFonts w:ascii="Arial" w:cs="Arial" w:eastAsia="Arial" w:hAnsi="Arial"/>
                <w:sz w:val="18"/>
                <w:szCs w:val="18"/>
                <w:color w:val="auto"/>
              </w:rPr>
              <w:t>(1,196)</w:t>
            </w:r>
          </w:p>
        </w:tc>
        <w:tc>
          <w:tcPr>
            <w:tcW w:w="960" w:type="dxa"/>
            <w:vAlign w:val="bottom"/>
            <w:gridSpan w:val="2"/>
          </w:tcPr>
          <w:p>
            <w:pPr>
              <w:jc w:val="right"/>
              <w:ind w:right="160"/>
              <w:spacing w:after="0"/>
              <w:rPr>
                <w:sz w:val="20"/>
                <w:szCs w:val="20"/>
                <w:color w:val="auto"/>
              </w:rPr>
            </w:pPr>
            <w:r>
              <w:rPr>
                <w:rFonts w:ascii="Arial" w:cs="Arial" w:eastAsia="Arial" w:hAnsi="Arial"/>
                <w:sz w:val="18"/>
                <w:szCs w:val="18"/>
                <w:color w:val="auto"/>
              </w:rPr>
              <w:t>(19.2)%</w:t>
            </w:r>
          </w:p>
        </w:tc>
        <w:tc>
          <w:tcPr>
            <w:tcW w:w="80" w:type="dxa"/>
            <w:vAlign w:val="bottom"/>
          </w:tcPr>
          <w:p>
            <w:pPr>
              <w:spacing w:after="0"/>
              <w:rPr>
                <w:sz w:val="18"/>
                <w:szCs w:val="18"/>
                <w:color w:val="auto"/>
              </w:rPr>
            </w:pPr>
          </w:p>
        </w:tc>
        <w:tc>
          <w:tcPr>
            <w:tcW w:w="680" w:type="dxa"/>
            <w:vAlign w:val="bottom"/>
            <w:gridSpan w:val="2"/>
          </w:tcPr>
          <w:p>
            <w:pPr>
              <w:jc w:val="right"/>
              <w:ind w:right="160"/>
              <w:spacing w:after="0"/>
              <w:rPr>
                <w:sz w:val="20"/>
                <w:szCs w:val="20"/>
                <w:color w:val="auto"/>
              </w:rPr>
            </w:pPr>
            <w:r>
              <w:rPr>
                <w:rFonts w:ascii="Arial" w:cs="Arial" w:eastAsia="Arial" w:hAnsi="Arial"/>
                <w:sz w:val="18"/>
                <w:szCs w:val="18"/>
                <w:color w:val="auto"/>
              </w:rPr>
              <w:t>(15)</w:t>
            </w:r>
          </w:p>
        </w:tc>
        <w:tc>
          <w:tcPr>
            <w:tcW w:w="1060" w:type="dxa"/>
            <w:vAlign w:val="bottom"/>
            <w:tcBorders>
              <w:right w:val="single" w:sz="8" w:color="auto"/>
            </w:tcBorders>
            <w:gridSpan w:val="2"/>
          </w:tcPr>
          <w:p>
            <w:pPr>
              <w:jc w:val="right"/>
              <w:ind w:right="320"/>
              <w:spacing w:after="0"/>
              <w:rPr>
                <w:sz w:val="20"/>
                <w:szCs w:val="20"/>
                <w:color w:val="auto"/>
              </w:rPr>
            </w:pPr>
            <w:r>
              <w:rPr>
                <w:rFonts w:ascii="Arial" w:cs="Arial" w:eastAsia="Arial" w:hAnsi="Arial"/>
                <w:sz w:val="18"/>
                <w:szCs w:val="18"/>
                <w:color w:val="auto"/>
              </w:rPr>
              <w:t>1.6%</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8"/>
                <w:szCs w:val="18"/>
                <w:color w:val="auto"/>
              </w:rPr>
              <w:t>(104)</w:t>
            </w:r>
          </w:p>
        </w:tc>
        <w:tc>
          <w:tcPr>
            <w:tcW w:w="820" w:type="dxa"/>
            <w:vAlign w:val="bottom"/>
            <w:gridSpan w:val="2"/>
          </w:tcPr>
          <w:p>
            <w:pPr>
              <w:jc w:val="right"/>
              <w:ind w:right="80"/>
              <w:spacing w:after="0"/>
              <w:rPr>
                <w:sz w:val="20"/>
                <w:szCs w:val="20"/>
                <w:color w:val="auto"/>
              </w:rPr>
            </w:pPr>
            <w:r>
              <w:rPr>
                <w:rFonts w:ascii="Arial" w:cs="Arial" w:eastAsia="Arial" w:hAnsi="Arial"/>
                <w:sz w:val="18"/>
                <w:szCs w:val="18"/>
                <w:color w:val="auto"/>
              </w:rPr>
              <w:t>10.3%</w:t>
            </w:r>
          </w:p>
        </w:tc>
        <w:tc>
          <w:tcPr>
            <w:tcW w:w="1000" w:type="dxa"/>
            <w:vAlign w:val="bottom"/>
            <w:gridSpan w:val="3"/>
          </w:tcPr>
          <w:p>
            <w:pPr>
              <w:jc w:val="right"/>
              <w:ind w:right="160"/>
              <w:spacing w:after="0"/>
              <w:rPr>
                <w:sz w:val="20"/>
                <w:szCs w:val="20"/>
                <w:color w:val="auto"/>
              </w:rPr>
            </w:pPr>
            <w:r>
              <w:rPr>
                <w:rFonts w:ascii="Arial" w:cs="Arial" w:eastAsia="Arial" w:hAnsi="Arial"/>
                <w:sz w:val="18"/>
                <w:szCs w:val="18"/>
                <w:color w:val="auto"/>
              </w:rPr>
              <w:t>(2,815)</w:t>
            </w:r>
          </w:p>
        </w:tc>
        <w:tc>
          <w:tcPr>
            <w:tcW w:w="800" w:type="dxa"/>
            <w:vAlign w:val="bottom"/>
            <w:gridSpan w:val="2"/>
          </w:tcPr>
          <w:p>
            <w:pPr>
              <w:jc w:val="right"/>
              <w:ind w:right="60"/>
              <w:spacing w:after="0"/>
              <w:rPr>
                <w:sz w:val="20"/>
                <w:szCs w:val="20"/>
                <w:color w:val="auto"/>
              </w:rPr>
            </w:pPr>
            <w:r>
              <w:rPr>
                <w:rFonts w:ascii="Arial" w:cs="Arial" w:eastAsia="Arial" w:hAnsi="Arial"/>
                <w:sz w:val="18"/>
                <w:szCs w:val="18"/>
                <w:color w:val="auto"/>
              </w:rPr>
              <w:t>18.9%</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6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80" w:type="dxa"/>
            <w:vAlign w:val="bottom"/>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460" w:type="dxa"/>
            <w:vAlign w:val="bottom"/>
            <w:tcBorders>
              <w:right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246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Total operating segments</w:t>
            </w:r>
          </w:p>
        </w:tc>
        <w:tc>
          <w:tcPr>
            <w:tcW w:w="6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2,212</w:t>
            </w: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100.0%</w:t>
            </w:r>
          </w:p>
        </w:tc>
        <w:tc>
          <w:tcPr>
            <w:tcW w:w="86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6,223</w:t>
            </w: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100.0%</w:t>
            </w: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(918)</w:t>
            </w:r>
          </w:p>
        </w:tc>
        <w:tc>
          <w:tcPr>
            <w:tcW w:w="1060" w:type="dxa"/>
            <w:vAlign w:val="bottom"/>
            <w:tcBorders>
              <w:right w:val="single" w:sz="8" w:color="auto"/>
            </w:tcBorders>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100.0%</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(1,009)</w:t>
            </w:r>
          </w:p>
        </w:tc>
        <w:tc>
          <w:tcPr>
            <w:tcW w:w="8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100.0%</w:t>
            </w:r>
          </w:p>
        </w:tc>
        <w:tc>
          <w:tcPr>
            <w:tcW w:w="100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(14,871)</w:t>
            </w:r>
          </w:p>
        </w:tc>
        <w:tc>
          <w:tcPr>
            <w:tcW w:w="8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0"/>
        </w:trPr>
        <w:tc>
          <w:tcPr>
            <w:tcW w:w="2480" w:type="dxa"/>
            <w:vAlign w:val="bottom"/>
            <w:gridSpan w:val="3"/>
            <w:vMerge w:val="restart"/>
          </w:tcPr>
          <w:p>
            <w:pPr>
              <w:spacing w:after="0"/>
              <w:rPr>
                <w:sz w:val="20"/>
                <w:szCs w:val="20"/>
                <w:color w:val="auto"/>
              </w:rPr>
            </w:pPr>
            <w:r>
              <w:rPr>
                <w:rFonts w:ascii="Arial" w:cs="Arial" w:eastAsia="Arial" w:hAnsi="Arial"/>
                <w:sz w:val="18"/>
                <w:szCs w:val="18"/>
                <w:color w:val="auto"/>
              </w:rPr>
              <w:t>Corporate and eliminations (b)</w:t>
            </w:r>
          </w:p>
        </w:tc>
        <w:tc>
          <w:tcPr>
            <w:tcW w:w="780" w:type="dxa"/>
            <w:vAlign w:val="bottom"/>
            <w:gridSpan w:val="3"/>
            <w:vMerge w:val="restart"/>
          </w:tcPr>
          <w:p>
            <w:pPr>
              <w:jc w:val="right"/>
              <w:ind w:right="220"/>
              <w:spacing w:after="0"/>
              <w:rPr>
                <w:sz w:val="20"/>
                <w:szCs w:val="20"/>
                <w:color w:val="auto"/>
              </w:rPr>
            </w:pPr>
            <w:r>
              <w:rPr>
                <w:rFonts w:ascii="Arial" w:cs="Arial" w:eastAsia="Arial" w:hAnsi="Arial"/>
                <w:sz w:val="18"/>
                <w:szCs w:val="18"/>
                <w:color w:val="auto"/>
              </w:rPr>
              <w:t>63</w:t>
            </w:r>
          </w:p>
        </w:tc>
        <w:tc>
          <w:tcPr>
            <w:tcW w:w="6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60" w:type="dxa"/>
            <w:vAlign w:val="bottom"/>
            <w:gridSpan w:val="3"/>
            <w:vMerge w:val="restart"/>
          </w:tcPr>
          <w:p>
            <w:pPr>
              <w:jc w:val="right"/>
              <w:ind w:right="160"/>
              <w:spacing w:after="0"/>
              <w:rPr>
                <w:sz w:val="20"/>
                <w:szCs w:val="20"/>
                <w:color w:val="auto"/>
              </w:rPr>
            </w:pPr>
            <w:r>
              <w:rPr>
                <w:rFonts w:ascii="Arial" w:cs="Arial" w:eastAsia="Arial" w:hAnsi="Arial"/>
                <w:sz w:val="18"/>
                <w:szCs w:val="18"/>
                <w:color w:val="auto"/>
              </w:rPr>
              <w:t>(91)</w:t>
            </w:r>
          </w:p>
        </w:tc>
        <w:tc>
          <w:tcPr>
            <w:tcW w:w="5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vMerge w:val="restart"/>
          </w:tcPr>
          <w:p>
            <w:pPr>
              <w:jc w:val="right"/>
              <w:spacing w:after="0"/>
              <w:rPr>
                <w:sz w:val="20"/>
                <w:szCs w:val="20"/>
                <w:color w:val="auto"/>
              </w:rPr>
            </w:pPr>
            <w:r>
              <w:rPr>
                <w:rFonts w:ascii="Arial" w:cs="Arial" w:eastAsia="Arial" w:hAnsi="Arial"/>
                <w:sz w:val="18"/>
                <w:szCs w:val="18"/>
                <w:color w:val="auto"/>
              </w:rPr>
              <w:t>177</w:t>
            </w:r>
          </w:p>
        </w:tc>
        <w:tc>
          <w:tcPr>
            <w:tcW w:w="22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right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vMerge w:val="restart"/>
          </w:tcPr>
          <w:p>
            <w:pPr>
              <w:jc w:val="right"/>
              <w:spacing w:after="0"/>
              <w:rPr>
                <w:sz w:val="20"/>
                <w:szCs w:val="20"/>
                <w:color w:val="auto"/>
              </w:rPr>
            </w:pPr>
            <w:r>
              <w:rPr>
                <w:rFonts w:ascii="Arial" w:cs="Arial" w:eastAsia="Arial" w:hAnsi="Arial"/>
                <w:sz w:val="18"/>
                <w:szCs w:val="18"/>
                <w:color w:val="auto"/>
                <w:w w:val="86"/>
              </w:rPr>
              <w:t>129,213</w:t>
            </w:r>
          </w:p>
        </w:tc>
        <w:tc>
          <w:tcPr>
            <w:tcW w:w="22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0" w:type="dxa"/>
            <w:vAlign w:val="bottom"/>
            <w:gridSpan w:val="3"/>
            <w:vMerge w:val="restart"/>
          </w:tcPr>
          <w:p>
            <w:pPr>
              <w:jc w:val="right"/>
              <w:ind w:right="220"/>
              <w:spacing w:after="0"/>
              <w:rPr>
                <w:sz w:val="20"/>
                <w:szCs w:val="20"/>
                <w:color w:val="auto"/>
              </w:rPr>
            </w:pPr>
            <w:r>
              <w:rPr>
                <w:rFonts w:ascii="Arial" w:cs="Arial" w:eastAsia="Arial" w:hAnsi="Arial"/>
                <w:sz w:val="18"/>
                <w:szCs w:val="18"/>
                <w:color w:val="auto"/>
              </w:rPr>
              <w:t>128,068</w:t>
            </w:r>
          </w:p>
        </w:tc>
        <w:tc>
          <w:tcPr>
            <w:tcW w:w="6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2480" w:type="dxa"/>
            <w:vAlign w:val="bottom"/>
            <w:gridSpan w:val="3"/>
            <w:vMerge w:val="continue"/>
          </w:tcPr>
          <w:p>
            <w:pPr>
              <w:spacing w:after="0"/>
              <w:rPr>
                <w:sz w:val="18"/>
                <w:szCs w:val="18"/>
                <w:color w:val="auto"/>
              </w:rPr>
            </w:pPr>
          </w:p>
        </w:tc>
        <w:tc>
          <w:tcPr>
            <w:tcW w:w="780" w:type="dxa"/>
            <w:vAlign w:val="bottom"/>
            <w:gridSpan w:val="3"/>
            <w:vMerge w:val="continue"/>
          </w:tcPr>
          <w:p>
            <w:pPr>
              <w:spacing w:after="0"/>
              <w:rPr>
                <w:sz w:val="18"/>
                <w:szCs w:val="18"/>
                <w:color w:val="auto"/>
              </w:rPr>
            </w:pPr>
          </w:p>
        </w:tc>
        <w:tc>
          <w:tcPr>
            <w:tcW w:w="6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60" w:type="dxa"/>
            <w:vAlign w:val="bottom"/>
            <w:gridSpan w:val="3"/>
            <w:vMerge w:val="continue"/>
          </w:tcPr>
          <w:p>
            <w:pPr>
              <w:spacing w:after="0"/>
              <w:rPr>
                <w:sz w:val="18"/>
                <w:szCs w:val="18"/>
                <w:color w:val="auto"/>
              </w:rPr>
            </w:pPr>
          </w:p>
        </w:tc>
        <w:tc>
          <w:tcPr>
            <w:tcW w:w="5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60" w:type="dxa"/>
            <w:vAlign w:val="bottom"/>
            <w:vMerge w:val="continue"/>
          </w:tcPr>
          <w:p>
            <w:pPr>
              <w:spacing w:after="0"/>
              <w:rPr>
                <w:sz w:val="18"/>
                <w:szCs w:val="18"/>
                <w:color w:val="auto"/>
              </w:rPr>
            </w:pPr>
          </w:p>
        </w:tc>
        <w:tc>
          <w:tcPr>
            <w:tcW w:w="2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60" w:type="dxa"/>
            <w:vAlign w:val="bottom"/>
            <w:tcBorders>
              <w:right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vMerge w:val="continue"/>
          </w:tcPr>
          <w:p>
            <w:pPr>
              <w:spacing w:after="0"/>
              <w:rPr>
                <w:sz w:val="18"/>
                <w:szCs w:val="18"/>
                <w:color w:val="auto"/>
              </w:rPr>
            </w:pPr>
          </w:p>
        </w:tc>
        <w:tc>
          <w:tcPr>
            <w:tcW w:w="2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gridSpan w:val="3"/>
            <w:vMerge w:val="continue"/>
          </w:tcPr>
          <w:p>
            <w:pPr>
              <w:spacing w:after="0"/>
              <w:rPr>
                <w:sz w:val="18"/>
                <w:szCs w:val="18"/>
                <w:color w:val="auto"/>
              </w:rPr>
            </w:pPr>
          </w:p>
        </w:tc>
        <w:tc>
          <w:tcPr>
            <w:tcW w:w="6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46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b w:val="1"/>
                <w:bCs w:val="1"/>
                <w:color w:val="auto"/>
                <w:w w:val="93"/>
              </w:rPr>
              <w:t>Earnings (loss) before interest</w:t>
            </w:r>
          </w:p>
        </w:tc>
        <w:tc>
          <w:tcPr>
            <w:tcW w:w="60" w:type="dxa"/>
            <w:vAlign w:val="bottom"/>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60" w:type="dxa"/>
            <w:vAlign w:val="bottom"/>
            <w:tcBorders>
              <w:top w:val="single" w:sz="8" w:color="auto"/>
            </w:tcBorders>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460" w:type="dxa"/>
            <w:vAlign w:val="bottom"/>
            <w:tcBorders>
              <w:top w:val="single" w:sz="8" w:color="auto"/>
            </w:tcBorders>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460" w:type="dxa"/>
            <w:vAlign w:val="bottom"/>
            <w:tcBorders>
              <w:right w:val="single" w:sz="8" w:color="auto"/>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80" w:type="dxa"/>
            <w:vAlign w:val="bottom"/>
            <w:tcBorders>
              <w:top w:val="single" w:sz="8" w:color="auto"/>
            </w:tcBorders>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460" w:type="dxa"/>
            <w:vAlign w:val="bottom"/>
            <w:gridSpan w:val="2"/>
            <w:shd w:val="clear" w:color="auto" w:fill="CCEEFF"/>
          </w:tcPr>
          <w:p>
            <w:pPr>
              <w:ind w:left="200"/>
              <w:spacing w:after="0"/>
              <w:rPr>
                <w:sz w:val="20"/>
                <w:szCs w:val="20"/>
                <w:color w:val="auto"/>
              </w:rPr>
            </w:pPr>
            <w:r>
              <w:rPr>
                <w:rFonts w:ascii="Arial" w:cs="Arial" w:eastAsia="Arial" w:hAnsi="Arial"/>
                <w:sz w:val="18"/>
                <w:szCs w:val="18"/>
                <w:b w:val="1"/>
                <w:bCs w:val="1"/>
                <w:color w:val="auto"/>
              </w:rPr>
              <w:t>and taxes</w:t>
            </w:r>
          </w:p>
        </w:tc>
        <w:tc>
          <w:tcPr>
            <w:tcW w:w="78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2,275</w:t>
            </w:r>
          </w:p>
        </w:tc>
        <w:tc>
          <w:tcPr>
            <w:tcW w:w="60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86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6,132</w:t>
            </w:r>
          </w:p>
        </w:tc>
        <w:tc>
          <w:tcPr>
            <w:tcW w:w="58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6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(741)</w:t>
            </w:r>
          </w:p>
        </w:tc>
        <w:tc>
          <w:tcPr>
            <w:tcW w:w="600" w:type="dxa"/>
            <w:vAlign w:val="bottom"/>
            <w:shd w:val="clear" w:color="auto" w:fill="CCEEFF"/>
          </w:tcPr>
          <w:p>
            <w:pPr>
              <w:spacing w:after="0"/>
              <w:rPr>
                <w:sz w:val="20"/>
                <w:szCs w:val="20"/>
                <w:color w:val="auto"/>
              </w:rPr>
            </w:pPr>
          </w:p>
        </w:tc>
        <w:tc>
          <w:tcPr>
            <w:tcW w:w="460" w:type="dxa"/>
            <w:vAlign w:val="bottom"/>
            <w:tcBorders>
              <w:right w:val="single" w:sz="8" w:color="auto"/>
            </w:tcBorders>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128,204</w:t>
            </w:r>
          </w:p>
        </w:tc>
        <w:tc>
          <w:tcPr>
            <w:tcW w:w="220" w:type="dxa"/>
            <w:vAlign w:val="bottom"/>
            <w:shd w:val="clear" w:color="auto" w:fill="CCEEFF"/>
          </w:tcPr>
          <w:p>
            <w:pPr>
              <w:spacing w:after="0"/>
              <w:rPr>
                <w:sz w:val="20"/>
                <w:szCs w:val="20"/>
                <w:color w:val="auto"/>
              </w:rPr>
            </w:pPr>
          </w:p>
        </w:tc>
        <w:tc>
          <w:tcPr>
            <w:tcW w:w="6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00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113,197</w:t>
            </w:r>
          </w:p>
        </w:tc>
        <w:tc>
          <w:tcPr>
            <w:tcW w:w="6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60" w:type="dxa"/>
            <w:vAlign w:val="bottom"/>
            <w:gridSpan w:val="2"/>
          </w:tcPr>
          <w:p>
            <w:pPr>
              <w:spacing w:after="0"/>
              <w:rPr>
                <w:sz w:val="20"/>
                <w:szCs w:val="20"/>
                <w:color w:val="auto"/>
              </w:rPr>
            </w:pPr>
            <w:r>
              <w:rPr>
                <w:rFonts w:ascii="Arial" w:cs="Arial" w:eastAsia="Arial" w:hAnsi="Arial"/>
                <w:sz w:val="18"/>
                <w:szCs w:val="18"/>
                <w:color w:val="auto"/>
              </w:rPr>
              <w:t>Interest income</w:t>
            </w:r>
          </w:p>
        </w:tc>
        <w:tc>
          <w:tcPr>
            <w:tcW w:w="780" w:type="dxa"/>
            <w:vAlign w:val="bottom"/>
            <w:gridSpan w:val="3"/>
          </w:tcPr>
          <w:p>
            <w:pPr>
              <w:jc w:val="right"/>
              <w:ind w:right="220"/>
              <w:spacing w:after="0"/>
              <w:rPr>
                <w:sz w:val="20"/>
                <w:szCs w:val="20"/>
                <w:color w:val="auto"/>
              </w:rPr>
            </w:pPr>
            <w:r>
              <w:rPr>
                <w:rFonts w:ascii="Arial" w:cs="Arial" w:eastAsia="Arial" w:hAnsi="Arial"/>
                <w:sz w:val="18"/>
                <w:szCs w:val="18"/>
                <w:color w:val="auto"/>
              </w:rPr>
              <w:t>125</w:t>
            </w:r>
          </w:p>
        </w:tc>
        <w:tc>
          <w:tcPr>
            <w:tcW w:w="6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60" w:type="dxa"/>
            <w:vAlign w:val="bottom"/>
            <w:gridSpan w:val="3"/>
          </w:tcPr>
          <w:p>
            <w:pPr>
              <w:jc w:val="right"/>
              <w:ind w:right="220"/>
              <w:spacing w:after="0"/>
              <w:rPr>
                <w:sz w:val="20"/>
                <w:szCs w:val="20"/>
                <w:color w:val="auto"/>
              </w:rPr>
            </w:pPr>
            <w:r>
              <w:rPr>
                <w:rFonts w:ascii="Arial" w:cs="Arial" w:eastAsia="Arial" w:hAnsi="Arial"/>
                <w:sz w:val="18"/>
                <w:szCs w:val="18"/>
                <w:color w:val="auto"/>
              </w:rPr>
              <w:t>329</w:t>
            </w:r>
          </w:p>
        </w:tc>
        <w:tc>
          <w:tcPr>
            <w:tcW w:w="5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109</w:t>
            </w:r>
          </w:p>
        </w:tc>
        <w:tc>
          <w:tcPr>
            <w:tcW w:w="2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60" w:type="dxa"/>
            <w:vAlign w:val="bottom"/>
            <w:tcBorders>
              <w:right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10</w:t>
            </w:r>
          </w:p>
        </w:tc>
        <w:tc>
          <w:tcPr>
            <w:tcW w:w="2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gridSpan w:val="3"/>
          </w:tcPr>
          <w:p>
            <w:pPr>
              <w:jc w:val="right"/>
              <w:ind w:right="220"/>
              <w:spacing w:after="0"/>
              <w:rPr>
                <w:sz w:val="20"/>
                <w:szCs w:val="20"/>
                <w:color w:val="auto"/>
              </w:rPr>
            </w:pPr>
            <w:r>
              <w:rPr>
                <w:rFonts w:ascii="Arial" w:cs="Arial" w:eastAsia="Arial" w:hAnsi="Arial"/>
                <w:sz w:val="18"/>
                <w:szCs w:val="18"/>
                <w:color w:val="auto"/>
              </w:rPr>
              <w:t>183</w:t>
            </w:r>
          </w:p>
        </w:tc>
        <w:tc>
          <w:tcPr>
            <w:tcW w:w="6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Interest expense</w:t>
            </w:r>
          </w:p>
        </w:tc>
        <w:tc>
          <w:tcPr>
            <w:tcW w:w="78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263</w:t>
            </w:r>
          </w:p>
        </w:tc>
        <w:tc>
          <w:tcPr>
            <w:tcW w:w="6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6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850</w:t>
            </w:r>
          </w:p>
        </w:tc>
        <w:tc>
          <w:tcPr>
            <w:tcW w:w="5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365</w:t>
            </w:r>
          </w:p>
        </w:tc>
        <w:tc>
          <w:tcPr>
            <w:tcW w:w="2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460" w:type="dxa"/>
            <w:vAlign w:val="bottom"/>
            <w:tcBorders>
              <w:right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823</w:t>
            </w:r>
          </w:p>
        </w:tc>
        <w:tc>
          <w:tcPr>
            <w:tcW w:w="2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5,428</w:t>
            </w:r>
          </w:p>
        </w:tc>
        <w:tc>
          <w:tcPr>
            <w:tcW w:w="6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2460" w:type="dxa"/>
            <w:vAlign w:val="bottom"/>
            <w:gridSpan w:val="2"/>
          </w:tcPr>
          <w:p>
            <w:pPr>
              <w:spacing w:after="0"/>
              <w:rPr>
                <w:sz w:val="20"/>
                <w:szCs w:val="20"/>
                <w:color w:val="auto"/>
              </w:rPr>
            </w:pPr>
            <w:r>
              <w:rPr>
                <w:rFonts w:ascii="Arial" w:cs="Arial" w:eastAsia="Arial" w:hAnsi="Arial"/>
                <w:sz w:val="18"/>
                <w:szCs w:val="18"/>
                <w:color w:val="auto"/>
              </w:rPr>
              <w:t>Income tax expense (benefit)</w:t>
            </w:r>
          </w:p>
        </w:tc>
        <w:tc>
          <w:tcPr>
            <w:tcW w:w="780" w:type="dxa"/>
            <w:vAlign w:val="bottom"/>
            <w:gridSpan w:val="3"/>
          </w:tcPr>
          <w:p>
            <w:pPr>
              <w:jc w:val="right"/>
              <w:ind w:right="160"/>
              <w:spacing w:after="0"/>
              <w:rPr>
                <w:sz w:val="20"/>
                <w:szCs w:val="20"/>
                <w:color w:val="auto"/>
              </w:rPr>
            </w:pPr>
            <w:r>
              <w:rPr>
                <w:rFonts w:ascii="Arial" w:cs="Arial" w:eastAsia="Arial" w:hAnsi="Arial"/>
                <w:sz w:val="18"/>
                <w:szCs w:val="18"/>
                <w:color w:val="auto"/>
              </w:rPr>
              <w:t>(25)</w:t>
            </w:r>
          </w:p>
        </w:tc>
        <w:tc>
          <w:tcPr>
            <w:tcW w:w="6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60" w:type="dxa"/>
            <w:vAlign w:val="bottom"/>
            <w:gridSpan w:val="3"/>
          </w:tcPr>
          <w:p>
            <w:pPr>
              <w:jc w:val="right"/>
              <w:ind w:right="220"/>
              <w:spacing w:after="0"/>
              <w:rPr>
                <w:sz w:val="20"/>
                <w:szCs w:val="20"/>
                <w:color w:val="auto"/>
              </w:rPr>
            </w:pPr>
            <w:r>
              <w:rPr>
                <w:rFonts w:ascii="Arial" w:cs="Arial" w:eastAsia="Arial" w:hAnsi="Arial"/>
                <w:sz w:val="18"/>
                <w:szCs w:val="18"/>
                <w:color w:val="auto"/>
              </w:rPr>
              <w:t>845</w:t>
            </w:r>
          </w:p>
        </w:tc>
        <w:tc>
          <w:tcPr>
            <w:tcW w:w="5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80" w:type="dxa"/>
            <w:vAlign w:val="bottom"/>
            <w:gridSpan w:val="2"/>
          </w:tcPr>
          <w:p>
            <w:pPr>
              <w:jc w:val="right"/>
              <w:ind w:right="160"/>
              <w:spacing w:after="0"/>
              <w:rPr>
                <w:sz w:val="20"/>
                <w:szCs w:val="20"/>
                <w:color w:val="auto"/>
              </w:rPr>
            </w:pPr>
            <w:r>
              <w:rPr>
                <w:rFonts w:ascii="Arial" w:cs="Arial" w:eastAsia="Arial" w:hAnsi="Arial"/>
                <w:sz w:val="18"/>
                <w:szCs w:val="18"/>
                <w:color w:val="auto"/>
              </w:rPr>
              <w:t>(139)</w:t>
            </w:r>
          </w:p>
        </w:tc>
        <w:tc>
          <w:tcPr>
            <w:tcW w:w="600" w:type="dxa"/>
            <w:vAlign w:val="bottom"/>
          </w:tcPr>
          <w:p>
            <w:pPr>
              <w:spacing w:after="0"/>
              <w:rPr>
                <w:sz w:val="19"/>
                <w:szCs w:val="19"/>
                <w:color w:val="auto"/>
              </w:rPr>
            </w:pPr>
          </w:p>
        </w:tc>
        <w:tc>
          <w:tcPr>
            <w:tcW w:w="460" w:type="dxa"/>
            <w:vAlign w:val="bottom"/>
            <w:tcBorders>
              <w:right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8"/>
                <w:szCs w:val="18"/>
                <w:color w:val="auto"/>
              </w:rPr>
              <w:t>(607)</w:t>
            </w:r>
          </w:p>
        </w:tc>
        <w:tc>
          <w:tcPr>
            <w:tcW w:w="6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0" w:type="dxa"/>
            <w:vAlign w:val="bottom"/>
            <w:gridSpan w:val="3"/>
          </w:tcPr>
          <w:p>
            <w:pPr>
              <w:jc w:val="right"/>
              <w:ind w:right="160"/>
              <w:spacing w:after="0"/>
              <w:rPr>
                <w:sz w:val="20"/>
                <w:szCs w:val="20"/>
                <w:color w:val="auto"/>
              </w:rPr>
            </w:pPr>
            <w:r>
              <w:rPr>
                <w:rFonts w:ascii="Arial" w:cs="Arial" w:eastAsia="Arial" w:hAnsi="Arial"/>
                <w:sz w:val="18"/>
                <w:szCs w:val="18"/>
                <w:color w:val="auto"/>
              </w:rPr>
              <w:t>(1,166)</w:t>
            </w:r>
          </w:p>
        </w:tc>
        <w:tc>
          <w:tcPr>
            <w:tcW w:w="6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46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b w:val="1"/>
                <w:bCs w:val="1"/>
                <w:color w:val="auto"/>
                <w:w w:val="88"/>
              </w:rPr>
              <w:t>Net income (loss) attributable to</w:t>
            </w:r>
          </w:p>
        </w:tc>
        <w:tc>
          <w:tcPr>
            <w:tcW w:w="60" w:type="dxa"/>
            <w:vAlign w:val="bottom"/>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60" w:type="dxa"/>
            <w:vAlign w:val="bottom"/>
            <w:tcBorders>
              <w:top w:val="single" w:sz="8" w:color="auto"/>
            </w:tcBorders>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460" w:type="dxa"/>
            <w:vAlign w:val="bottom"/>
            <w:tcBorders>
              <w:top w:val="single" w:sz="8" w:color="auto"/>
            </w:tcBorders>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460" w:type="dxa"/>
            <w:vAlign w:val="bottom"/>
            <w:tcBorders>
              <w:right w:val="single" w:sz="8" w:color="auto"/>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80" w:type="dxa"/>
            <w:vAlign w:val="bottom"/>
            <w:tcBorders>
              <w:top w:val="single" w:sz="8" w:color="auto"/>
            </w:tcBorders>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460" w:type="dxa"/>
            <w:vAlign w:val="bottom"/>
            <w:gridSpan w:val="2"/>
            <w:shd w:val="clear" w:color="auto" w:fill="CCEEFF"/>
          </w:tcPr>
          <w:p>
            <w:pPr>
              <w:ind w:left="200"/>
              <w:spacing w:after="0"/>
              <w:rPr>
                <w:sz w:val="20"/>
                <w:szCs w:val="20"/>
                <w:color w:val="auto"/>
              </w:rPr>
            </w:pPr>
            <w:r>
              <w:rPr>
                <w:rFonts w:ascii="Arial" w:cs="Arial" w:eastAsia="Arial" w:hAnsi="Arial"/>
                <w:sz w:val="18"/>
                <w:szCs w:val="18"/>
                <w:b w:val="1"/>
                <w:bCs w:val="1"/>
                <w:color w:val="auto"/>
              </w:rPr>
              <w:t>stockholders</w:t>
            </w:r>
          </w:p>
        </w:tc>
        <w:tc>
          <w:tcPr>
            <w:tcW w:w="78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u w:val="single" w:color="auto"/>
                <w:color w:val="auto"/>
                <w:w w:val="98"/>
              </w:rPr>
              <w:t>$</w:t>
            </w:r>
            <w:r>
              <w:rPr>
                <w:rFonts w:ascii="Arial" w:cs="Arial" w:eastAsia="Arial" w:hAnsi="Arial"/>
                <w:sz w:val="18"/>
                <w:szCs w:val="18"/>
                <w:color w:val="auto"/>
                <w:w w:val="98"/>
              </w:rPr>
              <w:t>2,162</w:t>
            </w:r>
          </w:p>
        </w:tc>
        <w:tc>
          <w:tcPr>
            <w:tcW w:w="60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86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$ 4,766</w:t>
            </w:r>
          </w:p>
        </w:tc>
        <w:tc>
          <w:tcPr>
            <w:tcW w:w="58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(858)</w:t>
            </w:r>
          </w:p>
        </w:tc>
        <w:tc>
          <w:tcPr>
            <w:tcW w:w="600" w:type="dxa"/>
            <w:vAlign w:val="bottom"/>
            <w:shd w:val="clear" w:color="auto" w:fill="CCEEFF"/>
          </w:tcPr>
          <w:p>
            <w:pPr>
              <w:spacing w:after="0"/>
              <w:rPr>
                <w:sz w:val="20"/>
                <w:szCs w:val="20"/>
                <w:color w:val="auto"/>
              </w:rPr>
            </w:pPr>
          </w:p>
        </w:tc>
        <w:tc>
          <w:tcPr>
            <w:tcW w:w="460" w:type="dxa"/>
            <w:vAlign w:val="bottom"/>
            <w:tcBorders>
              <w:right w:val="single" w:sz="8" w:color="auto"/>
            </w:tcBorders>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7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127,998</w:t>
            </w:r>
          </w:p>
        </w:tc>
        <w:tc>
          <w:tcPr>
            <w:tcW w:w="220" w:type="dxa"/>
            <w:vAlign w:val="bottom"/>
            <w:shd w:val="clear" w:color="auto" w:fill="CCEEFF"/>
          </w:tcPr>
          <w:p>
            <w:pPr>
              <w:spacing w:after="0"/>
              <w:rPr>
                <w:sz w:val="20"/>
                <w:szCs w:val="20"/>
                <w:color w:val="auto"/>
              </w:rPr>
            </w:pPr>
          </w:p>
        </w:tc>
        <w:tc>
          <w:tcPr>
            <w:tcW w:w="6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00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w w:val="94"/>
              </w:rPr>
              <w:t>$ 109,118</w:t>
            </w:r>
          </w:p>
        </w:tc>
        <w:tc>
          <w:tcPr>
            <w:tcW w:w="6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60" w:type="dxa"/>
            <w:vAlign w:val="bottom"/>
            <w:tcBorders>
              <w:right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2"/>
        </w:trPr>
        <w:tc>
          <w:tcPr>
            <w:tcW w:w="20" w:type="dxa"/>
            <w:vAlign w:val="bottom"/>
          </w:tcPr>
          <w:p>
            <w:pPr>
              <w:spacing w:after="0"/>
              <w:rPr>
                <w:sz w:val="8"/>
                <w:szCs w:val="8"/>
                <w:color w:val="auto"/>
              </w:rPr>
            </w:pPr>
          </w:p>
        </w:tc>
        <w:tc>
          <w:tcPr>
            <w:tcW w:w="1140" w:type="dxa"/>
            <w:vAlign w:val="bottom"/>
            <w:tcBorders>
              <w:bottom w:val="single" w:sz="8" w:color="auto"/>
            </w:tcBorders>
          </w:tcPr>
          <w:p>
            <w:pPr>
              <w:spacing w:after="0"/>
              <w:rPr>
                <w:sz w:val="8"/>
                <w:szCs w:val="8"/>
                <w:color w:val="auto"/>
              </w:rPr>
            </w:pPr>
          </w:p>
        </w:tc>
        <w:tc>
          <w:tcPr>
            <w:tcW w:w="1320" w:type="dxa"/>
            <w:vAlign w:val="bottom"/>
          </w:tcPr>
          <w:p>
            <w:pPr>
              <w:spacing w:after="0"/>
              <w:rPr>
                <w:sz w:val="8"/>
                <w:szCs w:val="8"/>
                <w:color w:val="auto"/>
              </w:rPr>
            </w:pPr>
          </w:p>
        </w:tc>
        <w:tc>
          <w:tcPr>
            <w:tcW w:w="60" w:type="dxa"/>
            <w:vAlign w:val="bottom"/>
          </w:tcPr>
          <w:p>
            <w:pPr>
              <w:spacing w:after="0"/>
              <w:rPr>
                <w:sz w:val="8"/>
                <w:szCs w:val="8"/>
                <w:color w:val="auto"/>
              </w:rPr>
            </w:pPr>
          </w:p>
        </w:tc>
        <w:tc>
          <w:tcPr>
            <w:tcW w:w="500" w:type="dxa"/>
            <w:vAlign w:val="bottom"/>
          </w:tcPr>
          <w:p>
            <w:pPr>
              <w:spacing w:after="0"/>
              <w:rPr>
                <w:sz w:val="8"/>
                <w:szCs w:val="8"/>
                <w:color w:val="auto"/>
              </w:rPr>
            </w:pPr>
          </w:p>
        </w:tc>
        <w:tc>
          <w:tcPr>
            <w:tcW w:w="220" w:type="dxa"/>
            <w:vAlign w:val="bottom"/>
          </w:tcPr>
          <w:p>
            <w:pPr>
              <w:spacing w:after="0"/>
              <w:rPr>
                <w:sz w:val="8"/>
                <w:szCs w:val="8"/>
                <w:color w:val="auto"/>
              </w:rPr>
            </w:pPr>
          </w:p>
        </w:tc>
        <w:tc>
          <w:tcPr>
            <w:tcW w:w="600" w:type="dxa"/>
            <w:vAlign w:val="bottom"/>
          </w:tcPr>
          <w:p>
            <w:pPr>
              <w:spacing w:after="0"/>
              <w:rPr>
                <w:sz w:val="8"/>
                <w:szCs w:val="8"/>
                <w:color w:val="auto"/>
              </w:rPr>
            </w:pPr>
          </w:p>
        </w:tc>
        <w:tc>
          <w:tcPr>
            <w:tcW w:w="280" w:type="dxa"/>
            <w:vAlign w:val="bottom"/>
          </w:tcPr>
          <w:p>
            <w:pPr>
              <w:spacing w:after="0"/>
              <w:rPr>
                <w:sz w:val="8"/>
                <w:szCs w:val="8"/>
                <w:color w:val="auto"/>
              </w:rPr>
            </w:pPr>
          </w:p>
        </w:tc>
        <w:tc>
          <w:tcPr>
            <w:tcW w:w="80" w:type="dxa"/>
            <w:vAlign w:val="bottom"/>
          </w:tcPr>
          <w:p>
            <w:pPr>
              <w:spacing w:after="0"/>
              <w:rPr>
                <w:sz w:val="8"/>
                <w:szCs w:val="8"/>
                <w:color w:val="auto"/>
              </w:rPr>
            </w:pPr>
          </w:p>
        </w:tc>
        <w:tc>
          <w:tcPr>
            <w:tcW w:w="560" w:type="dxa"/>
            <w:vAlign w:val="bottom"/>
          </w:tcPr>
          <w:p>
            <w:pPr>
              <w:spacing w:after="0"/>
              <w:rPr>
                <w:sz w:val="8"/>
                <w:szCs w:val="8"/>
                <w:color w:val="auto"/>
              </w:rPr>
            </w:pPr>
          </w:p>
        </w:tc>
        <w:tc>
          <w:tcPr>
            <w:tcW w:w="220" w:type="dxa"/>
            <w:vAlign w:val="bottom"/>
          </w:tcPr>
          <w:p>
            <w:pPr>
              <w:spacing w:after="0"/>
              <w:rPr>
                <w:sz w:val="8"/>
                <w:szCs w:val="8"/>
                <w:color w:val="auto"/>
              </w:rPr>
            </w:pPr>
          </w:p>
        </w:tc>
        <w:tc>
          <w:tcPr>
            <w:tcW w:w="580" w:type="dxa"/>
            <w:vAlign w:val="bottom"/>
          </w:tcPr>
          <w:p>
            <w:pPr>
              <w:spacing w:after="0"/>
              <w:rPr>
                <w:sz w:val="8"/>
                <w:szCs w:val="8"/>
                <w:color w:val="auto"/>
              </w:rPr>
            </w:pPr>
          </w:p>
        </w:tc>
        <w:tc>
          <w:tcPr>
            <w:tcW w:w="380" w:type="dxa"/>
            <w:vAlign w:val="bottom"/>
          </w:tcPr>
          <w:p>
            <w:pPr>
              <w:spacing w:after="0"/>
              <w:rPr>
                <w:sz w:val="8"/>
                <w:szCs w:val="8"/>
                <w:color w:val="auto"/>
              </w:rPr>
            </w:pPr>
          </w:p>
        </w:tc>
        <w:tc>
          <w:tcPr>
            <w:tcW w:w="80" w:type="dxa"/>
            <w:vAlign w:val="bottom"/>
          </w:tcPr>
          <w:p>
            <w:pPr>
              <w:spacing w:after="0"/>
              <w:rPr>
                <w:sz w:val="8"/>
                <w:szCs w:val="8"/>
                <w:color w:val="auto"/>
              </w:rPr>
            </w:pPr>
          </w:p>
        </w:tc>
        <w:tc>
          <w:tcPr>
            <w:tcW w:w="460" w:type="dxa"/>
            <w:vAlign w:val="bottom"/>
          </w:tcPr>
          <w:p>
            <w:pPr>
              <w:spacing w:after="0"/>
              <w:rPr>
                <w:sz w:val="8"/>
                <w:szCs w:val="8"/>
                <w:color w:val="auto"/>
              </w:rPr>
            </w:pPr>
          </w:p>
        </w:tc>
        <w:tc>
          <w:tcPr>
            <w:tcW w:w="220" w:type="dxa"/>
            <w:vAlign w:val="bottom"/>
          </w:tcPr>
          <w:p>
            <w:pPr>
              <w:spacing w:after="0"/>
              <w:rPr>
                <w:sz w:val="8"/>
                <w:szCs w:val="8"/>
                <w:color w:val="auto"/>
              </w:rPr>
            </w:pPr>
          </w:p>
        </w:tc>
        <w:tc>
          <w:tcPr>
            <w:tcW w:w="600" w:type="dxa"/>
            <w:vAlign w:val="bottom"/>
          </w:tcPr>
          <w:p>
            <w:pPr>
              <w:spacing w:after="0"/>
              <w:rPr>
                <w:sz w:val="8"/>
                <w:szCs w:val="8"/>
                <w:color w:val="auto"/>
              </w:rPr>
            </w:pPr>
          </w:p>
        </w:tc>
        <w:tc>
          <w:tcPr>
            <w:tcW w:w="46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220" w:type="dxa"/>
            <w:vAlign w:val="bottom"/>
          </w:tcPr>
          <w:p>
            <w:pPr>
              <w:spacing w:after="0"/>
              <w:rPr>
                <w:sz w:val="8"/>
                <w:szCs w:val="8"/>
                <w:color w:val="auto"/>
              </w:rPr>
            </w:pPr>
          </w:p>
        </w:tc>
        <w:tc>
          <w:tcPr>
            <w:tcW w:w="60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80" w:type="dxa"/>
            <w:vAlign w:val="bottom"/>
          </w:tcPr>
          <w:p>
            <w:pPr>
              <w:spacing w:after="0"/>
              <w:rPr>
                <w:sz w:val="8"/>
                <w:szCs w:val="8"/>
                <w:color w:val="auto"/>
              </w:rPr>
            </w:pPr>
          </w:p>
        </w:tc>
        <w:tc>
          <w:tcPr>
            <w:tcW w:w="220" w:type="dxa"/>
            <w:vAlign w:val="bottom"/>
          </w:tcPr>
          <w:p>
            <w:pPr>
              <w:spacing w:after="0"/>
              <w:rPr>
                <w:sz w:val="8"/>
                <w:szCs w:val="8"/>
                <w:color w:val="auto"/>
              </w:rPr>
            </w:pPr>
          </w:p>
        </w:tc>
        <w:tc>
          <w:tcPr>
            <w:tcW w:w="600" w:type="dxa"/>
            <w:vAlign w:val="bottom"/>
          </w:tcPr>
          <w:p>
            <w:pPr>
              <w:spacing w:after="0"/>
              <w:rPr>
                <w:sz w:val="8"/>
                <w:szCs w:val="8"/>
                <w:color w:val="auto"/>
              </w:rPr>
            </w:pPr>
          </w:p>
        </w:tc>
        <w:tc>
          <w:tcPr>
            <w:tcW w:w="20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19" w:lineRule="exact"/>
        <w:rPr>
          <w:sz w:val="20"/>
          <w:szCs w:val="20"/>
          <w:color w:val="auto"/>
        </w:rPr>
      </w:pPr>
    </w:p>
    <w:p>
      <w:pPr>
        <w:ind w:left="340" w:right="220" w:hanging="332"/>
        <w:spacing w:after="0" w:line="268" w:lineRule="auto"/>
        <w:tabs>
          <w:tab w:leader="none" w:pos="340" w:val="left"/>
        </w:tabs>
        <w:numPr>
          <w:ilvl w:val="0"/>
          <w:numId w:val="74"/>
        </w:numPr>
        <w:rPr>
          <w:rFonts w:ascii="Arial" w:cs="Arial" w:eastAsia="Arial" w:hAnsi="Arial"/>
          <w:sz w:val="18"/>
          <w:szCs w:val="18"/>
          <w:color w:val="auto"/>
        </w:rPr>
      </w:pPr>
      <w:r>
        <w:rPr>
          <w:rFonts w:ascii="Arial" w:cs="Arial" w:eastAsia="Arial" w:hAnsi="Arial"/>
          <w:sz w:val="18"/>
          <w:szCs w:val="18"/>
          <w:color w:val="auto"/>
        </w:rPr>
        <w:t>Interest and income taxes are recorded centrally in Corporate; therefore, there are no reconciling items for our operating segments between Earnings (loss) attributable to stockholders before interest and taxes and Net income (loss) attributable to stockholders.</w:t>
      </w:r>
    </w:p>
    <w:p>
      <w:pPr>
        <w:spacing w:after="0" w:line="50" w:lineRule="exact"/>
        <w:rPr>
          <w:rFonts w:ascii="Arial" w:cs="Arial" w:eastAsia="Arial" w:hAnsi="Arial"/>
          <w:sz w:val="18"/>
          <w:szCs w:val="18"/>
          <w:color w:val="auto"/>
        </w:rPr>
      </w:pPr>
    </w:p>
    <w:p>
      <w:pPr>
        <w:ind w:left="340" w:hanging="332"/>
        <w:spacing w:after="0"/>
        <w:tabs>
          <w:tab w:leader="none" w:pos="340" w:val="left"/>
        </w:tabs>
        <w:numPr>
          <w:ilvl w:val="0"/>
          <w:numId w:val="74"/>
        </w:numPr>
        <w:rPr>
          <w:rFonts w:ascii="Arial" w:cs="Arial" w:eastAsia="Arial" w:hAnsi="Arial"/>
          <w:sz w:val="18"/>
          <w:szCs w:val="18"/>
          <w:color w:val="auto"/>
        </w:rPr>
      </w:pPr>
      <w:r>
        <w:rPr>
          <w:rFonts w:ascii="Arial" w:cs="Arial" w:eastAsia="Arial" w:hAnsi="Arial"/>
          <w:sz w:val="18"/>
          <w:szCs w:val="18"/>
          <w:color w:val="auto"/>
        </w:rPr>
        <w:t>Includes Reorganization gains, net of $128.2 billion in the period January 1, 2009 through July 9, 2009.</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101</w:t>
      </w:r>
    </w:p>
    <w:p>
      <w:pPr>
        <w:sectPr>
          <w:pgSz w:w="11900" w:h="16838" w:orient="portrait"/>
          <w:cols w:equalWidth="0" w:num="1">
            <w:col w:w="11420"/>
          </w:cols>
          <w:pgMar w:left="240" w:top="459" w:right="239" w:bottom="1440" w:gutter="0" w:footer="0" w:header="0"/>
        </w:sectPr>
      </w:pPr>
    </w:p>
    <w:bookmarkStart w:id="103" w:name="page104"/>
    <w:bookmarkEnd w:id="10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339" w:lineRule="exact"/>
        <w:rPr>
          <w:sz w:val="20"/>
          <w:szCs w:val="20"/>
          <w:color w:val="auto"/>
        </w:rPr>
      </w:pPr>
    </w:p>
    <w:p>
      <w:pPr>
        <w:ind w:left="240"/>
        <w:spacing w:after="0"/>
        <w:rPr>
          <w:sz w:val="20"/>
          <w:szCs w:val="20"/>
          <w:color w:val="auto"/>
        </w:rPr>
      </w:pPr>
      <w:r>
        <w:rPr>
          <w:rFonts w:ascii="Arial" w:cs="Arial" w:eastAsia="Arial" w:hAnsi="Arial"/>
          <w:sz w:val="15"/>
          <w:szCs w:val="15"/>
          <w:b w:val="1"/>
          <w:bCs w:val="1"/>
          <w:i w:val="1"/>
          <w:iCs w:val="1"/>
          <w:color w:val="auto"/>
        </w:rPr>
        <w:t>Three and Nine Months Ended September 30, 2010, July 10, 2009 Through September 30, 2009, July 1, 2009 Through July 9, 2009 and January 1, 2009</w:t>
      </w:r>
    </w:p>
    <w:p>
      <w:pPr>
        <w:spacing w:after="0" w:line="50"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Through July 9, 2009</w:t>
      </w:r>
    </w:p>
    <w:p>
      <w:pPr>
        <w:spacing w:after="0" w:line="9"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(Dollars in millions)</w:t>
      </w:r>
    </w:p>
    <w:p>
      <w:pPr>
        <w:spacing w:after="0" w:line="165"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Total Net Sales and Revenue</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60" w:type="dxa"/>
            <w:vAlign w:val="bottom"/>
          </w:tcPr>
          <w:p>
            <w:pPr>
              <w:spacing w:after="0"/>
              <w:rPr>
                <w:sz w:val="14"/>
                <w:szCs w:val="14"/>
                <w:color w:val="auto"/>
              </w:rPr>
            </w:pPr>
          </w:p>
        </w:tc>
        <w:tc>
          <w:tcPr>
            <w:tcW w:w="4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60" w:type="dxa"/>
            <w:vAlign w:val="bottom"/>
            <w:gridSpan w:val="3"/>
          </w:tcPr>
          <w:p>
            <w:pPr>
              <w:jc w:val="center"/>
              <w:ind w:right="180"/>
              <w:spacing w:after="0"/>
              <w:rPr>
                <w:sz w:val="20"/>
                <w:szCs w:val="20"/>
                <w:color w:val="auto"/>
              </w:rPr>
            </w:pPr>
            <w:r>
              <w:rPr>
                <w:rFonts w:ascii="Arial" w:cs="Arial" w:eastAsia="Arial" w:hAnsi="Arial"/>
                <w:sz w:val="14"/>
                <w:szCs w:val="14"/>
                <w:b w:val="1"/>
                <w:bCs w:val="1"/>
                <w:color w:val="auto"/>
                <w:w w:val="92"/>
              </w:rPr>
              <w:t>Combined GM</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00" w:type="dxa"/>
            <w:vAlign w:val="bottom"/>
            <w:tcBorders>
              <w:right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1160" w:type="dxa"/>
            <w:vAlign w:val="bottom"/>
          </w:tcPr>
          <w:p>
            <w:pPr>
              <w:spacing w:after="0"/>
              <w:rPr>
                <w:sz w:val="14"/>
                <w:szCs w:val="14"/>
                <w:color w:val="auto"/>
              </w:rPr>
            </w:pPr>
          </w:p>
        </w:tc>
        <w:tc>
          <w:tcPr>
            <w:tcW w:w="4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79"/>
              </w:rPr>
              <w:t>Successor</w:t>
            </w:r>
          </w:p>
        </w:tc>
        <w:tc>
          <w:tcPr>
            <w:tcW w:w="1060" w:type="dxa"/>
            <w:vAlign w:val="bottom"/>
            <w:gridSpan w:val="3"/>
          </w:tcPr>
          <w:p>
            <w:pPr>
              <w:jc w:val="center"/>
              <w:ind w:right="180"/>
              <w:spacing w:after="0"/>
              <w:rPr>
                <w:sz w:val="20"/>
                <w:szCs w:val="20"/>
                <w:color w:val="auto"/>
              </w:rPr>
            </w:pPr>
            <w:r>
              <w:rPr>
                <w:rFonts w:ascii="Arial" w:cs="Arial" w:eastAsia="Arial" w:hAnsi="Arial"/>
                <w:sz w:val="14"/>
                <w:szCs w:val="14"/>
                <w:b w:val="1"/>
                <w:bCs w:val="1"/>
                <w:color w:val="auto"/>
                <w:w w:val="91"/>
              </w:rPr>
              <w:t>and Old GM</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20" w:type="dxa"/>
            <w:vAlign w:val="bottom"/>
            <w:tcBorders>
              <w:right w:val="single" w:sz="8" w:color="auto"/>
            </w:tcBorders>
            <w:gridSpan w:val="2"/>
          </w:tcPr>
          <w:p>
            <w:pPr>
              <w:jc w:val="center"/>
              <w:ind w:right="500"/>
              <w:spacing w:after="0"/>
              <w:rPr>
                <w:sz w:val="20"/>
                <w:szCs w:val="20"/>
                <w:color w:val="auto"/>
              </w:rPr>
            </w:pPr>
            <w:r>
              <w:rPr>
                <w:rFonts w:ascii="Arial" w:cs="Arial" w:eastAsia="Arial" w:hAnsi="Arial"/>
                <w:sz w:val="14"/>
                <w:szCs w:val="14"/>
                <w:b w:val="1"/>
                <w:bCs w:val="1"/>
                <w:color w:val="auto"/>
                <w:w w:val="81"/>
              </w:rPr>
              <w:t>Successor</w:t>
            </w:r>
          </w:p>
        </w:tc>
        <w:tc>
          <w:tcPr>
            <w:tcW w:w="180" w:type="dxa"/>
            <w:vAlign w:val="bottom"/>
          </w:tcPr>
          <w:p>
            <w:pPr>
              <w:spacing w:after="0"/>
              <w:rPr>
                <w:sz w:val="14"/>
                <w:szCs w:val="14"/>
                <w:color w:val="auto"/>
              </w:rPr>
            </w:pPr>
          </w:p>
        </w:tc>
        <w:tc>
          <w:tcPr>
            <w:tcW w:w="980" w:type="dxa"/>
            <w:vAlign w:val="bottom"/>
            <w:gridSpan w:val="3"/>
          </w:tcPr>
          <w:p>
            <w:pPr>
              <w:jc w:val="center"/>
              <w:ind w:right="280"/>
              <w:spacing w:after="0"/>
              <w:rPr>
                <w:sz w:val="20"/>
                <w:szCs w:val="20"/>
                <w:color w:val="auto"/>
              </w:rPr>
            </w:pPr>
            <w:r>
              <w:rPr>
                <w:rFonts w:ascii="Arial" w:cs="Arial" w:eastAsia="Arial" w:hAnsi="Arial"/>
                <w:sz w:val="14"/>
                <w:szCs w:val="14"/>
                <w:b w:val="1"/>
                <w:bCs w:val="1"/>
                <w:color w:val="auto"/>
                <w:w w:val="83"/>
              </w:rPr>
              <w:t>Predecessor</w:t>
            </w:r>
          </w:p>
        </w:tc>
        <w:tc>
          <w:tcPr>
            <w:tcW w:w="1480" w:type="dxa"/>
            <w:vAlign w:val="bottom"/>
            <w:gridSpan w:val="4"/>
            <w:vMerge w:val="restart"/>
          </w:tcPr>
          <w:p>
            <w:pPr>
              <w:jc w:val="center"/>
              <w:ind w:right="260"/>
              <w:spacing w:after="0"/>
              <w:rPr>
                <w:sz w:val="20"/>
                <w:szCs w:val="20"/>
                <w:color w:val="auto"/>
              </w:rPr>
            </w:pPr>
            <w:r>
              <w:rPr>
                <w:rFonts w:ascii="Arial" w:cs="Arial" w:eastAsia="Arial" w:hAnsi="Arial"/>
                <w:sz w:val="14"/>
                <w:szCs w:val="14"/>
                <w:b w:val="1"/>
                <w:bCs w:val="1"/>
                <w:color w:val="auto"/>
                <w:w w:val="89"/>
              </w:rPr>
              <w:t>Three Months</w:t>
            </w:r>
          </w:p>
        </w:tc>
        <w:tc>
          <w:tcPr>
            <w:tcW w:w="0" w:type="dxa"/>
            <w:vAlign w:val="bottom"/>
          </w:tcPr>
          <w:p>
            <w:pPr>
              <w:spacing w:after="0"/>
              <w:rPr>
                <w:sz w:val="1"/>
                <w:szCs w:val="1"/>
                <w:color w:val="auto"/>
              </w:rPr>
            </w:pPr>
          </w:p>
        </w:tc>
      </w:tr>
      <w:tr>
        <w:trPr>
          <w:trHeight w:val="129"/>
        </w:trPr>
        <w:tc>
          <w:tcPr>
            <w:tcW w:w="1160" w:type="dxa"/>
            <w:vAlign w:val="bottom"/>
          </w:tcPr>
          <w:p>
            <w:pPr>
              <w:spacing w:after="0"/>
              <w:rPr>
                <w:sz w:val="11"/>
                <w:szCs w:val="11"/>
                <w:color w:val="auto"/>
              </w:rPr>
            </w:pPr>
          </w:p>
        </w:tc>
        <w:tc>
          <w:tcPr>
            <w:tcW w:w="410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700" w:type="dxa"/>
            <w:vAlign w:val="bottom"/>
            <w:tcBorders>
              <w:top w:val="single" w:sz="8" w:color="auto"/>
            </w:tcBorders>
          </w:tcPr>
          <w:p>
            <w:pPr>
              <w:spacing w:after="0"/>
              <w:rPr>
                <w:sz w:val="11"/>
                <w:szCs w:val="11"/>
                <w:color w:val="auto"/>
              </w:rPr>
            </w:pPr>
          </w:p>
        </w:tc>
        <w:tc>
          <w:tcPr>
            <w:tcW w:w="300" w:type="dxa"/>
            <w:vAlign w:val="bottom"/>
          </w:tcPr>
          <w:p>
            <w:pPr>
              <w:spacing w:after="0"/>
              <w:rPr>
                <w:sz w:val="11"/>
                <w:szCs w:val="11"/>
                <w:color w:val="auto"/>
              </w:rPr>
            </w:pPr>
          </w:p>
        </w:tc>
        <w:tc>
          <w:tcPr>
            <w:tcW w:w="180" w:type="dxa"/>
            <w:vAlign w:val="bottom"/>
            <w:tcBorders>
              <w:top w:val="single" w:sz="8" w:color="auto"/>
            </w:tcBorders>
          </w:tcPr>
          <w:p>
            <w:pPr>
              <w:spacing w:after="0"/>
              <w:rPr>
                <w:sz w:val="11"/>
                <w:szCs w:val="11"/>
                <w:color w:val="auto"/>
              </w:rPr>
            </w:pPr>
          </w:p>
        </w:tc>
        <w:tc>
          <w:tcPr>
            <w:tcW w:w="700" w:type="dxa"/>
            <w:vAlign w:val="bottom"/>
            <w:tcBorders>
              <w:top w:val="single" w:sz="8" w:color="auto"/>
            </w:tcBorders>
          </w:tcPr>
          <w:p>
            <w:pPr>
              <w:spacing w:after="0"/>
              <w:rPr>
                <w:sz w:val="11"/>
                <w:szCs w:val="11"/>
                <w:color w:val="auto"/>
              </w:rPr>
            </w:pPr>
          </w:p>
        </w:tc>
        <w:tc>
          <w:tcPr>
            <w:tcW w:w="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720" w:type="dxa"/>
            <w:vAlign w:val="bottom"/>
            <w:tcBorders>
              <w:top w:val="single" w:sz="8" w:color="auto"/>
            </w:tcBorders>
          </w:tcPr>
          <w:p>
            <w:pPr>
              <w:spacing w:after="0"/>
              <w:rPr>
                <w:sz w:val="11"/>
                <w:szCs w:val="11"/>
                <w:color w:val="auto"/>
              </w:rPr>
            </w:pPr>
          </w:p>
        </w:tc>
        <w:tc>
          <w:tcPr>
            <w:tcW w:w="400" w:type="dxa"/>
            <w:vAlign w:val="bottom"/>
            <w:tcBorders>
              <w:right w:val="single" w:sz="8" w:color="auto"/>
            </w:tcBorders>
          </w:tcPr>
          <w:p>
            <w:pPr>
              <w:spacing w:after="0"/>
              <w:rPr>
                <w:sz w:val="11"/>
                <w:szCs w:val="11"/>
                <w:color w:val="auto"/>
              </w:rPr>
            </w:pPr>
          </w:p>
        </w:tc>
        <w:tc>
          <w:tcPr>
            <w:tcW w:w="18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600" w:type="dxa"/>
            <w:vAlign w:val="bottom"/>
            <w:tcBorders>
              <w:top w:val="single" w:sz="8" w:color="auto"/>
            </w:tcBorders>
          </w:tcPr>
          <w:p>
            <w:pPr>
              <w:spacing w:after="0"/>
              <w:rPr>
                <w:sz w:val="11"/>
                <w:szCs w:val="11"/>
                <w:color w:val="auto"/>
              </w:rPr>
            </w:pPr>
          </w:p>
        </w:tc>
        <w:tc>
          <w:tcPr>
            <w:tcW w:w="280" w:type="dxa"/>
            <w:vAlign w:val="bottom"/>
          </w:tcPr>
          <w:p>
            <w:pPr>
              <w:spacing w:after="0"/>
              <w:rPr>
                <w:sz w:val="11"/>
                <w:szCs w:val="11"/>
                <w:color w:val="auto"/>
              </w:rPr>
            </w:pPr>
          </w:p>
        </w:tc>
        <w:tc>
          <w:tcPr>
            <w:tcW w:w="1480" w:type="dxa"/>
            <w:vAlign w:val="bottom"/>
            <w:gridSpan w:val="4"/>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1160" w:type="dxa"/>
            <w:vAlign w:val="bottom"/>
          </w:tcPr>
          <w:p>
            <w:pPr>
              <w:spacing w:after="0"/>
              <w:rPr>
                <w:sz w:val="12"/>
                <w:szCs w:val="12"/>
                <w:color w:val="auto"/>
              </w:rPr>
            </w:pPr>
          </w:p>
        </w:tc>
        <w:tc>
          <w:tcPr>
            <w:tcW w:w="4100" w:type="dxa"/>
            <w:vAlign w:val="bottom"/>
          </w:tcPr>
          <w:p>
            <w:pPr>
              <w:spacing w:after="0"/>
              <w:rPr>
                <w:sz w:val="12"/>
                <w:szCs w:val="12"/>
                <w:color w:val="auto"/>
              </w:rPr>
            </w:pPr>
          </w:p>
        </w:tc>
        <w:tc>
          <w:tcPr>
            <w:tcW w:w="1120" w:type="dxa"/>
            <w:vAlign w:val="bottom"/>
            <w:gridSpan w:val="3"/>
          </w:tcPr>
          <w:p>
            <w:pPr>
              <w:jc w:val="center"/>
              <w:ind w:right="300"/>
              <w:spacing w:after="0" w:line="149" w:lineRule="exact"/>
              <w:rPr>
                <w:sz w:val="20"/>
                <w:szCs w:val="20"/>
                <w:color w:val="auto"/>
              </w:rPr>
            </w:pPr>
            <w:r>
              <w:rPr>
                <w:rFonts w:ascii="Arial" w:cs="Arial" w:eastAsia="Arial" w:hAnsi="Arial"/>
                <w:sz w:val="14"/>
                <w:szCs w:val="14"/>
                <w:b w:val="1"/>
                <w:bCs w:val="1"/>
                <w:color w:val="auto"/>
                <w:w w:val="89"/>
              </w:rPr>
              <w:t>Three Months</w:t>
            </w:r>
          </w:p>
        </w:tc>
        <w:tc>
          <w:tcPr>
            <w:tcW w:w="1060" w:type="dxa"/>
            <w:vAlign w:val="bottom"/>
            <w:gridSpan w:val="3"/>
          </w:tcPr>
          <w:p>
            <w:pPr>
              <w:jc w:val="center"/>
              <w:ind w:right="160"/>
              <w:spacing w:after="0" w:line="149" w:lineRule="exact"/>
              <w:rPr>
                <w:sz w:val="20"/>
                <w:szCs w:val="20"/>
                <w:color w:val="auto"/>
              </w:rPr>
            </w:pPr>
            <w:r>
              <w:rPr>
                <w:rFonts w:ascii="Arial" w:cs="Arial" w:eastAsia="Arial" w:hAnsi="Arial"/>
                <w:sz w:val="14"/>
                <w:szCs w:val="14"/>
                <w:b w:val="1"/>
                <w:bCs w:val="1"/>
                <w:color w:val="auto"/>
                <w:w w:val="89"/>
              </w:rPr>
              <w:t>Three Months</w:t>
            </w:r>
          </w:p>
        </w:tc>
        <w:tc>
          <w:tcPr>
            <w:tcW w:w="120" w:type="dxa"/>
            <w:vAlign w:val="bottom"/>
          </w:tcPr>
          <w:p>
            <w:pPr>
              <w:spacing w:after="0"/>
              <w:rPr>
                <w:sz w:val="12"/>
                <w:szCs w:val="12"/>
                <w:color w:val="auto"/>
              </w:rPr>
            </w:pPr>
          </w:p>
        </w:tc>
        <w:tc>
          <w:tcPr>
            <w:tcW w:w="1220" w:type="dxa"/>
            <w:vAlign w:val="bottom"/>
            <w:tcBorders>
              <w:right w:val="single" w:sz="8" w:color="auto"/>
            </w:tcBorders>
            <w:gridSpan w:val="3"/>
          </w:tcPr>
          <w:p>
            <w:pPr>
              <w:jc w:val="center"/>
              <w:ind w:right="400"/>
              <w:spacing w:after="0" w:line="149" w:lineRule="exact"/>
              <w:rPr>
                <w:sz w:val="20"/>
                <w:szCs w:val="20"/>
                <w:color w:val="auto"/>
              </w:rPr>
            </w:pPr>
            <w:r>
              <w:rPr>
                <w:rFonts w:ascii="Arial" w:cs="Arial" w:eastAsia="Arial" w:hAnsi="Arial"/>
                <w:sz w:val="14"/>
                <w:szCs w:val="14"/>
                <w:b w:val="1"/>
                <w:bCs w:val="1"/>
                <w:color w:val="auto"/>
                <w:w w:val="85"/>
              </w:rPr>
              <w:t>July 10, 2009</w:t>
            </w:r>
          </w:p>
        </w:tc>
        <w:tc>
          <w:tcPr>
            <w:tcW w:w="180" w:type="dxa"/>
            <w:vAlign w:val="bottom"/>
          </w:tcPr>
          <w:p>
            <w:pPr>
              <w:spacing w:after="0"/>
              <w:rPr>
                <w:sz w:val="12"/>
                <w:szCs w:val="12"/>
                <w:color w:val="auto"/>
              </w:rPr>
            </w:pPr>
          </w:p>
        </w:tc>
        <w:tc>
          <w:tcPr>
            <w:tcW w:w="980" w:type="dxa"/>
            <w:vAlign w:val="bottom"/>
            <w:gridSpan w:val="3"/>
          </w:tcPr>
          <w:p>
            <w:pPr>
              <w:jc w:val="center"/>
              <w:ind w:right="300"/>
              <w:spacing w:after="0" w:line="149" w:lineRule="exact"/>
              <w:rPr>
                <w:sz w:val="20"/>
                <w:szCs w:val="20"/>
                <w:color w:val="auto"/>
              </w:rPr>
            </w:pPr>
            <w:r>
              <w:rPr>
                <w:rFonts w:ascii="Arial" w:cs="Arial" w:eastAsia="Arial" w:hAnsi="Arial"/>
                <w:sz w:val="14"/>
                <w:szCs w:val="14"/>
                <w:b w:val="1"/>
                <w:bCs w:val="1"/>
                <w:color w:val="auto"/>
                <w:w w:val="86"/>
              </w:rPr>
              <w:t>July 1, 2009</w:t>
            </w:r>
          </w:p>
        </w:tc>
        <w:tc>
          <w:tcPr>
            <w:tcW w:w="840" w:type="dxa"/>
            <w:vAlign w:val="bottom"/>
            <w:gridSpan w:val="2"/>
          </w:tcPr>
          <w:p>
            <w:pPr>
              <w:jc w:val="center"/>
              <w:ind w:left="301"/>
              <w:spacing w:after="0" w:line="149" w:lineRule="exact"/>
              <w:rPr>
                <w:sz w:val="20"/>
                <w:szCs w:val="20"/>
                <w:color w:val="auto"/>
              </w:rPr>
            </w:pPr>
            <w:r>
              <w:rPr>
                <w:rFonts w:ascii="Arial" w:cs="Arial" w:eastAsia="Arial" w:hAnsi="Arial"/>
                <w:sz w:val="14"/>
                <w:szCs w:val="14"/>
                <w:b w:val="1"/>
                <w:bCs w:val="1"/>
                <w:color w:val="auto"/>
                <w:w w:val="88"/>
              </w:rPr>
              <w:t>Ended</w:t>
            </w:r>
          </w:p>
        </w:tc>
        <w:tc>
          <w:tcPr>
            <w:tcW w:w="3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160" w:type="dxa"/>
            <w:vAlign w:val="bottom"/>
          </w:tcPr>
          <w:p>
            <w:pPr>
              <w:spacing w:after="0"/>
              <w:rPr>
                <w:sz w:val="12"/>
                <w:szCs w:val="12"/>
                <w:color w:val="auto"/>
              </w:rPr>
            </w:pPr>
          </w:p>
        </w:tc>
        <w:tc>
          <w:tcPr>
            <w:tcW w:w="4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gridSpan w:val="2"/>
          </w:tcPr>
          <w:p>
            <w:pPr>
              <w:jc w:val="center"/>
              <w:ind w:right="420"/>
              <w:spacing w:after="0" w:line="149" w:lineRule="exact"/>
              <w:rPr>
                <w:sz w:val="20"/>
                <w:szCs w:val="20"/>
                <w:color w:val="auto"/>
              </w:rPr>
            </w:pPr>
            <w:r>
              <w:rPr>
                <w:rFonts w:ascii="Arial" w:cs="Arial" w:eastAsia="Arial" w:hAnsi="Arial"/>
                <w:sz w:val="14"/>
                <w:szCs w:val="14"/>
                <w:b w:val="1"/>
                <w:bCs w:val="1"/>
                <w:color w:val="auto"/>
                <w:w w:val="88"/>
              </w:rPr>
              <w:t>Ended</w:t>
            </w:r>
          </w:p>
        </w:tc>
        <w:tc>
          <w:tcPr>
            <w:tcW w:w="180" w:type="dxa"/>
            <w:vAlign w:val="bottom"/>
          </w:tcPr>
          <w:p>
            <w:pPr>
              <w:spacing w:after="0"/>
              <w:rPr>
                <w:sz w:val="12"/>
                <w:szCs w:val="12"/>
                <w:color w:val="auto"/>
              </w:rPr>
            </w:pPr>
          </w:p>
        </w:tc>
        <w:tc>
          <w:tcPr>
            <w:tcW w:w="88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84"/>
              </w:rPr>
              <w:t>Ended</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20" w:type="dxa"/>
            <w:vAlign w:val="bottom"/>
            <w:tcBorders>
              <w:right w:val="single" w:sz="8" w:color="auto"/>
            </w:tcBorders>
            <w:gridSpan w:val="2"/>
          </w:tcPr>
          <w:p>
            <w:pPr>
              <w:jc w:val="center"/>
              <w:ind w:right="500"/>
              <w:spacing w:after="0" w:line="149" w:lineRule="exact"/>
              <w:rPr>
                <w:sz w:val="20"/>
                <w:szCs w:val="20"/>
                <w:color w:val="auto"/>
              </w:rPr>
            </w:pPr>
            <w:r>
              <w:rPr>
                <w:rFonts w:ascii="Arial" w:cs="Arial" w:eastAsia="Arial" w:hAnsi="Arial"/>
                <w:sz w:val="14"/>
                <w:szCs w:val="14"/>
                <w:b w:val="1"/>
                <w:bCs w:val="1"/>
                <w:color w:val="auto"/>
                <w:w w:val="87"/>
              </w:rPr>
              <w:t>Through</w:t>
            </w: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gridSpan w:val="2"/>
          </w:tcPr>
          <w:p>
            <w:pPr>
              <w:jc w:val="center"/>
              <w:ind w:right="380"/>
              <w:spacing w:after="0" w:line="149" w:lineRule="exact"/>
              <w:rPr>
                <w:sz w:val="20"/>
                <w:szCs w:val="20"/>
                <w:color w:val="auto"/>
              </w:rPr>
            </w:pPr>
            <w:r>
              <w:rPr>
                <w:rFonts w:ascii="Arial" w:cs="Arial" w:eastAsia="Arial" w:hAnsi="Arial"/>
                <w:sz w:val="14"/>
                <w:szCs w:val="14"/>
                <w:b w:val="1"/>
                <w:bCs w:val="1"/>
                <w:color w:val="auto"/>
                <w:w w:val="87"/>
              </w:rPr>
              <w:t>Through</w:t>
            </w:r>
          </w:p>
        </w:tc>
        <w:tc>
          <w:tcPr>
            <w:tcW w:w="1480" w:type="dxa"/>
            <w:vAlign w:val="bottom"/>
            <w:gridSpan w:val="4"/>
          </w:tcPr>
          <w:p>
            <w:pPr>
              <w:jc w:val="center"/>
              <w:ind w:right="280"/>
              <w:spacing w:after="0" w:line="149" w:lineRule="exact"/>
              <w:rPr>
                <w:sz w:val="20"/>
                <w:szCs w:val="20"/>
                <w:color w:val="auto"/>
              </w:rPr>
            </w:pPr>
            <w:r>
              <w:rPr>
                <w:rFonts w:ascii="Arial" w:cs="Arial" w:eastAsia="Arial" w:hAnsi="Arial"/>
                <w:sz w:val="14"/>
                <w:szCs w:val="14"/>
                <w:b w:val="1"/>
                <w:bCs w:val="1"/>
                <w:color w:val="auto"/>
                <w:w w:val="84"/>
              </w:rPr>
              <w:t>2010 vs. 2009</w:t>
            </w:r>
          </w:p>
        </w:tc>
        <w:tc>
          <w:tcPr>
            <w:tcW w:w="0" w:type="dxa"/>
            <w:vAlign w:val="bottom"/>
          </w:tcPr>
          <w:p>
            <w:pPr>
              <w:spacing w:after="0"/>
              <w:rPr>
                <w:sz w:val="1"/>
                <w:szCs w:val="1"/>
                <w:color w:val="auto"/>
              </w:rPr>
            </w:pPr>
          </w:p>
        </w:tc>
      </w:tr>
      <w:tr>
        <w:trPr>
          <w:trHeight w:val="161"/>
        </w:trPr>
        <w:tc>
          <w:tcPr>
            <w:tcW w:w="1160" w:type="dxa"/>
            <w:vAlign w:val="bottom"/>
          </w:tcPr>
          <w:p>
            <w:pPr>
              <w:spacing w:after="0"/>
              <w:rPr>
                <w:sz w:val="14"/>
                <w:szCs w:val="14"/>
                <w:color w:val="auto"/>
              </w:rPr>
            </w:pPr>
          </w:p>
        </w:tc>
        <w:tc>
          <w:tcPr>
            <w:tcW w:w="4100" w:type="dxa"/>
            <w:vAlign w:val="bottom"/>
          </w:tcPr>
          <w:p>
            <w:pPr>
              <w:spacing w:after="0"/>
              <w:rPr>
                <w:sz w:val="14"/>
                <w:szCs w:val="14"/>
                <w:color w:val="auto"/>
              </w:rPr>
            </w:pPr>
          </w:p>
        </w:tc>
        <w:tc>
          <w:tcPr>
            <w:tcW w:w="1120" w:type="dxa"/>
            <w:vAlign w:val="bottom"/>
            <w:gridSpan w:val="3"/>
          </w:tcPr>
          <w:p>
            <w:pPr>
              <w:jc w:val="center"/>
              <w:ind w:right="300"/>
              <w:spacing w:after="0"/>
              <w:rPr>
                <w:sz w:val="20"/>
                <w:szCs w:val="20"/>
                <w:color w:val="auto"/>
              </w:rPr>
            </w:pPr>
            <w:r>
              <w:rPr>
                <w:rFonts w:ascii="Arial" w:cs="Arial" w:eastAsia="Arial" w:hAnsi="Arial"/>
                <w:sz w:val="14"/>
                <w:szCs w:val="14"/>
                <w:b w:val="1"/>
                <w:bCs w:val="1"/>
                <w:color w:val="auto"/>
                <w:w w:val="85"/>
              </w:rPr>
              <w:t>September 30,</w:t>
            </w:r>
          </w:p>
        </w:tc>
        <w:tc>
          <w:tcPr>
            <w:tcW w:w="1060" w:type="dxa"/>
            <w:vAlign w:val="bottom"/>
            <w:gridSpan w:val="3"/>
          </w:tcPr>
          <w:p>
            <w:pPr>
              <w:jc w:val="center"/>
              <w:ind w:right="160"/>
              <w:spacing w:after="0"/>
              <w:rPr>
                <w:sz w:val="20"/>
                <w:szCs w:val="20"/>
                <w:color w:val="auto"/>
              </w:rPr>
            </w:pPr>
            <w:r>
              <w:rPr>
                <w:rFonts w:ascii="Arial" w:cs="Arial" w:eastAsia="Arial" w:hAnsi="Arial"/>
                <w:sz w:val="14"/>
                <w:szCs w:val="14"/>
                <w:b w:val="1"/>
                <w:bCs w:val="1"/>
                <w:color w:val="auto"/>
                <w:w w:val="85"/>
              </w:rPr>
              <w:t>September 30,</w:t>
            </w:r>
          </w:p>
        </w:tc>
        <w:tc>
          <w:tcPr>
            <w:tcW w:w="120" w:type="dxa"/>
            <w:vAlign w:val="bottom"/>
          </w:tcPr>
          <w:p>
            <w:pPr>
              <w:spacing w:after="0"/>
              <w:rPr>
                <w:sz w:val="14"/>
                <w:szCs w:val="14"/>
                <w:color w:val="auto"/>
              </w:rPr>
            </w:pPr>
          </w:p>
        </w:tc>
        <w:tc>
          <w:tcPr>
            <w:tcW w:w="1220" w:type="dxa"/>
            <w:vAlign w:val="bottom"/>
            <w:tcBorders>
              <w:right w:val="single" w:sz="8" w:color="auto"/>
            </w:tcBorders>
            <w:gridSpan w:val="3"/>
          </w:tcPr>
          <w:p>
            <w:pPr>
              <w:jc w:val="center"/>
              <w:ind w:right="400"/>
              <w:spacing w:after="0"/>
              <w:rPr>
                <w:sz w:val="20"/>
                <w:szCs w:val="20"/>
                <w:color w:val="auto"/>
              </w:rPr>
            </w:pPr>
            <w:r>
              <w:rPr>
                <w:rFonts w:ascii="Arial" w:cs="Arial" w:eastAsia="Arial" w:hAnsi="Arial"/>
                <w:sz w:val="14"/>
                <w:szCs w:val="14"/>
                <w:b w:val="1"/>
                <w:bCs w:val="1"/>
                <w:color w:val="auto"/>
                <w:w w:val="85"/>
              </w:rPr>
              <w:t>September 30,</w:t>
            </w: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6"/>
              </w:rPr>
              <w:t>July 9,</w:t>
            </w:r>
          </w:p>
        </w:tc>
        <w:tc>
          <w:tcPr>
            <w:tcW w:w="840" w:type="dxa"/>
            <w:vAlign w:val="bottom"/>
            <w:tcBorders>
              <w:bottom w:val="single" w:sz="8" w:color="auto"/>
            </w:tcBorders>
            <w:gridSpan w:val="2"/>
          </w:tcPr>
          <w:p>
            <w:pPr>
              <w:jc w:val="center"/>
              <w:ind w:left="301"/>
              <w:spacing w:after="0"/>
              <w:rPr>
                <w:sz w:val="20"/>
                <w:szCs w:val="20"/>
                <w:color w:val="auto"/>
              </w:rPr>
            </w:pPr>
            <w:r>
              <w:rPr>
                <w:rFonts w:ascii="Arial" w:cs="Arial" w:eastAsia="Arial" w:hAnsi="Arial"/>
                <w:sz w:val="14"/>
                <w:szCs w:val="14"/>
                <w:b w:val="1"/>
                <w:bCs w:val="1"/>
                <w:color w:val="auto"/>
                <w:w w:val="89"/>
              </w:rPr>
              <w:t>Change</w:t>
            </w:r>
          </w:p>
        </w:tc>
        <w:tc>
          <w:tcPr>
            <w:tcW w:w="380" w:type="dxa"/>
            <w:vAlign w:val="bottom"/>
            <w:tcBorders>
              <w:bottom w:val="single" w:sz="8" w:color="auto"/>
            </w:tcBorders>
          </w:tcPr>
          <w:p>
            <w:pPr>
              <w:spacing w:after="0"/>
              <w:rPr>
                <w:sz w:val="14"/>
                <w:szCs w:val="14"/>
                <w:color w:val="auto"/>
              </w:rPr>
            </w:pPr>
          </w:p>
        </w:tc>
        <w:tc>
          <w:tcPr>
            <w:tcW w:w="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1160" w:type="dxa"/>
            <w:vAlign w:val="bottom"/>
          </w:tcPr>
          <w:p>
            <w:pPr>
              <w:spacing w:after="0"/>
              <w:rPr>
                <w:sz w:val="12"/>
                <w:szCs w:val="12"/>
                <w:color w:val="auto"/>
              </w:rPr>
            </w:pPr>
          </w:p>
        </w:tc>
        <w:tc>
          <w:tcPr>
            <w:tcW w:w="410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jc w:val="center"/>
              <w:ind w:right="39"/>
              <w:spacing w:after="0" w:line="142" w:lineRule="exact"/>
              <w:rPr>
                <w:sz w:val="20"/>
                <w:szCs w:val="20"/>
                <w:color w:val="auto"/>
              </w:rPr>
            </w:pPr>
            <w:r>
              <w:rPr>
                <w:rFonts w:ascii="Arial" w:cs="Arial" w:eastAsia="Arial" w:hAnsi="Arial"/>
                <w:sz w:val="14"/>
                <w:szCs w:val="14"/>
                <w:b w:val="1"/>
                <w:bCs w:val="1"/>
                <w:color w:val="auto"/>
                <w:w w:val="83"/>
              </w:rPr>
              <w:t>2010</w:t>
            </w:r>
          </w:p>
        </w:tc>
        <w:tc>
          <w:tcPr>
            <w:tcW w:w="300" w:type="dxa"/>
            <w:vAlign w:val="bottom"/>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jc w:val="center"/>
              <w:ind w:right="97"/>
              <w:spacing w:after="0" w:line="142" w:lineRule="exact"/>
              <w:rPr>
                <w:sz w:val="20"/>
                <w:szCs w:val="20"/>
                <w:color w:val="auto"/>
              </w:rPr>
            </w:pPr>
            <w:r>
              <w:rPr>
                <w:rFonts w:ascii="Arial" w:cs="Arial" w:eastAsia="Arial" w:hAnsi="Arial"/>
                <w:sz w:val="14"/>
                <w:szCs w:val="14"/>
                <w:b w:val="1"/>
                <w:bCs w:val="1"/>
                <w:color w:val="auto"/>
                <w:w w:val="89"/>
              </w:rPr>
              <w:t>2009</w:t>
            </w: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center"/>
              <w:ind w:right="19"/>
              <w:spacing w:after="0" w:line="142" w:lineRule="exact"/>
              <w:rPr>
                <w:sz w:val="20"/>
                <w:szCs w:val="20"/>
                <w:color w:val="auto"/>
              </w:rPr>
            </w:pPr>
            <w:r>
              <w:rPr>
                <w:rFonts w:ascii="Arial" w:cs="Arial" w:eastAsia="Arial" w:hAnsi="Arial"/>
                <w:sz w:val="14"/>
                <w:szCs w:val="14"/>
                <w:b w:val="1"/>
                <w:bCs w:val="1"/>
                <w:color w:val="auto"/>
                <w:w w:val="83"/>
              </w:rPr>
              <w:t>2009</w:t>
            </w:r>
          </w:p>
        </w:tc>
        <w:tc>
          <w:tcPr>
            <w:tcW w:w="400" w:type="dxa"/>
            <w:vAlign w:val="bottom"/>
            <w:tcBorders>
              <w:right w:val="single" w:sz="8" w:color="auto"/>
            </w:tcBorders>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jc w:val="center"/>
              <w:ind w:right="19"/>
              <w:spacing w:after="0" w:line="142" w:lineRule="exact"/>
              <w:rPr>
                <w:sz w:val="20"/>
                <w:szCs w:val="20"/>
                <w:color w:val="auto"/>
              </w:rPr>
            </w:pPr>
            <w:r>
              <w:rPr>
                <w:rFonts w:ascii="Arial" w:cs="Arial" w:eastAsia="Arial" w:hAnsi="Arial"/>
                <w:sz w:val="14"/>
                <w:szCs w:val="14"/>
                <w:b w:val="1"/>
                <w:bCs w:val="1"/>
                <w:color w:val="auto"/>
                <w:w w:val="83"/>
              </w:rPr>
              <w:t>2009</w:t>
            </w:r>
          </w:p>
        </w:tc>
        <w:tc>
          <w:tcPr>
            <w:tcW w:w="280" w:type="dxa"/>
            <w:vAlign w:val="bottom"/>
          </w:tcPr>
          <w:p>
            <w:pPr>
              <w:spacing w:after="0"/>
              <w:rPr>
                <w:sz w:val="12"/>
                <w:szCs w:val="12"/>
                <w:color w:val="auto"/>
              </w:rPr>
            </w:pPr>
          </w:p>
        </w:tc>
        <w:tc>
          <w:tcPr>
            <w:tcW w:w="54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90"/>
              </w:rPr>
              <w:t>Amount</w:t>
            </w:r>
          </w:p>
        </w:tc>
        <w:tc>
          <w:tcPr>
            <w:tcW w:w="300" w:type="dxa"/>
            <w:vAlign w:val="bottom"/>
          </w:tcPr>
          <w:p>
            <w:pPr>
              <w:spacing w:after="0"/>
              <w:rPr>
                <w:sz w:val="12"/>
                <w:szCs w:val="12"/>
                <w:color w:val="auto"/>
              </w:rPr>
            </w:pPr>
          </w:p>
        </w:tc>
        <w:tc>
          <w:tcPr>
            <w:tcW w:w="380" w:type="dxa"/>
            <w:vAlign w:val="bottom"/>
            <w:tcBorders>
              <w:bottom w:val="single" w:sz="8" w:color="auto"/>
            </w:tcBorders>
          </w:tcPr>
          <w:p>
            <w:pPr>
              <w:jc w:val="right"/>
              <w:ind w:right="35"/>
              <w:spacing w:after="0" w:line="142" w:lineRule="exact"/>
              <w:rPr>
                <w:sz w:val="20"/>
                <w:szCs w:val="20"/>
                <w:color w:val="auto"/>
              </w:rPr>
            </w:pPr>
            <w:r>
              <w:rPr>
                <w:rFonts w:ascii="Arial" w:cs="Arial" w:eastAsia="Arial" w:hAnsi="Arial"/>
                <w:sz w:val="14"/>
                <w:szCs w:val="14"/>
                <w:b w:val="1"/>
                <w:bCs w:val="1"/>
                <w:color w:val="auto"/>
              </w:rPr>
              <w:t>%</w:t>
            </w:r>
          </w:p>
        </w:tc>
        <w:tc>
          <w:tcPr>
            <w:tcW w:w="2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52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GMNA</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21,493</w:t>
            </w:r>
          </w:p>
        </w:tc>
        <w:tc>
          <w:tcPr>
            <w:tcW w:w="30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6"/>
              <w:spacing w:after="0"/>
              <w:rPr>
                <w:sz w:val="20"/>
                <w:szCs w:val="20"/>
                <w:color w:val="auto"/>
              </w:rPr>
            </w:pPr>
            <w:r>
              <w:rPr>
                <w:rFonts w:ascii="Arial" w:cs="Arial" w:eastAsia="Arial" w:hAnsi="Arial"/>
                <w:sz w:val="18"/>
                <w:szCs w:val="18"/>
                <w:color w:val="auto"/>
                <w:w w:val="79"/>
              </w:rPr>
              <w:t>$</w:t>
            </w:r>
          </w:p>
        </w:tc>
        <w:tc>
          <w:tcPr>
            <w:tcW w:w="8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14,578</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14,151</w:t>
            </w:r>
          </w:p>
        </w:tc>
        <w:tc>
          <w:tcPr>
            <w:tcW w:w="400" w:type="dxa"/>
            <w:vAlign w:val="bottom"/>
            <w:tcBorders>
              <w:right w:val="single" w:sz="8" w:color="auto"/>
            </w:tcBorders>
            <w:shd w:val="clear" w:color="auto" w:fill="CCEEFF"/>
          </w:tcPr>
          <w:p>
            <w:pPr>
              <w:spacing w:after="0"/>
              <w:rPr>
                <w:sz w:val="18"/>
                <w:szCs w:val="18"/>
                <w:color w:val="auto"/>
              </w:rPr>
            </w:pP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427</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$ 6,915</w:t>
            </w:r>
          </w:p>
        </w:tc>
        <w:tc>
          <w:tcPr>
            <w:tcW w:w="3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7"/>
              </w:rPr>
              <w:t>47.4%</w:t>
            </w:r>
          </w:p>
        </w:tc>
        <w:tc>
          <w:tcPr>
            <w:tcW w:w="0" w:type="dxa"/>
            <w:vAlign w:val="bottom"/>
          </w:tcPr>
          <w:p>
            <w:pPr>
              <w:spacing w:after="0"/>
              <w:rPr>
                <w:sz w:val="1"/>
                <w:szCs w:val="1"/>
                <w:color w:val="auto"/>
              </w:rPr>
            </w:pPr>
          </w:p>
        </w:tc>
      </w:tr>
      <w:tr>
        <w:trPr>
          <w:trHeight w:val="216"/>
        </w:trPr>
        <w:tc>
          <w:tcPr>
            <w:tcW w:w="5260" w:type="dxa"/>
            <w:vAlign w:val="bottom"/>
            <w:gridSpan w:val="2"/>
          </w:tcPr>
          <w:p>
            <w:pPr>
              <w:spacing w:after="0"/>
              <w:rPr>
                <w:sz w:val="20"/>
                <w:szCs w:val="20"/>
                <w:color w:val="auto"/>
              </w:rPr>
            </w:pPr>
            <w:r>
              <w:rPr>
                <w:rFonts w:ascii="Arial" w:cs="Arial" w:eastAsia="Arial" w:hAnsi="Arial"/>
                <w:sz w:val="18"/>
                <w:szCs w:val="18"/>
                <w:color w:val="auto"/>
              </w:rPr>
              <w:t>GMIO</w:t>
            </w:r>
          </w:p>
        </w:tc>
        <w:tc>
          <w:tcPr>
            <w:tcW w:w="1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8,702</w:t>
            </w: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gridSpan w:val="2"/>
          </w:tcPr>
          <w:p>
            <w:pPr>
              <w:jc w:val="right"/>
              <w:ind w:right="180"/>
              <w:spacing w:after="0"/>
              <w:rPr>
                <w:sz w:val="20"/>
                <w:szCs w:val="20"/>
                <w:color w:val="auto"/>
              </w:rPr>
            </w:pPr>
            <w:r>
              <w:rPr>
                <w:rFonts w:ascii="Arial" w:cs="Arial" w:eastAsia="Arial" w:hAnsi="Arial"/>
                <w:sz w:val="18"/>
                <w:szCs w:val="18"/>
                <w:color w:val="auto"/>
              </w:rPr>
              <w:t>6,938</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6,395</w:t>
            </w:r>
          </w:p>
        </w:tc>
        <w:tc>
          <w:tcPr>
            <w:tcW w:w="400" w:type="dxa"/>
            <w:vAlign w:val="bottom"/>
            <w:tcBorders>
              <w:right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280"/>
              <w:spacing w:after="0"/>
              <w:rPr>
                <w:sz w:val="20"/>
                <w:szCs w:val="20"/>
                <w:color w:val="auto"/>
              </w:rPr>
            </w:pPr>
            <w:r>
              <w:rPr>
                <w:rFonts w:ascii="Arial" w:cs="Arial" w:eastAsia="Arial" w:hAnsi="Arial"/>
                <w:sz w:val="18"/>
                <w:szCs w:val="18"/>
                <w:color w:val="auto"/>
              </w:rPr>
              <w:t>543</w:t>
            </w:r>
          </w:p>
        </w:tc>
        <w:tc>
          <w:tcPr>
            <w:tcW w:w="540" w:type="dxa"/>
            <w:vAlign w:val="bottom"/>
          </w:tcPr>
          <w:p>
            <w:pPr>
              <w:jc w:val="right"/>
              <w:spacing w:after="0"/>
              <w:rPr>
                <w:sz w:val="20"/>
                <w:szCs w:val="20"/>
                <w:color w:val="auto"/>
              </w:rPr>
            </w:pPr>
            <w:r>
              <w:rPr>
                <w:rFonts w:ascii="Arial" w:cs="Arial" w:eastAsia="Arial" w:hAnsi="Arial"/>
                <w:sz w:val="18"/>
                <w:szCs w:val="18"/>
                <w:color w:val="auto"/>
              </w:rPr>
              <w:t>1,764</w:t>
            </w:r>
          </w:p>
        </w:tc>
        <w:tc>
          <w:tcPr>
            <w:tcW w:w="300" w:type="dxa"/>
            <w:vAlign w:val="bottom"/>
          </w:tcPr>
          <w:p>
            <w:pPr>
              <w:spacing w:after="0"/>
              <w:rPr>
                <w:sz w:val="18"/>
                <w:szCs w:val="18"/>
                <w:color w:val="auto"/>
              </w:rPr>
            </w:pPr>
          </w:p>
        </w:tc>
        <w:tc>
          <w:tcPr>
            <w:tcW w:w="640" w:type="dxa"/>
            <w:vAlign w:val="bottom"/>
            <w:gridSpan w:val="2"/>
          </w:tcPr>
          <w:p>
            <w:pPr>
              <w:jc w:val="right"/>
              <w:ind w:right="120"/>
              <w:spacing w:after="0"/>
              <w:rPr>
                <w:sz w:val="20"/>
                <w:szCs w:val="20"/>
                <w:color w:val="auto"/>
              </w:rPr>
            </w:pPr>
            <w:r>
              <w:rPr>
                <w:rFonts w:ascii="Arial" w:cs="Arial" w:eastAsia="Arial" w:hAnsi="Arial"/>
                <w:sz w:val="18"/>
                <w:szCs w:val="18"/>
                <w:color w:val="auto"/>
                <w:w w:val="97"/>
              </w:rPr>
              <w:t>25.4%</w:t>
            </w:r>
          </w:p>
        </w:tc>
        <w:tc>
          <w:tcPr>
            <w:tcW w:w="0" w:type="dxa"/>
            <w:vAlign w:val="bottom"/>
          </w:tcPr>
          <w:p>
            <w:pPr>
              <w:spacing w:after="0"/>
              <w:rPr>
                <w:sz w:val="1"/>
                <w:szCs w:val="1"/>
                <w:color w:val="auto"/>
              </w:rPr>
            </w:pPr>
          </w:p>
        </w:tc>
      </w:tr>
      <w:tr>
        <w:trPr>
          <w:trHeight w:val="216"/>
        </w:trPr>
        <w:tc>
          <w:tcPr>
            <w:tcW w:w="52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GME</w:t>
            </w: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5,657</w:t>
            </w:r>
          </w:p>
        </w:tc>
        <w:tc>
          <w:tcPr>
            <w:tcW w:w="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5,844</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5,238</w:t>
            </w:r>
          </w:p>
        </w:tc>
        <w:tc>
          <w:tcPr>
            <w:tcW w:w="400" w:type="dxa"/>
            <w:vAlign w:val="bottom"/>
            <w:tcBorders>
              <w:right w:val="single" w:sz="8" w:color="auto"/>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606</w:t>
            </w:r>
          </w:p>
        </w:tc>
        <w:tc>
          <w:tcPr>
            <w:tcW w:w="8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(187)</w:t>
            </w:r>
          </w:p>
        </w:tc>
        <w:tc>
          <w:tcPr>
            <w:tcW w:w="6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20"/>
        </w:trPr>
        <w:tc>
          <w:tcPr>
            <w:tcW w:w="5260" w:type="dxa"/>
            <w:vAlign w:val="bottom"/>
            <w:gridSpan w:val="2"/>
            <w:vMerge w:val="restart"/>
          </w:tcPr>
          <w:p>
            <w:pPr>
              <w:ind w:left="220"/>
              <w:spacing w:after="0"/>
              <w:rPr>
                <w:sz w:val="20"/>
                <w:szCs w:val="20"/>
                <w:color w:val="auto"/>
              </w:rPr>
            </w:pPr>
            <w:r>
              <w:rPr>
                <w:rFonts w:ascii="Arial" w:cs="Arial" w:eastAsia="Arial" w:hAnsi="Arial"/>
                <w:sz w:val="18"/>
                <w:szCs w:val="18"/>
                <w:color w:val="auto"/>
              </w:rPr>
              <w:t>Total operating segments</w:t>
            </w:r>
          </w:p>
        </w:tc>
        <w:tc>
          <w:tcPr>
            <w:tcW w:w="12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400" w:type="dxa"/>
            <w:vAlign w:val="bottom"/>
            <w:tcBorders>
              <w:right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40" w:type="dxa"/>
            <w:vAlign w:val="bottom"/>
            <w:gridSpan w:val="2"/>
            <w:vMerge w:val="restart"/>
          </w:tcPr>
          <w:p>
            <w:pPr>
              <w:jc w:val="right"/>
              <w:ind w:right="120"/>
              <w:spacing w:after="0"/>
              <w:rPr>
                <w:sz w:val="20"/>
                <w:szCs w:val="20"/>
                <w:color w:val="auto"/>
              </w:rPr>
            </w:pPr>
            <w:r>
              <w:rPr>
                <w:rFonts w:ascii="Arial" w:cs="Arial" w:eastAsia="Arial" w:hAnsi="Arial"/>
                <w:sz w:val="18"/>
                <w:szCs w:val="18"/>
                <w:color w:val="auto"/>
                <w:w w:val="97"/>
              </w:rPr>
              <w:t>31.0%</w:t>
            </w:r>
          </w:p>
        </w:tc>
        <w:tc>
          <w:tcPr>
            <w:tcW w:w="0" w:type="dxa"/>
            <w:vAlign w:val="bottom"/>
          </w:tcPr>
          <w:p>
            <w:pPr>
              <w:spacing w:after="0" w:line="20" w:lineRule="exact"/>
              <w:rPr>
                <w:sz w:val="1"/>
                <w:szCs w:val="1"/>
                <w:color w:val="auto"/>
              </w:rPr>
            </w:pPr>
          </w:p>
        </w:tc>
      </w:tr>
      <w:tr>
        <w:trPr>
          <w:trHeight w:val="221"/>
        </w:trPr>
        <w:tc>
          <w:tcPr>
            <w:tcW w:w="5260" w:type="dxa"/>
            <w:vAlign w:val="bottom"/>
            <w:gridSpan w:val="2"/>
            <w:vMerge w:val="continue"/>
          </w:tcPr>
          <w:p>
            <w:pPr>
              <w:spacing w:after="0"/>
              <w:rPr>
                <w:sz w:val="19"/>
                <w:szCs w:val="19"/>
                <w:color w:val="auto"/>
              </w:rPr>
            </w:pPr>
          </w:p>
        </w:tc>
        <w:tc>
          <w:tcPr>
            <w:tcW w:w="12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35,852</w:t>
            </w:r>
          </w:p>
        </w:tc>
        <w:tc>
          <w:tcPr>
            <w:tcW w:w="3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80" w:type="dxa"/>
            <w:vAlign w:val="bottom"/>
            <w:gridSpan w:val="2"/>
          </w:tcPr>
          <w:p>
            <w:pPr>
              <w:jc w:val="right"/>
              <w:ind w:right="180"/>
              <w:spacing w:after="0"/>
              <w:rPr>
                <w:sz w:val="20"/>
                <w:szCs w:val="20"/>
                <w:color w:val="auto"/>
              </w:rPr>
            </w:pPr>
            <w:r>
              <w:rPr>
                <w:rFonts w:ascii="Arial" w:cs="Arial" w:eastAsia="Arial" w:hAnsi="Arial"/>
                <w:sz w:val="18"/>
                <w:szCs w:val="18"/>
                <w:color w:val="auto"/>
              </w:rPr>
              <w:t>27,360</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25,784</w:t>
            </w:r>
          </w:p>
        </w:tc>
        <w:tc>
          <w:tcPr>
            <w:tcW w:w="400" w:type="dxa"/>
            <w:vAlign w:val="bottom"/>
            <w:tcBorders>
              <w:right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80" w:type="dxa"/>
            <w:vAlign w:val="bottom"/>
            <w:gridSpan w:val="2"/>
          </w:tcPr>
          <w:p>
            <w:pPr>
              <w:jc w:val="right"/>
              <w:ind w:right="280"/>
              <w:spacing w:after="0"/>
              <w:rPr>
                <w:sz w:val="20"/>
                <w:szCs w:val="20"/>
                <w:color w:val="auto"/>
              </w:rPr>
            </w:pPr>
            <w:r>
              <w:rPr>
                <w:rFonts w:ascii="Arial" w:cs="Arial" w:eastAsia="Arial" w:hAnsi="Arial"/>
                <w:sz w:val="18"/>
                <w:szCs w:val="18"/>
                <w:color w:val="auto"/>
              </w:rPr>
              <w:t>1,576</w:t>
            </w:r>
          </w:p>
        </w:tc>
        <w:tc>
          <w:tcPr>
            <w:tcW w:w="540" w:type="dxa"/>
            <w:vAlign w:val="bottom"/>
          </w:tcPr>
          <w:p>
            <w:pPr>
              <w:jc w:val="right"/>
              <w:spacing w:after="0"/>
              <w:rPr>
                <w:sz w:val="20"/>
                <w:szCs w:val="20"/>
                <w:color w:val="auto"/>
              </w:rPr>
            </w:pPr>
            <w:r>
              <w:rPr>
                <w:rFonts w:ascii="Arial" w:cs="Arial" w:eastAsia="Arial" w:hAnsi="Arial"/>
                <w:sz w:val="18"/>
                <w:szCs w:val="18"/>
                <w:color w:val="auto"/>
              </w:rPr>
              <w:t>8,492</w:t>
            </w:r>
          </w:p>
        </w:tc>
        <w:tc>
          <w:tcPr>
            <w:tcW w:w="300" w:type="dxa"/>
            <w:vAlign w:val="bottom"/>
          </w:tcPr>
          <w:p>
            <w:pPr>
              <w:spacing w:after="0"/>
              <w:rPr>
                <w:sz w:val="19"/>
                <w:szCs w:val="19"/>
                <w:color w:val="auto"/>
              </w:rPr>
            </w:pPr>
          </w:p>
        </w:tc>
        <w:tc>
          <w:tcPr>
            <w:tcW w:w="640" w:type="dxa"/>
            <w:vAlign w:val="bottom"/>
            <w:gridSpan w:val="2"/>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52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Corporate and eliminations</w:t>
            </w:r>
          </w:p>
        </w:tc>
        <w:tc>
          <w:tcPr>
            <w:tcW w:w="1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(1,792)</w:t>
            </w:r>
          </w:p>
        </w:tc>
        <w:tc>
          <w:tcPr>
            <w:tcW w:w="1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(576)</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tcBorders>
              <w:right w:val="single" w:sz="8" w:color="auto"/>
            </w:tcBorders>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(637)</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61</w:t>
            </w:r>
          </w:p>
        </w:tc>
        <w:tc>
          <w:tcPr>
            <w:tcW w:w="8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(1,216)</w:t>
            </w:r>
          </w:p>
        </w:tc>
        <w:tc>
          <w:tcPr>
            <w:tcW w:w="6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r>
        <w:trPr>
          <w:trHeight w:val="20"/>
        </w:trPr>
        <w:tc>
          <w:tcPr>
            <w:tcW w:w="5260" w:type="dxa"/>
            <w:vAlign w:val="bottom"/>
            <w:gridSpan w:val="2"/>
            <w:vMerge w:val="restart"/>
          </w:tcPr>
          <w:p>
            <w:pPr>
              <w:spacing w:after="0"/>
              <w:rPr>
                <w:sz w:val="20"/>
                <w:szCs w:val="20"/>
                <w:color w:val="auto"/>
              </w:rPr>
            </w:pPr>
            <w:r>
              <w:rPr>
                <w:rFonts w:ascii="Arial" w:cs="Arial" w:eastAsia="Arial" w:hAnsi="Arial"/>
                <w:sz w:val="18"/>
                <w:szCs w:val="18"/>
                <w:color w:val="auto"/>
              </w:rPr>
              <w:t>Total net sales and revenue</w:t>
            </w:r>
          </w:p>
        </w:tc>
        <w:tc>
          <w:tcPr>
            <w:tcW w:w="12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400" w:type="dxa"/>
            <w:vAlign w:val="bottom"/>
            <w:tcBorders>
              <w:right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40" w:type="dxa"/>
            <w:vAlign w:val="bottom"/>
            <w:gridSpan w:val="2"/>
            <w:vMerge w:val="restart"/>
          </w:tcPr>
          <w:p>
            <w:pPr>
              <w:jc w:val="right"/>
              <w:ind w:right="120"/>
              <w:spacing w:after="0"/>
              <w:rPr>
                <w:sz w:val="20"/>
                <w:szCs w:val="20"/>
                <w:color w:val="auto"/>
              </w:rPr>
            </w:pPr>
            <w:r>
              <w:rPr>
                <w:rFonts w:ascii="Arial" w:cs="Arial" w:eastAsia="Arial" w:hAnsi="Arial"/>
                <w:sz w:val="18"/>
                <w:szCs w:val="18"/>
                <w:color w:val="auto"/>
                <w:w w:val="97"/>
              </w:rPr>
              <w:t>27.2%</w:t>
            </w:r>
          </w:p>
        </w:tc>
        <w:tc>
          <w:tcPr>
            <w:tcW w:w="0" w:type="dxa"/>
            <w:vAlign w:val="bottom"/>
          </w:tcPr>
          <w:p>
            <w:pPr>
              <w:spacing w:after="0" w:line="20" w:lineRule="exact"/>
              <w:rPr>
                <w:sz w:val="1"/>
                <w:szCs w:val="1"/>
                <w:color w:val="auto"/>
              </w:rPr>
            </w:pPr>
          </w:p>
        </w:tc>
      </w:tr>
      <w:tr>
        <w:trPr>
          <w:trHeight w:val="222"/>
        </w:trPr>
        <w:tc>
          <w:tcPr>
            <w:tcW w:w="5260" w:type="dxa"/>
            <w:vAlign w:val="bottom"/>
            <w:gridSpan w:val="2"/>
            <w:vMerge w:val="continue"/>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34,060</w:t>
            </w:r>
          </w:p>
        </w:tc>
        <w:tc>
          <w:tcPr>
            <w:tcW w:w="300" w:type="dxa"/>
            <w:vAlign w:val="bottom"/>
          </w:tcPr>
          <w:p>
            <w:pPr>
              <w:spacing w:after="0"/>
              <w:rPr>
                <w:sz w:val="19"/>
                <w:szCs w:val="19"/>
                <w:color w:val="auto"/>
              </w:rPr>
            </w:pPr>
          </w:p>
        </w:tc>
        <w:tc>
          <w:tcPr>
            <w:tcW w:w="180" w:type="dxa"/>
            <w:vAlign w:val="bottom"/>
          </w:tcPr>
          <w:p>
            <w:pPr>
              <w:jc w:val="right"/>
              <w:ind w:right="6"/>
              <w:spacing w:after="0"/>
              <w:rPr>
                <w:sz w:val="20"/>
                <w:szCs w:val="20"/>
                <w:color w:val="auto"/>
              </w:rPr>
            </w:pPr>
            <w:r>
              <w:rPr>
                <w:rFonts w:ascii="Arial" w:cs="Arial" w:eastAsia="Arial" w:hAnsi="Arial"/>
                <w:sz w:val="18"/>
                <w:szCs w:val="18"/>
                <w:color w:val="auto"/>
                <w:w w:val="79"/>
              </w:rPr>
              <w:t>$</w:t>
            </w:r>
          </w:p>
        </w:tc>
        <w:tc>
          <w:tcPr>
            <w:tcW w:w="880" w:type="dxa"/>
            <w:vAlign w:val="bottom"/>
            <w:gridSpan w:val="2"/>
          </w:tcPr>
          <w:p>
            <w:pPr>
              <w:jc w:val="right"/>
              <w:ind w:right="180"/>
              <w:spacing w:after="0"/>
              <w:rPr>
                <w:sz w:val="20"/>
                <w:szCs w:val="20"/>
                <w:color w:val="auto"/>
              </w:rPr>
            </w:pPr>
            <w:r>
              <w:rPr>
                <w:rFonts w:ascii="Arial" w:cs="Arial" w:eastAsia="Arial" w:hAnsi="Arial"/>
                <w:sz w:val="18"/>
                <w:szCs w:val="18"/>
                <w:color w:val="auto"/>
              </w:rPr>
              <w:t>26,784</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25,147</w:t>
            </w:r>
          </w:p>
        </w:tc>
        <w:tc>
          <w:tcPr>
            <w:tcW w:w="400" w:type="dxa"/>
            <w:vAlign w:val="bottom"/>
            <w:tcBorders>
              <w:right w:val="single" w:sz="8" w:color="auto"/>
            </w:tcBorders>
          </w:tcPr>
          <w:p>
            <w:pPr>
              <w:spacing w:after="0"/>
              <w:rPr>
                <w:sz w:val="19"/>
                <w:szCs w:val="19"/>
                <w:color w:val="auto"/>
              </w:rPr>
            </w:pP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280"/>
              <w:spacing w:after="0"/>
              <w:rPr>
                <w:sz w:val="20"/>
                <w:szCs w:val="20"/>
                <w:color w:val="auto"/>
              </w:rPr>
            </w:pPr>
            <w:r>
              <w:rPr>
                <w:rFonts w:ascii="Arial" w:cs="Arial" w:eastAsia="Arial" w:hAnsi="Arial"/>
                <w:sz w:val="18"/>
                <w:szCs w:val="18"/>
                <w:color w:val="auto"/>
              </w:rPr>
              <w:t>1,637</w:t>
            </w:r>
          </w:p>
        </w:tc>
        <w:tc>
          <w:tcPr>
            <w:tcW w:w="540" w:type="dxa"/>
            <w:vAlign w:val="bottom"/>
          </w:tcPr>
          <w:p>
            <w:pPr>
              <w:jc w:val="right"/>
              <w:spacing w:after="0"/>
              <w:rPr>
                <w:sz w:val="20"/>
                <w:szCs w:val="20"/>
                <w:color w:val="auto"/>
              </w:rPr>
            </w:pPr>
            <w:r>
              <w:rPr>
                <w:rFonts w:ascii="Arial" w:cs="Arial" w:eastAsia="Arial" w:hAnsi="Arial"/>
                <w:sz w:val="18"/>
                <w:szCs w:val="18"/>
                <w:color w:val="auto"/>
                <w:w w:val="86"/>
              </w:rPr>
              <w:t>$ 7,276</w:t>
            </w:r>
          </w:p>
        </w:tc>
        <w:tc>
          <w:tcPr>
            <w:tcW w:w="300" w:type="dxa"/>
            <w:vAlign w:val="bottom"/>
          </w:tcPr>
          <w:p>
            <w:pPr>
              <w:spacing w:after="0"/>
              <w:rPr>
                <w:sz w:val="19"/>
                <w:szCs w:val="19"/>
                <w:color w:val="auto"/>
              </w:rPr>
            </w:pPr>
          </w:p>
        </w:tc>
        <w:tc>
          <w:tcPr>
            <w:tcW w:w="640" w:type="dxa"/>
            <w:vAlign w:val="bottom"/>
            <w:gridSpan w:val="2"/>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4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right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3"/>
        </w:trPr>
        <w:tc>
          <w:tcPr>
            <w:tcW w:w="1160" w:type="dxa"/>
            <w:vAlign w:val="bottom"/>
            <w:tcBorders>
              <w:bottom w:val="single" w:sz="8" w:color="auto"/>
            </w:tcBorders>
          </w:tcPr>
          <w:p>
            <w:pPr>
              <w:spacing w:after="0"/>
              <w:rPr>
                <w:sz w:val="8"/>
                <w:szCs w:val="8"/>
                <w:color w:val="auto"/>
              </w:rPr>
            </w:pPr>
          </w:p>
        </w:tc>
        <w:tc>
          <w:tcPr>
            <w:tcW w:w="4100" w:type="dxa"/>
            <w:vAlign w:val="bottom"/>
          </w:tcPr>
          <w:p>
            <w:pPr>
              <w:spacing w:after="0"/>
              <w:rPr>
                <w:sz w:val="8"/>
                <w:szCs w:val="8"/>
                <w:color w:val="auto"/>
              </w:rPr>
            </w:pPr>
          </w:p>
        </w:tc>
        <w:tc>
          <w:tcPr>
            <w:tcW w:w="120" w:type="dxa"/>
            <w:vAlign w:val="bottom"/>
          </w:tcPr>
          <w:p>
            <w:pPr>
              <w:spacing w:after="0"/>
              <w:rPr>
                <w:sz w:val="8"/>
                <w:szCs w:val="8"/>
                <w:color w:val="auto"/>
              </w:rPr>
            </w:pPr>
          </w:p>
        </w:tc>
        <w:tc>
          <w:tcPr>
            <w:tcW w:w="700" w:type="dxa"/>
            <w:vAlign w:val="bottom"/>
          </w:tcPr>
          <w:p>
            <w:pPr>
              <w:spacing w:after="0"/>
              <w:rPr>
                <w:sz w:val="8"/>
                <w:szCs w:val="8"/>
                <w:color w:val="auto"/>
              </w:rPr>
            </w:pPr>
          </w:p>
        </w:tc>
        <w:tc>
          <w:tcPr>
            <w:tcW w:w="300" w:type="dxa"/>
            <w:vAlign w:val="bottom"/>
          </w:tcPr>
          <w:p>
            <w:pPr>
              <w:spacing w:after="0"/>
              <w:rPr>
                <w:sz w:val="8"/>
                <w:szCs w:val="8"/>
                <w:color w:val="auto"/>
              </w:rPr>
            </w:pPr>
          </w:p>
        </w:tc>
        <w:tc>
          <w:tcPr>
            <w:tcW w:w="180" w:type="dxa"/>
            <w:vAlign w:val="bottom"/>
          </w:tcPr>
          <w:p>
            <w:pPr>
              <w:spacing w:after="0"/>
              <w:rPr>
                <w:sz w:val="8"/>
                <w:szCs w:val="8"/>
                <w:color w:val="auto"/>
              </w:rPr>
            </w:pPr>
          </w:p>
        </w:tc>
        <w:tc>
          <w:tcPr>
            <w:tcW w:w="700" w:type="dxa"/>
            <w:vAlign w:val="bottom"/>
          </w:tcPr>
          <w:p>
            <w:pPr>
              <w:spacing w:after="0"/>
              <w:rPr>
                <w:sz w:val="8"/>
                <w:szCs w:val="8"/>
                <w:color w:val="auto"/>
              </w:rPr>
            </w:pPr>
          </w:p>
        </w:tc>
        <w:tc>
          <w:tcPr>
            <w:tcW w:w="18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720" w:type="dxa"/>
            <w:vAlign w:val="bottom"/>
          </w:tcPr>
          <w:p>
            <w:pPr>
              <w:spacing w:after="0"/>
              <w:rPr>
                <w:sz w:val="8"/>
                <w:szCs w:val="8"/>
                <w:color w:val="auto"/>
              </w:rPr>
            </w:pPr>
          </w:p>
        </w:tc>
        <w:tc>
          <w:tcPr>
            <w:tcW w:w="400" w:type="dxa"/>
            <w:vAlign w:val="bottom"/>
          </w:tcPr>
          <w:p>
            <w:pPr>
              <w:spacing w:after="0"/>
              <w:rPr>
                <w:sz w:val="8"/>
                <w:szCs w:val="8"/>
                <w:color w:val="auto"/>
              </w:rPr>
            </w:pPr>
          </w:p>
        </w:tc>
        <w:tc>
          <w:tcPr>
            <w:tcW w:w="18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0" w:type="dxa"/>
            <w:vAlign w:val="bottom"/>
          </w:tcPr>
          <w:p>
            <w:pPr>
              <w:spacing w:after="0"/>
              <w:rPr>
                <w:sz w:val="8"/>
                <w:szCs w:val="8"/>
                <w:color w:val="auto"/>
              </w:rPr>
            </w:pPr>
          </w:p>
        </w:tc>
        <w:tc>
          <w:tcPr>
            <w:tcW w:w="280" w:type="dxa"/>
            <w:vAlign w:val="bottom"/>
          </w:tcPr>
          <w:p>
            <w:pPr>
              <w:spacing w:after="0"/>
              <w:rPr>
                <w:sz w:val="8"/>
                <w:szCs w:val="8"/>
                <w:color w:val="auto"/>
              </w:rPr>
            </w:pPr>
          </w:p>
        </w:tc>
        <w:tc>
          <w:tcPr>
            <w:tcW w:w="540" w:type="dxa"/>
            <w:vAlign w:val="bottom"/>
          </w:tcPr>
          <w:p>
            <w:pPr>
              <w:spacing w:after="0"/>
              <w:rPr>
                <w:sz w:val="8"/>
                <w:szCs w:val="8"/>
                <w:color w:val="auto"/>
              </w:rPr>
            </w:pPr>
          </w:p>
        </w:tc>
        <w:tc>
          <w:tcPr>
            <w:tcW w:w="300" w:type="dxa"/>
            <w:vAlign w:val="bottom"/>
          </w:tcPr>
          <w:p>
            <w:pPr>
              <w:spacing w:after="0"/>
              <w:rPr>
                <w:sz w:val="8"/>
                <w:szCs w:val="8"/>
                <w:color w:val="auto"/>
              </w:rPr>
            </w:pPr>
          </w:p>
        </w:tc>
        <w:tc>
          <w:tcPr>
            <w:tcW w:w="380" w:type="dxa"/>
            <w:vAlign w:val="bottom"/>
          </w:tcPr>
          <w:p>
            <w:pPr>
              <w:spacing w:after="0"/>
              <w:rPr>
                <w:sz w:val="8"/>
                <w:szCs w:val="8"/>
                <w:color w:val="auto"/>
              </w:rPr>
            </w:pPr>
          </w:p>
        </w:tc>
        <w:tc>
          <w:tcPr>
            <w:tcW w:w="26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19" w:lineRule="exact"/>
        <w:rPr>
          <w:sz w:val="20"/>
          <w:szCs w:val="20"/>
          <w:color w:val="auto"/>
        </w:rPr>
      </w:pPr>
    </w:p>
    <w:p>
      <w:pPr>
        <w:spacing w:after="0"/>
        <w:rPr>
          <w:sz w:val="20"/>
          <w:szCs w:val="20"/>
          <w:color w:val="auto"/>
        </w:rPr>
      </w:pPr>
      <w:r>
        <w:rPr>
          <w:rFonts w:ascii="Arial" w:cs="Arial" w:eastAsia="Arial" w:hAnsi="Arial"/>
          <w:sz w:val="18"/>
          <w:szCs w:val="18"/>
          <w:color w:val="auto"/>
        </w:rPr>
        <w:t>n.m. = not meaningful</w:t>
      </w:r>
    </w:p>
    <w:p>
      <w:pPr>
        <w:spacing w:after="0" w:line="171" w:lineRule="exact"/>
        <w:rPr>
          <w:sz w:val="20"/>
          <w:szCs w:val="20"/>
          <w:color w:val="auto"/>
        </w:rPr>
      </w:pPr>
    </w:p>
    <w:p>
      <w:pPr>
        <w:jc w:val="both"/>
        <w:ind w:right="40" w:firstLine="228"/>
        <w:spacing w:after="0" w:line="286" w:lineRule="auto"/>
        <w:rPr>
          <w:sz w:val="20"/>
          <w:szCs w:val="20"/>
          <w:color w:val="auto"/>
        </w:rPr>
      </w:pPr>
      <w:r>
        <w:rPr>
          <w:rFonts w:ascii="Arial" w:cs="Arial" w:eastAsia="Arial" w:hAnsi="Arial"/>
          <w:sz w:val="16"/>
          <w:szCs w:val="16"/>
          <w:color w:val="auto"/>
        </w:rPr>
        <w:t>In the three months ended September 30, 2010 Total net sales and revenue increased compared to the corresponding period in 2009 by $7.3 billion (or 27.2%), primarily due to: (1) higher primarily wholesale volumes of $4.5 billion in GMNA due to an improving economy and successful recent vehicle launches;</w:t>
      </w:r>
    </w:p>
    <w:p>
      <w:pPr>
        <w:ind w:right="40" w:firstLine="8"/>
        <w:spacing w:after="0" w:line="252" w:lineRule="auto"/>
        <w:tabs>
          <w:tab w:leader="none" w:pos="249" w:val="left"/>
        </w:tabs>
        <w:numPr>
          <w:ilvl w:val="0"/>
          <w:numId w:val="75"/>
        </w:numPr>
        <w:rPr>
          <w:rFonts w:ascii="Arial" w:cs="Arial" w:eastAsia="Arial" w:hAnsi="Arial"/>
          <w:sz w:val="18"/>
          <w:szCs w:val="18"/>
          <w:color w:val="auto"/>
        </w:rPr>
      </w:pPr>
      <w:r>
        <w:rPr>
          <w:rFonts w:ascii="Arial" w:cs="Arial" w:eastAsia="Arial" w:hAnsi="Arial"/>
          <w:sz w:val="18"/>
          <w:szCs w:val="18"/>
          <w:color w:val="auto"/>
        </w:rPr>
        <w:t>higher wholesale volumes of $1.3 billion in GMIO primarily resulting from the global economic recovery, lower interest rates and availability of consumer credit to customers, and launches of new vehicles; (3) favorable pricing of $1.1 billion in GMNA due to lower sales allowances; (4) favorable mix of $0.4 billion in GMNA due to increased crossover and truck sales; (5) increased sales of $0.3 billion in GMNA due to the acquisition of Nexteer and four domestic component manufacturing facilities; (6) increased revenues from OnStar of $0.2 billion primarily due to increased volumes; (7) favorable pricing effect of $0.2 billion in GMIO, driven by the hyperinflationary economy in Venezuela and strategic price increases due to strong market demand for our vehicles; (8) favorable vehicle mix of $0.1 billion in GME due to increased sales of higher priced vehicles partially offset by the end of government subsidies for vehicle purchases in higher retail priced countries; and (9) favorable vehicle mix of $0.1 billion in GMIO driven by launches of new vehicles and increased sales of high priced sports utility vehicles.</w:t>
      </w:r>
    </w:p>
    <w:p>
      <w:pPr>
        <w:spacing w:after="0" w:line="146" w:lineRule="exact"/>
        <w:rPr>
          <w:sz w:val="20"/>
          <w:szCs w:val="20"/>
          <w:color w:val="auto"/>
        </w:rPr>
      </w:pPr>
    </w:p>
    <w:p>
      <w:pPr>
        <w:ind w:right="680" w:firstLine="228"/>
        <w:spacing w:after="0" w:line="268" w:lineRule="auto"/>
        <w:rPr>
          <w:sz w:val="20"/>
          <w:szCs w:val="20"/>
          <w:color w:val="auto"/>
        </w:rPr>
      </w:pPr>
      <w:r>
        <w:rPr>
          <w:rFonts w:ascii="Arial" w:cs="Arial" w:eastAsia="Arial" w:hAnsi="Arial"/>
          <w:sz w:val="18"/>
          <w:szCs w:val="18"/>
          <w:color w:val="auto"/>
        </w:rPr>
        <w:t>These increases were partially offset by: (1) net unfavorable effect of foreign currency translation and transaction losses of $0.3 billion; and (2) lower wholesale volumes of $0.1 billion in GME.</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54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60" w:type="dxa"/>
            <w:vAlign w:val="bottom"/>
            <w:gridSpan w:val="3"/>
          </w:tcPr>
          <w:p>
            <w:pPr>
              <w:jc w:val="center"/>
              <w:ind w:right="160"/>
              <w:spacing w:after="0"/>
              <w:rPr>
                <w:sz w:val="20"/>
                <w:szCs w:val="20"/>
                <w:color w:val="auto"/>
              </w:rPr>
            </w:pPr>
            <w:r>
              <w:rPr>
                <w:rFonts w:ascii="Arial" w:cs="Arial" w:eastAsia="Arial" w:hAnsi="Arial"/>
                <w:sz w:val="14"/>
                <w:szCs w:val="14"/>
                <w:b w:val="1"/>
                <w:bCs w:val="1"/>
                <w:color w:val="auto"/>
                <w:w w:val="90"/>
              </w:rPr>
              <w:t>Combined GM</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00" w:type="dxa"/>
            <w:vAlign w:val="bottom"/>
            <w:tcBorders>
              <w:right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354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79"/>
              </w:rPr>
              <w:t>Successor</w:t>
            </w:r>
          </w:p>
        </w:tc>
        <w:tc>
          <w:tcPr>
            <w:tcW w:w="1060" w:type="dxa"/>
            <w:vAlign w:val="bottom"/>
            <w:gridSpan w:val="3"/>
          </w:tcPr>
          <w:p>
            <w:pPr>
              <w:jc w:val="center"/>
              <w:ind w:right="160"/>
              <w:spacing w:after="0"/>
              <w:rPr>
                <w:sz w:val="20"/>
                <w:szCs w:val="20"/>
                <w:color w:val="auto"/>
              </w:rPr>
            </w:pPr>
            <w:r>
              <w:rPr>
                <w:rFonts w:ascii="Arial" w:cs="Arial" w:eastAsia="Arial" w:hAnsi="Arial"/>
                <w:sz w:val="14"/>
                <w:szCs w:val="14"/>
                <w:b w:val="1"/>
                <w:bCs w:val="1"/>
                <w:color w:val="auto"/>
                <w:w w:val="94"/>
              </w:rPr>
              <w:t>and Old GM</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00" w:type="dxa"/>
            <w:vAlign w:val="bottom"/>
            <w:tcBorders>
              <w:right w:val="single" w:sz="8" w:color="auto"/>
            </w:tcBorders>
            <w:gridSpan w:val="2"/>
          </w:tcPr>
          <w:p>
            <w:pPr>
              <w:jc w:val="center"/>
              <w:ind w:right="500"/>
              <w:spacing w:after="0"/>
              <w:rPr>
                <w:sz w:val="20"/>
                <w:szCs w:val="20"/>
                <w:color w:val="auto"/>
              </w:rPr>
            </w:pPr>
            <w:r>
              <w:rPr>
                <w:rFonts w:ascii="Arial" w:cs="Arial" w:eastAsia="Arial" w:hAnsi="Arial"/>
                <w:sz w:val="14"/>
                <w:szCs w:val="14"/>
                <w:b w:val="1"/>
                <w:bCs w:val="1"/>
                <w:color w:val="auto"/>
                <w:w w:val="79"/>
              </w:rPr>
              <w:t>Successor</w:t>
            </w:r>
          </w:p>
        </w:tc>
        <w:tc>
          <w:tcPr>
            <w:tcW w:w="180" w:type="dxa"/>
            <w:vAlign w:val="bottom"/>
          </w:tcPr>
          <w:p>
            <w:pPr>
              <w:spacing w:after="0"/>
              <w:rPr>
                <w:sz w:val="14"/>
                <w:szCs w:val="14"/>
                <w:color w:val="auto"/>
              </w:rPr>
            </w:pPr>
          </w:p>
        </w:tc>
        <w:tc>
          <w:tcPr>
            <w:tcW w:w="1000" w:type="dxa"/>
            <w:vAlign w:val="bottom"/>
            <w:gridSpan w:val="3"/>
          </w:tcPr>
          <w:p>
            <w:pPr>
              <w:spacing w:after="0"/>
              <w:rPr>
                <w:sz w:val="20"/>
                <w:szCs w:val="20"/>
                <w:color w:val="auto"/>
              </w:rPr>
            </w:pPr>
            <w:r>
              <w:rPr>
                <w:rFonts w:ascii="Arial" w:cs="Arial" w:eastAsia="Arial" w:hAnsi="Arial"/>
                <w:sz w:val="14"/>
                <w:szCs w:val="14"/>
                <w:b w:val="1"/>
                <w:bCs w:val="1"/>
                <w:color w:val="auto"/>
              </w:rPr>
              <w:t>Predecessor</w:t>
            </w:r>
          </w:p>
        </w:tc>
        <w:tc>
          <w:tcPr>
            <w:tcW w:w="1640" w:type="dxa"/>
            <w:vAlign w:val="bottom"/>
            <w:gridSpan w:val="5"/>
            <w:vMerge w:val="restart"/>
          </w:tcPr>
          <w:p>
            <w:pPr>
              <w:jc w:val="center"/>
              <w:ind w:right="260"/>
              <w:spacing w:after="0"/>
              <w:rPr>
                <w:sz w:val="20"/>
                <w:szCs w:val="20"/>
                <w:color w:val="auto"/>
              </w:rPr>
            </w:pPr>
            <w:r>
              <w:rPr>
                <w:rFonts w:ascii="Arial" w:cs="Arial" w:eastAsia="Arial" w:hAnsi="Arial"/>
                <w:sz w:val="14"/>
                <w:szCs w:val="14"/>
                <w:b w:val="1"/>
                <w:bCs w:val="1"/>
                <w:color w:val="auto"/>
                <w:w w:val="88"/>
              </w:rPr>
              <w:t>Nine Months</w:t>
            </w:r>
          </w:p>
        </w:tc>
        <w:tc>
          <w:tcPr>
            <w:tcW w:w="0" w:type="dxa"/>
            <w:vAlign w:val="bottom"/>
          </w:tcPr>
          <w:p>
            <w:pPr>
              <w:spacing w:after="0"/>
              <w:rPr>
                <w:sz w:val="1"/>
                <w:szCs w:val="1"/>
                <w:color w:val="auto"/>
              </w:rPr>
            </w:pPr>
          </w:p>
        </w:tc>
      </w:tr>
      <w:tr>
        <w:trPr>
          <w:trHeight w:val="129"/>
        </w:trPr>
        <w:tc>
          <w:tcPr>
            <w:tcW w:w="3540" w:type="dxa"/>
            <w:vAlign w:val="bottom"/>
          </w:tcPr>
          <w:p>
            <w:pPr>
              <w:spacing w:after="0"/>
              <w:rPr>
                <w:sz w:val="11"/>
                <w:szCs w:val="11"/>
                <w:color w:val="auto"/>
              </w:rPr>
            </w:pPr>
          </w:p>
        </w:tc>
        <w:tc>
          <w:tcPr>
            <w:tcW w:w="154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700" w:type="dxa"/>
            <w:vAlign w:val="bottom"/>
            <w:tcBorders>
              <w:top w:val="single" w:sz="8" w:color="auto"/>
            </w:tcBorders>
          </w:tcPr>
          <w:p>
            <w:pPr>
              <w:spacing w:after="0"/>
              <w:rPr>
                <w:sz w:val="11"/>
                <w:szCs w:val="11"/>
                <w:color w:val="auto"/>
              </w:rPr>
            </w:pPr>
          </w:p>
        </w:tc>
        <w:tc>
          <w:tcPr>
            <w:tcW w:w="300" w:type="dxa"/>
            <w:vAlign w:val="bottom"/>
          </w:tcPr>
          <w:p>
            <w:pPr>
              <w:spacing w:after="0"/>
              <w:rPr>
                <w:sz w:val="11"/>
                <w:szCs w:val="11"/>
                <w:color w:val="auto"/>
              </w:rPr>
            </w:pPr>
          </w:p>
        </w:tc>
        <w:tc>
          <w:tcPr>
            <w:tcW w:w="180" w:type="dxa"/>
            <w:vAlign w:val="bottom"/>
            <w:tcBorders>
              <w:top w:val="single" w:sz="8" w:color="auto"/>
            </w:tcBorders>
          </w:tcPr>
          <w:p>
            <w:pPr>
              <w:spacing w:after="0"/>
              <w:rPr>
                <w:sz w:val="11"/>
                <w:szCs w:val="11"/>
                <w:color w:val="auto"/>
              </w:rPr>
            </w:pPr>
          </w:p>
        </w:tc>
        <w:tc>
          <w:tcPr>
            <w:tcW w:w="700" w:type="dxa"/>
            <w:vAlign w:val="bottom"/>
            <w:tcBorders>
              <w:top w:val="single" w:sz="8" w:color="auto"/>
            </w:tcBorders>
          </w:tcPr>
          <w:p>
            <w:pPr>
              <w:spacing w:after="0"/>
              <w:rPr>
                <w:sz w:val="11"/>
                <w:szCs w:val="11"/>
                <w:color w:val="auto"/>
              </w:rPr>
            </w:pPr>
          </w:p>
        </w:tc>
        <w:tc>
          <w:tcPr>
            <w:tcW w:w="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700" w:type="dxa"/>
            <w:vAlign w:val="bottom"/>
            <w:tcBorders>
              <w:top w:val="single" w:sz="8" w:color="auto"/>
            </w:tcBorders>
          </w:tcPr>
          <w:p>
            <w:pPr>
              <w:spacing w:after="0"/>
              <w:rPr>
                <w:sz w:val="11"/>
                <w:szCs w:val="11"/>
                <w:color w:val="auto"/>
              </w:rPr>
            </w:pPr>
          </w:p>
        </w:tc>
        <w:tc>
          <w:tcPr>
            <w:tcW w:w="400" w:type="dxa"/>
            <w:vAlign w:val="bottom"/>
            <w:tcBorders>
              <w:right w:val="single" w:sz="8" w:color="auto"/>
            </w:tcBorders>
          </w:tcPr>
          <w:p>
            <w:pPr>
              <w:spacing w:after="0"/>
              <w:rPr>
                <w:sz w:val="11"/>
                <w:szCs w:val="11"/>
                <w:color w:val="auto"/>
              </w:rPr>
            </w:pPr>
          </w:p>
        </w:tc>
        <w:tc>
          <w:tcPr>
            <w:tcW w:w="18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600" w:type="dxa"/>
            <w:vAlign w:val="bottom"/>
            <w:tcBorders>
              <w:top w:val="single" w:sz="8" w:color="auto"/>
            </w:tcBorders>
          </w:tcPr>
          <w:p>
            <w:pPr>
              <w:spacing w:after="0"/>
              <w:rPr>
                <w:sz w:val="11"/>
                <w:szCs w:val="11"/>
                <w:color w:val="auto"/>
              </w:rPr>
            </w:pPr>
          </w:p>
        </w:tc>
        <w:tc>
          <w:tcPr>
            <w:tcW w:w="300" w:type="dxa"/>
            <w:vAlign w:val="bottom"/>
          </w:tcPr>
          <w:p>
            <w:pPr>
              <w:spacing w:after="0"/>
              <w:rPr>
                <w:sz w:val="11"/>
                <w:szCs w:val="11"/>
                <w:color w:val="auto"/>
              </w:rPr>
            </w:pPr>
          </w:p>
        </w:tc>
        <w:tc>
          <w:tcPr>
            <w:tcW w:w="1640" w:type="dxa"/>
            <w:vAlign w:val="bottom"/>
            <w:gridSpan w:val="5"/>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3540" w:type="dxa"/>
            <w:vAlign w:val="bottom"/>
          </w:tcPr>
          <w:p>
            <w:pPr>
              <w:spacing w:after="0"/>
              <w:rPr>
                <w:sz w:val="12"/>
                <w:szCs w:val="12"/>
                <w:color w:val="auto"/>
              </w:rPr>
            </w:pPr>
          </w:p>
        </w:tc>
        <w:tc>
          <w:tcPr>
            <w:tcW w:w="1540" w:type="dxa"/>
            <w:vAlign w:val="bottom"/>
          </w:tcPr>
          <w:p>
            <w:pPr>
              <w:spacing w:after="0"/>
              <w:rPr>
                <w:sz w:val="12"/>
                <w:szCs w:val="12"/>
                <w:color w:val="auto"/>
              </w:rPr>
            </w:pPr>
          </w:p>
        </w:tc>
        <w:tc>
          <w:tcPr>
            <w:tcW w:w="1120" w:type="dxa"/>
            <w:vAlign w:val="bottom"/>
            <w:gridSpan w:val="3"/>
          </w:tcPr>
          <w:p>
            <w:pPr>
              <w:jc w:val="center"/>
              <w:ind w:right="280"/>
              <w:spacing w:after="0" w:line="149" w:lineRule="exact"/>
              <w:rPr>
                <w:sz w:val="20"/>
                <w:szCs w:val="20"/>
                <w:color w:val="auto"/>
              </w:rPr>
            </w:pPr>
            <w:r>
              <w:rPr>
                <w:rFonts w:ascii="Arial" w:cs="Arial" w:eastAsia="Arial" w:hAnsi="Arial"/>
                <w:sz w:val="14"/>
                <w:szCs w:val="14"/>
                <w:b w:val="1"/>
                <w:bCs w:val="1"/>
                <w:color w:val="auto"/>
                <w:w w:val="90"/>
              </w:rPr>
              <w:t>Nine Months</w:t>
            </w:r>
          </w:p>
        </w:tc>
        <w:tc>
          <w:tcPr>
            <w:tcW w:w="1060" w:type="dxa"/>
            <w:vAlign w:val="bottom"/>
            <w:gridSpan w:val="3"/>
          </w:tcPr>
          <w:p>
            <w:pPr>
              <w:jc w:val="center"/>
              <w:ind w:right="160"/>
              <w:spacing w:after="0" w:line="149" w:lineRule="exact"/>
              <w:rPr>
                <w:sz w:val="20"/>
                <w:szCs w:val="20"/>
                <w:color w:val="auto"/>
              </w:rPr>
            </w:pPr>
            <w:r>
              <w:rPr>
                <w:rFonts w:ascii="Arial" w:cs="Arial" w:eastAsia="Arial" w:hAnsi="Arial"/>
                <w:sz w:val="14"/>
                <w:szCs w:val="14"/>
                <w:b w:val="1"/>
                <w:bCs w:val="1"/>
                <w:color w:val="auto"/>
                <w:w w:val="88"/>
              </w:rPr>
              <w:t>Nine Months</w:t>
            </w:r>
          </w:p>
        </w:tc>
        <w:tc>
          <w:tcPr>
            <w:tcW w:w="120" w:type="dxa"/>
            <w:vAlign w:val="bottom"/>
          </w:tcPr>
          <w:p>
            <w:pPr>
              <w:spacing w:after="0"/>
              <w:rPr>
                <w:sz w:val="12"/>
                <w:szCs w:val="12"/>
                <w:color w:val="auto"/>
              </w:rPr>
            </w:pPr>
          </w:p>
        </w:tc>
        <w:tc>
          <w:tcPr>
            <w:tcW w:w="1220" w:type="dxa"/>
            <w:vAlign w:val="bottom"/>
            <w:tcBorders>
              <w:right w:val="single" w:sz="8" w:color="auto"/>
            </w:tcBorders>
            <w:gridSpan w:val="3"/>
          </w:tcPr>
          <w:p>
            <w:pPr>
              <w:jc w:val="center"/>
              <w:ind w:right="380"/>
              <w:spacing w:after="0" w:line="149" w:lineRule="exact"/>
              <w:rPr>
                <w:sz w:val="20"/>
                <w:szCs w:val="20"/>
                <w:color w:val="auto"/>
              </w:rPr>
            </w:pPr>
            <w:r>
              <w:rPr>
                <w:rFonts w:ascii="Arial" w:cs="Arial" w:eastAsia="Arial" w:hAnsi="Arial"/>
                <w:sz w:val="14"/>
                <w:szCs w:val="14"/>
                <w:b w:val="1"/>
                <w:bCs w:val="1"/>
                <w:color w:val="auto"/>
                <w:w w:val="87"/>
              </w:rPr>
              <w:t>July 10, 2009</w:t>
            </w:r>
          </w:p>
        </w:tc>
        <w:tc>
          <w:tcPr>
            <w:tcW w:w="180" w:type="dxa"/>
            <w:vAlign w:val="bottom"/>
          </w:tcPr>
          <w:p>
            <w:pPr>
              <w:spacing w:after="0"/>
              <w:rPr>
                <w:sz w:val="12"/>
                <w:szCs w:val="12"/>
                <w:color w:val="auto"/>
              </w:rPr>
            </w:pPr>
          </w:p>
        </w:tc>
        <w:tc>
          <w:tcPr>
            <w:tcW w:w="1000" w:type="dxa"/>
            <w:vAlign w:val="bottom"/>
            <w:gridSpan w:val="3"/>
          </w:tcPr>
          <w:p>
            <w:pPr>
              <w:ind w:left="20"/>
              <w:spacing w:after="0" w:line="149" w:lineRule="exact"/>
              <w:rPr>
                <w:sz w:val="20"/>
                <w:szCs w:val="20"/>
                <w:color w:val="auto"/>
              </w:rPr>
            </w:pPr>
            <w:r>
              <w:rPr>
                <w:rFonts w:ascii="Arial" w:cs="Arial" w:eastAsia="Arial" w:hAnsi="Arial"/>
                <w:sz w:val="14"/>
                <w:szCs w:val="14"/>
                <w:b w:val="1"/>
                <w:bCs w:val="1"/>
                <w:color w:val="auto"/>
              </w:rPr>
              <w:t>January 1,</w:t>
            </w:r>
          </w:p>
        </w:tc>
        <w:tc>
          <w:tcPr>
            <w:tcW w:w="920" w:type="dxa"/>
            <w:vAlign w:val="bottom"/>
            <w:gridSpan w:val="3"/>
          </w:tcPr>
          <w:p>
            <w:pPr>
              <w:jc w:val="center"/>
              <w:ind w:left="381"/>
              <w:spacing w:after="0" w:line="149" w:lineRule="exact"/>
              <w:rPr>
                <w:sz w:val="20"/>
                <w:szCs w:val="20"/>
                <w:color w:val="auto"/>
              </w:rPr>
            </w:pPr>
            <w:r>
              <w:rPr>
                <w:rFonts w:ascii="Arial" w:cs="Arial" w:eastAsia="Arial" w:hAnsi="Arial"/>
                <w:sz w:val="14"/>
                <w:szCs w:val="14"/>
                <w:b w:val="1"/>
                <w:bCs w:val="1"/>
                <w:color w:val="auto"/>
                <w:w w:val="88"/>
              </w:rPr>
              <w:t>Ended</w:t>
            </w:r>
          </w:p>
        </w:tc>
        <w:tc>
          <w:tcPr>
            <w:tcW w:w="4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540" w:type="dxa"/>
            <w:vAlign w:val="bottom"/>
          </w:tcPr>
          <w:p>
            <w:pPr>
              <w:spacing w:after="0"/>
              <w:rPr>
                <w:sz w:val="12"/>
                <w:szCs w:val="12"/>
                <w:color w:val="auto"/>
              </w:rPr>
            </w:pPr>
          </w:p>
        </w:tc>
        <w:tc>
          <w:tcPr>
            <w:tcW w:w="1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gridSpan w:val="2"/>
          </w:tcPr>
          <w:p>
            <w:pPr>
              <w:jc w:val="center"/>
              <w:ind w:right="400"/>
              <w:spacing w:after="0" w:line="149" w:lineRule="exact"/>
              <w:rPr>
                <w:sz w:val="20"/>
                <w:szCs w:val="20"/>
                <w:color w:val="auto"/>
              </w:rPr>
            </w:pPr>
            <w:r>
              <w:rPr>
                <w:rFonts w:ascii="Arial" w:cs="Arial" w:eastAsia="Arial" w:hAnsi="Arial"/>
                <w:sz w:val="14"/>
                <w:szCs w:val="14"/>
                <w:b w:val="1"/>
                <w:bCs w:val="1"/>
                <w:color w:val="auto"/>
                <w:w w:val="84"/>
              </w:rPr>
              <w:t>Ended</w:t>
            </w:r>
          </w:p>
        </w:tc>
        <w:tc>
          <w:tcPr>
            <w:tcW w:w="180" w:type="dxa"/>
            <w:vAlign w:val="bottom"/>
          </w:tcPr>
          <w:p>
            <w:pPr>
              <w:spacing w:after="0"/>
              <w:rPr>
                <w:sz w:val="12"/>
                <w:szCs w:val="12"/>
                <w:color w:val="auto"/>
              </w:rPr>
            </w:pPr>
          </w:p>
        </w:tc>
        <w:tc>
          <w:tcPr>
            <w:tcW w:w="88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88"/>
              </w:rPr>
              <w:t>Ended</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00" w:type="dxa"/>
            <w:vAlign w:val="bottom"/>
            <w:tcBorders>
              <w:right w:val="single" w:sz="8" w:color="auto"/>
            </w:tcBorders>
            <w:gridSpan w:val="2"/>
          </w:tcPr>
          <w:p>
            <w:pPr>
              <w:jc w:val="center"/>
              <w:ind w:right="520"/>
              <w:spacing w:after="0" w:line="149" w:lineRule="exact"/>
              <w:rPr>
                <w:sz w:val="20"/>
                <w:szCs w:val="20"/>
                <w:color w:val="auto"/>
              </w:rPr>
            </w:pPr>
            <w:r>
              <w:rPr>
                <w:rFonts w:ascii="Arial" w:cs="Arial" w:eastAsia="Arial" w:hAnsi="Arial"/>
                <w:sz w:val="14"/>
                <w:szCs w:val="14"/>
                <w:b w:val="1"/>
                <w:bCs w:val="1"/>
                <w:color w:val="auto"/>
                <w:w w:val="87"/>
              </w:rPr>
              <w:t>Through</w:t>
            </w: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jc w:val="right"/>
              <w:ind w:right="137"/>
              <w:spacing w:after="0" w:line="149" w:lineRule="exact"/>
              <w:rPr>
                <w:sz w:val="20"/>
                <w:szCs w:val="20"/>
                <w:color w:val="auto"/>
              </w:rPr>
            </w:pPr>
            <w:r>
              <w:rPr>
                <w:rFonts w:ascii="Arial" w:cs="Arial" w:eastAsia="Arial" w:hAnsi="Arial"/>
                <w:sz w:val="14"/>
                <w:szCs w:val="14"/>
                <w:b w:val="1"/>
                <w:bCs w:val="1"/>
                <w:color w:val="auto"/>
              </w:rPr>
              <w:t>2009</w:t>
            </w:r>
          </w:p>
        </w:tc>
        <w:tc>
          <w:tcPr>
            <w:tcW w:w="300" w:type="dxa"/>
            <w:vAlign w:val="bottom"/>
          </w:tcPr>
          <w:p>
            <w:pPr>
              <w:spacing w:after="0"/>
              <w:rPr>
                <w:sz w:val="12"/>
                <w:szCs w:val="12"/>
                <w:color w:val="auto"/>
              </w:rPr>
            </w:pPr>
          </w:p>
        </w:tc>
        <w:tc>
          <w:tcPr>
            <w:tcW w:w="1640" w:type="dxa"/>
            <w:vAlign w:val="bottom"/>
            <w:gridSpan w:val="5"/>
          </w:tcPr>
          <w:p>
            <w:pPr>
              <w:jc w:val="center"/>
              <w:ind w:right="280"/>
              <w:spacing w:after="0" w:line="149" w:lineRule="exact"/>
              <w:rPr>
                <w:sz w:val="20"/>
                <w:szCs w:val="20"/>
                <w:color w:val="auto"/>
              </w:rPr>
            </w:pPr>
            <w:r>
              <w:rPr>
                <w:rFonts w:ascii="Arial" w:cs="Arial" w:eastAsia="Arial" w:hAnsi="Arial"/>
                <w:sz w:val="14"/>
                <w:szCs w:val="14"/>
                <w:b w:val="1"/>
                <w:bCs w:val="1"/>
                <w:color w:val="auto"/>
                <w:w w:val="84"/>
              </w:rPr>
              <w:t>2010 vs. 2009</w:t>
            </w:r>
          </w:p>
        </w:tc>
        <w:tc>
          <w:tcPr>
            <w:tcW w:w="0" w:type="dxa"/>
            <w:vAlign w:val="bottom"/>
          </w:tcPr>
          <w:p>
            <w:pPr>
              <w:spacing w:after="0"/>
              <w:rPr>
                <w:sz w:val="1"/>
                <w:szCs w:val="1"/>
                <w:color w:val="auto"/>
              </w:rPr>
            </w:pPr>
          </w:p>
        </w:tc>
      </w:tr>
      <w:tr>
        <w:trPr>
          <w:trHeight w:val="161"/>
        </w:trPr>
        <w:tc>
          <w:tcPr>
            <w:tcW w:w="354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1120" w:type="dxa"/>
            <w:vAlign w:val="bottom"/>
            <w:gridSpan w:val="3"/>
          </w:tcPr>
          <w:p>
            <w:pPr>
              <w:jc w:val="center"/>
              <w:ind w:right="300"/>
              <w:spacing w:after="0"/>
              <w:rPr>
                <w:sz w:val="20"/>
                <w:szCs w:val="20"/>
                <w:color w:val="auto"/>
              </w:rPr>
            </w:pPr>
            <w:r>
              <w:rPr>
                <w:rFonts w:ascii="Arial" w:cs="Arial" w:eastAsia="Arial" w:hAnsi="Arial"/>
                <w:sz w:val="14"/>
                <w:szCs w:val="14"/>
                <w:b w:val="1"/>
                <w:bCs w:val="1"/>
                <w:color w:val="auto"/>
                <w:w w:val="85"/>
              </w:rPr>
              <w:t>September 30,</w:t>
            </w:r>
          </w:p>
        </w:tc>
        <w:tc>
          <w:tcPr>
            <w:tcW w:w="1060" w:type="dxa"/>
            <w:vAlign w:val="bottom"/>
            <w:gridSpan w:val="3"/>
          </w:tcPr>
          <w:p>
            <w:pPr>
              <w:jc w:val="center"/>
              <w:ind w:right="160"/>
              <w:spacing w:after="0"/>
              <w:rPr>
                <w:sz w:val="20"/>
                <w:szCs w:val="20"/>
                <w:color w:val="auto"/>
              </w:rPr>
            </w:pPr>
            <w:r>
              <w:rPr>
                <w:rFonts w:ascii="Arial" w:cs="Arial" w:eastAsia="Arial" w:hAnsi="Arial"/>
                <w:sz w:val="14"/>
                <w:szCs w:val="14"/>
                <w:b w:val="1"/>
                <w:bCs w:val="1"/>
                <w:color w:val="auto"/>
                <w:w w:val="85"/>
              </w:rPr>
              <w:t>September 30,</w:t>
            </w:r>
          </w:p>
        </w:tc>
        <w:tc>
          <w:tcPr>
            <w:tcW w:w="120" w:type="dxa"/>
            <w:vAlign w:val="bottom"/>
          </w:tcPr>
          <w:p>
            <w:pPr>
              <w:spacing w:after="0"/>
              <w:rPr>
                <w:sz w:val="14"/>
                <w:szCs w:val="14"/>
                <w:color w:val="auto"/>
              </w:rPr>
            </w:pPr>
          </w:p>
        </w:tc>
        <w:tc>
          <w:tcPr>
            <w:tcW w:w="1220" w:type="dxa"/>
            <w:vAlign w:val="bottom"/>
            <w:tcBorders>
              <w:right w:val="single" w:sz="8" w:color="auto"/>
            </w:tcBorders>
            <w:gridSpan w:val="3"/>
          </w:tcPr>
          <w:p>
            <w:pPr>
              <w:jc w:val="center"/>
              <w:ind w:right="400"/>
              <w:spacing w:after="0"/>
              <w:rPr>
                <w:sz w:val="20"/>
                <w:szCs w:val="20"/>
                <w:color w:val="auto"/>
              </w:rPr>
            </w:pPr>
            <w:r>
              <w:rPr>
                <w:rFonts w:ascii="Arial" w:cs="Arial" w:eastAsia="Arial" w:hAnsi="Arial"/>
                <w:sz w:val="14"/>
                <w:szCs w:val="14"/>
                <w:b w:val="1"/>
                <w:bCs w:val="1"/>
                <w:color w:val="auto"/>
                <w:w w:val="85"/>
              </w:rPr>
              <w:t>September 30,</w:t>
            </w: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gridSpan w:val="2"/>
          </w:tcPr>
          <w:p>
            <w:pPr>
              <w:jc w:val="right"/>
              <w:ind w:right="400"/>
              <w:spacing w:after="0"/>
              <w:rPr>
                <w:sz w:val="20"/>
                <w:szCs w:val="20"/>
                <w:color w:val="auto"/>
              </w:rPr>
            </w:pPr>
            <w:r>
              <w:rPr>
                <w:rFonts w:ascii="Arial" w:cs="Arial" w:eastAsia="Arial" w:hAnsi="Arial"/>
                <w:sz w:val="14"/>
                <w:szCs w:val="14"/>
                <w:b w:val="1"/>
                <w:bCs w:val="1"/>
                <w:color w:val="auto"/>
                <w:w w:val="84"/>
              </w:rPr>
              <w:t>Through</w:t>
            </w:r>
          </w:p>
        </w:tc>
        <w:tc>
          <w:tcPr>
            <w:tcW w:w="920" w:type="dxa"/>
            <w:vAlign w:val="bottom"/>
            <w:tcBorders>
              <w:bottom w:val="single" w:sz="8" w:color="auto"/>
            </w:tcBorders>
            <w:gridSpan w:val="3"/>
          </w:tcPr>
          <w:p>
            <w:pPr>
              <w:jc w:val="center"/>
              <w:ind w:left="361"/>
              <w:spacing w:after="0"/>
              <w:rPr>
                <w:sz w:val="20"/>
                <w:szCs w:val="20"/>
                <w:color w:val="auto"/>
              </w:rPr>
            </w:pPr>
            <w:r>
              <w:rPr>
                <w:rFonts w:ascii="Arial" w:cs="Arial" w:eastAsia="Arial" w:hAnsi="Arial"/>
                <w:sz w:val="14"/>
                <w:szCs w:val="14"/>
                <w:b w:val="1"/>
                <w:bCs w:val="1"/>
                <w:color w:val="auto"/>
                <w:w w:val="85"/>
              </w:rPr>
              <w:t>Change</w:t>
            </w:r>
          </w:p>
        </w:tc>
        <w:tc>
          <w:tcPr>
            <w:tcW w:w="460" w:type="dxa"/>
            <w:vAlign w:val="bottom"/>
            <w:tcBorders>
              <w:bottom w:val="single" w:sz="8" w:color="auto"/>
            </w:tcBorders>
          </w:tcPr>
          <w:p>
            <w:pPr>
              <w:spacing w:after="0"/>
              <w:rPr>
                <w:sz w:val="14"/>
                <w:szCs w:val="14"/>
                <w:color w:val="auto"/>
              </w:rPr>
            </w:pPr>
          </w:p>
        </w:tc>
        <w:tc>
          <w:tcPr>
            <w:tcW w:w="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3540" w:type="dxa"/>
            <w:vAlign w:val="bottom"/>
          </w:tcPr>
          <w:p>
            <w:pPr>
              <w:spacing w:after="0"/>
              <w:rPr>
                <w:sz w:val="12"/>
                <w:szCs w:val="12"/>
                <w:color w:val="auto"/>
              </w:rPr>
            </w:pPr>
          </w:p>
        </w:tc>
        <w:tc>
          <w:tcPr>
            <w:tcW w:w="154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jc w:val="center"/>
              <w:ind w:right="18"/>
              <w:spacing w:after="0" w:line="142" w:lineRule="exact"/>
              <w:rPr>
                <w:sz w:val="20"/>
                <w:szCs w:val="20"/>
                <w:color w:val="auto"/>
              </w:rPr>
            </w:pPr>
            <w:r>
              <w:rPr>
                <w:rFonts w:ascii="Arial" w:cs="Arial" w:eastAsia="Arial" w:hAnsi="Arial"/>
                <w:sz w:val="14"/>
                <w:szCs w:val="14"/>
                <w:b w:val="1"/>
                <w:bCs w:val="1"/>
                <w:color w:val="auto"/>
                <w:w w:val="89"/>
              </w:rPr>
              <w:t>2010</w:t>
            </w:r>
          </w:p>
        </w:tc>
        <w:tc>
          <w:tcPr>
            <w:tcW w:w="300" w:type="dxa"/>
            <w:vAlign w:val="bottom"/>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jc w:val="center"/>
              <w:ind w:right="77"/>
              <w:spacing w:after="0" w:line="142" w:lineRule="exact"/>
              <w:rPr>
                <w:sz w:val="20"/>
                <w:szCs w:val="20"/>
                <w:color w:val="auto"/>
              </w:rPr>
            </w:pPr>
            <w:r>
              <w:rPr>
                <w:rFonts w:ascii="Arial" w:cs="Arial" w:eastAsia="Arial" w:hAnsi="Arial"/>
                <w:sz w:val="14"/>
                <w:szCs w:val="14"/>
                <w:b w:val="1"/>
                <w:bCs w:val="1"/>
                <w:color w:val="auto"/>
                <w:w w:val="83"/>
              </w:rPr>
              <w:t>2009</w:t>
            </w: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jc w:val="center"/>
              <w:ind w:right="39"/>
              <w:spacing w:after="0" w:line="142" w:lineRule="exact"/>
              <w:rPr>
                <w:sz w:val="20"/>
                <w:szCs w:val="20"/>
                <w:color w:val="auto"/>
              </w:rPr>
            </w:pPr>
            <w:r>
              <w:rPr>
                <w:rFonts w:ascii="Arial" w:cs="Arial" w:eastAsia="Arial" w:hAnsi="Arial"/>
                <w:sz w:val="14"/>
                <w:szCs w:val="14"/>
                <w:b w:val="1"/>
                <w:bCs w:val="1"/>
                <w:color w:val="auto"/>
                <w:w w:val="83"/>
              </w:rPr>
              <w:t>2009</w:t>
            </w:r>
          </w:p>
        </w:tc>
        <w:tc>
          <w:tcPr>
            <w:tcW w:w="400" w:type="dxa"/>
            <w:vAlign w:val="bottom"/>
            <w:tcBorders>
              <w:right w:val="single" w:sz="8" w:color="auto"/>
            </w:tcBorders>
          </w:tcPr>
          <w:p>
            <w:pPr>
              <w:spacing w:after="0"/>
              <w:rPr>
                <w:sz w:val="12"/>
                <w:szCs w:val="12"/>
                <w:color w:val="auto"/>
              </w:rPr>
            </w:pPr>
          </w:p>
        </w:tc>
        <w:tc>
          <w:tcPr>
            <w:tcW w:w="180" w:type="dxa"/>
            <w:vAlign w:val="bottom"/>
          </w:tcPr>
          <w:p>
            <w:pPr>
              <w:spacing w:after="0"/>
              <w:rPr>
                <w:sz w:val="12"/>
                <w:szCs w:val="12"/>
                <w:color w:val="auto"/>
              </w:rPr>
            </w:pPr>
          </w:p>
        </w:tc>
        <w:tc>
          <w:tcPr>
            <w:tcW w:w="700" w:type="dxa"/>
            <w:vAlign w:val="bottom"/>
            <w:tcBorders>
              <w:bottom w:val="single" w:sz="8" w:color="auto"/>
            </w:tcBorders>
            <w:gridSpan w:val="2"/>
          </w:tcPr>
          <w:p>
            <w:pPr>
              <w:spacing w:after="0" w:line="142" w:lineRule="exact"/>
              <w:rPr>
                <w:sz w:val="20"/>
                <w:szCs w:val="20"/>
                <w:color w:val="auto"/>
              </w:rPr>
            </w:pPr>
            <w:r>
              <w:rPr>
                <w:rFonts w:ascii="Arial" w:cs="Arial" w:eastAsia="Arial" w:hAnsi="Arial"/>
                <w:sz w:val="14"/>
                <w:szCs w:val="14"/>
                <w:b w:val="1"/>
                <w:bCs w:val="1"/>
                <w:color w:val="auto"/>
                <w:w w:val="86"/>
              </w:rPr>
              <w:t>July 9, 2009</w:t>
            </w:r>
          </w:p>
        </w:tc>
        <w:tc>
          <w:tcPr>
            <w:tcW w:w="300" w:type="dxa"/>
            <w:vAlign w:val="bottom"/>
          </w:tcPr>
          <w:p>
            <w:pPr>
              <w:spacing w:after="0"/>
              <w:rPr>
                <w:sz w:val="12"/>
                <w:szCs w:val="12"/>
                <w:color w:val="auto"/>
              </w:rPr>
            </w:pPr>
          </w:p>
        </w:tc>
        <w:tc>
          <w:tcPr>
            <w:tcW w:w="58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94"/>
              </w:rPr>
              <w:t>Amount</w:t>
            </w:r>
          </w:p>
        </w:tc>
        <w:tc>
          <w:tcPr>
            <w:tcW w:w="300" w:type="dxa"/>
            <w:vAlign w:val="bottom"/>
          </w:tcPr>
          <w:p>
            <w:pPr>
              <w:spacing w:after="0"/>
              <w:rPr>
                <w:sz w:val="12"/>
                <w:szCs w:val="12"/>
                <w:color w:val="auto"/>
              </w:rPr>
            </w:pPr>
          </w:p>
        </w:tc>
        <w:tc>
          <w:tcPr>
            <w:tcW w:w="40" w:type="dxa"/>
            <w:vAlign w:val="bottom"/>
            <w:tcBorders>
              <w:bottom w:val="single" w:sz="8" w:color="auto"/>
            </w:tcBorders>
          </w:tcPr>
          <w:p>
            <w:pPr>
              <w:spacing w:after="0"/>
              <w:rPr>
                <w:sz w:val="12"/>
                <w:szCs w:val="12"/>
                <w:color w:val="auto"/>
              </w:rPr>
            </w:pPr>
          </w:p>
        </w:tc>
        <w:tc>
          <w:tcPr>
            <w:tcW w:w="460" w:type="dxa"/>
            <w:vAlign w:val="bottom"/>
            <w:tcBorders>
              <w:bottom w:val="single" w:sz="8" w:color="auto"/>
            </w:tcBorders>
          </w:tcPr>
          <w:p>
            <w:pPr>
              <w:jc w:val="right"/>
              <w:ind w:right="95"/>
              <w:spacing w:after="0" w:line="142" w:lineRule="exact"/>
              <w:rPr>
                <w:sz w:val="20"/>
                <w:szCs w:val="20"/>
                <w:color w:val="auto"/>
              </w:rPr>
            </w:pPr>
            <w:r>
              <w:rPr>
                <w:rFonts w:ascii="Arial" w:cs="Arial" w:eastAsia="Arial" w:hAnsi="Arial"/>
                <w:sz w:val="14"/>
                <w:szCs w:val="14"/>
                <w:b w:val="1"/>
                <w:bCs w:val="1"/>
                <w:color w:val="auto"/>
              </w:rPr>
              <w:t>%</w:t>
            </w:r>
          </w:p>
        </w:tc>
        <w:tc>
          <w:tcPr>
            <w:tcW w:w="2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3540" w:type="dxa"/>
            <w:vAlign w:val="bottom"/>
            <w:shd w:val="clear" w:color="auto" w:fill="CCEEFF"/>
          </w:tcPr>
          <w:p>
            <w:pPr>
              <w:spacing w:after="0"/>
              <w:rPr>
                <w:sz w:val="20"/>
                <w:szCs w:val="20"/>
                <w:color w:val="auto"/>
              </w:rPr>
            </w:pPr>
            <w:r>
              <w:rPr>
                <w:rFonts w:ascii="Arial" w:cs="Arial" w:eastAsia="Arial" w:hAnsi="Arial"/>
                <w:sz w:val="18"/>
                <w:szCs w:val="18"/>
                <w:color w:val="auto"/>
              </w:rPr>
              <w:t>GMNA</w:t>
            </w:r>
          </w:p>
        </w:tc>
        <w:tc>
          <w:tcPr>
            <w:tcW w:w="1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61,045</w:t>
            </w:r>
          </w:p>
        </w:tc>
        <w:tc>
          <w:tcPr>
            <w:tcW w:w="30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6"/>
              <w:spacing w:after="0"/>
              <w:rPr>
                <w:sz w:val="20"/>
                <w:szCs w:val="20"/>
                <w:color w:val="auto"/>
              </w:rPr>
            </w:pPr>
            <w:r>
              <w:rPr>
                <w:rFonts w:ascii="Arial" w:cs="Arial" w:eastAsia="Arial" w:hAnsi="Arial"/>
                <w:sz w:val="18"/>
                <w:szCs w:val="18"/>
                <w:color w:val="auto"/>
                <w:w w:val="79"/>
              </w:rPr>
              <w:t>$</w:t>
            </w:r>
          </w:p>
        </w:tc>
        <w:tc>
          <w:tcPr>
            <w:tcW w:w="8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38,342</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00" w:type="dxa"/>
            <w:vAlign w:val="bottom"/>
            <w:tcBorders>
              <w:right w:val="single" w:sz="8" w:color="auto"/>
            </w:tcBorders>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14,151</w:t>
            </w:r>
          </w:p>
        </w:tc>
        <w:tc>
          <w:tcPr>
            <w:tcW w:w="28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w w:val="7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24,191</w:t>
            </w:r>
          </w:p>
        </w:tc>
        <w:tc>
          <w:tcPr>
            <w:tcW w:w="3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$22,703</w:t>
            </w:r>
          </w:p>
        </w:tc>
        <w:tc>
          <w:tcPr>
            <w:tcW w:w="3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59.2%</w:t>
            </w:r>
          </w:p>
        </w:tc>
        <w:tc>
          <w:tcPr>
            <w:tcW w:w="0" w:type="dxa"/>
            <w:vAlign w:val="bottom"/>
          </w:tcPr>
          <w:p>
            <w:pPr>
              <w:spacing w:after="0"/>
              <w:rPr>
                <w:sz w:val="1"/>
                <w:szCs w:val="1"/>
                <w:color w:val="auto"/>
              </w:rPr>
            </w:pPr>
          </w:p>
        </w:tc>
      </w:tr>
      <w:tr>
        <w:trPr>
          <w:trHeight w:val="216"/>
        </w:trPr>
        <w:tc>
          <w:tcPr>
            <w:tcW w:w="3540" w:type="dxa"/>
            <w:vAlign w:val="bottom"/>
          </w:tcPr>
          <w:p>
            <w:pPr>
              <w:spacing w:after="0"/>
              <w:rPr>
                <w:sz w:val="20"/>
                <w:szCs w:val="20"/>
                <w:color w:val="auto"/>
              </w:rPr>
            </w:pPr>
            <w:r>
              <w:rPr>
                <w:rFonts w:ascii="Arial" w:cs="Arial" w:eastAsia="Arial" w:hAnsi="Arial"/>
                <w:sz w:val="18"/>
                <w:szCs w:val="18"/>
                <w:color w:val="auto"/>
              </w:rPr>
              <w:t>GMIO</w:t>
            </w:r>
          </w:p>
        </w:tc>
        <w:tc>
          <w:tcPr>
            <w:tcW w:w="1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25,366</w:t>
            </w: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gridSpan w:val="2"/>
          </w:tcPr>
          <w:p>
            <w:pPr>
              <w:jc w:val="right"/>
              <w:ind w:right="180"/>
              <w:spacing w:after="0"/>
              <w:rPr>
                <w:sz w:val="20"/>
                <w:szCs w:val="20"/>
                <w:color w:val="auto"/>
              </w:rPr>
            </w:pPr>
            <w:r>
              <w:rPr>
                <w:rFonts w:ascii="Arial" w:cs="Arial" w:eastAsia="Arial" w:hAnsi="Arial"/>
                <w:sz w:val="18"/>
                <w:szCs w:val="18"/>
                <w:color w:val="auto"/>
              </w:rPr>
              <w:t>18,093</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Borders>
              <w:right w:val="single" w:sz="8" w:color="auto"/>
            </w:tcBorders>
            <w:gridSpan w:val="2"/>
          </w:tcPr>
          <w:p>
            <w:pPr>
              <w:jc w:val="right"/>
              <w:ind w:right="400"/>
              <w:spacing w:after="0"/>
              <w:rPr>
                <w:sz w:val="20"/>
                <w:szCs w:val="20"/>
                <w:color w:val="auto"/>
              </w:rPr>
            </w:pPr>
            <w:r>
              <w:rPr>
                <w:rFonts w:ascii="Arial" w:cs="Arial" w:eastAsia="Arial" w:hAnsi="Arial"/>
                <w:sz w:val="18"/>
                <w:szCs w:val="18"/>
                <w:color w:val="auto"/>
              </w:rPr>
              <w:t>6,395</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11,698</w:t>
            </w:r>
          </w:p>
        </w:tc>
        <w:tc>
          <w:tcPr>
            <w:tcW w:w="3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7,273</w:t>
            </w:r>
          </w:p>
        </w:tc>
        <w:tc>
          <w:tcPr>
            <w:tcW w:w="3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20" w:type="dxa"/>
            <w:vAlign w:val="bottom"/>
            <w:gridSpan w:val="2"/>
          </w:tcPr>
          <w:p>
            <w:pPr>
              <w:jc w:val="right"/>
              <w:ind w:right="120"/>
              <w:spacing w:after="0"/>
              <w:rPr>
                <w:sz w:val="20"/>
                <w:szCs w:val="20"/>
                <w:color w:val="auto"/>
              </w:rPr>
            </w:pPr>
            <w:r>
              <w:rPr>
                <w:rFonts w:ascii="Arial" w:cs="Arial" w:eastAsia="Arial" w:hAnsi="Arial"/>
                <w:sz w:val="18"/>
                <w:szCs w:val="18"/>
                <w:color w:val="auto"/>
              </w:rPr>
              <w:t>40.2%</w:t>
            </w:r>
          </w:p>
        </w:tc>
        <w:tc>
          <w:tcPr>
            <w:tcW w:w="0" w:type="dxa"/>
            <w:vAlign w:val="bottom"/>
          </w:tcPr>
          <w:p>
            <w:pPr>
              <w:spacing w:after="0"/>
              <w:rPr>
                <w:sz w:val="1"/>
                <w:szCs w:val="1"/>
                <w:color w:val="auto"/>
              </w:rPr>
            </w:pPr>
          </w:p>
        </w:tc>
      </w:tr>
      <w:tr>
        <w:trPr>
          <w:trHeight w:val="216"/>
        </w:trPr>
        <w:tc>
          <w:tcPr>
            <w:tcW w:w="3540" w:type="dxa"/>
            <w:vAlign w:val="bottom"/>
            <w:shd w:val="clear" w:color="auto" w:fill="CCEEFF"/>
          </w:tcPr>
          <w:p>
            <w:pPr>
              <w:spacing w:after="0"/>
              <w:rPr>
                <w:sz w:val="20"/>
                <w:szCs w:val="20"/>
                <w:color w:val="auto"/>
              </w:rPr>
            </w:pPr>
            <w:r>
              <w:rPr>
                <w:rFonts w:ascii="Arial" w:cs="Arial" w:eastAsia="Arial" w:hAnsi="Arial"/>
                <w:sz w:val="18"/>
                <w:szCs w:val="18"/>
                <w:color w:val="auto"/>
              </w:rPr>
              <w:t>GME</w:t>
            </w:r>
          </w:p>
        </w:tc>
        <w:tc>
          <w:tcPr>
            <w:tcW w:w="1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17,162</w:t>
            </w:r>
          </w:p>
        </w:tc>
        <w:tc>
          <w:tcPr>
            <w:tcW w:w="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17,790</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tcBorders>
              <w:right w:val="single" w:sz="8" w:color="auto"/>
            </w:tcBorders>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5,238</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12,552</w:t>
            </w:r>
          </w:p>
        </w:tc>
        <w:tc>
          <w:tcPr>
            <w:tcW w:w="3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(628)</w:t>
            </w:r>
          </w:p>
        </w:tc>
        <w:tc>
          <w:tcPr>
            <w:tcW w:w="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20"/>
        </w:trPr>
        <w:tc>
          <w:tcPr>
            <w:tcW w:w="3540" w:type="dxa"/>
            <w:vAlign w:val="bottom"/>
            <w:vMerge w:val="restart"/>
          </w:tcPr>
          <w:p>
            <w:pPr>
              <w:ind w:left="220"/>
              <w:spacing w:after="0"/>
              <w:rPr>
                <w:sz w:val="20"/>
                <w:szCs w:val="20"/>
                <w:color w:val="auto"/>
              </w:rPr>
            </w:pPr>
            <w:r>
              <w:rPr>
                <w:rFonts w:ascii="Arial" w:cs="Arial" w:eastAsia="Arial" w:hAnsi="Arial"/>
                <w:sz w:val="18"/>
                <w:szCs w:val="18"/>
                <w:color w:val="auto"/>
              </w:rPr>
              <w:t>Total operating segments</w:t>
            </w:r>
          </w:p>
        </w:tc>
        <w:tc>
          <w:tcPr>
            <w:tcW w:w="15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400" w:type="dxa"/>
            <w:vAlign w:val="bottom"/>
            <w:tcBorders>
              <w:right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20" w:type="dxa"/>
            <w:vAlign w:val="bottom"/>
            <w:gridSpan w:val="2"/>
            <w:vMerge w:val="restart"/>
          </w:tcPr>
          <w:p>
            <w:pPr>
              <w:jc w:val="right"/>
              <w:ind w:right="120"/>
              <w:spacing w:after="0"/>
              <w:rPr>
                <w:sz w:val="20"/>
                <w:szCs w:val="20"/>
                <w:color w:val="auto"/>
              </w:rPr>
            </w:pPr>
            <w:r>
              <w:rPr>
                <w:rFonts w:ascii="Arial" w:cs="Arial" w:eastAsia="Arial" w:hAnsi="Arial"/>
                <w:sz w:val="18"/>
                <w:szCs w:val="18"/>
                <w:color w:val="auto"/>
              </w:rPr>
              <w:t>39.5%</w:t>
            </w:r>
          </w:p>
        </w:tc>
        <w:tc>
          <w:tcPr>
            <w:tcW w:w="0" w:type="dxa"/>
            <w:vAlign w:val="bottom"/>
          </w:tcPr>
          <w:p>
            <w:pPr>
              <w:spacing w:after="0" w:line="20" w:lineRule="exact"/>
              <w:rPr>
                <w:sz w:val="1"/>
                <w:szCs w:val="1"/>
                <w:color w:val="auto"/>
              </w:rPr>
            </w:pPr>
          </w:p>
        </w:tc>
      </w:tr>
      <w:tr>
        <w:trPr>
          <w:trHeight w:val="221"/>
        </w:trPr>
        <w:tc>
          <w:tcPr>
            <w:tcW w:w="3540" w:type="dxa"/>
            <w:vAlign w:val="bottom"/>
            <w:vMerge w:val="continue"/>
          </w:tcPr>
          <w:p>
            <w:pPr>
              <w:spacing w:after="0"/>
              <w:rPr>
                <w:sz w:val="19"/>
                <w:szCs w:val="19"/>
                <w:color w:val="auto"/>
              </w:rPr>
            </w:pPr>
          </w:p>
        </w:tc>
        <w:tc>
          <w:tcPr>
            <w:tcW w:w="15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103,573</w:t>
            </w:r>
          </w:p>
        </w:tc>
        <w:tc>
          <w:tcPr>
            <w:tcW w:w="3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80" w:type="dxa"/>
            <w:vAlign w:val="bottom"/>
            <w:gridSpan w:val="2"/>
          </w:tcPr>
          <w:p>
            <w:pPr>
              <w:jc w:val="right"/>
              <w:ind w:right="180"/>
              <w:spacing w:after="0"/>
              <w:rPr>
                <w:sz w:val="20"/>
                <w:szCs w:val="20"/>
                <w:color w:val="auto"/>
              </w:rPr>
            </w:pPr>
            <w:r>
              <w:rPr>
                <w:rFonts w:ascii="Arial" w:cs="Arial" w:eastAsia="Arial" w:hAnsi="Arial"/>
                <w:sz w:val="18"/>
                <w:szCs w:val="18"/>
                <w:color w:val="auto"/>
              </w:rPr>
              <w:t>74,225</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00" w:type="dxa"/>
            <w:vAlign w:val="bottom"/>
            <w:tcBorders>
              <w:right w:val="single" w:sz="8" w:color="auto"/>
            </w:tcBorders>
            <w:gridSpan w:val="2"/>
          </w:tcPr>
          <w:p>
            <w:pPr>
              <w:jc w:val="right"/>
              <w:ind w:right="400"/>
              <w:spacing w:after="0"/>
              <w:rPr>
                <w:sz w:val="20"/>
                <w:szCs w:val="20"/>
                <w:color w:val="auto"/>
              </w:rPr>
            </w:pPr>
            <w:r>
              <w:rPr>
                <w:rFonts w:ascii="Arial" w:cs="Arial" w:eastAsia="Arial" w:hAnsi="Arial"/>
                <w:sz w:val="18"/>
                <w:szCs w:val="18"/>
                <w:color w:val="auto"/>
              </w:rPr>
              <w:t>25,784</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48,441</w:t>
            </w:r>
          </w:p>
        </w:tc>
        <w:tc>
          <w:tcPr>
            <w:tcW w:w="3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29,348</w:t>
            </w:r>
          </w:p>
        </w:tc>
        <w:tc>
          <w:tcPr>
            <w:tcW w:w="3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720" w:type="dxa"/>
            <w:vAlign w:val="bottom"/>
            <w:gridSpan w:val="2"/>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3540" w:type="dxa"/>
            <w:vAlign w:val="bottom"/>
            <w:shd w:val="clear" w:color="auto" w:fill="CCEEFF"/>
          </w:tcPr>
          <w:p>
            <w:pPr>
              <w:spacing w:after="0"/>
              <w:rPr>
                <w:sz w:val="20"/>
                <w:szCs w:val="20"/>
                <w:color w:val="auto"/>
              </w:rPr>
            </w:pPr>
            <w:r>
              <w:rPr>
                <w:rFonts w:ascii="Arial" w:cs="Arial" w:eastAsia="Arial" w:hAnsi="Arial"/>
                <w:sz w:val="18"/>
                <w:szCs w:val="18"/>
                <w:color w:val="auto"/>
              </w:rPr>
              <w:t>Corporate and eliminations</w:t>
            </w:r>
          </w:p>
        </w:tc>
        <w:tc>
          <w:tcPr>
            <w:tcW w:w="1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(4,863)</w:t>
            </w:r>
          </w:p>
        </w:tc>
        <w:tc>
          <w:tcPr>
            <w:tcW w:w="1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(1,963)</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tcBorders>
              <w:right w:val="single" w:sz="8" w:color="auto"/>
            </w:tcBorders>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(637)</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(1,326)</w:t>
            </w:r>
          </w:p>
        </w:tc>
        <w:tc>
          <w:tcPr>
            <w:tcW w:w="8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(2,900)</w:t>
            </w:r>
          </w:p>
        </w:tc>
        <w:tc>
          <w:tcPr>
            <w:tcW w:w="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87"/>
              </w:rPr>
              <w:t>(147.7)%</w:t>
            </w:r>
          </w:p>
        </w:tc>
        <w:tc>
          <w:tcPr>
            <w:tcW w:w="0" w:type="dxa"/>
            <w:vAlign w:val="bottom"/>
          </w:tcPr>
          <w:p>
            <w:pPr>
              <w:spacing w:after="0"/>
              <w:rPr>
                <w:sz w:val="1"/>
                <w:szCs w:val="1"/>
                <w:color w:val="auto"/>
              </w:rPr>
            </w:pPr>
          </w:p>
        </w:tc>
      </w:tr>
      <w:tr>
        <w:trPr>
          <w:trHeight w:val="20"/>
        </w:trPr>
        <w:tc>
          <w:tcPr>
            <w:tcW w:w="3540" w:type="dxa"/>
            <w:vAlign w:val="bottom"/>
            <w:vMerge w:val="restart"/>
          </w:tcPr>
          <w:p>
            <w:pPr>
              <w:spacing w:after="0"/>
              <w:rPr>
                <w:sz w:val="20"/>
                <w:szCs w:val="20"/>
                <w:color w:val="auto"/>
              </w:rPr>
            </w:pPr>
            <w:r>
              <w:rPr>
                <w:rFonts w:ascii="Arial" w:cs="Arial" w:eastAsia="Arial" w:hAnsi="Arial"/>
                <w:sz w:val="18"/>
                <w:szCs w:val="18"/>
                <w:color w:val="auto"/>
              </w:rPr>
              <w:t>Total net sales and revenue</w:t>
            </w:r>
          </w:p>
        </w:tc>
        <w:tc>
          <w:tcPr>
            <w:tcW w:w="15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400" w:type="dxa"/>
            <w:vAlign w:val="bottom"/>
            <w:tcBorders>
              <w:right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20" w:type="dxa"/>
            <w:vAlign w:val="bottom"/>
            <w:gridSpan w:val="2"/>
            <w:vMerge w:val="restart"/>
          </w:tcPr>
          <w:p>
            <w:pPr>
              <w:jc w:val="right"/>
              <w:ind w:right="120"/>
              <w:spacing w:after="0"/>
              <w:rPr>
                <w:sz w:val="20"/>
                <w:szCs w:val="20"/>
                <w:color w:val="auto"/>
              </w:rPr>
            </w:pPr>
            <w:r>
              <w:rPr>
                <w:rFonts w:ascii="Arial" w:cs="Arial" w:eastAsia="Arial" w:hAnsi="Arial"/>
                <w:sz w:val="18"/>
                <w:szCs w:val="18"/>
                <w:color w:val="auto"/>
              </w:rPr>
              <w:t>36.6%</w:t>
            </w:r>
          </w:p>
        </w:tc>
        <w:tc>
          <w:tcPr>
            <w:tcW w:w="0" w:type="dxa"/>
            <w:vAlign w:val="bottom"/>
          </w:tcPr>
          <w:p>
            <w:pPr>
              <w:spacing w:after="0" w:line="20" w:lineRule="exact"/>
              <w:rPr>
                <w:sz w:val="1"/>
                <w:szCs w:val="1"/>
                <w:color w:val="auto"/>
              </w:rPr>
            </w:pPr>
          </w:p>
        </w:tc>
      </w:tr>
      <w:tr>
        <w:trPr>
          <w:trHeight w:val="222"/>
        </w:trPr>
        <w:tc>
          <w:tcPr>
            <w:tcW w:w="3540" w:type="dxa"/>
            <w:vAlign w:val="bottom"/>
            <w:vMerge w:val="continue"/>
          </w:tcPr>
          <w:p>
            <w:pPr>
              <w:spacing w:after="0"/>
              <w:rPr>
                <w:sz w:val="19"/>
                <w:szCs w:val="19"/>
                <w:color w:val="auto"/>
              </w:rPr>
            </w:pPr>
          </w:p>
        </w:tc>
        <w:tc>
          <w:tcPr>
            <w:tcW w:w="154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98,710</w:t>
            </w:r>
          </w:p>
        </w:tc>
        <w:tc>
          <w:tcPr>
            <w:tcW w:w="300" w:type="dxa"/>
            <w:vAlign w:val="bottom"/>
          </w:tcPr>
          <w:p>
            <w:pPr>
              <w:spacing w:after="0"/>
              <w:rPr>
                <w:sz w:val="19"/>
                <w:szCs w:val="19"/>
                <w:color w:val="auto"/>
              </w:rPr>
            </w:pPr>
          </w:p>
        </w:tc>
        <w:tc>
          <w:tcPr>
            <w:tcW w:w="180" w:type="dxa"/>
            <w:vAlign w:val="bottom"/>
          </w:tcPr>
          <w:p>
            <w:pPr>
              <w:jc w:val="right"/>
              <w:ind w:right="6"/>
              <w:spacing w:after="0"/>
              <w:rPr>
                <w:sz w:val="20"/>
                <w:szCs w:val="20"/>
                <w:color w:val="auto"/>
              </w:rPr>
            </w:pPr>
            <w:r>
              <w:rPr>
                <w:rFonts w:ascii="Arial" w:cs="Arial" w:eastAsia="Arial" w:hAnsi="Arial"/>
                <w:sz w:val="18"/>
                <w:szCs w:val="18"/>
                <w:color w:val="auto"/>
                <w:w w:val="79"/>
              </w:rPr>
              <w:t>$</w:t>
            </w:r>
          </w:p>
        </w:tc>
        <w:tc>
          <w:tcPr>
            <w:tcW w:w="880" w:type="dxa"/>
            <w:vAlign w:val="bottom"/>
            <w:gridSpan w:val="2"/>
          </w:tcPr>
          <w:p>
            <w:pPr>
              <w:jc w:val="right"/>
              <w:ind w:right="180"/>
              <w:spacing w:after="0"/>
              <w:rPr>
                <w:sz w:val="20"/>
                <w:szCs w:val="20"/>
                <w:color w:val="auto"/>
              </w:rPr>
            </w:pPr>
            <w:r>
              <w:rPr>
                <w:rFonts w:ascii="Arial" w:cs="Arial" w:eastAsia="Arial" w:hAnsi="Arial"/>
                <w:sz w:val="18"/>
                <w:szCs w:val="18"/>
                <w:color w:val="auto"/>
              </w:rPr>
              <w:t>72,262</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00" w:type="dxa"/>
            <w:vAlign w:val="bottom"/>
            <w:tcBorders>
              <w:right w:val="single" w:sz="8" w:color="auto"/>
            </w:tcBorders>
            <w:gridSpan w:val="2"/>
          </w:tcPr>
          <w:p>
            <w:pPr>
              <w:jc w:val="right"/>
              <w:ind w:right="400"/>
              <w:spacing w:after="0"/>
              <w:rPr>
                <w:sz w:val="20"/>
                <w:szCs w:val="20"/>
                <w:color w:val="auto"/>
              </w:rPr>
            </w:pPr>
            <w:r>
              <w:rPr>
                <w:rFonts w:ascii="Arial" w:cs="Arial" w:eastAsia="Arial" w:hAnsi="Arial"/>
                <w:sz w:val="18"/>
                <w:szCs w:val="18"/>
                <w:color w:val="auto"/>
              </w:rPr>
              <w:t>25,147</w:t>
            </w:r>
          </w:p>
        </w:tc>
        <w:tc>
          <w:tcPr>
            <w:tcW w:w="280" w:type="dxa"/>
            <w:vAlign w:val="bottom"/>
            <w:gridSpan w:val="2"/>
          </w:tcPr>
          <w:p>
            <w:pPr>
              <w:ind w:left="180"/>
              <w:spacing w:after="0"/>
              <w:rPr>
                <w:sz w:val="20"/>
                <w:szCs w:val="20"/>
                <w:color w:val="auto"/>
              </w:rPr>
            </w:pPr>
            <w:r>
              <w:rPr>
                <w:rFonts w:ascii="Arial" w:cs="Arial" w:eastAsia="Arial" w:hAnsi="Arial"/>
                <w:sz w:val="18"/>
                <w:szCs w:val="18"/>
                <w:color w:val="auto"/>
                <w:w w:val="79"/>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47,115</w:t>
            </w:r>
          </w:p>
        </w:tc>
        <w:tc>
          <w:tcPr>
            <w:tcW w:w="3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u w:val="single" w:color="auto"/>
                <w:color w:val="auto"/>
                <w:w w:val="86"/>
              </w:rPr>
              <w:t>$</w:t>
            </w:r>
            <w:r>
              <w:rPr>
                <w:rFonts w:ascii="Arial" w:cs="Arial" w:eastAsia="Arial" w:hAnsi="Arial"/>
                <w:sz w:val="18"/>
                <w:szCs w:val="18"/>
                <w:color w:val="auto"/>
                <w:w w:val="86"/>
              </w:rPr>
              <w:t>26,448</w:t>
            </w:r>
          </w:p>
        </w:tc>
        <w:tc>
          <w:tcPr>
            <w:tcW w:w="3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720" w:type="dxa"/>
            <w:vAlign w:val="bottom"/>
            <w:gridSpan w:val="2"/>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40"/>
        </w:trPr>
        <w:tc>
          <w:tcPr>
            <w:tcW w:w="3540" w:type="dxa"/>
            <w:vAlign w:val="bottom"/>
          </w:tcPr>
          <w:p>
            <w:pPr>
              <w:spacing w:after="0"/>
              <w:rPr>
                <w:sz w:val="3"/>
                <w:szCs w:val="3"/>
                <w:color w:val="auto"/>
              </w:rPr>
            </w:pPr>
          </w:p>
        </w:tc>
        <w:tc>
          <w:tcPr>
            <w:tcW w:w="1540" w:type="dxa"/>
            <w:vAlign w:val="bottom"/>
          </w:tcPr>
          <w:p>
            <w:pPr>
              <w:spacing w:after="0"/>
              <w:rPr>
                <w:sz w:val="3"/>
                <w:szCs w:val="3"/>
                <w:color w:val="auto"/>
              </w:rPr>
            </w:pPr>
          </w:p>
        </w:tc>
        <w:tc>
          <w:tcPr>
            <w:tcW w:w="120" w:type="dxa"/>
            <w:vAlign w:val="bottom"/>
            <w:tcBorders>
              <w:top w:val="single" w:sz="8" w:color="auto"/>
              <w:bottom w:val="single" w:sz="8" w:color="auto"/>
            </w:tcBorders>
          </w:tcPr>
          <w:p>
            <w:pPr>
              <w:spacing w:after="0"/>
              <w:rPr>
                <w:sz w:val="3"/>
                <w:szCs w:val="3"/>
                <w:color w:val="auto"/>
              </w:rPr>
            </w:pPr>
          </w:p>
        </w:tc>
        <w:tc>
          <w:tcPr>
            <w:tcW w:w="700" w:type="dxa"/>
            <w:vAlign w:val="bottom"/>
            <w:tcBorders>
              <w:top w:val="single" w:sz="8" w:color="auto"/>
              <w:bottom w:val="single" w:sz="8" w:color="auto"/>
            </w:tcBorders>
          </w:tcPr>
          <w:p>
            <w:pPr>
              <w:spacing w:after="0"/>
              <w:rPr>
                <w:sz w:val="3"/>
                <w:szCs w:val="3"/>
                <w:color w:val="auto"/>
              </w:rPr>
            </w:pPr>
          </w:p>
        </w:tc>
        <w:tc>
          <w:tcPr>
            <w:tcW w:w="300" w:type="dxa"/>
            <w:vAlign w:val="bottom"/>
          </w:tcPr>
          <w:p>
            <w:pPr>
              <w:spacing w:after="0"/>
              <w:rPr>
                <w:sz w:val="3"/>
                <w:szCs w:val="3"/>
                <w:color w:val="auto"/>
              </w:rPr>
            </w:pPr>
          </w:p>
        </w:tc>
        <w:tc>
          <w:tcPr>
            <w:tcW w:w="180" w:type="dxa"/>
            <w:vAlign w:val="bottom"/>
            <w:tcBorders>
              <w:top w:val="single" w:sz="8" w:color="auto"/>
              <w:bottom w:val="single" w:sz="8" w:color="auto"/>
            </w:tcBorders>
          </w:tcPr>
          <w:p>
            <w:pPr>
              <w:spacing w:after="0"/>
              <w:rPr>
                <w:sz w:val="3"/>
                <w:szCs w:val="3"/>
                <w:color w:val="auto"/>
              </w:rPr>
            </w:pPr>
          </w:p>
        </w:tc>
        <w:tc>
          <w:tcPr>
            <w:tcW w:w="700" w:type="dxa"/>
            <w:vAlign w:val="bottom"/>
            <w:tcBorders>
              <w:top w:val="single" w:sz="8" w:color="auto"/>
              <w:bottom w:val="single" w:sz="8" w:color="auto"/>
            </w:tcBorders>
          </w:tcPr>
          <w:p>
            <w:pPr>
              <w:spacing w:after="0"/>
              <w:rPr>
                <w:sz w:val="3"/>
                <w:szCs w:val="3"/>
                <w:color w:val="auto"/>
              </w:rPr>
            </w:pPr>
          </w:p>
        </w:tc>
        <w:tc>
          <w:tcPr>
            <w:tcW w:w="1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20" w:type="dxa"/>
            <w:vAlign w:val="bottom"/>
            <w:tcBorders>
              <w:top w:val="single" w:sz="8" w:color="auto"/>
              <w:bottom w:val="single" w:sz="8" w:color="auto"/>
            </w:tcBorders>
          </w:tcPr>
          <w:p>
            <w:pPr>
              <w:spacing w:after="0"/>
              <w:rPr>
                <w:sz w:val="3"/>
                <w:szCs w:val="3"/>
                <w:color w:val="auto"/>
              </w:rPr>
            </w:pPr>
          </w:p>
        </w:tc>
        <w:tc>
          <w:tcPr>
            <w:tcW w:w="700" w:type="dxa"/>
            <w:vAlign w:val="bottom"/>
            <w:tcBorders>
              <w:top w:val="single" w:sz="8" w:color="auto"/>
              <w:bottom w:val="single" w:sz="8" w:color="auto"/>
            </w:tcBorders>
          </w:tcPr>
          <w:p>
            <w:pPr>
              <w:spacing w:after="0"/>
              <w:rPr>
                <w:sz w:val="3"/>
                <w:szCs w:val="3"/>
                <w:color w:val="auto"/>
              </w:rPr>
            </w:pPr>
          </w:p>
        </w:tc>
        <w:tc>
          <w:tcPr>
            <w:tcW w:w="400" w:type="dxa"/>
            <w:vAlign w:val="bottom"/>
            <w:tcBorders>
              <w:right w:val="single" w:sz="8" w:color="auto"/>
            </w:tcBorders>
          </w:tcPr>
          <w:p>
            <w:pPr>
              <w:spacing w:after="0"/>
              <w:rPr>
                <w:sz w:val="3"/>
                <w:szCs w:val="3"/>
                <w:color w:val="auto"/>
              </w:rPr>
            </w:pPr>
          </w:p>
        </w:tc>
        <w:tc>
          <w:tcPr>
            <w:tcW w:w="180" w:type="dxa"/>
            <w:vAlign w:val="bottom"/>
          </w:tcPr>
          <w:p>
            <w:pPr>
              <w:spacing w:after="0"/>
              <w:rPr>
                <w:sz w:val="3"/>
                <w:szCs w:val="3"/>
                <w:color w:val="auto"/>
              </w:rPr>
            </w:pPr>
          </w:p>
        </w:tc>
        <w:tc>
          <w:tcPr>
            <w:tcW w:w="100" w:type="dxa"/>
            <w:vAlign w:val="bottom"/>
            <w:tcBorders>
              <w:top w:val="single" w:sz="8" w:color="auto"/>
              <w:bottom w:val="single" w:sz="8" w:color="auto"/>
            </w:tcBorders>
          </w:tcPr>
          <w:p>
            <w:pPr>
              <w:spacing w:after="0"/>
              <w:rPr>
                <w:sz w:val="3"/>
                <w:szCs w:val="3"/>
                <w:color w:val="auto"/>
              </w:rPr>
            </w:pPr>
          </w:p>
        </w:tc>
        <w:tc>
          <w:tcPr>
            <w:tcW w:w="600" w:type="dxa"/>
            <w:vAlign w:val="bottom"/>
            <w:tcBorders>
              <w:top w:val="single" w:sz="8" w:color="auto"/>
              <w:bottom w:val="single" w:sz="8" w:color="auto"/>
            </w:tcBorders>
          </w:tcPr>
          <w:p>
            <w:pPr>
              <w:spacing w:after="0"/>
              <w:rPr>
                <w:sz w:val="3"/>
                <w:szCs w:val="3"/>
                <w:color w:val="auto"/>
              </w:rPr>
            </w:pPr>
          </w:p>
        </w:tc>
        <w:tc>
          <w:tcPr>
            <w:tcW w:w="300" w:type="dxa"/>
            <w:vAlign w:val="bottom"/>
          </w:tcPr>
          <w:p>
            <w:pPr>
              <w:spacing w:after="0"/>
              <w:rPr>
                <w:sz w:val="3"/>
                <w:szCs w:val="3"/>
                <w:color w:val="auto"/>
              </w:rPr>
            </w:pPr>
          </w:p>
        </w:tc>
        <w:tc>
          <w:tcPr>
            <w:tcW w:w="580" w:type="dxa"/>
            <w:vAlign w:val="bottom"/>
            <w:tcBorders>
              <w:top w:val="single" w:sz="8" w:color="auto"/>
              <w:bottom w:val="single" w:sz="8" w:color="auto"/>
            </w:tcBorders>
          </w:tcPr>
          <w:p>
            <w:pPr>
              <w:spacing w:after="0"/>
              <w:rPr>
                <w:sz w:val="3"/>
                <w:szCs w:val="3"/>
                <w:color w:val="auto"/>
              </w:rPr>
            </w:pPr>
          </w:p>
        </w:tc>
        <w:tc>
          <w:tcPr>
            <w:tcW w:w="300" w:type="dxa"/>
            <w:vAlign w:val="bottom"/>
          </w:tcPr>
          <w:p>
            <w:pPr>
              <w:spacing w:after="0"/>
              <w:rPr>
                <w:sz w:val="3"/>
                <w:szCs w:val="3"/>
                <w:color w:val="auto"/>
              </w:rPr>
            </w:pPr>
          </w:p>
        </w:tc>
        <w:tc>
          <w:tcPr>
            <w:tcW w:w="40" w:type="dxa"/>
            <w:vAlign w:val="bottom"/>
          </w:tcPr>
          <w:p>
            <w:pPr>
              <w:spacing w:after="0"/>
              <w:rPr>
                <w:sz w:val="3"/>
                <w:szCs w:val="3"/>
                <w:color w:val="auto"/>
              </w:rPr>
            </w:pPr>
          </w:p>
        </w:tc>
        <w:tc>
          <w:tcPr>
            <w:tcW w:w="460" w:type="dxa"/>
            <w:vAlign w:val="bottom"/>
          </w:tcPr>
          <w:p>
            <w:pPr>
              <w:spacing w:after="0"/>
              <w:rPr>
                <w:sz w:val="3"/>
                <w:szCs w:val="3"/>
                <w:color w:val="auto"/>
              </w:rPr>
            </w:pPr>
          </w:p>
        </w:tc>
        <w:tc>
          <w:tcPr>
            <w:tcW w:w="2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38"/>
        </w:trPr>
        <w:tc>
          <w:tcPr>
            <w:tcW w:w="354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102</w:t>
            </w:r>
          </w:p>
        </w:tc>
        <w:tc>
          <w:tcPr>
            <w:tcW w:w="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104" w:name="page105"/>
    <w:bookmarkEnd w:id="10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339" w:lineRule="exact"/>
        <w:rPr>
          <w:sz w:val="20"/>
          <w:szCs w:val="20"/>
          <w:color w:val="auto"/>
        </w:rPr>
      </w:pPr>
    </w:p>
    <w:p>
      <w:pPr>
        <w:ind w:firstLine="228"/>
        <w:spacing w:after="0" w:line="286" w:lineRule="auto"/>
        <w:rPr>
          <w:sz w:val="20"/>
          <w:szCs w:val="20"/>
          <w:color w:val="auto"/>
        </w:rPr>
      </w:pPr>
      <w:r>
        <w:rPr>
          <w:rFonts w:ascii="Arial" w:cs="Arial" w:eastAsia="Arial" w:hAnsi="Arial"/>
          <w:sz w:val="16"/>
          <w:szCs w:val="16"/>
          <w:color w:val="auto"/>
        </w:rPr>
        <w:t>In the nine months ended September 30, 2010 Total net sales and revenue increased compared to the corresponding period in 2009 by $26.4 billion (or 36.6%), primarily due to: (1) higher primarily wholesale volumes of $16.5 billion in GMNA due to an improving economy and successful recent vehicle launches;</w:t>
      </w:r>
    </w:p>
    <w:p>
      <w:pPr>
        <w:ind w:firstLine="8"/>
        <w:spacing w:after="0" w:line="287" w:lineRule="auto"/>
        <w:tabs>
          <w:tab w:leader="none" w:pos="249" w:val="left"/>
        </w:tabs>
        <w:numPr>
          <w:ilvl w:val="0"/>
          <w:numId w:val="76"/>
        </w:numPr>
        <w:rPr>
          <w:rFonts w:ascii="Arial" w:cs="Arial" w:eastAsia="Arial" w:hAnsi="Arial"/>
          <w:sz w:val="16"/>
          <w:szCs w:val="16"/>
          <w:color w:val="auto"/>
        </w:rPr>
      </w:pPr>
      <w:r>
        <w:rPr>
          <w:rFonts w:ascii="Arial" w:cs="Arial" w:eastAsia="Arial" w:hAnsi="Arial"/>
          <w:sz w:val="16"/>
          <w:szCs w:val="16"/>
          <w:color w:val="auto"/>
        </w:rPr>
        <w:t>higher wholesale volumes of $4.0 billion in GMIO primarily resulting from the market recovery and launches of new vehicles; (3) favorable pricing of $2.8 billion in GMNA due to lower sales allowances, partially offset by less favorable adjustments in the U.S. to the accrual for U.S. residual support programs for leased vehicles of $0.3 billion; (4) favorable mix of $1.6 billion in GMNA due to increased crossover and truck sales; (5) increased sales of $1.0 billion in GMNA due to the acquisition of Nexteer and four domestic component manufacturing facilities; (6) net favorable effect of foreign currency translation and transaction gains of $0.9 billion; (7) derivative losses of $0.7 billion that Old GM recorded in the nine months ended September 30, 2009; (8) favorable vehicle mix of $0.6 billion in GMIO driven by launches of the new vehicles and increased sales of higher priced sport utility vehicles; (9) favorable pricing effect of $0.6 billion in GMIO, primarily in Venezuela of $0.3 billion driven by the hyperinflationary economy and strategic price increases of $0.3 billion due to strong demand for our vehicles; and (10) favorable vehicle pricing of $0.2 billion in GME due to higher pricing on new vehicle launches.</w:t>
      </w:r>
    </w:p>
    <w:p>
      <w:pPr>
        <w:spacing w:after="0" w:line="124" w:lineRule="exact"/>
        <w:rPr>
          <w:sz w:val="20"/>
          <w:szCs w:val="20"/>
          <w:color w:val="auto"/>
        </w:rPr>
      </w:pPr>
    </w:p>
    <w:p>
      <w:pPr>
        <w:ind w:right="360" w:firstLine="228"/>
        <w:spacing w:after="0" w:line="268" w:lineRule="auto"/>
        <w:rPr>
          <w:sz w:val="20"/>
          <w:szCs w:val="20"/>
          <w:color w:val="auto"/>
        </w:rPr>
      </w:pPr>
      <w:r>
        <w:rPr>
          <w:rFonts w:ascii="Arial" w:cs="Arial" w:eastAsia="Arial" w:hAnsi="Arial"/>
          <w:sz w:val="18"/>
          <w:szCs w:val="18"/>
          <w:color w:val="auto"/>
        </w:rPr>
        <w:t>These increases were partially offset by: (1) lower wholesale volumes in GME of $0.5 billion; and (2) lower volumes of rental car activity and subsequent repurchases sold at auction of $0.3 billion in GME.</w:t>
      </w:r>
    </w:p>
    <w:p>
      <w:pPr>
        <w:spacing w:after="0" w:line="132"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Cost of Sales</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9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720" w:type="dxa"/>
            <w:vAlign w:val="bottom"/>
            <w:gridSpan w:val="4"/>
          </w:tcPr>
          <w:p>
            <w:pPr>
              <w:jc w:val="center"/>
              <w:ind w:right="220"/>
              <w:spacing w:after="0"/>
              <w:rPr>
                <w:sz w:val="20"/>
                <w:szCs w:val="20"/>
                <w:color w:val="auto"/>
              </w:rPr>
            </w:pPr>
            <w:r>
              <w:rPr>
                <w:rFonts w:ascii="Arial" w:cs="Arial" w:eastAsia="Arial" w:hAnsi="Arial"/>
                <w:sz w:val="14"/>
                <w:szCs w:val="14"/>
                <w:b w:val="1"/>
                <w:bCs w:val="1"/>
                <w:color w:val="auto"/>
                <w:w w:val="90"/>
              </w:rPr>
              <w:t>Three Months Ended</w:t>
            </w:r>
          </w:p>
        </w:tc>
      </w:tr>
      <w:tr>
        <w:trPr>
          <w:trHeight w:val="149"/>
        </w:trPr>
        <w:tc>
          <w:tcPr>
            <w:tcW w:w="49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720" w:type="dxa"/>
            <w:vAlign w:val="bottom"/>
            <w:gridSpan w:val="4"/>
          </w:tcPr>
          <w:p>
            <w:pPr>
              <w:jc w:val="center"/>
              <w:ind w:right="200"/>
              <w:spacing w:after="0" w:line="149" w:lineRule="exact"/>
              <w:rPr>
                <w:sz w:val="20"/>
                <w:szCs w:val="20"/>
                <w:color w:val="auto"/>
              </w:rPr>
            </w:pPr>
            <w:r>
              <w:rPr>
                <w:rFonts w:ascii="Arial" w:cs="Arial" w:eastAsia="Arial" w:hAnsi="Arial"/>
                <w:sz w:val="14"/>
                <w:szCs w:val="14"/>
                <w:b w:val="1"/>
                <w:bCs w:val="1"/>
                <w:color w:val="auto"/>
                <w:w w:val="85"/>
              </w:rPr>
              <w:t>September 30, 2010</w:t>
            </w:r>
          </w:p>
        </w:tc>
      </w:tr>
      <w:tr>
        <w:trPr>
          <w:trHeight w:val="161"/>
        </w:trPr>
        <w:tc>
          <w:tcPr>
            <w:tcW w:w="490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126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Successor</w:t>
            </w:r>
          </w:p>
        </w:tc>
        <w:tc>
          <w:tcPr>
            <w:tcW w:w="700" w:type="dxa"/>
            <w:vAlign w:val="bottom"/>
            <w:tcBorders>
              <w:bottom w:val="single" w:sz="8" w:color="auto"/>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720" w:type="dxa"/>
            <w:vAlign w:val="bottom"/>
            <w:gridSpan w:val="4"/>
          </w:tcPr>
          <w:p>
            <w:pPr>
              <w:jc w:val="center"/>
              <w:ind w:right="200"/>
              <w:spacing w:after="0"/>
              <w:rPr>
                <w:sz w:val="20"/>
                <w:szCs w:val="20"/>
                <w:color w:val="auto"/>
              </w:rPr>
            </w:pPr>
            <w:r>
              <w:rPr>
                <w:rFonts w:ascii="Arial" w:cs="Arial" w:eastAsia="Arial" w:hAnsi="Arial"/>
                <w:sz w:val="14"/>
                <w:szCs w:val="14"/>
                <w:b w:val="1"/>
                <w:bCs w:val="1"/>
                <w:color w:val="auto"/>
                <w:w w:val="86"/>
              </w:rPr>
              <w:t>vs. Period July 10, 2009</w:t>
            </w:r>
          </w:p>
        </w:tc>
      </w:tr>
      <w:tr>
        <w:trPr>
          <w:trHeight w:val="116"/>
        </w:trPr>
        <w:tc>
          <w:tcPr>
            <w:tcW w:w="4900" w:type="dxa"/>
            <w:vAlign w:val="bottom"/>
          </w:tcPr>
          <w:p>
            <w:pPr>
              <w:spacing w:after="0"/>
              <w:rPr>
                <w:sz w:val="10"/>
                <w:szCs w:val="10"/>
                <w:color w:val="auto"/>
              </w:rPr>
            </w:pPr>
          </w:p>
        </w:tc>
        <w:tc>
          <w:tcPr>
            <w:tcW w:w="1200" w:type="dxa"/>
            <w:vAlign w:val="bottom"/>
            <w:gridSpan w:val="3"/>
          </w:tcPr>
          <w:p>
            <w:pPr>
              <w:spacing w:after="0" w:line="116" w:lineRule="exact"/>
              <w:rPr>
                <w:sz w:val="20"/>
                <w:szCs w:val="20"/>
                <w:color w:val="auto"/>
              </w:rPr>
            </w:pPr>
            <w:r>
              <w:rPr>
                <w:rFonts w:ascii="Arial" w:cs="Arial" w:eastAsia="Arial" w:hAnsi="Arial"/>
                <w:sz w:val="12"/>
                <w:szCs w:val="12"/>
                <w:b w:val="1"/>
                <w:bCs w:val="1"/>
                <w:color w:val="auto"/>
              </w:rPr>
              <w:t>Three Months</w:t>
            </w:r>
          </w:p>
        </w:tc>
        <w:tc>
          <w:tcPr>
            <w:tcW w:w="740" w:type="dxa"/>
            <w:vAlign w:val="bottom"/>
          </w:tcPr>
          <w:p>
            <w:pPr>
              <w:jc w:val="center"/>
              <w:spacing w:after="0" w:line="116" w:lineRule="exact"/>
              <w:rPr>
                <w:sz w:val="20"/>
                <w:szCs w:val="20"/>
                <w:color w:val="auto"/>
              </w:rPr>
            </w:pPr>
            <w:r>
              <w:rPr>
                <w:rFonts w:ascii="Arial" w:cs="Arial" w:eastAsia="Arial" w:hAnsi="Arial"/>
                <w:sz w:val="12"/>
                <w:szCs w:val="12"/>
                <w:b w:val="1"/>
                <w:bCs w:val="1"/>
                <w:color w:val="auto"/>
                <w:w w:val="95"/>
              </w:rPr>
              <w:t>Percentage</w:t>
            </w:r>
          </w:p>
        </w:tc>
        <w:tc>
          <w:tcPr>
            <w:tcW w:w="400" w:type="dxa"/>
            <w:vAlign w:val="bottom"/>
          </w:tcPr>
          <w:p>
            <w:pPr>
              <w:spacing w:after="0"/>
              <w:rPr>
                <w:sz w:val="10"/>
                <w:szCs w:val="10"/>
                <w:color w:val="auto"/>
              </w:rPr>
            </w:pPr>
          </w:p>
        </w:tc>
        <w:tc>
          <w:tcPr>
            <w:tcW w:w="1200" w:type="dxa"/>
            <w:vAlign w:val="bottom"/>
            <w:gridSpan w:val="3"/>
          </w:tcPr>
          <w:p>
            <w:pPr>
              <w:jc w:val="center"/>
              <w:ind w:right="400"/>
              <w:spacing w:after="0" w:line="116" w:lineRule="exact"/>
              <w:rPr>
                <w:sz w:val="20"/>
                <w:szCs w:val="20"/>
                <w:color w:val="auto"/>
              </w:rPr>
            </w:pPr>
            <w:r>
              <w:rPr>
                <w:rFonts w:ascii="Arial" w:cs="Arial" w:eastAsia="Arial" w:hAnsi="Arial"/>
                <w:sz w:val="12"/>
                <w:szCs w:val="12"/>
                <w:b w:val="1"/>
                <w:bCs w:val="1"/>
                <w:color w:val="auto"/>
              </w:rPr>
              <w:t>July 10, 2009</w:t>
            </w:r>
          </w:p>
        </w:tc>
        <w:tc>
          <w:tcPr>
            <w:tcW w:w="760" w:type="dxa"/>
            <w:vAlign w:val="bottom"/>
          </w:tcPr>
          <w:p>
            <w:pPr>
              <w:jc w:val="center"/>
              <w:spacing w:after="0" w:line="116" w:lineRule="exact"/>
              <w:rPr>
                <w:sz w:val="20"/>
                <w:szCs w:val="20"/>
                <w:color w:val="auto"/>
              </w:rPr>
            </w:pPr>
            <w:r>
              <w:rPr>
                <w:rFonts w:ascii="Arial" w:cs="Arial" w:eastAsia="Arial" w:hAnsi="Arial"/>
                <w:sz w:val="12"/>
                <w:szCs w:val="12"/>
                <w:b w:val="1"/>
                <w:bCs w:val="1"/>
                <w:color w:val="auto"/>
                <w:w w:val="98"/>
              </w:rPr>
              <w:t>Percentage</w:t>
            </w:r>
          </w:p>
        </w:tc>
        <w:tc>
          <w:tcPr>
            <w:tcW w:w="1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20" w:type="dxa"/>
            <w:vAlign w:val="bottom"/>
            <w:gridSpan w:val="2"/>
          </w:tcPr>
          <w:p>
            <w:pPr>
              <w:jc w:val="center"/>
              <w:ind w:left="409"/>
              <w:spacing w:after="0" w:line="116" w:lineRule="exact"/>
              <w:rPr>
                <w:sz w:val="20"/>
                <w:szCs w:val="20"/>
                <w:color w:val="auto"/>
              </w:rPr>
            </w:pPr>
            <w:r>
              <w:rPr>
                <w:rFonts w:ascii="Arial" w:cs="Arial" w:eastAsia="Arial" w:hAnsi="Arial"/>
                <w:sz w:val="12"/>
                <w:szCs w:val="12"/>
                <w:b w:val="1"/>
                <w:bCs w:val="1"/>
                <w:color w:val="auto"/>
              </w:rPr>
              <w:t>Through</w:t>
            </w:r>
          </w:p>
        </w:tc>
        <w:tc>
          <w:tcPr>
            <w:tcW w:w="600" w:type="dxa"/>
            <w:vAlign w:val="bottom"/>
          </w:tcPr>
          <w:p>
            <w:pPr>
              <w:spacing w:after="0"/>
              <w:rPr>
                <w:sz w:val="10"/>
                <w:szCs w:val="10"/>
                <w:color w:val="auto"/>
              </w:rPr>
            </w:pPr>
          </w:p>
        </w:tc>
        <w:tc>
          <w:tcPr>
            <w:tcW w:w="100" w:type="dxa"/>
            <w:vAlign w:val="bottom"/>
          </w:tcPr>
          <w:p>
            <w:pPr>
              <w:spacing w:after="0"/>
              <w:rPr>
                <w:sz w:val="10"/>
                <w:szCs w:val="10"/>
                <w:color w:val="auto"/>
              </w:rPr>
            </w:pPr>
          </w:p>
        </w:tc>
      </w:tr>
      <w:tr>
        <w:trPr>
          <w:trHeight w:val="149"/>
        </w:trPr>
        <w:tc>
          <w:tcPr>
            <w:tcW w:w="49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40" w:type="dxa"/>
            <w:vAlign w:val="bottom"/>
            <w:gridSpan w:val="2"/>
          </w:tcPr>
          <w:p>
            <w:pPr>
              <w:jc w:val="center"/>
              <w:ind w:right="540"/>
              <w:spacing w:after="0" w:line="149" w:lineRule="exact"/>
              <w:rPr>
                <w:sz w:val="20"/>
                <w:szCs w:val="20"/>
                <w:color w:val="auto"/>
              </w:rPr>
            </w:pPr>
            <w:r>
              <w:rPr>
                <w:rFonts w:ascii="Arial" w:cs="Arial" w:eastAsia="Arial" w:hAnsi="Arial"/>
                <w:sz w:val="14"/>
                <w:szCs w:val="14"/>
                <w:b w:val="1"/>
                <w:bCs w:val="1"/>
                <w:color w:val="auto"/>
                <w:w w:val="88"/>
              </w:rPr>
              <w:t>Ended</w:t>
            </w:r>
          </w:p>
        </w:tc>
        <w:tc>
          <w:tcPr>
            <w:tcW w:w="7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of Total</w:t>
            </w:r>
          </w:p>
        </w:tc>
        <w:tc>
          <w:tcPr>
            <w:tcW w:w="4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80" w:type="dxa"/>
            <w:vAlign w:val="bottom"/>
            <w:gridSpan w:val="2"/>
          </w:tcPr>
          <w:p>
            <w:pPr>
              <w:jc w:val="center"/>
              <w:ind w:right="500"/>
              <w:spacing w:after="0" w:line="149" w:lineRule="exact"/>
              <w:rPr>
                <w:sz w:val="20"/>
                <w:szCs w:val="20"/>
                <w:color w:val="auto"/>
              </w:rPr>
            </w:pPr>
            <w:r>
              <w:rPr>
                <w:rFonts w:ascii="Arial" w:cs="Arial" w:eastAsia="Arial" w:hAnsi="Arial"/>
                <w:sz w:val="14"/>
                <w:szCs w:val="14"/>
                <w:b w:val="1"/>
                <w:bCs w:val="1"/>
                <w:color w:val="auto"/>
                <w:w w:val="87"/>
              </w:rPr>
              <w:t>Through</w:t>
            </w:r>
          </w:p>
        </w:tc>
        <w:tc>
          <w:tcPr>
            <w:tcW w:w="94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94"/>
              </w:rPr>
              <w:t>of Total</w:t>
            </w: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720" w:type="dxa"/>
            <w:vAlign w:val="bottom"/>
            <w:gridSpan w:val="4"/>
          </w:tcPr>
          <w:p>
            <w:pPr>
              <w:jc w:val="center"/>
              <w:ind w:right="200"/>
              <w:spacing w:after="0" w:line="149" w:lineRule="exact"/>
              <w:rPr>
                <w:sz w:val="20"/>
                <w:szCs w:val="20"/>
                <w:color w:val="auto"/>
              </w:rPr>
            </w:pPr>
            <w:r>
              <w:rPr>
                <w:rFonts w:ascii="Arial" w:cs="Arial" w:eastAsia="Arial" w:hAnsi="Arial"/>
                <w:sz w:val="14"/>
                <w:szCs w:val="14"/>
                <w:b w:val="1"/>
                <w:bCs w:val="1"/>
                <w:color w:val="auto"/>
                <w:w w:val="85"/>
              </w:rPr>
              <w:t>September 30, 2009</w:t>
            </w:r>
          </w:p>
        </w:tc>
      </w:tr>
      <w:tr>
        <w:trPr>
          <w:trHeight w:val="161"/>
        </w:trPr>
        <w:tc>
          <w:tcPr>
            <w:tcW w:w="4900" w:type="dxa"/>
            <w:vAlign w:val="bottom"/>
          </w:tcPr>
          <w:p>
            <w:pPr>
              <w:spacing w:after="0"/>
              <w:rPr>
                <w:sz w:val="14"/>
                <w:szCs w:val="14"/>
                <w:color w:val="auto"/>
              </w:rPr>
            </w:pPr>
          </w:p>
        </w:tc>
        <w:tc>
          <w:tcPr>
            <w:tcW w:w="1200" w:type="dxa"/>
            <w:vAlign w:val="bottom"/>
            <w:gridSpan w:val="3"/>
          </w:tcPr>
          <w:p>
            <w:pPr>
              <w:spacing w:after="0"/>
              <w:rPr>
                <w:sz w:val="20"/>
                <w:szCs w:val="20"/>
                <w:color w:val="auto"/>
              </w:rPr>
            </w:pPr>
            <w:r>
              <w:rPr>
                <w:rFonts w:ascii="Arial" w:cs="Arial" w:eastAsia="Arial" w:hAnsi="Arial"/>
                <w:sz w:val="14"/>
                <w:szCs w:val="14"/>
                <w:b w:val="1"/>
                <w:bCs w:val="1"/>
                <w:color w:val="auto"/>
              </w:rPr>
              <w:t>September 30,</w:t>
            </w:r>
          </w:p>
        </w:tc>
        <w:tc>
          <w:tcPr>
            <w:tcW w:w="740" w:type="dxa"/>
            <w:vAlign w:val="bottom"/>
          </w:tcPr>
          <w:p>
            <w:pPr>
              <w:jc w:val="center"/>
              <w:spacing w:after="0"/>
              <w:rPr>
                <w:sz w:val="20"/>
                <w:szCs w:val="20"/>
                <w:color w:val="auto"/>
              </w:rPr>
            </w:pPr>
            <w:r>
              <w:rPr>
                <w:rFonts w:ascii="Arial" w:cs="Arial" w:eastAsia="Arial" w:hAnsi="Arial"/>
                <w:sz w:val="14"/>
                <w:szCs w:val="14"/>
                <w:b w:val="1"/>
                <w:bCs w:val="1"/>
                <w:color w:val="auto"/>
                <w:w w:val="83"/>
              </w:rPr>
              <w:t>net sales and</w:t>
            </w:r>
          </w:p>
        </w:tc>
        <w:tc>
          <w:tcPr>
            <w:tcW w:w="400" w:type="dxa"/>
            <w:vAlign w:val="bottom"/>
          </w:tcPr>
          <w:p>
            <w:pPr>
              <w:spacing w:after="0"/>
              <w:rPr>
                <w:sz w:val="14"/>
                <w:szCs w:val="14"/>
                <w:color w:val="auto"/>
              </w:rPr>
            </w:pPr>
          </w:p>
        </w:tc>
        <w:tc>
          <w:tcPr>
            <w:tcW w:w="1200" w:type="dxa"/>
            <w:vAlign w:val="bottom"/>
            <w:gridSpan w:val="3"/>
          </w:tcPr>
          <w:p>
            <w:pPr>
              <w:jc w:val="center"/>
              <w:ind w:right="380"/>
              <w:spacing w:after="0"/>
              <w:rPr>
                <w:sz w:val="20"/>
                <w:szCs w:val="20"/>
                <w:color w:val="auto"/>
              </w:rPr>
            </w:pPr>
            <w:r>
              <w:rPr>
                <w:rFonts w:ascii="Arial" w:cs="Arial" w:eastAsia="Arial" w:hAnsi="Arial"/>
                <w:sz w:val="14"/>
                <w:szCs w:val="14"/>
                <w:b w:val="1"/>
                <w:bCs w:val="1"/>
                <w:color w:val="auto"/>
                <w:w w:val="85"/>
              </w:rPr>
              <w:t>September 30,</w:t>
            </w:r>
          </w:p>
        </w:tc>
        <w:tc>
          <w:tcPr>
            <w:tcW w:w="94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81"/>
              </w:rPr>
              <w:t>net sales and</w:t>
            </w:r>
          </w:p>
        </w:tc>
        <w:tc>
          <w:tcPr>
            <w:tcW w:w="20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gridSpan w:val="2"/>
          </w:tcPr>
          <w:p>
            <w:pPr>
              <w:jc w:val="center"/>
              <w:ind w:left="429"/>
              <w:spacing w:after="0"/>
              <w:rPr>
                <w:sz w:val="20"/>
                <w:szCs w:val="20"/>
                <w:color w:val="auto"/>
              </w:rPr>
            </w:pPr>
            <w:r>
              <w:rPr>
                <w:rFonts w:ascii="Arial" w:cs="Arial" w:eastAsia="Arial" w:hAnsi="Arial"/>
                <w:sz w:val="14"/>
                <w:szCs w:val="14"/>
                <w:b w:val="1"/>
                <w:bCs w:val="1"/>
                <w:color w:val="auto"/>
                <w:w w:val="85"/>
              </w:rPr>
              <w:t>Change</w:t>
            </w:r>
          </w:p>
        </w:tc>
        <w:tc>
          <w:tcPr>
            <w:tcW w:w="6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42"/>
        </w:trPr>
        <w:tc>
          <w:tcPr>
            <w:tcW w:w="490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jc w:val="right"/>
              <w:ind w:right="202"/>
              <w:spacing w:after="0" w:line="142" w:lineRule="exact"/>
              <w:rPr>
                <w:sz w:val="20"/>
                <w:szCs w:val="20"/>
                <w:color w:val="auto"/>
              </w:rPr>
            </w:pPr>
            <w:r>
              <w:rPr>
                <w:rFonts w:ascii="Arial" w:cs="Arial" w:eastAsia="Arial" w:hAnsi="Arial"/>
                <w:sz w:val="14"/>
                <w:szCs w:val="14"/>
                <w:b w:val="1"/>
                <w:bCs w:val="1"/>
                <w:color w:val="auto"/>
              </w:rPr>
              <w:t>2010</w:t>
            </w:r>
          </w:p>
        </w:tc>
        <w:tc>
          <w:tcPr>
            <w:tcW w:w="380" w:type="dxa"/>
            <w:vAlign w:val="bottom"/>
          </w:tcPr>
          <w:p>
            <w:pPr>
              <w:spacing w:after="0"/>
              <w:rPr>
                <w:sz w:val="12"/>
                <w:szCs w:val="12"/>
                <w:color w:val="auto"/>
              </w:rPr>
            </w:pPr>
          </w:p>
        </w:tc>
        <w:tc>
          <w:tcPr>
            <w:tcW w:w="740" w:type="dxa"/>
            <w:vAlign w:val="bottom"/>
            <w:tcBorders>
              <w:bottom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85"/>
              </w:rPr>
              <w:t>revenue</w:t>
            </w:r>
          </w:p>
        </w:tc>
        <w:tc>
          <w:tcPr>
            <w:tcW w:w="40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jc w:val="center"/>
              <w:ind w:right="42"/>
              <w:spacing w:after="0" w:line="142" w:lineRule="exact"/>
              <w:rPr>
                <w:sz w:val="20"/>
                <w:szCs w:val="20"/>
                <w:color w:val="auto"/>
              </w:rPr>
            </w:pPr>
            <w:r>
              <w:rPr>
                <w:rFonts w:ascii="Arial" w:cs="Arial" w:eastAsia="Arial" w:hAnsi="Arial"/>
                <w:sz w:val="14"/>
                <w:szCs w:val="14"/>
                <w:b w:val="1"/>
                <w:bCs w:val="1"/>
                <w:color w:val="auto"/>
                <w:w w:val="83"/>
              </w:rPr>
              <w:t>2009</w:t>
            </w:r>
          </w:p>
        </w:tc>
        <w:tc>
          <w:tcPr>
            <w:tcW w:w="380" w:type="dxa"/>
            <w:vAlign w:val="bottom"/>
          </w:tcPr>
          <w:p>
            <w:pPr>
              <w:spacing w:after="0"/>
              <w:rPr>
                <w:sz w:val="12"/>
                <w:szCs w:val="12"/>
                <w:color w:val="auto"/>
              </w:rPr>
            </w:pPr>
          </w:p>
        </w:tc>
        <w:tc>
          <w:tcPr>
            <w:tcW w:w="760" w:type="dxa"/>
            <w:vAlign w:val="bottom"/>
            <w:tcBorders>
              <w:bottom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81"/>
              </w:rPr>
              <w:t>revenue</w:t>
            </w:r>
          </w:p>
        </w:tc>
        <w:tc>
          <w:tcPr>
            <w:tcW w:w="1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jc w:val="right"/>
              <w:ind w:right="69"/>
              <w:spacing w:after="0" w:line="142" w:lineRule="exact"/>
              <w:rPr>
                <w:sz w:val="20"/>
                <w:szCs w:val="20"/>
                <w:color w:val="auto"/>
              </w:rPr>
            </w:pPr>
            <w:r>
              <w:rPr>
                <w:rFonts w:ascii="Arial" w:cs="Arial" w:eastAsia="Arial" w:hAnsi="Arial"/>
                <w:sz w:val="14"/>
                <w:szCs w:val="14"/>
                <w:b w:val="1"/>
                <w:bCs w:val="1"/>
                <w:color w:val="auto"/>
                <w:w w:val="86"/>
              </w:rPr>
              <w:t>Amount</w:t>
            </w:r>
          </w:p>
        </w:tc>
        <w:tc>
          <w:tcPr>
            <w:tcW w:w="400" w:type="dxa"/>
            <w:vAlign w:val="bottom"/>
          </w:tcPr>
          <w:p>
            <w:pPr>
              <w:spacing w:after="0"/>
              <w:rPr>
                <w:sz w:val="12"/>
                <w:szCs w:val="12"/>
                <w:color w:val="auto"/>
              </w:rPr>
            </w:pPr>
          </w:p>
        </w:tc>
        <w:tc>
          <w:tcPr>
            <w:tcW w:w="600" w:type="dxa"/>
            <w:vAlign w:val="bottom"/>
            <w:tcBorders>
              <w:bottom w:val="single" w:sz="8" w:color="auto"/>
            </w:tcBorders>
          </w:tcPr>
          <w:p>
            <w:pPr>
              <w:jc w:val="right"/>
              <w:ind w:right="159"/>
              <w:spacing w:after="0" w:line="142" w:lineRule="exact"/>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12"/>
                <w:szCs w:val="12"/>
                <w:color w:val="auto"/>
              </w:rPr>
            </w:pPr>
          </w:p>
        </w:tc>
      </w:tr>
      <w:tr>
        <w:trPr>
          <w:trHeight w:val="210"/>
        </w:trPr>
        <w:tc>
          <w:tcPr>
            <w:tcW w:w="4900" w:type="dxa"/>
            <w:vAlign w:val="bottom"/>
            <w:shd w:val="clear" w:color="auto" w:fill="CCEEFF"/>
          </w:tcPr>
          <w:p>
            <w:pPr>
              <w:spacing w:after="0"/>
              <w:rPr>
                <w:sz w:val="20"/>
                <w:szCs w:val="20"/>
                <w:color w:val="auto"/>
              </w:rPr>
            </w:pPr>
            <w:r>
              <w:rPr>
                <w:rFonts w:ascii="Arial" w:cs="Arial" w:eastAsia="Arial" w:hAnsi="Arial"/>
                <w:sz w:val="18"/>
                <w:szCs w:val="18"/>
                <w:color w:val="auto"/>
              </w:rPr>
              <w:t>Cost of sales</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29,468</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86.5%</w:t>
            </w: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23,554</w:t>
            </w:r>
          </w:p>
        </w:tc>
        <w:tc>
          <w:tcPr>
            <w:tcW w:w="9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93.7%</w:t>
            </w:r>
          </w:p>
        </w:tc>
        <w:tc>
          <w:tcPr>
            <w:tcW w:w="3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5,914</w:t>
            </w:r>
          </w:p>
        </w:tc>
        <w:tc>
          <w:tcPr>
            <w:tcW w:w="4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25.1%</w:t>
            </w:r>
          </w:p>
        </w:tc>
        <w:tc>
          <w:tcPr>
            <w:tcW w:w="100" w:type="dxa"/>
            <w:vAlign w:val="bottom"/>
            <w:shd w:val="clear" w:color="auto" w:fill="CCEEFF"/>
          </w:tcPr>
          <w:p>
            <w:pPr>
              <w:spacing w:after="0"/>
              <w:rPr>
                <w:sz w:val="18"/>
                <w:szCs w:val="18"/>
                <w:color w:val="auto"/>
              </w:rPr>
            </w:pPr>
          </w:p>
        </w:tc>
      </w:tr>
      <w:tr>
        <w:trPr>
          <w:trHeight w:val="222"/>
        </w:trPr>
        <w:tc>
          <w:tcPr>
            <w:tcW w:w="4900" w:type="dxa"/>
            <w:vAlign w:val="bottom"/>
          </w:tcPr>
          <w:p>
            <w:pPr>
              <w:spacing w:after="0"/>
              <w:rPr>
                <w:sz w:val="20"/>
                <w:szCs w:val="20"/>
                <w:color w:val="auto"/>
              </w:rPr>
            </w:pPr>
            <w:r>
              <w:rPr>
                <w:rFonts w:ascii="Arial" w:cs="Arial" w:eastAsia="Arial" w:hAnsi="Arial"/>
                <w:sz w:val="18"/>
                <w:szCs w:val="18"/>
                <w:color w:val="auto"/>
              </w:rPr>
              <w:t>Gross margin</w:t>
            </w: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380"/>
              <w:spacing w:after="0"/>
              <w:rPr>
                <w:sz w:val="20"/>
                <w:szCs w:val="20"/>
                <w:color w:val="auto"/>
              </w:rPr>
            </w:pPr>
            <w:r>
              <w:rPr>
                <w:rFonts w:ascii="Arial" w:cs="Arial" w:eastAsia="Arial" w:hAnsi="Arial"/>
                <w:sz w:val="18"/>
                <w:szCs w:val="18"/>
                <w:color w:val="auto"/>
              </w:rPr>
              <w:t>4,592</w:t>
            </w:r>
          </w:p>
        </w:tc>
        <w:tc>
          <w:tcPr>
            <w:tcW w:w="740" w:type="dxa"/>
            <w:vAlign w:val="bottom"/>
          </w:tcPr>
          <w:p>
            <w:pPr>
              <w:jc w:val="right"/>
              <w:spacing w:after="0"/>
              <w:rPr>
                <w:sz w:val="20"/>
                <w:szCs w:val="20"/>
                <w:color w:val="auto"/>
              </w:rPr>
            </w:pPr>
            <w:r>
              <w:rPr>
                <w:rFonts w:ascii="Arial" w:cs="Arial" w:eastAsia="Arial" w:hAnsi="Arial"/>
                <w:sz w:val="18"/>
                <w:szCs w:val="18"/>
                <w:color w:val="auto"/>
              </w:rPr>
              <w:t>13.5%</w:t>
            </w:r>
          </w:p>
        </w:tc>
        <w:tc>
          <w:tcPr>
            <w:tcW w:w="5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380"/>
              <w:spacing w:after="0"/>
              <w:rPr>
                <w:sz w:val="20"/>
                <w:szCs w:val="20"/>
                <w:color w:val="auto"/>
              </w:rPr>
            </w:pPr>
            <w:r>
              <w:rPr>
                <w:rFonts w:ascii="Arial" w:cs="Arial" w:eastAsia="Arial" w:hAnsi="Arial"/>
                <w:sz w:val="18"/>
                <w:szCs w:val="18"/>
                <w:color w:val="auto"/>
              </w:rPr>
              <w:t>1,593</w:t>
            </w:r>
          </w:p>
        </w:tc>
        <w:tc>
          <w:tcPr>
            <w:tcW w:w="940" w:type="dxa"/>
            <w:vAlign w:val="bottom"/>
            <w:gridSpan w:val="2"/>
          </w:tcPr>
          <w:p>
            <w:pPr>
              <w:jc w:val="right"/>
              <w:ind w:right="180"/>
              <w:spacing w:after="0"/>
              <w:rPr>
                <w:sz w:val="20"/>
                <w:szCs w:val="20"/>
                <w:color w:val="auto"/>
              </w:rPr>
            </w:pPr>
            <w:r>
              <w:rPr>
                <w:rFonts w:ascii="Arial" w:cs="Arial" w:eastAsia="Arial" w:hAnsi="Arial"/>
                <w:sz w:val="18"/>
                <w:szCs w:val="18"/>
                <w:color w:val="auto"/>
              </w:rPr>
              <w:t>6.3%</w:t>
            </w:r>
          </w:p>
        </w:tc>
        <w:tc>
          <w:tcPr>
            <w:tcW w:w="3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2,999</w:t>
            </w:r>
          </w:p>
        </w:tc>
        <w:tc>
          <w:tcPr>
            <w:tcW w:w="40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w w:val="94"/>
              </w:rPr>
              <w:t>188.3%</w:t>
            </w:r>
          </w:p>
        </w:tc>
        <w:tc>
          <w:tcPr>
            <w:tcW w:w="100" w:type="dxa"/>
            <w:vAlign w:val="bottom"/>
          </w:tcPr>
          <w:p>
            <w:pPr>
              <w:spacing w:after="0"/>
              <w:rPr>
                <w:sz w:val="19"/>
                <w:szCs w:val="19"/>
                <w:color w:val="auto"/>
              </w:rPr>
            </w:pPr>
          </w:p>
        </w:tc>
      </w:tr>
    </w:tbl>
    <w:p>
      <w:pPr>
        <w:spacing w:after="0" w:line="147" w:lineRule="exact"/>
        <w:rPr>
          <w:sz w:val="20"/>
          <w:szCs w:val="20"/>
          <w:color w:val="auto"/>
        </w:rPr>
      </w:pPr>
    </w:p>
    <w:p>
      <w:pPr>
        <w:ind w:right="80" w:firstLine="228"/>
        <w:spacing w:after="0" w:line="288" w:lineRule="auto"/>
        <w:rPr>
          <w:sz w:val="20"/>
          <w:szCs w:val="20"/>
          <w:color w:val="auto"/>
        </w:rPr>
      </w:pPr>
      <w:r>
        <w:rPr>
          <w:rFonts w:ascii="Arial" w:cs="Arial" w:eastAsia="Arial" w:hAnsi="Arial"/>
          <w:sz w:val="16"/>
          <w:szCs w:val="16"/>
          <w:color w:val="auto"/>
        </w:rPr>
        <w:t>In the three months ended September 30, 2010 Cost of sales increased compared to the period July 10, 2009 through September 30, 2009 by $5.9 billion (or 25.1%), primarily due to: (1) higher volumes of $3.6 billion due to an improving economy and successful recent vehicle launches, primarily in GMNA of $2.8 billion; (2) higher material costs of $0.9 billion associated with the production of trucks, large cars and crossover vehicles which have higher cost content across all regions; (3) the net reduction of foreign currency transaction gains of $0.3 billion; and (4) increased restructuring charges of $0.1 billion in GME, primarily related to separation programs announced in Belgium, Spain, Germany and the United Kingdom. This increase also reflected the benefit of lower Cost of sales in 2009 in GMNA and GME of $0.7 billion and $0.5 billion due to the sell through of inventory acquired from Old GM at July 10, 2009. As required under U.S. GAAP, the acquired inventory was recorded at fair value as of the acquisition date using a market participant approach, which for work in process and finished goods inventory considered the estimated selling price of the inventory less the costs a market participant would incur to complete, sell and dispose of the inventory, which may be different than our costs, and the profit margin required for its completion and disposal effort.</w:t>
      </w:r>
    </w:p>
    <w:p>
      <w:pPr>
        <w:spacing w:after="0" w:line="120" w:lineRule="exact"/>
        <w:rPr>
          <w:sz w:val="20"/>
          <w:szCs w:val="20"/>
          <w:color w:val="auto"/>
        </w:rPr>
      </w:pPr>
    </w:p>
    <w:p>
      <w:pPr>
        <w:ind w:right="100" w:firstLine="228"/>
        <w:spacing w:after="0" w:line="259" w:lineRule="auto"/>
        <w:rPr>
          <w:sz w:val="20"/>
          <w:szCs w:val="20"/>
          <w:color w:val="auto"/>
        </w:rPr>
      </w:pPr>
      <w:r>
        <w:rPr>
          <w:rFonts w:ascii="Arial" w:cs="Arial" w:eastAsia="Arial" w:hAnsi="Arial"/>
          <w:sz w:val="18"/>
          <w:szCs w:val="18"/>
          <w:color w:val="auto"/>
        </w:rPr>
        <w:t>These increases were partially offset by: (1) a net reduction of $0.1 billion in GMNA due to 2009 hourly and salary separation program charges and favorable adjustments related to the Supplemental Unemployment Benefit (SUB) and Transition Support Program (TSP); and (2) the net reduction of foreign currency translation losses of $0.6 billion.</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52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300" w:type="dxa"/>
            <w:vAlign w:val="bottom"/>
            <w:tcBorders>
              <w:bottom w:val="single" w:sz="8" w:color="auto"/>
            </w:tcBorders>
            <w:gridSpan w:val="2"/>
          </w:tcPr>
          <w:p>
            <w:pPr>
              <w:ind w:left="700"/>
              <w:spacing w:after="0"/>
              <w:rPr>
                <w:sz w:val="20"/>
                <w:szCs w:val="20"/>
                <w:color w:val="auto"/>
              </w:rPr>
            </w:pPr>
            <w:r>
              <w:rPr>
                <w:rFonts w:ascii="Arial" w:cs="Arial" w:eastAsia="Arial" w:hAnsi="Arial"/>
                <w:sz w:val="14"/>
                <w:szCs w:val="14"/>
                <w:b w:val="1"/>
                <w:bCs w:val="1"/>
                <w:color w:val="auto"/>
                <w:w w:val="81"/>
              </w:rPr>
              <w:t>Successor</w:t>
            </w:r>
          </w:p>
        </w:tc>
        <w:tc>
          <w:tcPr>
            <w:tcW w:w="14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620" w:type="dxa"/>
            <w:vAlign w:val="bottom"/>
            <w:tcBorders>
              <w:right w:val="single" w:sz="8" w:color="auto"/>
            </w:tcBorders>
          </w:tcPr>
          <w:p>
            <w:pPr>
              <w:spacing w:after="0"/>
              <w:rPr>
                <w:sz w:val="14"/>
                <w:szCs w:val="14"/>
                <w:color w:val="auto"/>
              </w:rPr>
            </w:pPr>
          </w:p>
        </w:tc>
        <w:tc>
          <w:tcPr>
            <w:tcW w:w="3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w w:val="80"/>
              </w:rPr>
              <w:t>Predecessor</w:t>
            </w:r>
          </w:p>
        </w:tc>
        <w:tc>
          <w:tcPr>
            <w:tcW w:w="52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260" w:type="dxa"/>
            <w:vAlign w:val="bottom"/>
          </w:tcPr>
          <w:p>
            <w:pPr>
              <w:spacing w:after="0"/>
              <w:rPr>
                <w:sz w:val="14"/>
                <w:szCs w:val="14"/>
                <w:color w:val="auto"/>
              </w:rPr>
            </w:pPr>
          </w:p>
        </w:tc>
      </w:tr>
      <w:tr>
        <w:trPr>
          <w:trHeight w:val="129"/>
        </w:trPr>
        <w:tc>
          <w:tcPr>
            <w:tcW w:w="2520" w:type="dxa"/>
            <w:vAlign w:val="bottom"/>
          </w:tcPr>
          <w:p>
            <w:pPr>
              <w:spacing w:after="0"/>
              <w:rPr>
                <w:sz w:val="11"/>
                <w:szCs w:val="11"/>
                <w:color w:val="auto"/>
              </w:rPr>
            </w:pPr>
          </w:p>
        </w:tc>
        <w:tc>
          <w:tcPr>
            <w:tcW w:w="15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jc w:val="center"/>
              <w:spacing w:after="0" w:line="129" w:lineRule="exact"/>
              <w:rPr>
                <w:sz w:val="20"/>
                <w:szCs w:val="20"/>
                <w:color w:val="auto"/>
              </w:rPr>
            </w:pPr>
            <w:r>
              <w:rPr>
                <w:rFonts w:ascii="Arial" w:cs="Arial" w:eastAsia="Arial" w:hAnsi="Arial"/>
                <w:sz w:val="14"/>
                <w:szCs w:val="14"/>
                <w:b w:val="1"/>
                <w:bCs w:val="1"/>
                <w:color w:val="auto"/>
                <w:w w:val="84"/>
              </w:rPr>
              <w:t>Percentage</w:t>
            </w:r>
          </w:p>
        </w:tc>
        <w:tc>
          <w:tcPr>
            <w:tcW w:w="620" w:type="dxa"/>
            <w:vAlign w:val="bottom"/>
            <w:tcBorders>
              <w:right w:val="single" w:sz="8" w:color="auto"/>
            </w:tcBorders>
          </w:tcPr>
          <w:p>
            <w:pPr>
              <w:spacing w:after="0"/>
              <w:rPr>
                <w:sz w:val="11"/>
                <w:szCs w:val="11"/>
                <w:color w:val="auto"/>
              </w:rPr>
            </w:pPr>
          </w:p>
        </w:tc>
        <w:tc>
          <w:tcPr>
            <w:tcW w:w="320" w:type="dxa"/>
            <w:vAlign w:val="bottom"/>
          </w:tcPr>
          <w:p>
            <w:pPr>
              <w:spacing w:after="0"/>
              <w:rPr>
                <w:sz w:val="11"/>
                <w:szCs w:val="11"/>
                <w:color w:val="auto"/>
              </w:rPr>
            </w:pPr>
          </w:p>
        </w:tc>
        <w:tc>
          <w:tcPr>
            <w:tcW w:w="960" w:type="dxa"/>
            <w:vAlign w:val="bottom"/>
            <w:gridSpan w:val="3"/>
          </w:tcPr>
          <w:p>
            <w:pPr>
              <w:ind w:left="60"/>
              <w:spacing w:after="0" w:line="129" w:lineRule="exact"/>
              <w:rPr>
                <w:sz w:val="20"/>
                <w:szCs w:val="20"/>
                <w:color w:val="auto"/>
              </w:rPr>
            </w:pPr>
            <w:r>
              <w:rPr>
                <w:rFonts w:ascii="Arial" w:cs="Arial" w:eastAsia="Arial" w:hAnsi="Arial"/>
                <w:sz w:val="14"/>
                <w:szCs w:val="14"/>
                <w:b w:val="1"/>
                <w:bCs w:val="1"/>
                <w:color w:val="auto"/>
              </w:rPr>
              <w:t>July 1,</w:t>
            </w:r>
          </w:p>
        </w:tc>
        <w:tc>
          <w:tcPr>
            <w:tcW w:w="1220" w:type="dxa"/>
            <w:vAlign w:val="bottom"/>
            <w:gridSpan w:val="2"/>
          </w:tcPr>
          <w:p>
            <w:pPr>
              <w:jc w:val="center"/>
              <w:ind w:right="512"/>
              <w:spacing w:after="0" w:line="129" w:lineRule="exact"/>
              <w:rPr>
                <w:sz w:val="20"/>
                <w:szCs w:val="20"/>
                <w:color w:val="auto"/>
              </w:rPr>
            </w:pPr>
            <w:r>
              <w:rPr>
                <w:rFonts w:ascii="Arial" w:cs="Arial" w:eastAsia="Arial" w:hAnsi="Arial"/>
                <w:sz w:val="14"/>
                <w:szCs w:val="14"/>
                <w:b w:val="1"/>
                <w:bCs w:val="1"/>
                <w:color w:val="auto"/>
                <w:w w:val="84"/>
              </w:rPr>
              <w:t>Percentage</w:t>
            </w:r>
          </w:p>
        </w:tc>
        <w:tc>
          <w:tcPr>
            <w:tcW w:w="1100" w:type="dxa"/>
            <w:vAlign w:val="bottom"/>
            <w:gridSpan w:val="3"/>
          </w:tcPr>
          <w:p>
            <w:pPr>
              <w:jc w:val="center"/>
              <w:ind w:right="480"/>
              <w:spacing w:after="0" w:line="129" w:lineRule="exact"/>
              <w:rPr>
                <w:sz w:val="20"/>
                <w:szCs w:val="20"/>
                <w:color w:val="auto"/>
              </w:rPr>
            </w:pPr>
            <w:r>
              <w:rPr>
                <w:rFonts w:ascii="Arial" w:cs="Arial" w:eastAsia="Arial" w:hAnsi="Arial"/>
                <w:sz w:val="14"/>
                <w:szCs w:val="14"/>
                <w:b w:val="1"/>
                <w:bCs w:val="1"/>
                <w:color w:val="auto"/>
                <w:w w:val="89"/>
              </w:rPr>
              <w:t>January 1,</w:t>
            </w:r>
          </w:p>
        </w:tc>
        <w:tc>
          <w:tcPr>
            <w:tcW w:w="640" w:type="dxa"/>
            <w:vAlign w:val="bottom"/>
          </w:tcPr>
          <w:p>
            <w:pPr>
              <w:jc w:val="center"/>
              <w:spacing w:after="0" w:line="129" w:lineRule="exact"/>
              <w:rPr>
                <w:sz w:val="20"/>
                <w:szCs w:val="20"/>
                <w:color w:val="auto"/>
              </w:rPr>
            </w:pPr>
            <w:r>
              <w:rPr>
                <w:rFonts w:ascii="Arial" w:cs="Arial" w:eastAsia="Arial" w:hAnsi="Arial"/>
                <w:sz w:val="14"/>
                <w:szCs w:val="14"/>
                <w:b w:val="1"/>
                <w:bCs w:val="1"/>
                <w:color w:val="auto"/>
                <w:w w:val="84"/>
              </w:rPr>
              <w:t>Percentage</w:t>
            </w:r>
          </w:p>
        </w:tc>
        <w:tc>
          <w:tcPr>
            <w:tcW w:w="260" w:type="dxa"/>
            <w:vAlign w:val="bottom"/>
          </w:tcPr>
          <w:p>
            <w:pPr>
              <w:spacing w:after="0"/>
              <w:rPr>
                <w:sz w:val="11"/>
                <w:szCs w:val="11"/>
                <w:color w:val="auto"/>
              </w:rPr>
            </w:pPr>
          </w:p>
        </w:tc>
      </w:tr>
      <w:tr>
        <w:trPr>
          <w:trHeight w:val="149"/>
        </w:trPr>
        <w:tc>
          <w:tcPr>
            <w:tcW w:w="2520" w:type="dxa"/>
            <w:vAlign w:val="bottom"/>
          </w:tcPr>
          <w:p>
            <w:pPr>
              <w:spacing w:after="0"/>
              <w:rPr>
                <w:sz w:val="12"/>
                <w:szCs w:val="12"/>
                <w:color w:val="auto"/>
              </w:rPr>
            </w:pPr>
          </w:p>
        </w:tc>
        <w:tc>
          <w:tcPr>
            <w:tcW w:w="15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60" w:type="dxa"/>
            <w:vAlign w:val="bottom"/>
            <w:tcBorders>
              <w:right w:val="single" w:sz="8" w:color="auto"/>
            </w:tcBorders>
            <w:gridSpan w:val="2"/>
          </w:tcPr>
          <w:p>
            <w:pPr>
              <w:jc w:val="center"/>
              <w:ind w:right="620"/>
              <w:spacing w:after="0" w:line="149" w:lineRule="exact"/>
              <w:rPr>
                <w:sz w:val="20"/>
                <w:szCs w:val="20"/>
                <w:color w:val="auto"/>
              </w:rPr>
            </w:pPr>
            <w:r>
              <w:rPr>
                <w:rFonts w:ascii="Arial" w:cs="Arial" w:eastAsia="Arial" w:hAnsi="Arial"/>
                <w:sz w:val="14"/>
                <w:szCs w:val="14"/>
                <w:b w:val="1"/>
                <w:bCs w:val="1"/>
                <w:color w:val="auto"/>
                <w:w w:val="86"/>
              </w:rPr>
              <w:t>of Total</w:t>
            </w:r>
          </w:p>
        </w:tc>
        <w:tc>
          <w:tcPr>
            <w:tcW w:w="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20" w:type="dxa"/>
            <w:vAlign w:val="bottom"/>
          </w:tcPr>
          <w:p>
            <w:pPr>
              <w:ind w:left="20"/>
              <w:spacing w:after="0" w:line="149" w:lineRule="exact"/>
              <w:rPr>
                <w:sz w:val="20"/>
                <w:szCs w:val="20"/>
                <w:color w:val="auto"/>
              </w:rPr>
            </w:pPr>
            <w:r>
              <w:rPr>
                <w:rFonts w:ascii="Arial" w:cs="Arial" w:eastAsia="Arial" w:hAnsi="Arial"/>
                <w:sz w:val="14"/>
                <w:szCs w:val="14"/>
                <w:b w:val="1"/>
                <w:bCs w:val="1"/>
                <w:color w:val="auto"/>
              </w:rPr>
              <w:t>2009</w:t>
            </w:r>
          </w:p>
        </w:tc>
        <w:tc>
          <w:tcPr>
            <w:tcW w:w="440" w:type="dxa"/>
            <w:vAlign w:val="bottom"/>
          </w:tcPr>
          <w:p>
            <w:pPr>
              <w:spacing w:after="0"/>
              <w:rPr>
                <w:sz w:val="12"/>
                <w:szCs w:val="12"/>
                <w:color w:val="auto"/>
              </w:rPr>
            </w:pPr>
          </w:p>
        </w:tc>
        <w:tc>
          <w:tcPr>
            <w:tcW w:w="1220" w:type="dxa"/>
            <w:vAlign w:val="bottom"/>
            <w:gridSpan w:val="2"/>
          </w:tcPr>
          <w:p>
            <w:pPr>
              <w:jc w:val="center"/>
              <w:ind w:right="512"/>
              <w:spacing w:after="0" w:line="149" w:lineRule="exact"/>
              <w:rPr>
                <w:sz w:val="20"/>
                <w:szCs w:val="20"/>
                <w:color w:val="auto"/>
              </w:rPr>
            </w:pPr>
            <w:r>
              <w:rPr>
                <w:rFonts w:ascii="Arial" w:cs="Arial" w:eastAsia="Arial" w:hAnsi="Arial"/>
                <w:sz w:val="14"/>
                <w:szCs w:val="14"/>
                <w:b w:val="1"/>
                <w:bCs w:val="1"/>
                <w:color w:val="auto"/>
                <w:w w:val="86"/>
              </w:rPr>
              <w:t>of Total</w:t>
            </w:r>
          </w:p>
        </w:tc>
        <w:tc>
          <w:tcPr>
            <w:tcW w:w="140" w:type="dxa"/>
            <w:vAlign w:val="bottom"/>
          </w:tcPr>
          <w:p>
            <w:pPr>
              <w:spacing w:after="0"/>
              <w:rPr>
                <w:sz w:val="12"/>
                <w:szCs w:val="12"/>
                <w:color w:val="auto"/>
              </w:rPr>
            </w:pPr>
          </w:p>
        </w:tc>
        <w:tc>
          <w:tcPr>
            <w:tcW w:w="520" w:type="dxa"/>
            <w:vAlign w:val="bottom"/>
          </w:tcPr>
          <w:p>
            <w:pPr>
              <w:jc w:val="center"/>
              <w:ind w:right="64"/>
              <w:spacing w:after="0" w:line="149" w:lineRule="exact"/>
              <w:rPr>
                <w:sz w:val="20"/>
                <w:szCs w:val="20"/>
                <w:color w:val="auto"/>
              </w:rPr>
            </w:pPr>
            <w:r>
              <w:rPr>
                <w:rFonts w:ascii="Arial" w:cs="Arial" w:eastAsia="Arial" w:hAnsi="Arial"/>
                <w:sz w:val="14"/>
                <w:szCs w:val="14"/>
                <w:b w:val="1"/>
                <w:bCs w:val="1"/>
                <w:color w:val="auto"/>
                <w:w w:val="83"/>
              </w:rPr>
              <w:t>2009</w:t>
            </w:r>
          </w:p>
        </w:tc>
        <w:tc>
          <w:tcPr>
            <w:tcW w:w="440" w:type="dxa"/>
            <w:vAlign w:val="bottom"/>
          </w:tcPr>
          <w:p>
            <w:pPr>
              <w:spacing w:after="0"/>
              <w:rPr>
                <w:sz w:val="12"/>
                <w:szCs w:val="12"/>
                <w:color w:val="auto"/>
              </w:rPr>
            </w:pPr>
          </w:p>
        </w:tc>
        <w:tc>
          <w:tcPr>
            <w:tcW w:w="90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86"/>
              </w:rPr>
              <w:t>of Total</w:t>
            </w:r>
          </w:p>
        </w:tc>
      </w:tr>
      <w:tr>
        <w:trPr>
          <w:trHeight w:val="149"/>
        </w:trPr>
        <w:tc>
          <w:tcPr>
            <w:tcW w:w="2520" w:type="dxa"/>
            <w:vAlign w:val="bottom"/>
          </w:tcPr>
          <w:p>
            <w:pPr>
              <w:spacing w:after="0"/>
              <w:rPr>
                <w:sz w:val="12"/>
                <w:szCs w:val="12"/>
                <w:color w:val="auto"/>
              </w:rPr>
            </w:pPr>
          </w:p>
        </w:tc>
        <w:tc>
          <w:tcPr>
            <w:tcW w:w="15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300" w:type="dxa"/>
            <w:vAlign w:val="bottom"/>
            <w:gridSpan w:val="2"/>
          </w:tcPr>
          <w:p>
            <w:pPr>
              <w:jc w:val="center"/>
              <w:ind w:right="440"/>
              <w:spacing w:after="0" w:line="149" w:lineRule="exact"/>
              <w:rPr>
                <w:sz w:val="20"/>
                <w:szCs w:val="20"/>
                <w:color w:val="auto"/>
              </w:rPr>
            </w:pPr>
            <w:r>
              <w:rPr>
                <w:rFonts w:ascii="Arial" w:cs="Arial" w:eastAsia="Arial" w:hAnsi="Arial"/>
                <w:sz w:val="14"/>
                <w:szCs w:val="14"/>
                <w:b w:val="1"/>
                <w:bCs w:val="1"/>
                <w:color w:val="auto"/>
                <w:w w:val="88"/>
              </w:rPr>
              <w:t>Nine Months</w:t>
            </w:r>
          </w:p>
        </w:tc>
        <w:tc>
          <w:tcPr>
            <w:tcW w:w="140" w:type="dxa"/>
            <w:vAlign w:val="bottom"/>
          </w:tcPr>
          <w:p>
            <w:pPr>
              <w:spacing w:after="0"/>
              <w:rPr>
                <w:sz w:val="12"/>
                <w:szCs w:val="12"/>
                <w:color w:val="auto"/>
              </w:rPr>
            </w:pPr>
          </w:p>
        </w:tc>
        <w:tc>
          <w:tcPr>
            <w:tcW w:w="1260" w:type="dxa"/>
            <w:vAlign w:val="bottom"/>
            <w:tcBorders>
              <w:right w:val="single" w:sz="8" w:color="auto"/>
            </w:tcBorders>
            <w:gridSpan w:val="2"/>
          </w:tcPr>
          <w:p>
            <w:pPr>
              <w:jc w:val="center"/>
              <w:ind w:right="620"/>
              <w:spacing w:after="0" w:line="149" w:lineRule="exact"/>
              <w:rPr>
                <w:sz w:val="20"/>
                <w:szCs w:val="20"/>
                <w:color w:val="auto"/>
              </w:rPr>
            </w:pPr>
            <w:r>
              <w:rPr>
                <w:rFonts w:ascii="Arial" w:cs="Arial" w:eastAsia="Arial" w:hAnsi="Arial"/>
                <w:sz w:val="14"/>
                <w:szCs w:val="14"/>
                <w:b w:val="1"/>
                <w:bCs w:val="1"/>
                <w:color w:val="auto"/>
                <w:w w:val="86"/>
              </w:rPr>
              <w:t>net sales</w:t>
            </w:r>
          </w:p>
        </w:tc>
        <w:tc>
          <w:tcPr>
            <w:tcW w:w="320" w:type="dxa"/>
            <w:vAlign w:val="bottom"/>
          </w:tcPr>
          <w:p>
            <w:pPr>
              <w:spacing w:after="0"/>
              <w:rPr>
                <w:sz w:val="12"/>
                <w:szCs w:val="12"/>
                <w:color w:val="auto"/>
              </w:rPr>
            </w:pPr>
          </w:p>
        </w:tc>
        <w:tc>
          <w:tcPr>
            <w:tcW w:w="96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Through</w:t>
            </w:r>
          </w:p>
        </w:tc>
        <w:tc>
          <w:tcPr>
            <w:tcW w:w="1220" w:type="dxa"/>
            <w:vAlign w:val="bottom"/>
            <w:gridSpan w:val="2"/>
          </w:tcPr>
          <w:p>
            <w:pPr>
              <w:jc w:val="center"/>
              <w:ind w:right="512"/>
              <w:spacing w:after="0" w:line="149" w:lineRule="exact"/>
              <w:rPr>
                <w:sz w:val="20"/>
                <w:szCs w:val="20"/>
                <w:color w:val="auto"/>
              </w:rPr>
            </w:pPr>
            <w:r>
              <w:rPr>
                <w:rFonts w:ascii="Arial" w:cs="Arial" w:eastAsia="Arial" w:hAnsi="Arial"/>
                <w:sz w:val="14"/>
                <w:szCs w:val="14"/>
                <w:b w:val="1"/>
                <w:bCs w:val="1"/>
                <w:color w:val="auto"/>
                <w:w w:val="86"/>
              </w:rPr>
              <w:t>net sales</w:t>
            </w:r>
          </w:p>
        </w:tc>
        <w:tc>
          <w:tcPr>
            <w:tcW w:w="1100" w:type="dxa"/>
            <w:vAlign w:val="bottom"/>
            <w:gridSpan w:val="3"/>
          </w:tcPr>
          <w:p>
            <w:pPr>
              <w:jc w:val="center"/>
              <w:ind w:right="440"/>
              <w:spacing w:after="0" w:line="149" w:lineRule="exact"/>
              <w:rPr>
                <w:sz w:val="20"/>
                <w:szCs w:val="20"/>
                <w:color w:val="auto"/>
              </w:rPr>
            </w:pPr>
            <w:r>
              <w:rPr>
                <w:rFonts w:ascii="Arial" w:cs="Arial" w:eastAsia="Arial" w:hAnsi="Arial"/>
                <w:sz w:val="14"/>
                <w:szCs w:val="14"/>
                <w:b w:val="1"/>
                <w:bCs w:val="1"/>
                <w:color w:val="auto"/>
                <w:w w:val="87"/>
              </w:rPr>
              <w:t>Through</w:t>
            </w:r>
          </w:p>
        </w:tc>
        <w:tc>
          <w:tcPr>
            <w:tcW w:w="90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86"/>
              </w:rPr>
              <w:t>net sales</w:t>
            </w:r>
          </w:p>
        </w:tc>
      </w:tr>
      <w:tr>
        <w:trPr>
          <w:trHeight w:val="149"/>
        </w:trPr>
        <w:tc>
          <w:tcPr>
            <w:tcW w:w="2520" w:type="dxa"/>
            <w:vAlign w:val="bottom"/>
          </w:tcPr>
          <w:p>
            <w:pPr>
              <w:spacing w:after="0"/>
              <w:rPr>
                <w:sz w:val="12"/>
                <w:szCs w:val="12"/>
                <w:color w:val="auto"/>
              </w:rPr>
            </w:pPr>
          </w:p>
        </w:tc>
        <w:tc>
          <w:tcPr>
            <w:tcW w:w="15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300" w:type="dxa"/>
            <w:vAlign w:val="bottom"/>
            <w:gridSpan w:val="2"/>
          </w:tcPr>
          <w:p>
            <w:pPr>
              <w:jc w:val="center"/>
              <w:ind w:right="440"/>
              <w:spacing w:after="0" w:line="149" w:lineRule="exact"/>
              <w:rPr>
                <w:sz w:val="20"/>
                <w:szCs w:val="20"/>
                <w:color w:val="auto"/>
              </w:rPr>
            </w:pPr>
            <w:r>
              <w:rPr>
                <w:rFonts w:ascii="Arial" w:cs="Arial" w:eastAsia="Arial" w:hAnsi="Arial"/>
                <w:sz w:val="14"/>
                <w:szCs w:val="14"/>
                <w:b w:val="1"/>
                <w:bCs w:val="1"/>
                <w:color w:val="auto"/>
                <w:w w:val="88"/>
              </w:rPr>
              <w:t>Ended</w:t>
            </w:r>
          </w:p>
        </w:tc>
        <w:tc>
          <w:tcPr>
            <w:tcW w:w="140" w:type="dxa"/>
            <w:vAlign w:val="bottom"/>
          </w:tcPr>
          <w:p>
            <w:pPr>
              <w:spacing w:after="0"/>
              <w:rPr>
                <w:sz w:val="12"/>
                <w:szCs w:val="12"/>
                <w:color w:val="auto"/>
              </w:rPr>
            </w:pPr>
          </w:p>
        </w:tc>
        <w:tc>
          <w:tcPr>
            <w:tcW w:w="1260" w:type="dxa"/>
            <w:vAlign w:val="bottom"/>
            <w:tcBorders>
              <w:right w:val="single" w:sz="8" w:color="auto"/>
            </w:tcBorders>
            <w:gridSpan w:val="2"/>
          </w:tcPr>
          <w:p>
            <w:pPr>
              <w:jc w:val="center"/>
              <w:ind w:right="640"/>
              <w:spacing w:after="0" w:line="149" w:lineRule="exact"/>
              <w:rPr>
                <w:sz w:val="20"/>
                <w:szCs w:val="20"/>
                <w:color w:val="auto"/>
              </w:rPr>
            </w:pPr>
            <w:r>
              <w:rPr>
                <w:rFonts w:ascii="Arial" w:cs="Arial" w:eastAsia="Arial" w:hAnsi="Arial"/>
                <w:sz w:val="14"/>
                <w:szCs w:val="14"/>
                <w:b w:val="1"/>
                <w:bCs w:val="1"/>
                <w:color w:val="auto"/>
                <w:w w:val="88"/>
              </w:rPr>
              <w:t>and</w:t>
            </w:r>
          </w:p>
        </w:tc>
        <w:tc>
          <w:tcPr>
            <w:tcW w:w="320" w:type="dxa"/>
            <w:vAlign w:val="bottom"/>
          </w:tcPr>
          <w:p>
            <w:pPr>
              <w:spacing w:after="0"/>
              <w:rPr>
                <w:sz w:val="12"/>
                <w:szCs w:val="12"/>
                <w:color w:val="auto"/>
              </w:rPr>
            </w:pPr>
          </w:p>
        </w:tc>
        <w:tc>
          <w:tcPr>
            <w:tcW w:w="960" w:type="dxa"/>
            <w:vAlign w:val="bottom"/>
            <w:gridSpan w:val="3"/>
          </w:tcPr>
          <w:p>
            <w:pPr>
              <w:ind w:left="80"/>
              <w:spacing w:after="0" w:line="149" w:lineRule="exact"/>
              <w:rPr>
                <w:sz w:val="20"/>
                <w:szCs w:val="20"/>
                <w:color w:val="auto"/>
              </w:rPr>
            </w:pPr>
            <w:r>
              <w:rPr>
                <w:rFonts w:ascii="Arial" w:cs="Arial" w:eastAsia="Arial" w:hAnsi="Arial"/>
                <w:sz w:val="14"/>
                <w:szCs w:val="14"/>
                <w:b w:val="1"/>
                <w:bCs w:val="1"/>
                <w:color w:val="auto"/>
              </w:rPr>
              <w:t>July 9,</w:t>
            </w:r>
          </w:p>
        </w:tc>
        <w:tc>
          <w:tcPr>
            <w:tcW w:w="1220" w:type="dxa"/>
            <w:vAlign w:val="bottom"/>
            <w:gridSpan w:val="2"/>
          </w:tcPr>
          <w:p>
            <w:pPr>
              <w:jc w:val="center"/>
              <w:ind w:right="532"/>
              <w:spacing w:after="0" w:line="149" w:lineRule="exact"/>
              <w:rPr>
                <w:sz w:val="20"/>
                <w:szCs w:val="20"/>
                <w:color w:val="auto"/>
              </w:rPr>
            </w:pPr>
            <w:r>
              <w:rPr>
                <w:rFonts w:ascii="Arial" w:cs="Arial" w:eastAsia="Arial" w:hAnsi="Arial"/>
                <w:sz w:val="14"/>
                <w:szCs w:val="14"/>
                <w:b w:val="1"/>
                <w:bCs w:val="1"/>
                <w:color w:val="auto"/>
                <w:w w:val="88"/>
              </w:rPr>
              <w:t>and</w:t>
            </w:r>
          </w:p>
        </w:tc>
        <w:tc>
          <w:tcPr>
            <w:tcW w:w="140" w:type="dxa"/>
            <w:vAlign w:val="bottom"/>
          </w:tcPr>
          <w:p>
            <w:pPr>
              <w:spacing w:after="0"/>
              <w:rPr>
                <w:sz w:val="12"/>
                <w:szCs w:val="12"/>
                <w:color w:val="auto"/>
              </w:rPr>
            </w:pPr>
          </w:p>
        </w:tc>
        <w:tc>
          <w:tcPr>
            <w:tcW w:w="960" w:type="dxa"/>
            <w:vAlign w:val="bottom"/>
            <w:gridSpan w:val="2"/>
          </w:tcPr>
          <w:p>
            <w:pPr>
              <w:jc w:val="center"/>
              <w:ind w:right="580"/>
              <w:spacing w:after="0" w:line="149" w:lineRule="exact"/>
              <w:rPr>
                <w:sz w:val="20"/>
                <w:szCs w:val="20"/>
                <w:color w:val="auto"/>
              </w:rPr>
            </w:pPr>
            <w:r>
              <w:rPr>
                <w:rFonts w:ascii="Arial" w:cs="Arial" w:eastAsia="Arial" w:hAnsi="Arial"/>
                <w:sz w:val="14"/>
                <w:szCs w:val="14"/>
                <w:b w:val="1"/>
                <w:bCs w:val="1"/>
                <w:color w:val="auto"/>
                <w:w w:val="87"/>
              </w:rPr>
              <w:t>July 9,</w:t>
            </w:r>
          </w:p>
        </w:tc>
        <w:tc>
          <w:tcPr>
            <w:tcW w:w="90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80"/>
              </w:rPr>
              <w:t>and</w:t>
            </w:r>
          </w:p>
        </w:tc>
      </w:tr>
      <w:tr>
        <w:trPr>
          <w:trHeight w:val="161"/>
        </w:trPr>
        <w:tc>
          <w:tcPr>
            <w:tcW w:w="252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114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b w:val="1"/>
                <w:bCs w:val="1"/>
                <w:color w:val="auto"/>
                <w:w w:val="84"/>
              </w:rPr>
              <w:t>September 30, 2010</w:t>
            </w:r>
          </w:p>
        </w:tc>
        <w:tc>
          <w:tcPr>
            <w:tcW w:w="3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5"/>
              </w:rPr>
              <w:t>revenue</w:t>
            </w:r>
          </w:p>
        </w:tc>
        <w:tc>
          <w:tcPr>
            <w:tcW w:w="620" w:type="dxa"/>
            <w:vAlign w:val="bottom"/>
            <w:tcBorders>
              <w:right w:val="single" w:sz="8" w:color="auto"/>
            </w:tcBorders>
          </w:tcPr>
          <w:p>
            <w:pPr>
              <w:spacing w:after="0"/>
              <w:rPr>
                <w:sz w:val="14"/>
                <w:szCs w:val="14"/>
                <w:color w:val="auto"/>
              </w:rPr>
            </w:pPr>
          </w:p>
        </w:tc>
        <w:tc>
          <w:tcPr>
            <w:tcW w:w="3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2009</w:t>
            </w:r>
          </w:p>
        </w:tc>
        <w:tc>
          <w:tcPr>
            <w:tcW w:w="440" w:type="dxa"/>
            <w:vAlign w:val="bottom"/>
          </w:tcPr>
          <w:p>
            <w:pPr>
              <w:spacing w:after="0"/>
              <w:rPr>
                <w:sz w:val="14"/>
                <w:szCs w:val="14"/>
                <w:color w:val="auto"/>
              </w:rPr>
            </w:pPr>
          </w:p>
        </w:tc>
        <w:tc>
          <w:tcPr>
            <w:tcW w:w="6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5"/>
              </w:rPr>
              <w:t>revenue</w:t>
            </w:r>
          </w:p>
        </w:tc>
        <w:tc>
          <w:tcPr>
            <w:tcW w:w="58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jc w:val="center"/>
              <w:ind w:right="64"/>
              <w:spacing w:after="0"/>
              <w:rPr>
                <w:sz w:val="20"/>
                <w:szCs w:val="20"/>
                <w:color w:val="auto"/>
              </w:rPr>
            </w:pPr>
            <w:r>
              <w:rPr>
                <w:rFonts w:ascii="Arial" w:cs="Arial" w:eastAsia="Arial" w:hAnsi="Arial"/>
                <w:sz w:val="14"/>
                <w:szCs w:val="14"/>
                <w:b w:val="1"/>
                <w:bCs w:val="1"/>
                <w:color w:val="auto"/>
                <w:w w:val="83"/>
              </w:rPr>
              <w:t>2009</w:t>
            </w:r>
          </w:p>
        </w:tc>
        <w:tc>
          <w:tcPr>
            <w:tcW w:w="440" w:type="dxa"/>
            <w:vAlign w:val="bottom"/>
          </w:tcPr>
          <w:p>
            <w:pPr>
              <w:spacing w:after="0"/>
              <w:rPr>
                <w:sz w:val="14"/>
                <w:szCs w:val="14"/>
                <w:color w:val="auto"/>
              </w:rPr>
            </w:pPr>
          </w:p>
        </w:tc>
        <w:tc>
          <w:tcPr>
            <w:tcW w:w="6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1"/>
              </w:rPr>
              <w:t>revenue</w:t>
            </w:r>
          </w:p>
        </w:tc>
        <w:tc>
          <w:tcPr>
            <w:tcW w:w="260" w:type="dxa"/>
            <w:vAlign w:val="bottom"/>
          </w:tcPr>
          <w:p>
            <w:pPr>
              <w:spacing w:after="0"/>
              <w:rPr>
                <w:sz w:val="14"/>
                <w:szCs w:val="14"/>
                <w:color w:val="auto"/>
              </w:rPr>
            </w:pPr>
          </w:p>
        </w:tc>
      </w:tr>
      <w:tr>
        <w:trPr>
          <w:trHeight w:val="210"/>
        </w:trPr>
        <w:tc>
          <w:tcPr>
            <w:tcW w:w="2520" w:type="dxa"/>
            <w:vAlign w:val="bottom"/>
            <w:shd w:val="clear" w:color="auto" w:fill="CCEEFF"/>
          </w:tcPr>
          <w:p>
            <w:pPr>
              <w:spacing w:after="0"/>
              <w:rPr>
                <w:sz w:val="20"/>
                <w:szCs w:val="20"/>
                <w:color w:val="auto"/>
              </w:rPr>
            </w:pPr>
            <w:r>
              <w:rPr>
                <w:rFonts w:ascii="Arial" w:cs="Arial" w:eastAsia="Arial" w:hAnsi="Arial"/>
                <w:sz w:val="18"/>
                <w:szCs w:val="18"/>
                <w:color w:val="auto"/>
              </w:rPr>
              <w:t>Cost of sales</w:t>
            </w:r>
          </w:p>
        </w:tc>
        <w:tc>
          <w:tcPr>
            <w:tcW w:w="1700" w:type="dxa"/>
            <w:vAlign w:val="bottom"/>
            <w:gridSpan w:val="2"/>
            <w:shd w:val="clear" w:color="auto" w:fill="CCEEFF"/>
          </w:tcPr>
          <w:p>
            <w:pPr>
              <w:ind w:left="156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85,818</w:t>
            </w:r>
          </w:p>
        </w:tc>
        <w:tc>
          <w:tcPr>
            <w:tcW w:w="300" w:type="dxa"/>
            <w:vAlign w:val="bottom"/>
            <w:shd w:val="clear" w:color="auto" w:fill="CCEEFF"/>
          </w:tcPr>
          <w:p>
            <w:pPr>
              <w:spacing w:after="0"/>
              <w:rPr>
                <w:sz w:val="18"/>
                <w:szCs w:val="18"/>
                <w:color w:val="auto"/>
              </w:rPr>
            </w:pPr>
          </w:p>
        </w:tc>
        <w:tc>
          <w:tcPr>
            <w:tcW w:w="1400" w:type="dxa"/>
            <w:vAlign w:val="bottom"/>
            <w:tcBorders>
              <w:right w:val="single" w:sz="8" w:color="auto"/>
            </w:tcBorders>
            <w:gridSpan w:val="3"/>
            <w:shd w:val="clear" w:color="auto" w:fill="CCEEFF"/>
          </w:tcPr>
          <w:p>
            <w:pPr>
              <w:jc w:val="right"/>
              <w:ind w:right="480"/>
              <w:spacing w:after="0"/>
              <w:rPr>
                <w:sz w:val="20"/>
                <w:szCs w:val="20"/>
                <w:color w:val="auto"/>
              </w:rPr>
            </w:pPr>
            <w:r>
              <w:rPr>
                <w:rFonts w:ascii="Arial" w:cs="Arial" w:eastAsia="Arial" w:hAnsi="Arial"/>
                <w:sz w:val="18"/>
                <w:szCs w:val="18"/>
                <w:color w:val="auto"/>
              </w:rPr>
              <w:t>86.9%</w:t>
            </w:r>
          </w:p>
        </w:tc>
        <w:tc>
          <w:tcPr>
            <w:tcW w:w="42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w w:val="79"/>
              </w:rPr>
              <w:t>$</w:t>
            </w:r>
          </w:p>
        </w:tc>
        <w:tc>
          <w:tcPr>
            <w:tcW w:w="420" w:type="dxa"/>
            <w:vAlign w:val="bottom"/>
            <w:shd w:val="clear" w:color="auto" w:fill="CCEEFF"/>
          </w:tcPr>
          <w:p>
            <w:pPr>
              <w:ind w:left="20"/>
              <w:spacing w:after="0"/>
              <w:rPr>
                <w:sz w:val="20"/>
                <w:szCs w:val="20"/>
                <w:color w:val="auto"/>
              </w:rPr>
            </w:pPr>
            <w:r>
              <w:rPr>
                <w:rFonts w:ascii="Arial" w:cs="Arial" w:eastAsia="Arial" w:hAnsi="Arial"/>
                <w:sz w:val="18"/>
                <w:szCs w:val="18"/>
                <w:color w:val="auto"/>
                <w:w w:val="84"/>
              </w:rPr>
              <w:t>1,819</w:t>
            </w:r>
          </w:p>
        </w:tc>
        <w:tc>
          <w:tcPr>
            <w:tcW w:w="4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372"/>
              <w:spacing w:after="0"/>
              <w:rPr>
                <w:sz w:val="20"/>
                <w:szCs w:val="20"/>
                <w:color w:val="auto"/>
              </w:rPr>
            </w:pPr>
            <w:r>
              <w:rPr>
                <w:rFonts w:ascii="Arial" w:cs="Arial" w:eastAsia="Arial" w:hAnsi="Arial"/>
                <w:sz w:val="18"/>
                <w:szCs w:val="18"/>
                <w:color w:val="auto"/>
              </w:rPr>
              <w:t>111.1%</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w w:val="90"/>
              </w:rPr>
              <w:t>55,814</w:t>
            </w: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118.5%</w:t>
            </w:r>
          </w:p>
        </w:tc>
      </w:tr>
      <w:tr>
        <w:trPr>
          <w:trHeight w:val="216"/>
        </w:trPr>
        <w:tc>
          <w:tcPr>
            <w:tcW w:w="2520" w:type="dxa"/>
            <w:vAlign w:val="bottom"/>
          </w:tcPr>
          <w:p>
            <w:pPr>
              <w:spacing w:after="0"/>
              <w:rPr>
                <w:sz w:val="20"/>
                <w:szCs w:val="20"/>
                <w:color w:val="auto"/>
              </w:rPr>
            </w:pPr>
            <w:r>
              <w:rPr>
                <w:rFonts w:ascii="Arial" w:cs="Arial" w:eastAsia="Arial" w:hAnsi="Arial"/>
                <w:sz w:val="18"/>
                <w:szCs w:val="18"/>
                <w:color w:val="auto"/>
              </w:rPr>
              <w:t>Gross margin</w:t>
            </w:r>
          </w:p>
        </w:tc>
        <w:tc>
          <w:tcPr>
            <w:tcW w:w="1700" w:type="dxa"/>
            <w:vAlign w:val="bottom"/>
            <w:gridSpan w:val="2"/>
          </w:tcPr>
          <w:p>
            <w:pPr>
              <w:ind w:left="1560"/>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12,892</w:t>
            </w:r>
          </w:p>
        </w:tc>
        <w:tc>
          <w:tcPr>
            <w:tcW w:w="300" w:type="dxa"/>
            <w:vAlign w:val="bottom"/>
          </w:tcPr>
          <w:p>
            <w:pPr>
              <w:spacing w:after="0"/>
              <w:rPr>
                <w:sz w:val="18"/>
                <w:szCs w:val="18"/>
                <w:color w:val="auto"/>
              </w:rPr>
            </w:pPr>
          </w:p>
        </w:tc>
        <w:tc>
          <w:tcPr>
            <w:tcW w:w="1400" w:type="dxa"/>
            <w:vAlign w:val="bottom"/>
            <w:tcBorders>
              <w:right w:val="single" w:sz="8" w:color="auto"/>
            </w:tcBorders>
            <w:gridSpan w:val="3"/>
          </w:tcPr>
          <w:p>
            <w:pPr>
              <w:jc w:val="right"/>
              <w:ind w:right="480"/>
              <w:spacing w:after="0"/>
              <w:rPr>
                <w:sz w:val="20"/>
                <w:szCs w:val="20"/>
                <w:color w:val="auto"/>
              </w:rPr>
            </w:pPr>
            <w:r>
              <w:rPr>
                <w:rFonts w:ascii="Arial" w:cs="Arial" w:eastAsia="Arial" w:hAnsi="Arial"/>
                <w:sz w:val="18"/>
                <w:szCs w:val="18"/>
                <w:color w:val="auto"/>
              </w:rPr>
              <w:t>13.1%</w:t>
            </w:r>
          </w:p>
        </w:tc>
        <w:tc>
          <w:tcPr>
            <w:tcW w:w="420" w:type="dxa"/>
            <w:vAlign w:val="bottom"/>
            <w:gridSpan w:val="2"/>
          </w:tcPr>
          <w:p>
            <w:pPr>
              <w:ind w:left="320"/>
              <w:spacing w:after="0"/>
              <w:rPr>
                <w:sz w:val="20"/>
                <w:szCs w:val="20"/>
                <w:color w:val="auto"/>
              </w:rPr>
            </w:pPr>
            <w:r>
              <w:rPr>
                <w:rFonts w:ascii="Arial" w:cs="Arial" w:eastAsia="Arial" w:hAnsi="Arial"/>
                <w:sz w:val="18"/>
                <w:szCs w:val="18"/>
                <w:color w:val="auto"/>
                <w:w w:val="79"/>
              </w:rPr>
              <w:t>$</w:t>
            </w:r>
          </w:p>
        </w:tc>
        <w:tc>
          <w:tcPr>
            <w:tcW w:w="860" w:type="dxa"/>
            <w:vAlign w:val="bottom"/>
            <w:gridSpan w:val="2"/>
          </w:tcPr>
          <w:p>
            <w:pPr>
              <w:jc w:val="right"/>
              <w:ind w:right="380"/>
              <w:spacing w:after="0"/>
              <w:rPr>
                <w:sz w:val="20"/>
                <w:szCs w:val="20"/>
                <w:color w:val="auto"/>
              </w:rPr>
            </w:pPr>
            <w:r>
              <w:rPr>
                <w:rFonts w:ascii="Arial" w:cs="Arial" w:eastAsia="Arial" w:hAnsi="Arial"/>
                <w:sz w:val="18"/>
                <w:szCs w:val="18"/>
                <w:color w:val="auto"/>
              </w:rPr>
              <w:t>(182)</w:t>
            </w:r>
          </w:p>
        </w:tc>
        <w:tc>
          <w:tcPr>
            <w:tcW w:w="1220" w:type="dxa"/>
            <w:vAlign w:val="bottom"/>
            <w:gridSpan w:val="2"/>
          </w:tcPr>
          <w:p>
            <w:pPr>
              <w:jc w:val="right"/>
              <w:ind w:right="312"/>
              <w:spacing w:after="0"/>
              <w:rPr>
                <w:sz w:val="20"/>
                <w:szCs w:val="20"/>
                <w:color w:val="auto"/>
              </w:rPr>
            </w:pPr>
            <w:r>
              <w:rPr>
                <w:rFonts w:ascii="Arial" w:cs="Arial" w:eastAsia="Arial" w:hAnsi="Arial"/>
                <w:sz w:val="18"/>
                <w:szCs w:val="18"/>
                <w:color w:val="auto"/>
              </w:rPr>
              <w:t>(11.1)%</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gridSpan w:val="2"/>
          </w:tcPr>
          <w:p>
            <w:pPr>
              <w:jc w:val="right"/>
              <w:ind w:right="380"/>
              <w:spacing w:after="0"/>
              <w:rPr>
                <w:sz w:val="20"/>
                <w:szCs w:val="20"/>
                <w:color w:val="auto"/>
              </w:rPr>
            </w:pPr>
            <w:r>
              <w:rPr>
                <w:rFonts w:ascii="Arial" w:cs="Arial" w:eastAsia="Arial" w:hAnsi="Arial"/>
                <w:sz w:val="18"/>
                <w:szCs w:val="18"/>
                <w:color w:val="auto"/>
                <w:w w:val="98"/>
              </w:rPr>
              <w:t>(8,699)</w:t>
            </w:r>
          </w:p>
        </w:tc>
        <w:tc>
          <w:tcPr>
            <w:tcW w:w="900" w:type="dxa"/>
            <w:vAlign w:val="bottom"/>
            <w:gridSpan w:val="2"/>
          </w:tcPr>
          <w:p>
            <w:pPr>
              <w:jc w:val="right"/>
              <w:ind w:right="60"/>
              <w:spacing w:after="0"/>
              <w:rPr>
                <w:sz w:val="20"/>
                <w:szCs w:val="20"/>
                <w:color w:val="auto"/>
              </w:rPr>
            </w:pPr>
            <w:r>
              <w:rPr>
                <w:rFonts w:ascii="Arial" w:cs="Arial" w:eastAsia="Arial" w:hAnsi="Arial"/>
                <w:sz w:val="18"/>
                <w:szCs w:val="18"/>
                <w:color w:val="auto"/>
              </w:rPr>
              <w:t>(18.5)%</w:t>
            </w:r>
          </w:p>
        </w:tc>
      </w:tr>
      <w:tr>
        <w:trPr>
          <w:trHeight w:val="363"/>
        </w:trPr>
        <w:tc>
          <w:tcPr>
            <w:tcW w:w="252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80" w:type="dxa"/>
            <w:vAlign w:val="bottom"/>
            <w:gridSpan w:val="2"/>
          </w:tcPr>
          <w:p>
            <w:pPr>
              <w:jc w:val="right"/>
              <w:ind w:right="392"/>
              <w:spacing w:after="0"/>
              <w:rPr>
                <w:sz w:val="20"/>
                <w:szCs w:val="20"/>
                <w:color w:val="auto"/>
              </w:rPr>
            </w:pPr>
            <w:r>
              <w:rPr>
                <w:rFonts w:ascii="Arial" w:cs="Arial" w:eastAsia="Arial" w:hAnsi="Arial"/>
                <w:sz w:val="18"/>
                <w:szCs w:val="18"/>
                <w:color w:val="auto"/>
                <w:w w:val="99"/>
              </w:rPr>
              <w:t>103</w:t>
            </w:r>
          </w:p>
        </w:tc>
        <w:tc>
          <w:tcPr>
            <w:tcW w:w="6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60" w:type="dxa"/>
            <w:vAlign w:val="bottom"/>
          </w:tcPr>
          <w:p>
            <w:pPr>
              <w:spacing w:after="0"/>
              <w:rPr>
                <w:sz w:val="24"/>
                <w:szCs w:val="24"/>
                <w:color w:val="auto"/>
              </w:rPr>
            </w:pPr>
          </w:p>
        </w:tc>
      </w:tr>
    </w:tbl>
    <w:p>
      <w:pPr>
        <w:sectPr>
          <w:pgSz w:w="11900" w:h="16838" w:orient="portrait"/>
          <w:cols w:equalWidth="0" w:num="1">
            <w:col w:w="11420"/>
          </w:cols>
          <w:pgMar w:left="240" w:top="459" w:right="239" w:bottom="1440" w:gutter="0" w:footer="0" w:header="0"/>
        </w:sectPr>
      </w:pPr>
    </w:p>
    <w:bookmarkStart w:id="105" w:name="page106"/>
    <w:bookmarkEnd w:id="10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339"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GM</w:t>
      </w:r>
    </w:p>
    <w:p>
      <w:pPr>
        <w:spacing w:after="0" w:line="171" w:lineRule="exact"/>
        <w:rPr>
          <w:sz w:val="20"/>
          <w:szCs w:val="20"/>
          <w:color w:val="auto"/>
        </w:rPr>
      </w:pPr>
    </w:p>
    <w:p>
      <w:pPr>
        <w:ind w:right="20" w:firstLine="228"/>
        <w:spacing w:after="0" w:line="255" w:lineRule="auto"/>
        <w:rPr>
          <w:sz w:val="20"/>
          <w:szCs w:val="20"/>
          <w:color w:val="auto"/>
        </w:rPr>
      </w:pPr>
      <w:r>
        <w:rPr>
          <w:rFonts w:ascii="Arial" w:cs="Arial" w:eastAsia="Arial" w:hAnsi="Arial"/>
          <w:sz w:val="18"/>
          <w:szCs w:val="18"/>
          <w:color w:val="auto"/>
        </w:rPr>
        <w:t>In the nine months ended September 30, 2010 Cost of sales included: (1) restructuring charges of $0.7 billion to restructure our European operations, primarily for separation programs announced in Belgium, Spain, Germany and the United Kingdom; (2) charges of $0.2 billion for a recall campaign on windshield fluid heaters in GMNA; and (3) net foreign currency translation losses of $0.2 billion; partially offset by (4) favorable adjustments of $0.2 billion to restructuring reserves in GMNA primarily due to increased production capacity utilization, which resulted in the recall of idled employees to fill added shifts at multiple U.S. production sites.</w:t>
      </w:r>
    </w:p>
    <w:p>
      <w:pPr>
        <w:spacing w:after="0" w:line="143"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Old GM</w:t>
      </w:r>
    </w:p>
    <w:p>
      <w:pPr>
        <w:spacing w:after="0" w:line="171" w:lineRule="exact"/>
        <w:rPr>
          <w:sz w:val="20"/>
          <w:szCs w:val="20"/>
          <w:color w:val="auto"/>
        </w:rPr>
      </w:pPr>
    </w:p>
    <w:p>
      <w:pPr>
        <w:ind w:left="240"/>
        <w:spacing w:after="0"/>
        <w:rPr>
          <w:sz w:val="20"/>
          <w:szCs w:val="20"/>
          <w:color w:val="auto"/>
        </w:rPr>
      </w:pPr>
      <w:r>
        <w:rPr>
          <w:rFonts w:ascii="Arial" w:cs="Arial" w:eastAsia="Arial" w:hAnsi="Arial"/>
          <w:sz w:val="16"/>
          <w:szCs w:val="16"/>
          <w:color w:val="auto"/>
        </w:rPr>
        <w:t>In the period January 1, 2009 through July 9, 2009 Cost of sales included: (1) incremental depreciation charges of $2.8 billion, primarily in GMNA and GME;</w:t>
      </w:r>
    </w:p>
    <w:p>
      <w:pPr>
        <w:spacing w:after="0" w:line="38" w:lineRule="exact"/>
        <w:rPr>
          <w:sz w:val="20"/>
          <w:szCs w:val="20"/>
          <w:color w:val="auto"/>
        </w:rPr>
      </w:pPr>
    </w:p>
    <w:p>
      <w:pPr>
        <w:ind w:right="40" w:firstLine="8"/>
        <w:spacing w:after="0" w:line="281" w:lineRule="auto"/>
        <w:tabs>
          <w:tab w:leader="none" w:pos="249" w:val="left"/>
        </w:tabs>
        <w:numPr>
          <w:ilvl w:val="0"/>
          <w:numId w:val="77"/>
        </w:numPr>
        <w:rPr>
          <w:rFonts w:ascii="Arial" w:cs="Arial" w:eastAsia="Arial" w:hAnsi="Arial"/>
          <w:sz w:val="16"/>
          <w:szCs w:val="16"/>
          <w:color w:val="auto"/>
        </w:rPr>
      </w:pPr>
      <w:r>
        <w:rPr>
          <w:rFonts w:ascii="Arial" w:cs="Arial" w:eastAsia="Arial" w:hAnsi="Arial"/>
          <w:sz w:val="16"/>
          <w:szCs w:val="16"/>
          <w:color w:val="auto"/>
        </w:rPr>
        <w:t>a curtailment loss of $1.4 billion upon the interim remeasurement of the U.S. hourly and U.S. salaried defined benefit pension plans as a result of the 2009 Special Attrition Programs and salaried workforce reductions; (3) separation program charges and Canadian restructuring activities of $1.1 billion; (4) a charge of $1.1 billion related to the SUB and TSP, partially offset by a favorable adjustment of $0.7 billion primarily related to the suspension of the JOBS Program, Old GM’s job security provision in the collective bargaining agreement with the UAW to continue paying idled employees certain wages and benefits; (5) foreign currency translation and remeasurement losses of $0.7 billion, primarily in GMNA due to the strengthening of the Canadian Dollar against the U.S. Dollar; and</w:t>
      </w:r>
    </w:p>
    <w:p>
      <w:pPr>
        <w:spacing w:after="0" w:line="3" w:lineRule="exact"/>
        <w:rPr>
          <w:rFonts w:ascii="Arial" w:cs="Arial" w:eastAsia="Arial" w:hAnsi="Arial"/>
          <w:sz w:val="16"/>
          <w:szCs w:val="16"/>
          <w:color w:val="auto"/>
        </w:rPr>
      </w:pPr>
    </w:p>
    <w:p>
      <w:pPr>
        <w:ind w:left="260" w:hanging="252"/>
        <w:spacing w:after="0"/>
        <w:tabs>
          <w:tab w:leader="none" w:pos="260" w:val="left"/>
        </w:tabs>
        <w:numPr>
          <w:ilvl w:val="0"/>
          <w:numId w:val="78"/>
        </w:numPr>
        <w:rPr>
          <w:rFonts w:ascii="Arial" w:cs="Arial" w:eastAsia="Arial" w:hAnsi="Arial"/>
          <w:sz w:val="18"/>
          <w:szCs w:val="18"/>
          <w:color w:val="auto"/>
        </w:rPr>
      </w:pPr>
      <w:r>
        <w:rPr>
          <w:rFonts w:ascii="Arial" w:cs="Arial" w:eastAsia="Arial" w:hAnsi="Arial"/>
          <w:sz w:val="18"/>
          <w:szCs w:val="18"/>
          <w:color w:val="auto"/>
        </w:rPr>
        <w:t>charges of $0.1 billion related to obligations associated with various Delphi agreements.</w:t>
      </w:r>
    </w:p>
    <w:p>
      <w:pPr>
        <w:spacing w:after="0" w:line="165" w:lineRule="exact"/>
        <w:rPr>
          <w:sz w:val="20"/>
          <w:szCs w:val="20"/>
          <w:color w:val="auto"/>
        </w:rPr>
      </w:pPr>
    </w:p>
    <w:p>
      <w:pPr>
        <w:ind w:right="200" w:firstLine="228"/>
        <w:spacing w:after="0" w:line="268" w:lineRule="auto"/>
        <w:rPr>
          <w:sz w:val="20"/>
          <w:szCs w:val="20"/>
          <w:color w:val="auto"/>
        </w:rPr>
      </w:pPr>
      <w:r>
        <w:rPr>
          <w:rFonts w:ascii="Arial" w:cs="Arial" w:eastAsia="Arial" w:hAnsi="Arial"/>
          <w:sz w:val="18"/>
          <w:szCs w:val="18"/>
          <w:color w:val="auto"/>
        </w:rPr>
        <w:t>In the period January 1, 2009 through July 9, 2009 negative gross margin reflected sales volumes at historically low levels and Cost of sales, including costs that are fixed in nature, exceeding Total net sales and revenue.</w:t>
      </w:r>
    </w:p>
    <w:p>
      <w:pPr>
        <w:spacing w:after="0" w:line="132"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Selling, General and Administrative Expense</w:t>
      </w:r>
    </w:p>
    <w:p>
      <w:pPr>
        <w:spacing w:after="0" w:line="30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9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840" w:type="dxa"/>
            <w:vAlign w:val="bottom"/>
            <w:gridSpan w:val="5"/>
          </w:tcPr>
          <w:p>
            <w:pPr>
              <w:jc w:val="center"/>
              <w:ind w:right="240"/>
              <w:spacing w:after="0"/>
              <w:rPr>
                <w:sz w:val="20"/>
                <w:szCs w:val="20"/>
                <w:color w:val="auto"/>
              </w:rPr>
            </w:pPr>
            <w:r>
              <w:rPr>
                <w:rFonts w:ascii="Arial" w:cs="Arial" w:eastAsia="Arial" w:hAnsi="Arial"/>
                <w:sz w:val="14"/>
                <w:szCs w:val="14"/>
                <w:b w:val="1"/>
                <w:bCs w:val="1"/>
                <w:color w:val="auto"/>
                <w:w w:val="92"/>
              </w:rPr>
              <w:t>Three Months Ended</w:t>
            </w:r>
          </w:p>
        </w:tc>
        <w:tc>
          <w:tcPr>
            <w:tcW w:w="0" w:type="dxa"/>
            <w:vAlign w:val="bottom"/>
          </w:tcPr>
          <w:p>
            <w:pPr>
              <w:spacing w:after="0"/>
              <w:rPr>
                <w:sz w:val="1"/>
                <w:szCs w:val="1"/>
                <w:color w:val="auto"/>
              </w:rPr>
            </w:pPr>
          </w:p>
        </w:tc>
      </w:tr>
      <w:tr>
        <w:trPr>
          <w:trHeight w:val="175"/>
        </w:trPr>
        <w:tc>
          <w:tcPr>
            <w:tcW w:w="39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260" w:type="dxa"/>
            <w:vAlign w:val="bottom"/>
            <w:gridSpan w:val="4"/>
          </w:tcPr>
          <w:p>
            <w:pPr>
              <w:jc w:val="right"/>
              <w:ind w:right="12"/>
              <w:spacing w:after="0"/>
              <w:rPr>
                <w:sz w:val="20"/>
                <w:szCs w:val="20"/>
                <w:color w:val="auto"/>
              </w:rPr>
            </w:pPr>
            <w:r>
              <w:rPr>
                <w:rFonts w:ascii="Arial" w:cs="Arial" w:eastAsia="Arial" w:hAnsi="Arial"/>
                <w:sz w:val="14"/>
                <w:szCs w:val="14"/>
                <w:b w:val="1"/>
                <w:bCs w:val="1"/>
                <w:color w:val="auto"/>
              </w:rPr>
              <w:t>Successor</w:t>
            </w:r>
          </w:p>
        </w:tc>
        <w:tc>
          <w:tcPr>
            <w:tcW w:w="10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380" w:type="dxa"/>
            <w:vAlign w:val="bottom"/>
            <w:gridSpan w:val="3"/>
          </w:tcPr>
          <w:p>
            <w:pPr>
              <w:jc w:val="center"/>
              <w:ind w:left="150"/>
              <w:spacing w:after="0"/>
              <w:rPr>
                <w:sz w:val="20"/>
                <w:szCs w:val="20"/>
                <w:color w:val="auto"/>
              </w:rPr>
            </w:pPr>
            <w:r>
              <w:rPr>
                <w:rFonts w:ascii="Arial" w:cs="Arial" w:eastAsia="Arial" w:hAnsi="Arial"/>
                <w:sz w:val="14"/>
                <w:szCs w:val="14"/>
                <w:b w:val="1"/>
                <w:bCs w:val="1"/>
                <w:color w:val="auto"/>
                <w:w w:val="85"/>
              </w:rPr>
              <w:t>September 30, 2010</w:t>
            </w:r>
          </w:p>
        </w:tc>
        <w:tc>
          <w:tcPr>
            <w:tcW w:w="3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7"/>
        </w:trPr>
        <w:tc>
          <w:tcPr>
            <w:tcW w:w="398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4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840" w:type="dxa"/>
            <w:vAlign w:val="bottom"/>
            <w:gridSpan w:val="5"/>
            <w:vMerge w:val="restart"/>
          </w:tcPr>
          <w:p>
            <w:pPr>
              <w:jc w:val="center"/>
              <w:ind w:right="240"/>
              <w:spacing w:after="0" w:line="123" w:lineRule="exact"/>
              <w:rPr>
                <w:sz w:val="20"/>
                <w:szCs w:val="20"/>
                <w:color w:val="auto"/>
              </w:rPr>
            </w:pPr>
            <w:r>
              <w:rPr>
                <w:rFonts w:ascii="Arial" w:cs="Arial" w:eastAsia="Arial" w:hAnsi="Arial"/>
                <w:sz w:val="14"/>
                <w:szCs w:val="14"/>
                <w:b w:val="1"/>
                <w:bCs w:val="1"/>
                <w:color w:val="auto"/>
                <w:w w:val="86"/>
              </w:rPr>
              <w:t>vs. Period July 10, 2009</w:t>
            </w:r>
          </w:p>
        </w:tc>
        <w:tc>
          <w:tcPr>
            <w:tcW w:w="0" w:type="dxa"/>
            <w:vAlign w:val="bottom"/>
          </w:tcPr>
          <w:p>
            <w:pPr>
              <w:spacing w:after="0"/>
              <w:rPr>
                <w:sz w:val="1"/>
                <w:szCs w:val="1"/>
                <w:color w:val="auto"/>
              </w:rPr>
            </w:pPr>
          </w:p>
        </w:tc>
      </w:tr>
      <w:tr>
        <w:trPr>
          <w:trHeight w:val="75"/>
        </w:trPr>
        <w:tc>
          <w:tcPr>
            <w:tcW w:w="3980" w:type="dxa"/>
            <w:vAlign w:val="bottom"/>
          </w:tcPr>
          <w:p>
            <w:pPr>
              <w:spacing w:after="0"/>
              <w:rPr>
                <w:sz w:val="6"/>
                <w:szCs w:val="6"/>
                <w:color w:val="auto"/>
              </w:rPr>
            </w:pPr>
          </w:p>
        </w:tc>
        <w:tc>
          <w:tcPr>
            <w:tcW w:w="120" w:type="dxa"/>
            <w:vAlign w:val="bottom"/>
          </w:tcPr>
          <w:p>
            <w:pPr>
              <w:spacing w:after="0"/>
              <w:rPr>
                <w:sz w:val="6"/>
                <w:szCs w:val="6"/>
                <w:color w:val="auto"/>
              </w:rPr>
            </w:pPr>
          </w:p>
        </w:tc>
        <w:tc>
          <w:tcPr>
            <w:tcW w:w="1020" w:type="dxa"/>
            <w:vAlign w:val="bottom"/>
          </w:tcPr>
          <w:p>
            <w:pPr>
              <w:spacing w:after="0"/>
              <w:rPr>
                <w:sz w:val="6"/>
                <w:szCs w:val="6"/>
                <w:color w:val="auto"/>
              </w:rPr>
            </w:pPr>
          </w:p>
        </w:tc>
        <w:tc>
          <w:tcPr>
            <w:tcW w:w="460" w:type="dxa"/>
            <w:vAlign w:val="bottom"/>
          </w:tcPr>
          <w:p>
            <w:pPr>
              <w:spacing w:after="0"/>
              <w:rPr>
                <w:sz w:val="6"/>
                <w:szCs w:val="6"/>
                <w:color w:val="auto"/>
              </w:rPr>
            </w:pPr>
          </w:p>
        </w:tc>
        <w:tc>
          <w:tcPr>
            <w:tcW w:w="900" w:type="dxa"/>
            <w:vAlign w:val="bottom"/>
            <w:gridSpan w:val="2"/>
            <w:vMerge w:val="restart"/>
          </w:tcPr>
          <w:p>
            <w:pPr>
              <w:jc w:val="center"/>
              <w:ind w:right="240"/>
              <w:spacing w:after="0" w:line="129" w:lineRule="exact"/>
              <w:rPr>
                <w:sz w:val="20"/>
                <w:szCs w:val="20"/>
                <w:color w:val="auto"/>
              </w:rPr>
            </w:pPr>
            <w:r>
              <w:rPr>
                <w:rFonts w:ascii="Arial" w:cs="Arial" w:eastAsia="Arial" w:hAnsi="Arial"/>
                <w:sz w:val="14"/>
                <w:szCs w:val="14"/>
                <w:b w:val="1"/>
                <w:bCs w:val="1"/>
                <w:color w:val="auto"/>
                <w:w w:val="82"/>
              </w:rPr>
              <w:t>Percentage</w:t>
            </w:r>
          </w:p>
        </w:tc>
        <w:tc>
          <w:tcPr>
            <w:tcW w:w="22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00" w:type="dxa"/>
            <w:vAlign w:val="bottom"/>
          </w:tcPr>
          <w:p>
            <w:pPr>
              <w:spacing w:after="0"/>
              <w:rPr>
                <w:sz w:val="6"/>
                <w:szCs w:val="6"/>
                <w:color w:val="auto"/>
              </w:rPr>
            </w:pPr>
          </w:p>
        </w:tc>
        <w:tc>
          <w:tcPr>
            <w:tcW w:w="480" w:type="dxa"/>
            <w:vAlign w:val="bottom"/>
          </w:tcPr>
          <w:p>
            <w:pPr>
              <w:spacing w:after="0"/>
              <w:rPr>
                <w:sz w:val="6"/>
                <w:szCs w:val="6"/>
                <w:color w:val="auto"/>
              </w:rPr>
            </w:pPr>
          </w:p>
        </w:tc>
        <w:tc>
          <w:tcPr>
            <w:tcW w:w="640" w:type="dxa"/>
            <w:vAlign w:val="bottom"/>
            <w:vMerge w:val="restart"/>
          </w:tcPr>
          <w:p>
            <w:pPr>
              <w:jc w:val="center"/>
              <w:spacing w:after="0" w:line="129" w:lineRule="exact"/>
              <w:rPr>
                <w:sz w:val="20"/>
                <w:szCs w:val="20"/>
                <w:color w:val="auto"/>
              </w:rPr>
            </w:pPr>
            <w:r>
              <w:rPr>
                <w:rFonts w:ascii="Arial" w:cs="Arial" w:eastAsia="Arial" w:hAnsi="Arial"/>
                <w:sz w:val="14"/>
                <w:szCs w:val="14"/>
                <w:b w:val="1"/>
                <w:bCs w:val="1"/>
                <w:color w:val="auto"/>
                <w:w w:val="84"/>
              </w:rPr>
              <w:t>Percentage</w:t>
            </w:r>
          </w:p>
        </w:tc>
        <w:tc>
          <w:tcPr>
            <w:tcW w:w="480" w:type="dxa"/>
            <w:vAlign w:val="bottom"/>
          </w:tcPr>
          <w:p>
            <w:pPr>
              <w:spacing w:after="0"/>
              <w:rPr>
                <w:sz w:val="6"/>
                <w:szCs w:val="6"/>
                <w:color w:val="auto"/>
              </w:rPr>
            </w:pPr>
          </w:p>
        </w:tc>
        <w:tc>
          <w:tcPr>
            <w:tcW w:w="140" w:type="dxa"/>
            <w:vAlign w:val="bottom"/>
          </w:tcPr>
          <w:p>
            <w:pPr>
              <w:spacing w:after="0"/>
              <w:rPr>
                <w:sz w:val="6"/>
                <w:szCs w:val="6"/>
                <w:color w:val="auto"/>
              </w:rPr>
            </w:pPr>
          </w:p>
        </w:tc>
        <w:tc>
          <w:tcPr>
            <w:tcW w:w="1840" w:type="dxa"/>
            <w:vAlign w:val="bottom"/>
            <w:gridSpan w:val="5"/>
            <w:vMerge w:val="continue"/>
          </w:tcPr>
          <w:p>
            <w:pPr>
              <w:spacing w:after="0"/>
              <w:rPr>
                <w:sz w:val="6"/>
                <w:szCs w:val="6"/>
                <w:color w:val="auto"/>
              </w:rPr>
            </w:pPr>
          </w:p>
        </w:tc>
        <w:tc>
          <w:tcPr>
            <w:tcW w:w="0" w:type="dxa"/>
            <w:vAlign w:val="bottom"/>
          </w:tcPr>
          <w:p>
            <w:pPr>
              <w:spacing w:after="0"/>
              <w:rPr>
                <w:sz w:val="1"/>
                <w:szCs w:val="1"/>
                <w:color w:val="auto"/>
              </w:rPr>
            </w:pPr>
          </w:p>
        </w:tc>
      </w:tr>
      <w:tr>
        <w:trPr>
          <w:trHeight w:val="54"/>
        </w:trPr>
        <w:tc>
          <w:tcPr>
            <w:tcW w:w="398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20" w:type="dxa"/>
            <w:vAlign w:val="bottom"/>
          </w:tcPr>
          <w:p>
            <w:pPr>
              <w:spacing w:after="0"/>
              <w:rPr>
                <w:sz w:val="4"/>
                <w:szCs w:val="4"/>
                <w:color w:val="auto"/>
              </w:rPr>
            </w:pPr>
          </w:p>
        </w:tc>
        <w:tc>
          <w:tcPr>
            <w:tcW w:w="460" w:type="dxa"/>
            <w:vAlign w:val="bottom"/>
          </w:tcPr>
          <w:p>
            <w:pPr>
              <w:spacing w:after="0"/>
              <w:rPr>
                <w:sz w:val="4"/>
                <w:szCs w:val="4"/>
                <w:color w:val="auto"/>
              </w:rPr>
            </w:pPr>
          </w:p>
        </w:tc>
        <w:tc>
          <w:tcPr>
            <w:tcW w:w="900" w:type="dxa"/>
            <w:vAlign w:val="bottom"/>
            <w:gridSpan w:val="2"/>
            <w:vMerge w:val="continue"/>
          </w:tcPr>
          <w:p>
            <w:pPr>
              <w:spacing w:after="0"/>
              <w:rPr>
                <w:sz w:val="4"/>
                <w:szCs w:val="4"/>
                <w:color w:val="auto"/>
              </w:rPr>
            </w:pPr>
          </w:p>
        </w:tc>
        <w:tc>
          <w:tcPr>
            <w:tcW w:w="22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00" w:type="dxa"/>
            <w:vAlign w:val="bottom"/>
          </w:tcPr>
          <w:p>
            <w:pPr>
              <w:spacing w:after="0"/>
              <w:rPr>
                <w:sz w:val="4"/>
                <w:szCs w:val="4"/>
                <w:color w:val="auto"/>
              </w:rPr>
            </w:pPr>
          </w:p>
        </w:tc>
        <w:tc>
          <w:tcPr>
            <w:tcW w:w="480" w:type="dxa"/>
            <w:vAlign w:val="bottom"/>
          </w:tcPr>
          <w:p>
            <w:pPr>
              <w:spacing w:after="0"/>
              <w:rPr>
                <w:sz w:val="4"/>
                <w:szCs w:val="4"/>
                <w:color w:val="auto"/>
              </w:rPr>
            </w:pPr>
          </w:p>
        </w:tc>
        <w:tc>
          <w:tcPr>
            <w:tcW w:w="640" w:type="dxa"/>
            <w:vAlign w:val="bottom"/>
            <w:vMerge w:val="continue"/>
          </w:tcPr>
          <w:p>
            <w:pPr>
              <w:spacing w:after="0"/>
              <w:rPr>
                <w:sz w:val="4"/>
                <w:szCs w:val="4"/>
                <w:color w:val="auto"/>
              </w:rPr>
            </w:pPr>
          </w:p>
        </w:tc>
        <w:tc>
          <w:tcPr>
            <w:tcW w:w="480" w:type="dxa"/>
            <w:vAlign w:val="bottom"/>
          </w:tcPr>
          <w:p>
            <w:pPr>
              <w:spacing w:after="0"/>
              <w:rPr>
                <w:sz w:val="4"/>
                <w:szCs w:val="4"/>
                <w:color w:val="auto"/>
              </w:rPr>
            </w:pPr>
          </w:p>
        </w:tc>
        <w:tc>
          <w:tcPr>
            <w:tcW w:w="140" w:type="dxa"/>
            <w:vAlign w:val="bottom"/>
          </w:tcPr>
          <w:p>
            <w:pPr>
              <w:spacing w:after="0"/>
              <w:rPr>
                <w:sz w:val="4"/>
                <w:szCs w:val="4"/>
                <w:color w:val="auto"/>
              </w:rPr>
            </w:pPr>
          </w:p>
        </w:tc>
        <w:tc>
          <w:tcPr>
            <w:tcW w:w="1380" w:type="dxa"/>
            <w:vAlign w:val="bottom"/>
            <w:gridSpan w:val="3"/>
            <w:vMerge w:val="restart"/>
          </w:tcPr>
          <w:p>
            <w:pPr>
              <w:jc w:val="center"/>
              <w:ind w:left="150"/>
              <w:spacing w:after="0" w:line="149" w:lineRule="exact"/>
              <w:rPr>
                <w:sz w:val="20"/>
                <w:szCs w:val="20"/>
                <w:color w:val="auto"/>
              </w:rPr>
            </w:pPr>
            <w:r>
              <w:rPr>
                <w:rFonts w:ascii="Arial" w:cs="Arial" w:eastAsia="Arial" w:hAnsi="Arial"/>
                <w:sz w:val="14"/>
                <w:szCs w:val="14"/>
                <w:b w:val="1"/>
                <w:bCs w:val="1"/>
                <w:color w:val="auto"/>
                <w:w w:val="91"/>
              </w:rPr>
              <w:t>Through</w:t>
            </w:r>
          </w:p>
        </w:tc>
        <w:tc>
          <w:tcPr>
            <w:tcW w:w="36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95"/>
        </w:trPr>
        <w:tc>
          <w:tcPr>
            <w:tcW w:w="398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20" w:type="dxa"/>
            <w:vAlign w:val="bottom"/>
          </w:tcPr>
          <w:p>
            <w:pPr>
              <w:spacing w:after="0"/>
              <w:rPr>
                <w:sz w:val="8"/>
                <w:szCs w:val="8"/>
                <w:color w:val="auto"/>
              </w:rPr>
            </w:pPr>
          </w:p>
        </w:tc>
        <w:tc>
          <w:tcPr>
            <w:tcW w:w="460" w:type="dxa"/>
            <w:vAlign w:val="bottom"/>
          </w:tcPr>
          <w:p>
            <w:pPr>
              <w:spacing w:after="0"/>
              <w:rPr>
                <w:sz w:val="8"/>
                <w:szCs w:val="8"/>
                <w:color w:val="auto"/>
              </w:rPr>
            </w:pPr>
          </w:p>
        </w:tc>
        <w:tc>
          <w:tcPr>
            <w:tcW w:w="900" w:type="dxa"/>
            <w:vAlign w:val="bottom"/>
            <w:gridSpan w:val="2"/>
            <w:vMerge w:val="restart"/>
          </w:tcPr>
          <w:p>
            <w:pPr>
              <w:jc w:val="center"/>
              <w:ind w:right="240"/>
              <w:spacing w:after="0" w:line="149" w:lineRule="exact"/>
              <w:rPr>
                <w:sz w:val="20"/>
                <w:szCs w:val="20"/>
                <w:color w:val="auto"/>
              </w:rPr>
            </w:pPr>
            <w:r>
              <w:rPr>
                <w:rFonts w:ascii="Arial" w:cs="Arial" w:eastAsia="Arial" w:hAnsi="Arial"/>
                <w:sz w:val="14"/>
                <w:szCs w:val="14"/>
                <w:b w:val="1"/>
                <w:bCs w:val="1"/>
                <w:color w:val="auto"/>
                <w:w w:val="90"/>
              </w:rPr>
              <w:t>of Total</w:t>
            </w:r>
          </w:p>
        </w:tc>
        <w:tc>
          <w:tcPr>
            <w:tcW w:w="22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00" w:type="dxa"/>
            <w:vAlign w:val="bottom"/>
          </w:tcPr>
          <w:p>
            <w:pPr>
              <w:spacing w:after="0"/>
              <w:rPr>
                <w:sz w:val="8"/>
                <w:szCs w:val="8"/>
                <w:color w:val="auto"/>
              </w:rPr>
            </w:pPr>
          </w:p>
        </w:tc>
        <w:tc>
          <w:tcPr>
            <w:tcW w:w="480" w:type="dxa"/>
            <w:vAlign w:val="bottom"/>
          </w:tcPr>
          <w:p>
            <w:pPr>
              <w:spacing w:after="0"/>
              <w:rPr>
                <w:sz w:val="8"/>
                <w:szCs w:val="8"/>
                <w:color w:val="auto"/>
              </w:rPr>
            </w:pPr>
          </w:p>
        </w:tc>
        <w:tc>
          <w:tcPr>
            <w:tcW w:w="640" w:type="dxa"/>
            <w:vAlign w:val="bottom"/>
            <w:vMerge w:val="restart"/>
          </w:tcPr>
          <w:p>
            <w:pPr>
              <w:jc w:val="center"/>
              <w:spacing w:after="0" w:line="149" w:lineRule="exact"/>
              <w:rPr>
                <w:sz w:val="20"/>
                <w:szCs w:val="20"/>
                <w:color w:val="auto"/>
              </w:rPr>
            </w:pPr>
            <w:r>
              <w:rPr>
                <w:rFonts w:ascii="Arial" w:cs="Arial" w:eastAsia="Arial" w:hAnsi="Arial"/>
                <w:sz w:val="14"/>
                <w:szCs w:val="14"/>
                <w:b w:val="1"/>
                <w:bCs w:val="1"/>
                <w:color w:val="auto"/>
                <w:w w:val="94"/>
              </w:rPr>
              <w:t>of Total</w:t>
            </w:r>
          </w:p>
        </w:tc>
        <w:tc>
          <w:tcPr>
            <w:tcW w:w="480" w:type="dxa"/>
            <w:vAlign w:val="bottom"/>
          </w:tcPr>
          <w:p>
            <w:pPr>
              <w:spacing w:after="0"/>
              <w:rPr>
                <w:sz w:val="8"/>
                <w:szCs w:val="8"/>
                <w:color w:val="auto"/>
              </w:rPr>
            </w:pPr>
          </w:p>
        </w:tc>
        <w:tc>
          <w:tcPr>
            <w:tcW w:w="140" w:type="dxa"/>
            <w:vAlign w:val="bottom"/>
          </w:tcPr>
          <w:p>
            <w:pPr>
              <w:spacing w:after="0"/>
              <w:rPr>
                <w:sz w:val="8"/>
                <w:szCs w:val="8"/>
                <w:color w:val="auto"/>
              </w:rPr>
            </w:pPr>
          </w:p>
        </w:tc>
        <w:tc>
          <w:tcPr>
            <w:tcW w:w="1380" w:type="dxa"/>
            <w:vAlign w:val="bottom"/>
            <w:gridSpan w:val="3"/>
            <w:vMerge w:val="continue"/>
          </w:tcPr>
          <w:p>
            <w:pPr>
              <w:spacing w:after="0"/>
              <w:rPr>
                <w:sz w:val="8"/>
                <w:szCs w:val="8"/>
                <w:color w:val="auto"/>
              </w:rPr>
            </w:pPr>
          </w:p>
        </w:tc>
        <w:tc>
          <w:tcPr>
            <w:tcW w:w="36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54"/>
        </w:trPr>
        <w:tc>
          <w:tcPr>
            <w:tcW w:w="398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20" w:type="dxa"/>
            <w:vAlign w:val="bottom"/>
          </w:tcPr>
          <w:p>
            <w:pPr>
              <w:spacing w:after="0"/>
              <w:rPr>
                <w:sz w:val="4"/>
                <w:szCs w:val="4"/>
                <w:color w:val="auto"/>
              </w:rPr>
            </w:pPr>
          </w:p>
        </w:tc>
        <w:tc>
          <w:tcPr>
            <w:tcW w:w="460" w:type="dxa"/>
            <w:vAlign w:val="bottom"/>
          </w:tcPr>
          <w:p>
            <w:pPr>
              <w:spacing w:after="0"/>
              <w:rPr>
                <w:sz w:val="4"/>
                <w:szCs w:val="4"/>
                <w:color w:val="auto"/>
              </w:rPr>
            </w:pPr>
          </w:p>
        </w:tc>
        <w:tc>
          <w:tcPr>
            <w:tcW w:w="900" w:type="dxa"/>
            <w:vAlign w:val="bottom"/>
            <w:gridSpan w:val="2"/>
            <w:vMerge w:val="continue"/>
          </w:tcPr>
          <w:p>
            <w:pPr>
              <w:spacing w:after="0"/>
              <w:rPr>
                <w:sz w:val="4"/>
                <w:szCs w:val="4"/>
                <w:color w:val="auto"/>
              </w:rPr>
            </w:pPr>
          </w:p>
        </w:tc>
        <w:tc>
          <w:tcPr>
            <w:tcW w:w="22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00" w:type="dxa"/>
            <w:vAlign w:val="bottom"/>
          </w:tcPr>
          <w:p>
            <w:pPr>
              <w:spacing w:after="0"/>
              <w:rPr>
                <w:sz w:val="4"/>
                <w:szCs w:val="4"/>
                <w:color w:val="auto"/>
              </w:rPr>
            </w:pPr>
          </w:p>
        </w:tc>
        <w:tc>
          <w:tcPr>
            <w:tcW w:w="480" w:type="dxa"/>
            <w:vAlign w:val="bottom"/>
          </w:tcPr>
          <w:p>
            <w:pPr>
              <w:spacing w:after="0"/>
              <w:rPr>
                <w:sz w:val="4"/>
                <w:szCs w:val="4"/>
                <w:color w:val="auto"/>
              </w:rPr>
            </w:pPr>
          </w:p>
        </w:tc>
        <w:tc>
          <w:tcPr>
            <w:tcW w:w="640" w:type="dxa"/>
            <w:vAlign w:val="bottom"/>
            <w:vMerge w:val="continue"/>
          </w:tcPr>
          <w:p>
            <w:pPr>
              <w:spacing w:after="0"/>
              <w:rPr>
                <w:sz w:val="4"/>
                <w:szCs w:val="4"/>
                <w:color w:val="auto"/>
              </w:rPr>
            </w:pPr>
          </w:p>
        </w:tc>
        <w:tc>
          <w:tcPr>
            <w:tcW w:w="480" w:type="dxa"/>
            <w:vAlign w:val="bottom"/>
          </w:tcPr>
          <w:p>
            <w:pPr>
              <w:spacing w:after="0"/>
              <w:rPr>
                <w:sz w:val="4"/>
                <w:szCs w:val="4"/>
                <w:color w:val="auto"/>
              </w:rPr>
            </w:pPr>
          </w:p>
        </w:tc>
        <w:tc>
          <w:tcPr>
            <w:tcW w:w="140" w:type="dxa"/>
            <w:vAlign w:val="bottom"/>
          </w:tcPr>
          <w:p>
            <w:pPr>
              <w:spacing w:after="0"/>
              <w:rPr>
                <w:sz w:val="4"/>
                <w:szCs w:val="4"/>
                <w:color w:val="auto"/>
              </w:rPr>
            </w:pPr>
          </w:p>
        </w:tc>
        <w:tc>
          <w:tcPr>
            <w:tcW w:w="1380" w:type="dxa"/>
            <w:vAlign w:val="bottom"/>
            <w:gridSpan w:val="3"/>
            <w:vMerge w:val="restart"/>
          </w:tcPr>
          <w:p>
            <w:pPr>
              <w:jc w:val="center"/>
              <w:ind w:left="150"/>
              <w:spacing w:after="0" w:line="149" w:lineRule="exact"/>
              <w:rPr>
                <w:sz w:val="20"/>
                <w:szCs w:val="20"/>
                <w:color w:val="auto"/>
              </w:rPr>
            </w:pPr>
            <w:r>
              <w:rPr>
                <w:rFonts w:ascii="Arial" w:cs="Arial" w:eastAsia="Arial" w:hAnsi="Arial"/>
                <w:sz w:val="14"/>
                <w:szCs w:val="14"/>
                <w:b w:val="1"/>
                <w:bCs w:val="1"/>
                <w:color w:val="auto"/>
                <w:w w:val="85"/>
              </w:rPr>
              <w:t>September 30, 2009</w:t>
            </w:r>
          </w:p>
        </w:tc>
        <w:tc>
          <w:tcPr>
            <w:tcW w:w="36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95"/>
        </w:trPr>
        <w:tc>
          <w:tcPr>
            <w:tcW w:w="398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20" w:type="dxa"/>
            <w:vAlign w:val="bottom"/>
            <w:vMerge w:val="restart"/>
          </w:tcPr>
          <w:p>
            <w:pPr>
              <w:jc w:val="center"/>
              <w:ind w:right="46"/>
              <w:spacing w:after="0" w:line="149" w:lineRule="exact"/>
              <w:rPr>
                <w:sz w:val="20"/>
                <w:szCs w:val="20"/>
                <w:color w:val="auto"/>
              </w:rPr>
            </w:pPr>
            <w:r>
              <w:rPr>
                <w:rFonts w:ascii="Arial" w:cs="Arial" w:eastAsia="Arial" w:hAnsi="Arial"/>
                <w:sz w:val="14"/>
                <w:szCs w:val="14"/>
                <w:b w:val="1"/>
                <w:bCs w:val="1"/>
                <w:color w:val="auto"/>
                <w:w w:val="89"/>
              </w:rPr>
              <w:t>Three Months</w:t>
            </w:r>
          </w:p>
        </w:tc>
        <w:tc>
          <w:tcPr>
            <w:tcW w:w="460" w:type="dxa"/>
            <w:vAlign w:val="bottom"/>
          </w:tcPr>
          <w:p>
            <w:pPr>
              <w:spacing w:after="0"/>
              <w:rPr>
                <w:sz w:val="8"/>
                <w:szCs w:val="8"/>
                <w:color w:val="auto"/>
              </w:rPr>
            </w:pPr>
          </w:p>
        </w:tc>
        <w:tc>
          <w:tcPr>
            <w:tcW w:w="900" w:type="dxa"/>
            <w:vAlign w:val="bottom"/>
            <w:gridSpan w:val="2"/>
            <w:vMerge w:val="restart"/>
          </w:tcPr>
          <w:p>
            <w:pPr>
              <w:jc w:val="center"/>
              <w:ind w:right="240"/>
              <w:spacing w:after="0" w:line="149" w:lineRule="exact"/>
              <w:rPr>
                <w:sz w:val="20"/>
                <w:szCs w:val="20"/>
                <w:color w:val="auto"/>
              </w:rPr>
            </w:pPr>
            <w:r>
              <w:rPr>
                <w:rFonts w:ascii="Arial" w:cs="Arial" w:eastAsia="Arial" w:hAnsi="Arial"/>
                <w:sz w:val="14"/>
                <w:szCs w:val="14"/>
                <w:b w:val="1"/>
                <w:bCs w:val="1"/>
                <w:color w:val="auto"/>
                <w:w w:val="83"/>
              </w:rPr>
              <w:t>net sales</w:t>
            </w:r>
          </w:p>
        </w:tc>
        <w:tc>
          <w:tcPr>
            <w:tcW w:w="22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00" w:type="dxa"/>
            <w:vAlign w:val="bottom"/>
            <w:vMerge w:val="restart"/>
          </w:tcPr>
          <w:p>
            <w:pPr>
              <w:jc w:val="center"/>
              <w:ind w:right="46"/>
              <w:spacing w:after="0" w:line="149" w:lineRule="exact"/>
              <w:rPr>
                <w:sz w:val="20"/>
                <w:szCs w:val="20"/>
                <w:color w:val="auto"/>
              </w:rPr>
            </w:pPr>
            <w:r>
              <w:rPr>
                <w:rFonts w:ascii="Arial" w:cs="Arial" w:eastAsia="Arial" w:hAnsi="Arial"/>
                <w:sz w:val="14"/>
                <w:szCs w:val="14"/>
                <w:b w:val="1"/>
                <w:bCs w:val="1"/>
                <w:color w:val="auto"/>
                <w:w w:val="87"/>
              </w:rPr>
              <w:t>July 10, 2009</w:t>
            </w:r>
          </w:p>
        </w:tc>
        <w:tc>
          <w:tcPr>
            <w:tcW w:w="480" w:type="dxa"/>
            <w:vAlign w:val="bottom"/>
          </w:tcPr>
          <w:p>
            <w:pPr>
              <w:spacing w:after="0"/>
              <w:rPr>
                <w:sz w:val="8"/>
                <w:szCs w:val="8"/>
                <w:color w:val="auto"/>
              </w:rPr>
            </w:pPr>
          </w:p>
        </w:tc>
        <w:tc>
          <w:tcPr>
            <w:tcW w:w="640" w:type="dxa"/>
            <w:vAlign w:val="bottom"/>
            <w:vMerge w:val="restart"/>
          </w:tcPr>
          <w:p>
            <w:pPr>
              <w:jc w:val="center"/>
              <w:spacing w:after="0" w:line="149" w:lineRule="exact"/>
              <w:rPr>
                <w:sz w:val="20"/>
                <w:szCs w:val="20"/>
                <w:color w:val="auto"/>
              </w:rPr>
            </w:pPr>
            <w:r>
              <w:rPr>
                <w:rFonts w:ascii="Arial" w:cs="Arial" w:eastAsia="Arial" w:hAnsi="Arial"/>
                <w:sz w:val="14"/>
                <w:szCs w:val="14"/>
                <w:b w:val="1"/>
                <w:bCs w:val="1"/>
                <w:color w:val="auto"/>
                <w:w w:val="80"/>
              </w:rPr>
              <w:t>net sales</w:t>
            </w:r>
          </w:p>
        </w:tc>
        <w:tc>
          <w:tcPr>
            <w:tcW w:w="480" w:type="dxa"/>
            <w:vAlign w:val="bottom"/>
          </w:tcPr>
          <w:p>
            <w:pPr>
              <w:spacing w:after="0"/>
              <w:rPr>
                <w:sz w:val="8"/>
                <w:szCs w:val="8"/>
                <w:color w:val="auto"/>
              </w:rPr>
            </w:pPr>
          </w:p>
        </w:tc>
        <w:tc>
          <w:tcPr>
            <w:tcW w:w="140" w:type="dxa"/>
            <w:vAlign w:val="bottom"/>
          </w:tcPr>
          <w:p>
            <w:pPr>
              <w:spacing w:after="0"/>
              <w:rPr>
                <w:sz w:val="8"/>
                <w:szCs w:val="8"/>
                <w:color w:val="auto"/>
              </w:rPr>
            </w:pPr>
          </w:p>
        </w:tc>
        <w:tc>
          <w:tcPr>
            <w:tcW w:w="1380" w:type="dxa"/>
            <w:vAlign w:val="bottom"/>
            <w:gridSpan w:val="3"/>
            <w:vMerge w:val="continue"/>
          </w:tcPr>
          <w:p>
            <w:pPr>
              <w:spacing w:after="0"/>
              <w:rPr>
                <w:sz w:val="8"/>
                <w:szCs w:val="8"/>
                <w:color w:val="auto"/>
              </w:rPr>
            </w:pPr>
          </w:p>
        </w:tc>
        <w:tc>
          <w:tcPr>
            <w:tcW w:w="36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54"/>
        </w:trPr>
        <w:tc>
          <w:tcPr>
            <w:tcW w:w="398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20" w:type="dxa"/>
            <w:vAlign w:val="bottom"/>
            <w:vMerge w:val="continue"/>
          </w:tcPr>
          <w:p>
            <w:pPr>
              <w:spacing w:after="0"/>
              <w:rPr>
                <w:sz w:val="4"/>
                <w:szCs w:val="4"/>
                <w:color w:val="auto"/>
              </w:rPr>
            </w:pPr>
          </w:p>
        </w:tc>
        <w:tc>
          <w:tcPr>
            <w:tcW w:w="460" w:type="dxa"/>
            <w:vAlign w:val="bottom"/>
          </w:tcPr>
          <w:p>
            <w:pPr>
              <w:spacing w:after="0"/>
              <w:rPr>
                <w:sz w:val="4"/>
                <w:szCs w:val="4"/>
                <w:color w:val="auto"/>
              </w:rPr>
            </w:pPr>
          </w:p>
        </w:tc>
        <w:tc>
          <w:tcPr>
            <w:tcW w:w="900" w:type="dxa"/>
            <w:vAlign w:val="bottom"/>
            <w:gridSpan w:val="2"/>
            <w:vMerge w:val="continue"/>
          </w:tcPr>
          <w:p>
            <w:pPr>
              <w:spacing w:after="0"/>
              <w:rPr>
                <w:sz w:val="4"/>
                <w:szCs w:val="4"/>
                <w:color w:val="auto"/>
              </w:rPr>
            </w:pPr>
          </w:p>
        </w:tc>
        <w:tc>
          <w:tcPr>
            <w:tcW w:w="22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00" w:type="dxa"/>
            <w:vAlign w:val="bottom"/>
            <w:vMerge w:val="continue"/>
          </w:tcPr>
          <w:p>
            <w:pPr>
              <w:spacing w:after="0"/>
              <w:rPr>
                <w:sz w:val="4"/>
                <w:szCs w:val="4"/>
                <w:color w:val="auto"/>
              </w:rPr>
            </w:pPr>
          </w:p>
        </w:tc>
        <w:tc>
          <w:tcPr>
            <w:tcW w:w="480" w:type="dxa"/>
            <w:vAlign w:val="bottom"/>
          </w:tcPr>
          <w:p>
            <w:pPr>
              <w:spacing w:after="0"/>
              <w:rPr>
                <w:sz w:val="4"/>
                <w:szCs w:val="4"/>
                <w:color w:val="auto"/>
              </w:rPr>
            </w:pPr>
          </w:p>
        </w:tc>
        <w:tc>
          <w:tcPr>
            <w:tcW w:w="640" w:type="dxa"/>
            <w:vAlign w:val="bottom"/>
            <w:vMerge w:val="continue"/>
          </w:tcPr>
          <w:p>
            <w:pPr>
              <w:spacing w:after="0"/>
              <w:rPr>
                <w:sz w:val="4"/>
                <w:szCs w:val="4"/>
                <w:color w:val="auto"/>
              </w:rPr>
            </w:pPr>
          </w:p>
        </w:tc>
        <w:tc>
          <w:tcPr>
            <w:tcW w:w="480" w:type="dxa"/>
            <w:vAlign w:val="bottom"/>
          </w:tcPr>
          <w:p>
            <w:pPr>
              <w:spacing w:after="0"/>
              <w:rPr>
                <w:sz w:val="4"/>
                <w:szCs w:val="4"/>
                <w:color w:val="auto"/>
              </w:rPr>
            </w:pPr>
          </w:p>
        </w:tc>
        <w:tc>
          <w:tcPr>
            <w:tcW w:w="140" w:type="dxa"/>
            <w:vAlign w:val="bottom"/>
          </w:tcPr>
          <w:p>
            <w:pPr>
              <w:spacing w:after="0"/>
              <w:rPr>
                <w:sz w:val="4"/>
                <w:szCs w:val="4"/>
                <w:color w:val="auto"/>
              </w:rPr>
            </w:pPr>
          </w:p>
        </w:tc>
        <w:tc>
          <w:tcPr>
            <w:tcW w:w="1380" w:type="dxa"/>
            <w:vAlign w:val="bottom"/>
            <w:gridSpan w:val="3"/>
            <w:vMerge w:val="restart"/>
          </w:tcPr>
          <w:p>
            <w:pPr>
              <w:jc w:val="center"/>
              <w:ind w:left="150"/>
              <w:spacing w:after="0"/>
              <w:rPr>
                <w:sz w:val="20"/>
                <w:szCs w:val="20"/>
                <w:color w:val="auto"/>
              </w:rPr>
            </w:pPr>
            <w:r>
              <w:rPr>
                <w:rFonts w:ascii="Arial" w:cs="Arial" w:eastAsia="Arial" w:hAnsi="Arial"/>
                <w:sz w:val="14"/>
                <w:szCs w:val="14"/>
                <w:b w:val="1"/>
                <w:bCs w:val="1"/>
                <w:color w:val="auto"/>
                <w:w w:val="85"/>
              </w:rPr>
              <w:t>Change</w:t>
            </w:r>
          </w:p>
        </w:tc>
        <w:tc>
          <w:tcPr>
            <w:tcW w:w="36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07"/>
        </w:trPr>
        <w:tc>
          <w:tcPr>
            <w:tcW w:w="398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20" w:type="dxa"/>
            <w:vAlign w:val="bottom"/>
            <w:vMerge w:val="restart"/>
          </w:tcPr>
          <w:p>
            <w:pPr>
              <w:jc w:val="center"/>
              <w:ind w:right="46"/>
              <w:spacing w:after="0" w:line="149" w:lineRule="exact"/>
              <w:rPr>
                <w:sz w:val="20"/>
                <w:szCs w:val="20"/>
                <w:color w:val="auto"/>
              </w:rPr>
            </w:pPr>
            <w:r>
              <w:rPr>
                <w:rFonts w:ascii="Arial" w:cs="Arial" w:eastAsia="Arial" w:hAnsi="Arial"/>
                <w:sz w:val="14"/>
                <w:szCs w:val="14"/>
                <w:b w:val="1"/>
                <w:bCs w:val="1"/>
                <w:color w:val="auto"/>
                <w:w w:val="88"/>
              </w:rPr>
              <w:t>Ended</w:t>
            </w:r>
          </w:p>
        </w:tc>
        <w:tc>
          <w:tcPr>
            <w:tcW w:w="460" w:type="dxa"/>
            <w:vAlign w:val="bottom"/>
          </w:tcPr>
          <w:p>
            <w:pPr>
              <w:spacing w:after="0"/>
              <w:rPr>
                <w:sz w:val="9"/>
                <w:szCs w:val="9"/>
                <w:color w:val="auto"/>
              </w:rPr>
            </w:pPr>
          </w:p>
        </w:tc>
        <w:tc>
          <w:tcPr>
            <w:tcW w:w="900" w:type="dxa"/>
            <w:vAlign w:val="bottom"/>
            <w:gridSpan w:val="2"/>
            <w:vMerge w:val="restart"/>
          </w:tcPr>
          <w:p>
            <w:pPr>
              <w:jc w:val="center"/>
              <w:ind w:right="240"/>
              <w:spacing w:after="0" w:line="149" w:lineRule="exact"/>
              <w:rPr>
                <w:sz w:val="20"/>
                <w:szCs w:val="20"/>
                <w:color w:val="auto"/>
              </w:rPr>
            </w:pPr>
            <w:r>
              <w:rPr>
                <w:rFonts w:ascii="Arial" w:cs="Arial" w:eastAsia="Arial" w:hAnsi="Arial"/>
                <w:sz w:val="14"/>
                <w:szCs w:val="14"/>
                <w:b w:val="1"/>
                <w:bCs w:val="1"/>
                <w:color w:val="auto"/>
                <w:w w:val="88"/>
              </w:rPr>
              <w:t>and</w:t>
            </w:r>
          </w:p>
        </w:tc>
        <w:tc>
          <w:tcPr>
            <w:tcW w:w="22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00" w:type="dxa"/>
            <w:vAlign w:val="bottom"/>
            <w:vMerge w:val="restart"/>
          </w:tcPr>
          <w:p>
            <w:pPr>
              <w:jc w:val="center"/>
              <w:ind w:right="66"/>
              <w:spacing w:after="0" w:line="149" w:lineRule="exact"/>
              <w:rPr>
                <w:sz w:val="20"/>
                <w:szCs w:val="20"/>
                <w:color w:val="auto"/>
              </w:rPr>
            </w:pPr>
            <w:r>
              <w:rPr>
                <w:rFonts w:ascii="Arial" w:cs="Arial" w:eastAsia="Arial" w:hAnsi="Arial"/>
                <w:sz w:val="14"/>
                <w:szCs w:val="14"/>
                <w:b w:val="1"/>
                <w:bCs w:val="1"/>
                <w:color w:val="auto"/>
                <w:w w:val="87"/>
              </w:rPr>
              <w:t>Through</w:t>
            </w:r>
          </w:p>
        </w:tc>
        <w:tc>
          <w:tcPr>
            <w:tcW w:w="480" w:type="dxa"/>
            <w:vAlign w:val="bottom"/>
          </w:tcPr>
          <w:p>
            <w:pPr>
              <w:spacing w:after="0"/>
              <w:rPr>
                <w:sz w:val="9"/>
                <w:szCs w:val="9"/>
                <w:color w:val="auto"/>
              </w:rPr>
            </w:pPr>
          </w:p>
        </w:tc>
        <w:tc>
          <w:tcPr>
            <w:tcW w:w="640" w:type="dxa"/>
            <w:vAlign w:val="bottom"/>
            <w:vMerge w:val="restart"/>
          </w:tcPr>
          <w:p>
            <w:pPr>
              <w:jc w:val="center"/>
              <w:spacing w:after="0" w:line="149" w:lineRule="exact"/>
              <w:rPr>
                <w:sz w:val="20"/>
                <w:szCs w:val="20"/>
                <w:color w:val="auto"/>
              </w:rPr>
            </w:pPr>
            <w:r>
              <w:rPr>
                <w:rFonts w:ascii="Arial" w:cs="Arial" w:eastAsia="Arial" w:hAnsi="Arial"/>
                <w:sz w:val="14"/>
                <w:szCs w:val="14"/>
                <w:b w:val="1"/>
                <w:bCs w:val="1"/>
                <w:color w:val="auto"/>
                <w:w w:val="88"/>
              </w:rPr>
              <w:t>and</w:t>
            </w:r>
          </w:p>
        </w:tc>
        <w:tc>
          <w:tcPr>
            <w:tcW w:w="48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1380" w:type="dxa"/>
            <w:vAlign w:val="bottom"/>
            <w:tcBorders>
              <w:bottom w:val="single" w:sz="8" w:color="auto"/>
            </w:tcBorders>
            <w:gridSpan w:val="3"/>
            <w:vMerge w:val="continue"/>
          </w:tcPr>
          <w:p>
            <w:pPr>
              <w:spacing w:after="0"/>
              <w:rPr>
                <w:sz w:val="9"/>
                <w:szCs w:val="9"/>
                <w:color w:val="auto"/>
              </w:rPr>
            </w:pPr>
          </w:p>
        </w:tc>
        <w:tc>
          <w:tcPr>
            <w:tcW w:w="36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
        </w:trPr>
        <w:tc>
          <w:tcPr>
            <w:tcW w:w="39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20" w:type="dxa"/>
            <w:vAlign w:val="bottom"/>
            <w:vMerge w:val="continue"/>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900" w:type="dxa"/>
            <w:vAlign w:val="bottom"/>
            <w:gridSpan w:val="2"/>
            <w:vMerge w:val="continu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0" w:type="dxa"/>
            <w:vAlign w:val="bottom"/>
            <w:vMerge w:val="continue"/>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40" w:type="dxa"/>
            <w:vAlign w:val="bottom"/>
            <w:vMerge w:val="continue"/>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1"/>
        </w:trPr>
        <w:tc>
          <w:tcPr>
            <w:tcW w:w="3980" w:type="dxa"/>
            <w:vAlign w:val="bottom"/>
          </w:tcPr>
          <w:p>
            <w:pPr>
              <w:spacing w:after="0"/>
              <w:rPr>
                <w:sz w:val="14"/>
                <w:szCs w:val="14"/>
                <w:color w:val="auto"/>
              </w:rPr>
            </w:pPr>
          </w:p>
        </w:tc>
        <w:tc>
          <w:tcPr>
            <w:tcW w:w="114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85"/>
              </w:rPr>
              <w:t>September 30, 2010</w:t>
            </w:r>
          </w:p>
        </w:tc>
        <w:tc>
          <w:tcPr>
            <w:tcW w:w="460" w:type="dxa"/>
            <w:vAlign w:val="bottom"/>
          </w:tcPr>
          <w:p>
            <w:pPr>
              <w:spacing w:after="0"/>
              <w:rPr>
                <w:sz w:val="14"/>
                <w:szCs w:val="14"/>
                <w:color w:val="auto"/>
              </w:rPr>
            </w:pPr>
          </w:p>
        </w:tc>
        <w:tc>
          <w:tcPr>
            <w:tcW w:w="6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5"/>
              </w:rPr>
              <w:t>revenue</w:t>
            </w:r>
          </w:p>
        </w:tc>
        <w:tc>
          <w:tcPr>
            <w:tcW w:w="2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4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85"/>
              </w:rPr>
              <w:t>September 30, 2009</w:t>
            </w:r>
          </w:p>
        </w:tc>
        <w:tc>
          <w:tcPr>
            <w:tcW w:w="480" w:type="dxa"/>
            <w:vAlign w:val="bottom"/>
          </w:tcPr>
          <w:p>
            <w:pPr>
              <w:spacing w:after="0"/>
              <w:rPr>
                <w:sz w:val="14"/>
                <w:szCs w:val="14"/>
                <w:color w:val="auto"/>
              </w:rPr>
            </w:pPr>
          </w:p>
        </w:tc>
        <w:tc>
          <w:tcPr>
            <w:tcW w:w="6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1"/>
              </w:rPr>
              <w:t>revenue</w:t>
            </w:r>
          </w:p>
        </w:tc>
        <w:tc>
          <w:tcPr>
            <w:tcW w:w="48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ind w:right="150"/>
              <w:spacing w:after="0"/>
              <w:rPr>
                <w:sz w:val="20"/>
                <w:szCs w:val="20"/>
                <w:color w:val="auto"/>
              </w:rPr>
            </w:pPr>
            <w:r>
              <w:rPr>
                <w:rFonts w:ascii="Arial" w:cs="Arial" w:eastAsia="Arial" w:hAnsi="Arial"/>
                <w:sz w:val="14"/>
                <w:szCs w:val="14"/>
                <w:b w:val="1"/>
                <w:bCs w:val="1"/>
                <w:color w:val="auto"/>
                <w:w w:val="94"/>
              </w:rPr>
              <w:t>Amount</w:t>
            </w:r>
          </w:p>
        </w:tc>
        <w:tc>
          <w:tcPr>
            <w:tcW w:w="46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360" w:type="dxa"/>
            <w:vAlign w:val="bottom"/>
            <w:tcBorders>
              <w:bottom w:val="single" w:sz="8" w:color="auto"/>
            </w:tcBorders>
          </w:tcPr>
          <w:p>
            <w:pPr>
              <w:jc w:val="right"/>
              <w:ind w:right="122"/>
              <w:spacing w:after="0"/>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3980" w:type="dxa"/>
            <w:vAlign w:val="bottom"/>
            <w:shd w:val="clear" w:color="auto" w:fill="CCEEFF"/>
          </w:tcPr>
          <w:p>
            <w:pPr>
              <w:spacing w:after="0"/>
              <w:rPr>
                <w:sz w:val="20"/>
                <w:szCs w:val="20"/>
                <w:color w:val="auto"/>
              </w:rPr>
            </w:pPr>
            <w:r>
              <w:rPr>
                <w:rFonts w:ascii="Arial" w:cs="Arial" w:eastAsia="Arial" w:hAnsi="Arial"/>
                <w:sz w:val="18"/>
                <w:szCs w:val="18"/>
                <w:color w:val="auto"/>
              </w:rPr>
              <w:t>Selling, general and administrative expense</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2,710</w:t>
            </w:r>
          </w:p>
        </w:tc>
        <w:tc>
          <w:tcPr>
            <w:tcW w:w="136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8.0%</w:t>
            </w: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2,636</w:t>
            </w: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10.5%</w:t>
            </w:r>
          </w:p>
        </w:tc>
        <w:tc>
          <w:tcPr>
            <w:tcW w:w="6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74</w:t>
            </w:r>
          </w:p>
        </w:tc>
        <w:tc>
          <w:tcPr>
            <w:tcW w:w="180" w:type="dxa"/>
            <w:vAlign w:val="bottom"/>
            <w:shd w:val="clear" w:color="auto" w:fill="CCEEFF"/>
          </w:tcPr>
          <w:p>
            <w:pPr>
              <w:spacing w:after="0"/>
              <w:rPr>
                <w:sz w:val="18"/>
                <w:szCs w:val="18"/>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2"/>
              </w:rPr>
              <w:t>2.8%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154" w:lineRule="exact"/>
        <w:rPr>
          <w:sz w:val="20"/>
          <w:szCs w:val="20"/>
          <w:color w:val="auto"/>
        </w:rPr>
      </w:pPr>
    </w:p>
    <w:p>
      <w:pPr>
        <w:ind w:right="20" w:firstLine="228"/>
        <w:spacing w:after="0" w:line="255" w:lineRule="auto"/>
        <w:rPr>
          <w:sz w:val="20"/>
          <w:szCs w:val="20"/>
          <w:color w:val="auto"/>
        </w:rPr>
      </w:pPr>
      <w:r>
        <w:rPr>
          <w:rFonts w:ascii="Arial" w:cs="Arial" w:eastAsia="Arial" w:hAnsi="Arial"/>
          <w:sz w:val="18"/>
          <w:szCs w:val="18"/>
          <w:color w:val="auto"/>
        </w:rPr>
        <w:t>In the three months ended September 30, 2010 Selling, general and administrative expense increased compared to the period July 10, 2009 through September 30, 2009 by $74 million (or 2.8%) due to: (1) an increase in advertising and sales promotion expenses of $0.2 billion, primarily in GMNA for promotional campaigns to support the launch of new vehicles; partially offset by (2) a decrease in selling and marketing expenses of $0.2 billion due to non-recurring charges of $0.2 billion recorded in the period July 10, 2009 through September 30, 2009 for dealer wind-down costs for our Saturn dealers after plans to sell the Saturn brand and dealerships network were terminated.</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7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440" w:type="dxa"/>
            <w:vAlign w:val="bottom"/>
            <w:tcBorders>
              <w:bottom w:val="single" w:sz="8" w:color="auto"/>
            </w:tcBorders>
            <w:gridSpan w:val="2"/>
          </w:tcPr>
          <w:p>
            <w:pPr>
              <w:jc w:val="right"/>
              <w:ind w:right="180"/>
              <w:spacing w:after="0"/>
              <w:rPr>
                <w:sz w:val="20"/>
                <w:szCs w:val="20"/>
                <w:color w:val="auto"/>
              </w:rPr>
            </w:pPr>
            <w:r>
              <w:rPr>
                <w:rFonts w:ascii="Arial" w:cs="Arial" w:eastAsia="Arial" w:hAnsi="Arial"/>
                <w:sz w:val="14"/>
                <w:szCs w:val="14"/>
                <w:b w:val="1"/>
                <w:bCs w:val="1"/>
                <w:color w:val="auto"/>
              </w:rPr>
              <w:t>Successor</w:t>
            </w:r>
          </w:p>
        </w:tc>
        <w:tc>
          <w:tcPr>
            <w:tcW w:w="640" w:type="dxa"/>
            <w:vAlign w:val="bottom"/>
            <w:tcBorders>
              <w:bottom w:val="single" w:sz="8" w:color="auto"/>
            </w:tcBorders>
          </w:tcPr>
          <w:p>
            <w:pPr>
              <w:spacing w:after="0"/>
              <w:rPr>
                <w:sz w:val="14"/>
                <w:szCs w:val="14"/>
                <w:color w:val="auto"/>
              </w:rPr>
            </w:pPr>
          </w:p>
        </w:tc>
        <w:tc>
          <w:tcPr>
            <w:tcW w:w="560" w:type="dxa"/>
            <w:vAlign w:val="bottom"/>
            <w:tcBorders>
              <w:right w:val="single" w:sz="8" w:color="auto"/>
            </w:tcBorders>
          </w:tcPr>
          <w:p>
            <w:pPr>
              <w:spacing w:after="0"/>
              <w:rPr>
                <w:sz w:val="14"/>
                <w:szCs w:val="14"/>
                <w:color w:val="auto"/>
              </w:rPr>
            </w:pPr>
          </w:p>
        </w:tc>
        <w:tc>
          <w:tcPr>
            <w:tcW w:w="340" w:type="dxa"/>
            <w:vAlign w:val="bottom"/>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1760" w:type="dxa"/>
            <w:vAlign w:val="bottom"/>
            <w:tcBorders>
              <w:bottom w:val="single" w:sz="8" w:color="auto"/>
            </w:tcBorders>
            <w:gridSpan w:val="3"/>
          </w:tcPr>
          <w:p>
            <w:pPr>
              <w:ind w:left="600"/>
              <w:spacing w:after="0"/>
              <w:rPr>
                <w:sz w:val="20"/>
                <w:szCs w:val="20"/>
                <w:color w:val="auto"/>
              </w:rPr>
            </w:pPr>
            <w:r>
              <w:rPr>
                <w:rFonts w:ascii="Arial" w:cs="Arial" w:eastAsia="Arial" w:hAnsi="Arial"/>
                <w:sz w:val="14"/>
                <w:szCs w:val="14"/>
                <w:b w:val="1"/>
                <w:bCs w:val="1"/>
                <w:color w:val="auto"/>
              </w:rPr>
              <w:t>Predecessor</w:t>
            </w:r>
          </w:p>
        </w:tc>
        <w:tc>
          <w:tcPr>
            <w:tcW w:w="44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29"/>
        </w:trPr>
        <w:tc>
          <w:tcPr>
            <w:tcW w:w="37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40" w:type="dxa"/>
            <w:vAlign w:val="bottom"/>
          </w:tcPr>
          <w:p>
            <w:pPr>
              <w:jc w:val="center"/>
              <w:spacing w:after="0" w:line="129" w:lineRule="exact"/>
              <w:rPr>
                <w:sz w:val="20"/>
                <w:szCs w:val="20"/>
                <w:color w:val="auto"/>
              </w:rPr>
            </w:pPr>
            <w:r>
              <w:rPr>
                <w:rFonts w:ascii="Arial" w:cs="Arial" w:eastAsia="Arial" w:hAnsi="Arial"/>
                <w:sz w:val="14"/>
                <w:szCs w:val="14"/>
                <w:b w:val="1"/>
                <w:bCs w:val="1"/>
                <w:color w:val="auto"/>
                <w:w w:val="84"/>
              </w:rPr>
              <w:t>Percentage</w:t>
            </w:r>
          </w:p>
        </w:tc>
        <w:tc>
          <w:tcPr>
            <w:tcW w:w="560" w:type="dxa"/>
            <w:vAlign w:val="bottom"/>
            <w:tcBorders>
              <w:right w:val="single" w:sz="8" w:color="auto"/>
            </w:tcBorders>
          </w:tcPr>
          <w:p>
            <w:pPr>
              <w:spacing w:after="0"/>
              <w:rPr>
                <w:sz w:val="11"/>
                <w:szCs w:val="11"/>
                <w:color w:val="auto"/>
              </w:rPr>
            </w:pPr>
          </w:p>
        </w:tc>
        <w:tc>
          <w:tcPr>
            <w:tcW w:w="340" w:type="dxa"/>
            <w:vAlign w:val="bottom"/>
          </w:tcPr>
          <w:p>
            <w:pPr>
              <w:spacing w:after="0"/>
              <w:rPr>
                <w:sz w:val="11"/>
                <w:szCs w:val="11"/>
                <w:color w:val="auto"/>
              </w:rPr>
            </w:pPr>
          </w:p>
        </w:tc>
        <w:tc>
          <w:tcPr>
            <w:tcW w:w="960" w:type="dxa"/>
            <w:vAlign w:val="bottom"/>
            <w:gridSpan w:val="2"/>
          </w:tcPr>
          <w:p>
            <w:pPr>
              <w:jc w:val="center"/>
              <w:ind w:right="500"/>
              <w:spacing w:after="0" w:line="129" w:lineRule="exact"/>
              <w:rPr>
                <w:sz w:val="20"/>
                <w:szCs w:val="20"/>
                <w:color w:val="auto"/>
              </w:rPr>
            </w:pPr>
            <w:r>
              <w:rPr>
                <w:rFonts w:ascii="Arial" w:cs="Arial" w:eastAsia="Arial" w:hAnsi="Arial"/>
                <w:sz w:val="14"/>
                <w:szCs w:val="14"/>
                <w:b w:val="1"/>
                <w:bCs w:val="1"/>
                <w:color w:val="auto"/>
                <w:w w:val="87"/>
              </w:rPr>
              <w:t>July 1,</w:t>
            </w:r>
          </w:p>
        </w:tc>
        <w:tc>
          <w:tcPr>
            <w:tcW w:w="640" w:type="dxa"/>
            <w:vAlign w:val="bottom"/>
          </w:tcPr>
          <w:p>
            <w:pPr>
              <w:jc w:val="center"/>
              <w:spacing w:after="0" w:line="129" w:lineRule="exact"/>
              <w:rPr>
                <w:sz w:val="20"/>
                <w:szCs w:val="20"/>
                <w:color w:val="auto"/>
              </w:rPr>
            </w:pPr>
            <w:r>
              <w:rPr>
                <w:rFonts w:ascii="Arial" w:cs="Arial" w:eastAsia="Arial" w:hAnsi="Arial"/>
                <w:sz w:val="14"/>
                <w:szCs w:val="14"/>
                <w:b w:val="1"/>
                <w:bCs w:val="1"/>
                <w:color w:val="auto"/>
                <w:w w:val="84"/>
              </w:rPr>
              <w:t>Percentage</w:t>
            </w:r>
          </w:p>
        </w:tc>
        <w:tc>
          <w:tcPr>
            <w:tcW w:w="440" w:type="dxa"/>
            <w:vAlign w:val="bottom"/>
          </w:tcPr>
          <w:p>
            <w:pPr>
              <w:spacing w:after="0"/>
              <w:rPr>
                <w:sz w:val="11"/>
                <w:szCs w:val="11"/>
                <w:color w:val="auto"/>
              </w:rPr>
            </w:pPr>
          </w:p>
        </w:tc>
        <w:tc>
          <w:tcPr>
            <w:tcW w:w="680" w:type="dxa"/>
            <w:vAlign w:val="bottom"/>
          </w:tcPr>
          <w:p>
            <w:pPr>
              <w:jc w:val="center"/>
              <w:spacing w:after="0" w:line="129" w:lineRule="exact"/>
              <w:rPr>
                <w:sz w:val="20"/>
                <w:szCs w:val="20"/>
                <w:color w:val="auto"/>
              </w:rPr>
            </w:pPr>
            <w:r>
              <w:rPr>
                <w:rFonts w:ascii="Arial" w:cs="Arial" w:eastAsia="Arial" w:hAnsi="Arial"/>
                <w:sz w:val="14"/>
                <w:szCs w:val="14"/>
                <w:b w:val="1"/>
                <w:bCs w:val="1"/>
                <w:color w:val="auto"/>
                <w:w w:val="89"/>
              </w:rPr>
              <w:t>January 1,</w:t>
            </w:r>
          </w:p>
        </w:tc>
        <w:tc>
          <w:tcPr>
            <w:tcW w:w="440" w:type="dxa"/>
            <w:vAlign w:val="bottom"/>
          </w:tcPr>
          <w:p>
            <w:pPr>
              <w:spacing w:after="0"/>
              <w:rPr>
                <w:sz w:val="11"/>
                <w:szCs w:val="11"/>
                <w:color w:val="auto"/>
              </w:rPr>
            </w:pPr>
          </w:p>
        </w:tc>
        <w:tc>
          <w:tcPr>
            <w:tcW w:w="640" w:type="dxa"/>
            <w:vAlign w:val="bottom"/>
          </w:tcPr>
          <w:p>
            <w:pPr>
              <w:jc w:val="center"/>
              <w:spacing w:after="0" w:line="129" w:lineRule="exact"/>
              <w:rPr>
                <w:sz w:val="20"/>
                <w:szCs w:val="20"/>
                <w:color w:val="auto"/>
              </w:rPr>
            </w:pPr>
            <w:r>
              <w:rPr>
                <w:rFonts w:ascii="Arial" w:cs="Arial" w:eastAsia="Arial" w:hAnsi="Arial"/>
                <w:sz w:val="14"/>
                <w:szCs w:val="14"/>
                <w:b w:val="1"/>
                <w:bCs w:val="1"/>
                <w:color w:val="auto"/>
                <w:w w:val="84"/>
              </w:rPr>
              <w:t>Percentage</w:t>
            </w:r>
          </w:p>
        </w:tc>
        <w:tc>
          <w:tcPr>
            <w:tcW w:w="100" w:type="dxa"/>
            <w:vAlign w:val="bottom"/>
          </w:tcPr>
          <w:p>
            <w:pPr>
              <w:spacing w:after="0"/>
              <w:rPr>
                <w:sz w:val="11"/>
                <w:szCs w:val="11"/>
                <w:color w:val="auto"/>
              </w:rPr>
            </w:pPr>
          </w:p>
        </w:tc>
      </w:tr>
      <w:tr>
        <w:trPr>
          <w:trHeight w:val="149"/>
        </w:trPr>
        <w:tc>
          <w:tcPr>
            <w:tcW w:w="37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6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6"/>
              </w:rPr>
              <w:t>of Total</w:t>
            </w:r>
          </w:p>
        </w:tc>
        <w:tc>
          <w:tcPr>
            <w:tcW w:w="560" w:type="dxa"/>
            <w:vAlign w:val="bottom"/>
            <w:tcBorders>
              <w:right w:val="single" w:sz="8" w:color="auto"/>
            </w:tcBorders>
          </w:tcPr>
          <w:p>
            <w:pPr>
              <w:spacing w:after="0"/>
              <w:rPr>
                <w:sz w:val="12"/>
                <w:szCs w:val="12"/>
                <w:color w:val="auto"/>
              </w:rPr>
            </w:pPr>
          </w:p>
        </w:tc>
        <w:tc>
          <w:tcPr>
            <w:tcW w:w="860" w:type="dxa"/>
            <w:vAlign w:val="bottom"/>
            <w:gridSpan w:val="2"/>
          </w:tcPr>
          <w:p>
            <w:pPr>
              <w:jc w:val="center"/>
              <w:ind w:left="242"/>
              <w:spacing w:after="0" w:line="149" w:lineRule="exact"/>
              <w:rPr>
                <w:sz w:val="20"/>
                <w:szCs w:val="20"/>
                <w:color w:val="auto"/>
              </w:rPr>
            </w:pPr>
            <w:r>
              <w:rPr>
                <w:rFonts w:ascii="Arial" w:cs="Arial" w:eastAsia="Arial" w:hAnsi="Arial"/>
                <w:sz w:val="14"/>
                <w:szCs w:val="14"/>
                <w:b w:val="1"/>
                <w:bCs w:val="1"/>
                <w:color w:val="auto"/>
                <w:w w:val="83"/>
              </w:rPr>
              <w:t>2009</w:t>
            </w:r>
          </w:p>
        </w:tc>
        <w:tc>
          <w:tcPr>
            <w:tcW w:w="440" w:type="dxa"/>
            <w:vAlign w:val="bottom"/>
          </w:tcPr>
          <w:p>
            <w:pPr>
              <w:spacing w:after="0"/>
              <w:rPr>
                <w:sz w:val="12"/>
                <w:szCs w:val="12"/>
                <w:color w:val="auto"/>
              </w:rPr>
            </w:pPr>
          </w:p>
        </w:tc>
        <w:tc>
          <w:tcPr>
            <w:tcW w:w="6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6"/>
              </w:rPr>
              <w:t>of Total</w:t>
            </w:r>
          </w:p>
        </w:tc>
        <w:tc>
          <w:tcPr>
            <w:tcW w:w="1120" w:type="dxa"/>
            <w:vAlign w:val="bottom"/>
            <w:gridSpan w:val="2"/>
          </w:tcPr>
          <w:p>
            <w:pPr>
              <w:jc w:val="center"/>
              <w:ind w:left="362"/>
              <w:spacing w:after="0" w:line="149" w:lineRule="exact"/>
              <w:rPr>
                <w:sz w:val="20"/>
                <w:szCs w:val="20"/>
                <w:color w:val="auto"/>
              </w:rPr>
            </w:pPr>
            <w:r>
              <w:rPr>
                <w:rFonts w:ascii="Arial" w:cs="Arial" w:eastAsia="Arial" w:hAnsi="Arial"/>
                <w:sz w:val="14"/>
                <w:szCs w:val="14"/>
                <w:b w:val="1"/>
                <w:bCs w:val="1"/>
                <w:color w:val="auto"/>
                <w:w w:val="89"/>
              </w:rPr>
              <w:t>2009</w:t>
            </w:r>
          </w:p>
        </w:tc>
        <w:tc>
          <w:tcPr>
            <w:tcW w:w="440" w:type="dxa"/>
            <w:vAlign w:val="bottom"/>
          </w:tcPr>
          <w:p>
            <w:pPr>
              <w:spacing w:after="0"/>
              <w:rPr>
                <w:sz w:val="12"/>
                <w:szCs w:val="12"/>
                <w:color w:val="auto"/>
              </w:rPr>
            </w:pPr>
          </w:p>
        </w:tc>
        <w:tc>
          <w:tcPr>
            <w:tcW w:w="74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86"/>
              </w:rPr>
              <w:t>of Total</w:t>
            </w:r>
          </w:p>
        </w:tc>
      </w:tr>
      <w:tr>
        <w:trPr>
          <w:trHeight w:val="149"/>
        </w:trPr>
        <w:tc>
          <w:tcPr>
            <w:tcW w:w="37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40" w:type="dxa"/>
            <w:vAlign w:val="bottom"/>
            <w:gridSpan w:val="2"/>
          </w:tcPr>
          <w:p>
            <w:pPr>
              <w:jc w:val="center"/>
              <w:ind w:right="580"/>
              <w:spacing w:after="0" w:line="149" w:lineRule="exact"/>
              <w:rPr>
                <w:sz w:val="20"/>
                <w:szCs w:val="20"/>
                <w:color w:val="auto"/>
              </w:rPr>
            </w:pPr>
            <w:r>
              <w:rPr>
                <w:rFonts w:ascii="Arial" w:cs="Arial" w:eastAsia="Arial" w:hAnsi="Arial"/>
                <w:sz w:val="14"/>
                <w:szCs w:val="14"/>
                <w:b w:val="1"/>
                <w:bCs w:val="1"/>
                <w:color w:val="auto"/>
                <w:w w:val="88"/>
              </w:rPr>
              <w:t>Nine Months</w:t>
            </w:r>
          </w:p>
        </w:tc>
        <w:tc>
          <w:tcPr>
            <w:tcW w:w="6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0"/>
              </w:rPr>
              <w:t>net sales</w:t>
            </w:r>
          </w:p>
        </w:tc>
        <w:tc>
          <w:tcPr>
            <w:tcW w:w="560" w:type="dxa"/>
            <w:vAlign w:val="bottom"/>
            <w:tcBorders>
              <w:right w:val="single" w:sz="8" w:color="auto"/>
            </w:tcBorders>
          </w:tcPr>
          <w:p>
            <w:pPr>
              <w:spacing w:after="0"/>
              <w:rPr>
                <w:sz w:val="12"/>
                <w:szCs w:val="12"/>
                <w:color w:val="auto"/>
              </w:rPr>
            </w:pPr>
          </w:p>
        </w:tc>
        <w:tc>
          <w:tcPr>
            <w:tcW w:w="340" w:type="dxa"/>
            <w:vAlign w:val="bottom"/>
          </w:tcPr>
          <w:p>
            <w:pPr>
              <w:spacing w:after="0"/>
              <w:rPr>
                <w:sz w:val="12"/>
                <w:szCs w:val="12"/>
                <w:color w:val="auto"/>
              </w:rPr>
            </w:pPr>
          </w:p>
        </w:tc>
        <w:tc>
          <w:tcPr>
            <w:tcW w:w="960" w:type="dxa"/>
            <w:vAlign w:val="bottom"/>
            <w:gridSpan w:val="2"/>
          </w:tcPr>
          <w:p>
            <w:pPr>
              <w:jc w:val="center"/>
              <w:ind w:right="460"/>
              <w:spacing w:after="0" w:line="149" w:lineRule="exact"/>
              <w:rPr>
                <w:sz w:val="20"/>
                <w:szCs w:val="20"/>
                <w:color w:val="auto"/>
              </w:rPr>
            </w:pPr>
            <w:r>
              <w:rPr>
                <w:rFonts w:ascii="Arial" w:cs="Arial" w:eastAsia="Arial" w:hAnsi="Arial"/>
                <w:sz w:val="14"/>
                <w:szCs w:val="14"/>
                <w:b w:val="1"/>
                <w:bCs w:val="1"/>
                <w:color w:val="auto"/>
                <w:w w:val="87"/>
              </w:rPr>
              <w:t>Through</w:t>
            </w:r>
          </w:p>
        </w:tc>
        <w:tc>
          <w:tcPr>
            <w:tcW w:w="6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0"/>
              </w:rPr>
              <w:t>net sales</w:t>
            </w:r>
          </w:p>
        </w:tc>
        <w:tc>
          <w:tcPr>
            <w:tcW w:w="440" w:type="dxa"/>
            <w:vAlign w:val="bottom"/>
          </w:tcPr>
          <w:p>
            <w:pPr>
              <w:spacing w:after="0"/>
              <w:rPr>
                <w:sz w:val="12"/>
                <w:szCs w:val="12"/>
                <w:color w:val="auto"/>
              </w:rPr>
            </w:pPr>
          </w:p>
        </w:tc>
        <w:tc>
          <w:tcPr>
            <w:tcW w:w="6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1"/>
              </w:rPr>
              <w:t>Through</w:t>
            </w:r>
          </w:p>
        </w:tc>
        <w:tc>
          <w:tcPr>
            <w:tcW w:w="440" w:type="dxa"/>
            <w:vAlign w:val="bottom"/>
          </w:tcPr>
          <w:p>
            <w:pPr>
              <w:spacing w:after="0"/>
              <w:rPr>
                <w:sz w:val="12"/>
                <w:szCs w:val="12"/>
                <w:color w:val="auto"/>
              </w:rPr>
            </w:pPr>
          </w:p>
        </w:tc>
        <w:tc>
          <w:tcPr>
            <w:tcW w:w="74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80"/>
              </w:rPr>
              <w:t>net sales</w:t>
            </w:r>
          </w:p>
        </w:tc>
      </w:tr>
      <w:tr>
        <w:trPr>
          <w:trHeight w:val="149"/>
        </w:trPr>
        <w:tc>
          <w:tcPr>
            <w:tcW w:w="37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40" w:type="dxa"/>
            <w:vAlign w:val="bottom"/>
            <w:gridSpan w:val="2"/>
          </w:tcPr>
          <w:p>
            <w:pPr>
              <w:jc w:val="center"/>
              <w:ind w:right="580"/>
              <w:spacing w:after="0" w:line="149" w:lineRule="exact"/>
              <w:rPr>
                <w:sz w:val="20"/>
                <w:szCs w:val="20"/>
                <w:color w:val="auto"/>
              </w:rPr>
            </w:pPr>
            <w:r>
              <w:rPr>
                <w:rFonts w:ascii="Arial" w:cs="Arial" w:eastAsia="Arial" w:hAnsi="Arial"/>
                <w:sz w:val="14"/>
                <w:szCs w:val="14"/>
                <w:b w:val="1"/>
                <w:bCs w:val="1"/>
                <w:color w:val="auto"/>
                <w:w w:val="88"/>
              </w:rPr>
              <w:t>Ended</w:t>
            </w:r>
          </w:p>
        </w:tc>
        <w:tc>
          <w:tcPr>
            <w:tcW w:w="6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and</w:t>
            </w:r>
          </w:p>
        </w:tc>
        <w:tc>
          <w:tcPr>
            <w:tcW w:w="560" w:type="dxa"/>
            <w:vAlign w:val="bottom"/>
            <w:tcBorders>
              <w:right w:val="single" w:sz="8" w:color="auto"/>
            </w:tcBorders>
          </w:tcPr>
          <w:p>
            <w:pPr>
              <w:spacing w:after="0"/>
              <w:rPr>
                <w:sz w:val="12"/>
                <w:szCs w:val="12"/>
                <w:color w:val="auto"/>
              </w:rPr>
            </w:pPr>
          </w:p>
        </w:tc>
        <w:tc>
          <w:tcPr>
            <w:tcW w:w="340" w:type="dxa"/>
            <w:vAlign w:val="bottom"/>
          </w:tcPr>
          <w:p>
            <w:pPr>
              <w:spacing w:after="0"/>
              <w:rPr>
                <w:sz w:val="12"/>
                <w:szCs w:val="12"/>
                <w:color w:val="auto"/>
              </w:rPr>
            </w:pPr>
          </w:p>
        </w:tc>
        <w:tc>
          <w:tcPr>
            <w:tcW w:w="960" w:type="dxa"/>
            <w:vAlign w:val="bottom"/>
            <w:gridSpan w:val="2"/>
          </w:tcPr>
          <w:p>
            <w:pPr>
              <w:jc w:val="center"/>
              <w:ind w:right="460"/>
              <w:spacing w:after="0" w:line="149" w:lineRule="exact"/>
              <w:rPr>
                <w:sz w:val="20"/>
                <w:szCs w:val="20"/>
                <w:color w:val="auto"/>
              </w:rPr>
            </w:pPr>
            <w:r>
              <w:rPr>
                <w:rFonts w:ascii="Arial" w:cs="Arial" w:eastAsia="Arial" w:hAnsi="Arial"/>
                <w:sz w:val="14"/>
                <w:szCs w:val="14"/>
                <w:b w:val="1"/>
                <w:bCs w:val="1"/>
                <w:color w:val="auto"/>
                <w:w w:val="87"/>
              </w:rPr>
              <w:t>July 9,</w:t>
            </w:r>
          </w:p>
        </w:tc>
        <w:tc>
          <w:tcPr>
            <w:tcW w:w="6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0"/>
              </w:rPr>
              <w:t>and</w:t>
            </w:r>
          </w:p>
        </w:tc>
        <w:tc>
          <w:tcPr>
            <w:tcW w:w="440" w:type="dxa"/>
            <w:vAlign w:val="bottom"/>
          </w:tcPr>
          <w:p>
            <w:pPr>
              <w:spacing w:after="0"/>
              <w:rPr>
                <w:sz w:val="12"/>
                <w:szCs w:val="12"/>
                <w:color w:val="auto"/>
              </w:rPr>
            </w:pPr>
          </w:p>
        </w:tc>
        <w:tc>
          <w:tcPr>
            <w:tcW w:w="6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1"/>
              </w:rPr>
              <w:t>July 9,</w:t>
            </w:r>
          </w:p>
        </w:tc>
        <w:tc>
          <w:tcPr>
            <w:tcW w:w="440" w:type="dxa"/>
            <w:vAlign w:val="bottom"/>
          </w:tcPr>
          <w:p>
            <w:pPr>
              <w:spacing w:after="0"/>
              <w:rPr>
                <w:sz w:val="12"/>
                <w:szCs w:val="12"/>
                <w:color w:val="auto"/>
              </w:rPr>
            </w:pPr>
          </w:p>
        </w:tc>
        <w:tc>
          <w:tcPr>
            <w:tcW w:w="74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88"/>
              </w:rPr>
              <w:t>and</w:t>
            </w:r>
          </w:p>
        </w:tc>
      </w:tr>
      <w:tr>
        <w:trPr>
          <w:trHeight w:val="161"/>
        </w:trPr>
        <w:tc>
          <w:tcPr>
            <w:tcW w:w="37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14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85"/>
              </w:rPr>
              <w:t>September 30, 2010</w:t>
            </w:r>
          </w:p>
        </w:tc>
        <w:tc>
          <w:tcPr>
            <w:tcW w:w="440" w:type="dxa"/>
            <w:vAlign w:val="bottom"/>
          </w:tcPr>
          <w:p>
            <w:pPr>
              <w:spacing w:after="0"/>
              <w:rPr>
                <w:sz w:val="14"/>
                <w:szCs w:val="14"/>
                <w:color w:val="auto"/>
              </w:rPr>
            </w:pPr>
          </w:p>
        </w:tc>
        <w:tc>
          <w:tcPr>
            <w:tcW w:w="6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1"/>
              </w:rPr>
              <w:t>revenue</w:t>
            </w:r>
          </w:p>
        </w:tc>
        <w:tc>
          <w:tcPr>
            <w:tcW w:w="560" w:type="dxa"/>
            <w:vAlign w:val="bottom"/>
            <w:tcBorders>
              <w:right w:val="single" w:sz="8" w:color="auto"/>
            </w:tcBorders>
          </w:tcPr>
          <w:p>
            <w:pPr>
              <w:spacing w:after="0"/>
              <w:rPr>
                <w:sz w:val="14"/>
                <w:szCs w:val="14"/>
                <w:color w:val="auto"/>
              </w:rPr>
            </w:pPr>
          </w:p>
        </w:tc>
        <w:tc>
          <w:tcPr>
            <w:tcW w:w="340" w:type="dxa"/>
            <w:vAlign w:val="bottom"/>
          </w:tcPr>
          <w:p>
            <w:pPr>
              <w:spacing w:after="0"/>
              <w:rPr>
                <w:sz w:val="14"/>
                <w:szCs w:val="14"/>
                <w:color w:val="auto"/>
              </w:rPr>
            </w:pPr>
          </w:p>
        </w:tc>
        <w:tc>
          <w:tcPr>
            <w:tcW w:w="5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3"/>
              </w:rPr>
              <w:t>2009</w:t>
            </w:r>
          </w:p>
        </w:tc>
        <w:tc>
          <w:tcPr>
            <w:tcW w:w="440" w:type="dxa"/>
            <w:vAlign w:val="bottom"/>
          </w:tcPr>
          <w:p>
            <w:pPr>
              <w:spacing w:after="0"/>
              <w:rPr>
                <w:sz w:val="14"/>
                <w:szCs w:val="14"/>
                <w:color w:val="auto"/>
              </w:rPr>
            </w:pPr>
          </w:p>
        </w:tc>
        <w:tc>
          <w:tcPr>
            <w:tcW w:w="6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1"/>
              </w:rPr>
              <w:t>revenue</w:t>
            </w:r>
          </w:p>
        </w:tc>
        <w:tc>
          <w:tcPr>
            <w:tcW w:w="440" w:type="dxa"/>
            <w:vAlign w:val="bottom"/>
          </w:tcPr>
          <w:p>
            <w:pPr>
              <w:spacing w:after="0"/>
              <w:rPr>
                <w:sz w:val="14"/>
                <w:szCs w:val="14"/>
                <w:color w:val="auto"/>
              </w:rPr>
            </w:pPr>
          </w:p>
        </w:tc>
        <w:tc>
          <w:tcPr>
            <w:tcW w:w="6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2009</w:t>
            </w:r>
          </w:p>
        </w:tc>
        <w:tc>
          <w:tcPr>
            <w:tcW w:w="440" w:type="dxa"/>
            <w:vAlign w:val="bottom"/>
          </w:tcPr>
          <w:p>
            <w:pPr>
              <w:spacing w:after="0"/>
              <w:rPr>
                <w:sz w:val="14"/>
                <w:szCs w:val="14"/>
                <w:color w:val="auto"/>
              </w:rPr>
            </w:pPr>
          </w:p>
        </w:tc>
        <w:tc>
          <w:tcPr>
            <w:tcW w:w="6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1"/>
              </w:rPr>
              <w:t>revenue</w:t>
            </w:r>
          </w:p>
        </w:tc>
        <w:tc>
          <w:tcPr>
            <w:tcW w:w="100" w:type="dxa"/>
            <w:vAlign w:val="bottom"/>
          </w:tcPr>
          <w:p>
            <w:pPr>
              <w:spacing w:after="0"/>
              <w:rPr>
                <w:sz w:val="14"/>
                <w:szCs w:val="14"/>
                <w:color w:val="auto"/>
              </w:rPr>
            </w:pPr>
          </w:p>
        </w:tc>
      </w:tr>
      <w:tr>
        <w:trPr>
          <w:trHeight w:val="210"/>
        </w:trPr>
        <w:tc>
          <w:tcPr>
            <w:tcW w:w="3740" w:type="dxa"/>
            <w:vAlign w:val="bottom"/>
            <w:shd w:val="clear" w:color="auto" w:fill="CCEEFF"/>
          </w:tcPr>
          <w:p>
            <w:pPr>
              <w:spacing w:after="0"/>
              <w:rPr>
                <w:sz w:val="20"/>
                <w:szCs w:val="20"/>
                <w:color w:val="auto"/>
              </w:rPr>
            </w:pPr>
            <w:r>
              <w:rPr>
                <w:rFonts w:ascii="Arial" w:cs="Arial" w:eastAsia="Arial" w:hAnsi="Arial"/>
                <w:sz w:val="18"/>
                <w:szCs w:val="18"/>
                <w:color w:val="auto"/>
              </w:rPr>
              <w:t>Selling, general and administrative expense</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8,017</w:t>
            </w:r>
          </w:p>
        </w:tc>
        <w:tc>
          <w:tcPr>
            <w:tcW w:w="4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w:t>
            </w:r>
          </w:p>
        </w:tc>
        <w:tc>
          <w:tcPr>
            <w:tcW w:w="560" w:type="dxa"/>
            <w:vAlign w:val="bottom"/>
            <w:tcBorders>
              <w:right w:val="single" w:sz="8" w:color="auto"/>
            </w:tcBorders>
            <w:shd w:val="clear" w:color="auto" w:fill="CCEEFF"/>
          </w:tcPr>
          <w:p>
            <w:pPr>
              <w:spacing w:after="0"/>
              <w:rPr>
                <w:sz w:val="18"/>
                <w:szCs w:val="18"/>
                <w:color w:val="auto"/>
              </w:rPr>
            </w:pPr>
          </w:p>
        </w:tc>
        <w:tc>
          <w:tcPr>
            <w:tcW w:w="1300" w:type="dxa"/>
            <w:vAlign w:val="bottom"/>
            <w:gridSpan w:val="3"/>
            <w:shd w:val="clear" w:color="auto" w:fill="CCEEFF"/>
          </w:tcPr>
          <w:p>
            <w:pPr>
              <w:jc w:val="center"/>
              <w:ind w:right="100"/>
              <w:spacing w:after="0"/>
              <w:rPr>
                <w:sz w:val="20"/>
                <w:szCs w:val="20"/>
                <w:color w:val="auto"/>
              </w:rPr>
            </w:pPr>
            <w:r>
              <w:rPr>
                <w:rFonts w:ascii="Arial" w:cs="Arial" w:eastAsia="Arial" w:hAnsi="Arial"/>
                <w:sz w:val="18"/>
                <w:szCs w:val="18"/>
                <w:color w:val="auto"/>
              </w:rPr>
              <w:t>$  728</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44.5%</w:t>
            </w:r>
          </w:p>
        </w:tc>
        <w:tc>
          <w:tcPr>
            <w:tcW w:w="1120" w:type="dxa"/>
            <w:vAlign w:val="bottom"/>
            <w:gridSpan w:val="2"/>
            <w:shd w:val="clear" w:color="auto" w:fill="CCEEFF"/>
          </w:tcPr>
          <w:p>
            <w:pPr>
              <w:jc w:val="center"/>
              <w:ind w:left="362"/>
              <w:spacing w:after="0"/>
              <w:rPr>
                <w:sz w:val="20"/>
                <w:szCs w:val="20"/>
                <w:color w:val="auto"/>
              </w:rPr>
            </w:pPr>
            <w:r>
              <w:rPr>
                <w:rFonts w:ascii="Arial" w:cs="Arial" w:eastAsia="Arial" w:hAnsi="Arial"/>
                <w:sz w:val="18"/>
                <w:szCs w:val="18"/>
                <w:color w:val="auto"/>
              </w:rPr>
              <w:t>$  6,161</w:t>
            </w: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13.1%</w:t>
            </w:r>
          </w:p>
        </w:tc>
        <w:tc>
          <w:tcPr>
            <w:tcW w:w="100" w:type="dxa"/>
            <w:vAlign w:val="bottom"/>
            <w:shd w:val="clear" w:color="auto" w:fill="CCEEFF"/>
          </w:tcPr>
          <w:p>
            <w:pPr>
              <w:spacing w:after="0"/>
              <w:rPr>
                <w:sz w:val="18"/>
                <w:szCs w:val="18"/>
                <w:color w:val="auto"/>
              </w:rPr>
            </w:pPr>
          </w:p>
        </w:tc>
      </w:tr>
      <w:tr>
        <w:trPr>
          <w:trHeight w:val="363"/>
        </w:trPr>
        <w:tc>
          <w:tcPr>
            <w:tcW w:w="37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40" w:type="dxa"/>
            <w:vAlign w:val="bottom"/>
            <w:gridSpan w:val="2"/>
          </w:tcPr>
          <w:p>
            <w:pPr>
              <w:jc w:val="right"/>
              <w:ind w:right="140"/>
              <w:spacing w:after="0"/>
              <w:rPr>
                <w:sz w:val="20"/>
                <w:szCs w:val="20"/>
                <w:color w:val="auto"/>
              </w:rPr>
            </w:pPr>
            <w:r>
              <w:rPr>
                <w:rFonts w:ascii="Arial" w:cs="Arial" w:eastAsia="Arial" w:hAnsi="Arial"/>
                <w:sz w:val="18"/>
                <w:szCs w:val="18"/>
                <w:color w:val="auto"/>
              </w:rPr>
              <w:t>104</w:t>
            </w:r>
          </w:p>
        </w:tc>
        <w:tc>
          <w:tcPr>
            <w:tcW w:w="6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r>
    </w:tbl>
    <w:p>
      <w:pPr>
        <w:sectPr>
          <w:pgSz w:w="11900" w:h="16838" w:orient="portrait"/>
          <w:cols w:equalWidth="0" w:num="1">
            <w:col w:w="11420"/>
          </w:cols>
          <w:pgMar w:left="240" w:top="459" w:right="239" w:bottom="1440" w:gutter="0" w:footer="0" w:header="0"/>
        </w:sectPr>
      </w:pPr>
    </w:p>
    <w:bookmarkStart w:id="106" w:name="page107"/>
    <w:bookmarkEnd w:id="10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339"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GM</w:t>
      </w:r>
    </w:p>
    <w:p>
      <w:pPr>
        <w:spacing w:after="0" w:line="171" w:lineRule="exact"/>
        <w:rPr>
          <w:sz w:val="20"/>
          <w:szCs w:val="20"/>
          <w:color w:val="auto"/>
        </w:rPr>
      </w:pPr>
    </w:p>
    <w:p>
      <w:pPr>
        <w:jc w:val="both"/>
        <w:ind w:right="20" w:firstLine="228"/>
        <w:spacing w:after="0" w:line="306" w:lineRule="auto"/>
        <w:rPr>
          <w:sz w:val="20"/>
          <w:szCs w:val="20"/>
          <w:color w:val="auto"/>
        </w:rPr>
      </w:pPr>
      <w:r>
        <w:rPr>
          <w:rFonts w:ascii="Arial" w:cs="Arial" w:eastAsia="Arial" w:hAnsi="Arial"/>
          <w:sz w:val="16"/>
          <w:szCs w:val="16"/>
          <w:color w:val="auto"/>
        </w:rPr>
        <w:t>In the nine months ended September 30, 2010 Selling, general and administrative expense included: (1) administrative expenses of $3.2 billion; (2) advertising and sales promotion expenses of $3.4 billion to support media campaigns for our products, including expenses in GMNA of $2.2 billion, in GMIO of $0.6 billion, and in GME of $0.6 billion; and (3) selling and marketing expenses of $1.0 billion related to our dealerships.</w:t>
      </w:r>
    </w:p>
    <w:p>
      <w:pPr>
        <w:spacing w:after="0" w:line="107"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Old GM</w:t>
      </w:r>
    </w:p>
    <w:p>
      <w:pPr>
        <w:spacing w:after="0" w:line="171" w:lineRule="exact"/>
        <w:rPr>
          <w:sz w:val="20"/>
          <w:szCs w:val="20"/>
          <w:color w:val="auto"/>
        </w:rPr>
      </w:pPr>
    </w:p>
    <w:p>
      <w:pPr>
        <w:ind w:right="120" w:firstLine="228"/>
        <w:spacing w:after="0" w:line="298" w:lineRule="auto"/>
        <w:rPr>
          <w:sz w:val="20"/>
          <w:szCs w:val="20"/>
          <w:color w:val="auto"/>
        </w:rPr>
      </w:pPr>
      <w:r>
        <w:rPr>
          <w:rFonts w:ascii="Arial" w:cs="Arial" w:eastAsia="Arial" w:hAnsi="Arial"/>
          <w:sz w:val="16"/>
          <w:szCs w:val="16"/>
          <w:color w:val="auto"/>
        </w:rPr>
        <w:t>In the period January 1, 2009 through July 9, 2009 Selling, general and administrative expense included: (1) charges of $0.5 billion recorded for dealer wind-down costs in GMNA; and (2) a curtailment loss of $0.3 billion upon the interim remeasurement of the U.S. Salary Defined Benefit Pension Plan as a result of global salary workforce reductions. This was partially offset by the positive effects of various cost savings initiatives, the cancellation of certain sales and promotion contracts as a result of the Chapter 11 Proceedings in the U.S. and overall reductions in advertising and marketing budgets.</w:t>
      </w:r>
    </w:p>
    <w:p>
      <w:pPr>
        <w:spacing w:after="0" w:line="113"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Other Expenses, net</w:t>
      </w:r>
    </w:p>
    <w:p>
      <w:pPr>
        <w:spacing w:after="0" w:line="24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00" w:type="dxa"/>
            <w:vAlign w:val="bottom"/>
            <w:gridSpan w:val="4"/>
          </w:tcPr>
          <w:p>
            <w:pPr>
              <w:jc w:val="center"/>
              <w:ind w:right="220"/>
              <w:spacing w:after="0"/>
              <w:rPr>
                <w:sz w:val="20"/>
                <w:szCs w:val="20"/>
                <w:color w:val="auto"/>
              </w:rPr>
            </w:pPr>
            <w:r>
              <w:rPr>
                <w:rFonts w:ascii="Arial" w:cs="Arial" w:eastAsia="Arial" w:hAnsi="Arial"/>
                <w:sz w:val="14"/>
                <w:szCs w:val="14"/>
                <w:b w:val="1"/>
                <w:bCs w:val="1"/>
                <w:color w:val="auto"/>
                <w:w w:val="90"/>
              </w:rPr>
              <w:t>Three Months Ended</w:t>
            </w:r>
          </w:p>
        </w:tc>
        <w:tc>
          <w:tcPr>
            <w:tcW w:w="0" w:type="dxa"/>
            <w:vAlign w:val="bottom"/>
          </w:tcPr>
          <w:p>
            <w:pPr>
              <w:spacing w:after="0"/>
              <w:rPr>
                <w:sz w:val="1"/>
                <w:szCs w:val="1"/>
                <w:color w:val="auto"/>
              </w:rPr>
            </w:pPr>
          </w:p>
        </w:tc>
      </w:tr>
      <w:tr>
        <w:trPr>
          <w:trHeight w:val="161"/>
        </w:trPr>
        <w:tc>
          <w:tcPr>
            <w:tcW w:w="3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00" w:type="dxa"/>
            <w:vAlign w:val="bottom"/>
            <w:gridSpan w:val="2"/>
          </w:tcPr>
          <w:p>
            <w:pPr>
              <w:jc w:val="right"/>
              <w:ind w:right="72"/>
              <w:spacing w:after="0"/>
              <w:rPr>
                <w:sz w:val="20"/>
                <w:szCs w:val="20"/>
                <w:color w:val="auto"/>
              </w:rPr>
            </w:pPr>
            <w:r>
              <w:rPr>
                <w:rFonts w:ascii="Arial" w:cs="Arial" w:eastAsia="Arial" w:hAnsi="Arial"/>
                <w:sz w:val="14"/>
                <w:szCs w:val="14"/>
                <w:b w:val="1"/>
                <w:bCs w:val="1"/>
                <w:color w:val="auto"/>
                <w:w w:val="76"/>
              </w:rPr>
              <w:t>Successor</w:t>
            </w:r>
          </w:p>
        </w:tc>
        <w:tc>
          <w:tcPr>
            <w:tcW w:w="9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00" w:type="dxa"/>
            <w:vAlign w:val="bottom"/>
            <w:gridSpan w:val="4"/>
          </w:tcPr>
          <w:p>
            <w:pPr>
              <w:jc w:val="center"/>
              <w:ind w:right="240"/>
              <w:spacing w:after="0"/>
              <w:rPr>
                <w:sz w:val="20"/>
                <w:szCs w:val="20"/>
                <w:color w:val="auto"/>
              </w:rPr>
            </w:pPr>
            <w:r>
              <w:rPr>
                <w:rFonts w:ascii="Arial" w:cs="Arial" w:eastAsia="Arial" w:hAnsi="Arial"/>
                <w:sz w:val="14"/>
                <w:szCs w:val="14"/>
                <w:b w:val="1"/>
                <w:bCs w:val="1"/>
                <w:color w:val="auto"/>
                <w:w w:val="85"/>
              </w:rPr>
              <w:t>September 30, 2010</w:t>
            </w:r>
          </w:p>
        </w:tc>
        <w:tc>
          <w:tcPr>
            <w:tcW w:w="0" w:type="dxa"/>
            <w:vAlign w:val="bottom"/>
          </w:tcPr>
          <w:p>
            <w:pPr>
              <w:spacing w:after="0"/>
              <w:rPr>
                <w:sz w:val="1"/>
                <w:szCs w:val="1"/>
                <w:color w:val="auto"/>
              </w:rPr>
            </w:pPr>
          </w:p>
        </w:tc>
      </w:tr>
      <w:tr>
        <w:trPr>
          <w:trHeight w:val="27"/>
        </w:trPr>
        <w:tc>
          <w:tcPr>
            <w:tcW w:w="3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540" w:type="dxa"/>
            <w:vAlign w:val="bottom"/>
          </w:tcPr>
          <w:p>
            <w:pPr>
              <w:spacing w:after="0"/>
              <w:rPr>
                <w:sz w:val="2"/>
                <w:szCs w:val="2"/>
                <w:color w:val="auto"/>
              </w:rPr>
            </w:pPr>
          </w:p>
        </w:tc>
        <w:tc>
          <w:tcPr>
            <w:tcW w:w="740" w:type="dxa"/>
            <w:vAlign w:val="bottom"/>
          </w:tcPr>
          <w:p>
            <w:pPr>
              <w:spacing w:after="0"/>
              <w:rPr>
                <w:sz w:val="2"/>
                <w:szCs w:val="2"/>
                <w:color w:val="auto"/>
              </w:rPr>
            </w:pPr>
          </w:p>
        </w:tc>
        <w:tc>
          <w:tcPr>
            <w:tcW w:w="56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560" w:type="dxa"/>
            <w:vAlign w:val="bottom"/>
          </w:tcPr>
          <w:p>
            <w:pPr>
              <w:spacing w:after="0"/>
              <w:rPr>
                <w:sz w:val="2"/>
                <w:szCs w:val="2"/>
                <w:color w:val="auto"/>
              </w:rPr>
            </w:pPr>
          </w:p>
        </w:tc>
        <w:tc>
          <w:tcPr>
            <w:tcW w:w="1440" w:type="dxa"/>
            <w:vAlign w:val="bottom"/>
            <w:gridSpan w:val="2"/>
          </w:tcPr>
          <w:p>
            <w:pPr>
              <w:spacing w:after="0"/>
              <w:rPr>
                <w:sz w:val="2"/>
                <w:szCs w:val="2"/>
                <w:color w:val="auto"/>
              </w:rPr>
            </w:pPr>
          </w:p>
        </w:tc>
        <w:tc>
          <w:tcPr>
            <w:tcW w:w="140" w:type="dxa"/>
            <w:vAlign w:val="bottom"/>
          </w:tcPr>
          <w:p>
            <w:pPr>
              <w:spacing w:after="0"/>
              <w:rPr>
                <w:sz w:val="2"/>
                <w:szCs w:val="2"/>
                <w:color w:val="auto"/>
              </w:rPr>
            </w:pPr>
          </w:p>
        </w:tc>
        <w:tc>
          <w:tcPr>
            <w:tcW w:w="2000" w:type="dxa"/>
            <w:vAlign w:val="bottom"/>
            <w:gridSpan w:val="4"/>
            <w:vMerge w:val="restart"/>
          </w:tcPr>
          <w:p>
            <w:pPr>
              <w:jc w:val="center"/>
              <w:ind w:right="240"/>
              <w:spacing w:after="0"/>
              <w:rPr>
                <w:sz w:val="20"/>
                <w:szCs w:val="20"/>
                <w:color w:val="auto"/>
              </w:rPr>
            </w:pPr>
            <w:r>
              <w:rPr>
                <w:rFonts w:ascii="Arial" w:cs="Arial" w:eastAsia="Arial" w:hAnsi="Arial"/>
                <w:sz w:val="14"/>
                <w:szCs w:val="14"/>
                <w:b w:val="1"/>
                <w:bCs w:val="1"/>
                <w:color w:val="auto"/>
                <w:w w:val="86"/>
              </w:rPr>
              <w:t>vs. Period July 10, 2009</w:t>
            </w:r>
          </w:p>
        </w:tc>
        <w:tc>
          <w:tcPr>
            <w:tcW w:w="0" w:type="dxa"/>
            <w:vAlign w:val="bottom"/>
          </w:tcPr>
          <w:p>
            <w:pPr>
              <w:spacing w:after="0"/>
              <w:rPr>
                <w:sz w:val="1"/>
                <w:szCs w:val="1"/>
                <w:color w:val="auto"/>
              </w:rPr>
            </w:pPr>
          </w:p>
        </w:tc>
      </w:tr>
      <w:tr>
        <w:trPr>
          <w:trHeight w:val="115"/>
        </w:trPr>
        <w:tc>
          <w:tcPr>
            <w:tcW w:w="3180" w:type="dxa"/>
            <w:vAlign w:val="bottom"/>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1020" w:type="dxa"/>
            <w:vAlign w:val="bottom"/>
            <w:tcBorders>
              <w:top w:val="single" w:sz="8" w:color="auto"/>
            </w:tcBorders>
          </w:tcPr>
          <w:p>
            <w:pPr>
              <w:spacing w:after="0"/>
              <w:rPr>
                <w:sz w:val="10"/>
                <w:szCs w:val="10"/>
                <w:color w:val="auto"/>
              </w:rPr>
            </w:pPr>
          </w:p>
        </w:tc>
        <w:tc>
          <w:tcPr>
            <w:tcW w:w="540" w:type="dxa"/>
            <w:vAlign w:val="bottom"/>
            <w:tcBorders>
              <w:top w:val="single" w:sz="8" w:color="auto"/>
            </w:tcBorders>
          </w:tcPr>
          <w:p>
            <w:pPr>
              <w:spacing w:after="0"/>
              <w:rPr>
                <w:sz w:val="10"/>
                <w:szCs w:val="10"/>
                <w:color w:val="auto"/>
              </w:rPr>
            </w:pPr>
          </w:p>
        </w:tc>
        <w:tc>
          <w:tcPr>
            <w:tcW w:w="740" w:type="dxa"/>
            <w:vAlign w:val="bottom"/>
            <w:tcBorders>
              <w:top w:val="single" w:sz="8" w:color="auto"/>
            </w:tcBorders>
          </w:tcPr>
          <w:p>
            <w:pPr>
              <w:jc w:val="center"/>
              <w:spacing w:after="0" w:line="115" w:lineRule="exact"/>
              <w:rPr>
                <w:sz w:val="20"/>
                <w:szCs w:val="20"/>
                <w:color w:val="auto"/>
              </w:rPr>
            </w:pPr>
            <w:r>
              <w:rPr>
                <w:rFonts w:ascii="Arial" w:cs="Arial" w:eastAsia="Arial" w:hAnsi="Arial"/>
                <w:sz w:val="12"/>
                <w:szCs w:val="12"/>
                <w:b w:val="1"/>
                <w:bCs w:val="1"/>
                <w:color w:val="auto"/>
                <w:w w:val="95"/>
              </w:rPr>
              <w:t>Percentage</w:t>
            </w:r>
          </w:p>
        </w:tc>
        <w:tc>
          <w:tcPr>
            <w:tcW w:w="560" w:type="dxa"/>
            <w:vAlign w:val="bottom"/>
            <w:tcBorders>
              <w:top w:val="single" w:sz="8" w:color="auto"/>
            </w:tcBorders>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980" w:type="dxa"/>
            <w:vAlign w:val="bottom"/>
            <w:tcBorders>
              <w:top w:val="single" w:sz="8" w:color="auto"/>
            </w:tcBorders>
          </w:tcPr>
          <w:p>
            <w:pPr>
              <w:spacing w:after="0"/>
              <w:rPr>
                <w:sz w:val="10"/>
                <w:szCs w:val="10"/>
                <w:color w:val="auto"/>
              </w:rPr>
            </w:pPr>
          </w:p>
        </w:tc>
        <w:tc>
          <w:tcPr>
            <w:tcW w:w="560" w:type="dxa"/>
            <w:vAlign w:val="bottom"/>
            <w:tcBorders>
              <w:top w:val="single" w:sz="8" w:color="auto"/>
            </w:tcBorders>
          </w:tcPr>
          <w:p>
            <w:pPr>
              <w:spacing w:after="0"/>
              <w:rPr>
                <w:sz w:val="10"/>
                <w:szCs w:val="10"/>
                <w:color w:val="auto"/>
              </w:rPr>
            </w:pPr>
          </w:p>
        </w:tc>
        <w:tc>
          <w:tcPr>
            <w:tcW w:w="740" w:type="dxa"/>
            <w:vAlign w:val="bottom"/>
            <w:tcBorders>
              <w:top w:val="single" w:sz="8" w:color="auto"/>
            </w:tcBorders>
          </w:tcPr>
          <w:p>
            <w:pPr>
              <w:jc w:val="center"/>
              <w:spacing w:after="0" w:line="115" w:lineRule="exact"/>
              <w:rPr>
                <w:sz w:val="20"/>
                <w:szCs w:val="20"/>
                <w:color w:val="auto"/>
              </w:rPr>
            </w:pPr>
            <w:r>
              <w:rPr>
                <w:rFonts w:ascii="Arial" w:cs="Arial" w:eastAsia="Arial" w:hAnsi="Arial"/>
                <w:sz w:val="12"/>
                <w:szCs w:val="12"/>
                <w:b w:val="1"/>
                <w:bCs w:val="1"/>
                <w:color w:val="auto"/>
                <w:w w:val="98"/>
              </w:rPr>
              <w:t>Percentage</w:t>
            </w:r>
          </w:p>
        </w:tc>
        <w:tc>
          <w:tcPr>
            <w:tcW w:w="7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000" w:type="dxa"/>
            <w:vAlign w:val="bottom"/>
            <w:gridSpan w:val="4"/>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3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tcPr>
          <w:p>
            <w:pPr>
              <w:jc w:val="center"/>
              <w:ind w:right="46"/>
              <w:spacing w:after="0" w:line="149" w:lineRule="exact"/>
              <w:rPr>
                <w:sz w:val="20"/>
                <w:szCs w:val="20"/>
                <w:color w:val="auto"/>
              </w:rPr>
            </w:pPr>
            <w:r>
              <w:rPr>
                <w:rFonts w:ascii="Arial" w:cs="Arial" w:eastAsia="Arial" w:hAnsi="Arial"/>
                <w:sz w:val="14"/>
                <w:szCs w:val="14"/>
                <w:b w:val="1"/>
                <w:bCs w:val="1"/>
                <w:color w:val="auto"/>
                <w:w w:val="89"/>
              </w:rPr>
              <w:t>Three Months</w:t>
            </w:r>
          </w:p>
        </w:tc>
        <w:tc>
          <w:tcPr>
            <w:tcW w:w="540" w:type="dxa"/>
            <w:vAlign w:val="bottom"/>
          </w:tcPr>
          <w:p>
            <w:pPr>
              <w:spacing w:after="0"/>
              <w:rPr>
                <w:sz w:val="12"/>
                <w:szCs w:val="12"/>
                <w:color w:val="auto"/>
              </w:rPr>
            </w:pPr>
          </w:p>
        </w:tc>
        <w:tc>
          <w:tcPr>
            <w:tcW w:w="7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of Total</w:t>
            </w:r>
          </w:p>
        </w:tc>
        <w:tc>
          <w:tcPr>
            <w:tcW w:w="5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540" w:type="dxa"/>
            <w:vAlign w:val="bottom"/>
            <w:gridSpan w:val="2"/>
          </w:tcPr>
          <w:p>
            <w:pPr>
              <w:jc w:val="center"/>
              <w:ind w:right="700"/>
              <w:spacing w:after="0" w:line="149" w:lineRule="exact"/>
              <w:rPr>
                <w:sz w:val="20"/>
                <w:szCs w:val="20"/>
                <w:color w:val="auto"/>
              </w:rPr>
            </w:pPr>
            <w:r>
              <w:rPr>
                <w:rFonts w:ascii="Arial" w:cs="Arial" w:eastAsia="Arial" w:hAnsi="Arial"/>
                <w:sz w:val="14"/>
                <w:szCs w:val="14"/>
                <w:b w:val="1"/>
                <w:bCs w:val="1"/>
                <w:color w:val="auto"/>
                <w:w w:val="87"/>
              </w:rPr>
              <w:t>July 10, 2009</w:t>
            </w:r>
          </w:p>
        </w:tc>
        <w:tc>
          <w:tcPr>
            <w:tcW w:w="1440" w:type="dxa"/>
            <w:vAlign w:val="bottom"/>
            <w:gridSpan w:val="2"/>
          </w:tcPr>
          <w:p>
            <w:pPr>
              <w:jc w:val="center"/>
              <w:ind w:right="700"/>
              <w:spacing w:after="0" w:line="149" w:lineRule="exact"/>
              <w:rPr>
                <w:sz w:val="20"/>
                <w:szCs w:val="20"/>
                <w:color w:val="auto"/>
              </w:rPr>
            </w:pPr>
            <w:r>
              <w:rPr>
                <w:rFonts w:ascii="Arial" w:cs="Arial" w:eastAsia="Arial" w:hAnsi="Arial"/>
                <w:sz w:val="14"/>
                <w:szCs w:val="14"/>
                <w:b w:val="1"/>
                <w:bCs w:val="1"/>
                <w:color w:val="auto"/>
                <w:w w:val="90"/>
              </w:rPr>
              <w:t>of Total</w:t>
            </w:r>
          </w:p>
        </w:tc>
        <w:tc>
          <w:tcPr>
            <w:tcW w:w="140" w:type="dxa"/>
            <w:vAlign w:val="bottom"/>
          </w:tcPr>
          <w:p>
            <w:pPr>
              <w:spacing w:after="0"/>
              <w:rPr>
                <w:sz w:val="12"/>
                <w:szCs w:val="12"/>
                <w:color w:val="auto"/>
              </w:rPr>
            </w:pPr>
          </w:p>
        </w:tc>
        <w:tc>
          <w:tcPr>
            <w:tcW w:w="1300" w:type="dxa"/>
            <w:vAlign w:val="bottom"/>
            <w:gridSpan w:val="2"/>
          </w:tcPr>
          <w:p>
            <w:pPr>
              <w:jc w:val="center"/>
              <w:ind w:left="410"/>
              <w:spacing w:after="0" w:line="149" w:lineRule="exact"/>
              <w:rPr>
                <w:sz w:val="20"/>
                <w:szCs w:val="20"/>
                <w:color w:val="auto"/>
              </w:rPr>
            </w:pPr>
            <w:r>
              <w:rPr>
                <w:rFonts w:ascii="Arial" w:cs="Arial" w:eastAsia="Arial" w:hAnsi="Arial"/>
                <w:sz w:val="14"/>
                <w:szCs w:val="14"/>
                <w:b w:val="1"/>
                <w:bCs w:val="1"/>
                <w:color w:val="auto"/>
                <w:w w:val="87"/>
              </w:rPr>
              <w:t>Through</w:t>
            </w: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3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20" w:type="dxa"/>
            <w:vAlign w:val="bottom"/>
          </w:tcPr>
          <w:p>
            <w:pPr>
              <w:jc w:val="center"/>
              <w:ind w:right="46"/>
              <w:spacing w:after="0" w:line="129" w:lineRule="exact"/>
              <w:rPr>
                <w:sz w:val="20"/>
                <w:szCs w:val="20"/>
                <w:color w:val="auto"/>
              </w:rPr>
            </w:pPr>
            <w:r>
              <w:rPr>
                <w:rFonts w:ascii="Arial" w:cs="Arial" w:eastAsia="Arial" w:hAnsi="Arial"/>
                <w:sz w:val="14"/>
                <w:szCs w:val="14"/>
                <w:b w:val="1"/>
                <w:bCs w:val="1"/>
                <w:color w:val="auto"/>
                <w:w w:val="88"/>
              </w:rPr>
              <w:t>Ended</w:t>
            </w:r>
          </w:p>
        </w:tc>
        <w:tc>
          <w:tcPr>
            <w:tcW w:w="540" w:type="dxa"/>
            <w:vAlign w:val="bottom"/>
          </w:tcPr>
          <w:p>
            <w:pPr>
              <w:spacing w:after="0"/>
              <w:rPr>
                <w:sz w:val="11"/>
                <w:szCs w:val="11"/>
                <w:color w:val="auto"/>
              </w:rPr>
            </w:pPr>
          </w:p>
        </w:tc>
        <w:tc>
          <w:tcPr>
            <w:tcW w:w="740" w:type="dxa"/>
            <w:vAlign w:val="bottom"/>
          </w:tcPr>
          <w:p>
            <w:pPr>
              <w:jc w:val="center"/>
              <w:spacing w:after="0" w:line="129" w:lineRule="exact"/>
              <w:rPr>
                <w:sz w:val="20"/>
                <w:szCs w:val="20"/>
                <w:color w:val="auto"/>
              </w:rPr>
            </w:pPr>
            <w:r>
              <w:rPr>
                <w:rFonts w:ascii="Arial" w:cs="Arial" w:eastAsia="Arial" w:hAnsi="Arial"/>
                <w:sz w:val="14"/>
                <w:szCs w:val="14"/>
                <w:b w:val="1"/>
                <w:bCs w:val="1"/>
                <w:color w:val="auto"/>
                <w:w w:val="83"/>
              </w:rPr>
              <w:t>net sales and</w:t>
            </w:r>
          </w:p>
        </w:tc>
        <w:tc>
          <w:tcPr>
            <w:tcW w:w="5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540" w:type="dxa"/>
            <w:vAlign w:val="bottom"/>
            <w:gridSpan w:val="2"/>
          </w:tcPr>
          <w:p>
            <w:pPr>
              <w:jc w:val="center"/>
              <w:ind w:right="700"/>
              <w:spacing w:after="0" w:line="129" w:lineRule="exact"/>
              <w:rPr>
                <w:sz w:val="20"/>
                <w:szCs w:val="20"/>
                <w:color w:val="auto"/>
              </w:rPr>
            </w:pPr>
            <w:r>
              <w:rPr>
                <w:rFonts w:ascii="Arial" w:cs="Arial" w:eastAsia="Arial" w:hAnsi="Arial"/>
                <w:sz w:val="14"/>
                <w:szCs w:val="14"/>
                <w:b w:val="1"/>
                <w:bCs w:val="1"/>
                <w:color w:val="auto"/>
                <w:w w:val="91"/>
              </w:rPr>
              <w:t>Through</w:t>
            </w:r>
          </w:p>
        </w:tc>
        <w:tc>
          <w:tcPr>
            <w:tcW w:w="1440" w:type="dxa"/>
            <w:vAlign w:val="bottom"/>
            <w:gridSpan w:val="2"/>
          </w:tcPr>
          <w:p>
            <w:pPr>
              <w:jc w:val="center"/>
              <w:ind w:right="700"/>
              <w:spacing w:after="0" w:line="129" w:lineRule="exact"/>
              <w:rPr>
                <w:sz w:val="20"/>
                <w:szCs w:val="20"/>
                <w:color w:val="auto"/>
              </w:rPr>
            </w:pPr>
            <w:r>
              <w:rPr>
                <w:rFonts w:ascii="Arial" w:cs="Arial" w:eastAsia="Arial" w:hAnsi="Arial"/>
                <w:sz w:val="14"/>
                <w:szCs w:val="14"/>
                <w:b w:val="1"/>
                <w:bCs w:val="1"/>
                <w:color w:val="auto"/>
                <w:w w:val="83"/>
              </w:rPr>
              <w:t>net sales and</w:t>
            </w:r>
          </w:p>
        </w:tc>
        <w:tc>
          <w:tcPr>
            <w:tcW w:w="140" w:type="dxa"/>
            <w:vAlign w:val="bottom"/>
            <w:tcBorders>
              <w:bottom w:val="single" w:sz="8" w:color="auto"/>
            </w:tcBorders>
          </w:tcPr>
          <w:p>
            <w:pPr>
              <w:spacing w:after="0"/>
              <w:rPr>
                <w:sz w:val="11"/>
                <w:szCs w:val="11"/>
                <w:color w:val="auto"/>
              </w:rPr>
            </w:pPr>
          </w:p>
        </w:tc>
        <w:tc>
          <w:tcPr>
            <w:tcW w:w="1900" w:type="dxa"/>
            <w:vAlign w:val="bottom"/>
            <w:tcBorders>
              <w:bottom w:val="single" w:sz="8" w:color="auto"/>
            </w:tcBorders>
            <w:gridSpan w:val="3"/>
          </w:tcPr>
          <w:p>
            <w:pPr>
              <w:jc w:val="center"/>
              <w:ind w:right="62"/>
              <w:spacing w:after="0" w:line="115" w:lineRule="exact"/>
              <w:rPr>
                <w:sz w:val="20"/>
                <w:szCs w:val="20"/>
                <w:color w:val="auto"/>
              </w:rPr>
            </w:pPr>
            <w:r>
              <w:rPr>
                <w:rFonts w:ascii="Arial" w:cs="Arial" w:eastAsia="Arial" w:hAnsi="Arial"/>
                <w:sz w:val="12"/>
                <w:szCs w:val="12"/>
                <w:b w:val="1"/>
                <w:bCs w:val="1"/>
                <w:color w:val="auto"/>
              </w:rPr>
              <w:t>September 30, 2009 Change</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9"/>
        </w:trPr>
        <w:tc>
          <w:tcPr>
            <w:tcW w:w="3180" w:type="dxa"/>
            <w:vAlign w:val="bottom"/>
          </w:tcPr>
          <w:p>
            <w:pPr>
              <w:spacing w:after="0"/>
              <w:rPr>
                <w:sz w:val="14"/>
                <w:szCs w:val="14"/>
                <w:color w:val="auto"/>
              </w:rPr>
            </w:pPr>
          </w:p>
        </w:tc>
        <w:tc>
          <w:tcPr>
            <w:tcW w:w="1140" w:type="dxa"/>
            <w:vAlign w:val="bottom"/>
            <w:gridSpan w:val="2"/>
          </w:tcPr>
          <w:p>
            <w:pPr>
              <w:jc w:val="center"/>
              <w:spacing w:after="0"/>
              <w:rPr>
                <w:sz w:val="20"/>
                <w:szCs w:val="20"/>
                <w:color w:val="auto"/>
              </w:rPr>
            </w:pPr>
            <w:r>
              <w:rPr>
                <w:rFonts w:ascii="Arial" w:cs="Arial" w:eastAsia="Arial" w:hAnsi="Arial"/>
                <w:sz w:val="14"/>
                <w:szCs w:val="14"/>
                <w:b w:val="1"/>
                <w:bCs w:val="1"/>
                <w:color w:val="auto"/>
                <w:w w:val="87"/>
              </w:rPr>
              <w:t>September 30, 2010</w:t>
            </w:r>
          </w:p>
        </w:tc>
        <w:tc>
          <w:tcPr>
            <w:tcW w:w="540" w:type="dxa"/>
            <w:vAlign w:val="bottom"/>
          </w:tcPr>
          <w:p>
            <w:pPr>
              <w:spacing w:after="0"/>
              <w:rPr>
                <w:sz w:val="14"/>
                <w:szCs w:val="14"/>
                <w:color w:val="auto"/>
              </w:rPr>
            </w:pPr>
          </w:p>
        </w:tc>
        <w:tc>
          <w:tcPr>
            <w:tcW w:w="740" w:type="dxa"/>
            <w:vAlign w:val="bottom"/>
          </w:tcPr>
          <w:p>
            <w:pPr>
              <w:jc w:val="center"/>
              <w:spacing w:after="0"/>
              <w:rPr>
                <w:sz w:val="20"/>
                <w:szCs w:val="20"/>
                <w:color w:val="auto"/>
              </w:rPr>
            </w:pPr>
            <w:r>
              <w:rPr>
                <w:rFonts w:ascii="Arial" w:cs="Arial" w:eastAsia="Arial" w:hAnsi="Arial"/>
                <w:sz w:val="14"/>
                <w:szCs w:val="14"/>
                <w:b w:val="1"/>
                <w:bCs w:val="1"/>
                <w:color w:val="auto"/>
                <w:w w:val="85"/>
              </w:rPr>
              <w:t>revenue</w:t>
            </w:r>
          </w:p>
        </w:tc>
        <w:tc>
          <w:tcPr>
            <w:tcW w:w="560" w:type="dxa"/>
            <w:vAlign w:val="bottom"/>
          </w:tcPr>
          <w:p>
            <w:pPr>
              <w:spacing w:after="0"/>
              <w:rPr>
                <w:sz w:val="14"/>
                <w:szCs w:val="14"/>
                <w:color w:val="auto"/>
              </w:rPr>
            </w:pPr>
          </w:p>
        </w:tc>
        <w:tc>
          <w:tcPr>
            <w:tcW w:w="1680" w:type="dxa"/>
            <w:vAlign w:val="bottom"/>
            <w:gridSpan w:val="3"/>
          </w:tcPr>
          <w:p>
            <w:pPr>
              <w:jc w:val="center"/>
              <w:ind w:right="560"/>
              <w:spacing w:after="0"/>
              <w:rPr>
                <w:sz w:val="20"/>
                <w:szCs w:val="20"/>
                <w:color w:val="auto"/>
              </w:rPr>
            </w:pPr>
            <w:r>
              <w:rPr>
                <w:rFonts w:ascii="Arial" w:cs="Arial" w:eastAsia="Arial" w:hAnsi="Arial"/>
                <w:sz w:val="14"/>
                <w:szCs w:val="14"/>
                <w:b w:val="1"/>
                <w:bCs w:val="1"/>
                <w:color w:val="auto"/>
                <w:w w:val="85"/>
              </w:rPr>
              <w:t>September 30, 2009</w:t>
            </w:r>
          </w:p>
        </w:tc>
        <w:tc>
          <w:tcPr>
            <w:tcW w:w="1440" w:type="dxa"/>
            <w:vAlign w:val="bottom"/>
            <w:gridSpan w:val="2"/>
          </w:tcPr>
          <w:p>
            <w:pPr>
              <w:jc w:val="center"/>
              <w:ind w:right="700"/>
              <w:spacing w:after="0"/>
              <w:rPr>
                <w:sz w:val="20"/>
                <w:szCs w:val="20"/>
                <w:color w:val="auto"/>
              </w:rPr>
            </w:pPr>
            <w:r>
              <w:rPr>
                <w:rFonts w:ascii="Arial" w:cs="Arial" w:eastAsia="Arial" w:hAnsi="Arial"/>
                <w:sz w:val="14"/>
                <w:szCs w:val="14"/>
                <w:b w:val="1"/>
                <w:bCs w:val="1"/>
                <w:color w:val="auto"/>
                <w:w w:val="85"/>
              </w:rPr>
              <w:t>revenue</w:t>
            </w:r>
          </w:p>
        </w:tc>
        <w:tc>
          <w:tcPr>
            <w:tcW w:w="140" w:type="dxa"/>
            <w:vAlign w:val="bottom"/>
          </w:tcPr>
          <w:p>
            <w:pPr>
              <w:spacing w:after="0"/>
              <w:rPr>
                <w:sz w:val="14"/>
                <w:szCs w:val="14"/>
                <w:color w:val="auto"/>
              </w:rPr>
            </w:pPr>
          </w:p>
        </w:tc>
        <w:tc>
          <w:tcPr>
            <w:tcW w:w="1300" w:type="dxa"/>
            <w:vAlign w:val="bottom"/>
            <w:gridSpan w:val="2"/>
          </w:tcPr>
          <w:p>
            <w:pPr>
              <w:jc w:val="right"/>
              <w:ind w:right="760"/>
              <w:spacing w:after="0"/>
              <w:rPr>
                <w:sz w:val="20"/>
                <w:szCs w:val="20"/>
                <w:color w:val="auto"/>
              </w:rPr>
            </w:pPr>
            <w:r>
              <w:rPr>
                <w:rFonts w:ascii="Arial" w:cs="Arial" w:eastAsia="Arial" w:hAnsi="Arial"/>
                <w:sz w:val="14"/>
                <w:szCs w:val="14"/>
                <w:b w:val="1"/>
                <w:bCs w:val="1"/>
                <w:color w:val="auto"/>
                <w:w w:val="98"/>
              </w:rPr>
              <w:t>Amount</w:t>
            </w:r>
          </w:p>
        </w:tc>
        <w:tc>
          <w:tcPr>
            <w:tcW w:w="600" w:type="dxa"/>
            <w:vAlign w:val="bottom"/>
          </w:tcPr>
          <w:p>
            <w:pPr>
              <w:jc w:val="right"/>
              <w:ind w:right="162"/>
              <w:spacing w:after="0"/>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31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180" w:type="dxa"/>
            <w:vAlign w:val="bottom"/>
            <w:shd w:val="clear" w:color="auto" w:fill="CCEEFF"/>
          </w:tcPr>
          <w:p>
            <w:pPr>
              <w:spacing w:after="0"/>
              <w:rPr>
                <w:sz w:val="20"/>
                <w:szCs w:val="20"/>
                <w:color w:val="auto"/>
              </w:rPr>
            </w:pPr>
            <w:r>
              <w:rPr>
                <w:rFonts w:ascii="Arial" w:cs="Arial" w:eastAsia="Arial" w:hAnsi="Arial"/>
                <w:sz w:val="18"/>
                <w:szCs w:val="18"/>
                <w:color w:val="auto"/>
              </w:rPr>
              <w:t>Other expenses, net</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5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54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(40)</w:t>
            </w:r>
          </w:p>
        </w:tc>
        <w:tc>
          <w:tcPr>
            <w:tcW w:w="144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(0.2)%</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70</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175.0%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154" w:lineRule="exact"/>
        <w:rPr>
          <w:sz w:val="20"/>
          <w:szCs w:val="20"/>
          <w:color w:val="auto"/>
        </w:rPr>
      </w:pPr>
    </w:p>
    <w:p>
      <w:pPr>
        <w:ind w:right="540" w:firstLine="228"/>
        <w:spacing w:after="0" w:line="332" w:lineRule="auto"/>
        <w:rPr>
          <w:sz w:val="20"/>
          <w:szCs w:val="20"/>
          <w:color w:val="auto"/>
        </w:rPr>
      </w:pPr>
      <w:r>
        <w:rPr>
          <w:rFonts w:ascii="Arial" w:cs="Arial" w:eastAsia="Arial" w:hAnsi="Arial"/>
          <w:sz w:val="16"/>
          <w:szCs w:val="16"/>
          <w:color w:val="auto"/>
        </w:rPr>
        <w:t>In the three months ended September 30, 2010 Other expenses, net increased compared to the period July 10, 2009 through September 30, 2009 by $70 million (or 175.0%) primarily due to gains of $60 million recorded in GME in 2009 for changes in liabilities related to Saab.</w:t>
      </w:r>
    </w:p>
    <w:p>
      <w:pPr>
        <w:spacing w:after="0" w:line="12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90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1500" w:type="dxa"/>
            <w:vAlign w:val="bottom"/>
            <w:tcBorders>
              <w:bottom w:val="single" w:sz="8" w:color="auto"/>
            </w:tcBorders>
            <w:gridSpan w:val="2"/>
          </w:tcPr>
          <w:p>
            <w:pPr>
              <w:ind w:left="720"/>
              <w:spacing w:after="0"/>
              <w:rPr>
                <w:sz w:val="20"/>
                <w:szCs w:val="20"/>
                <w:color w:val="auto"/>
              </w:rPr>
            </w:pPr>
            <w:r>
              <w:rPr>
                <w:rFonts w:ascii="Arial" w:cs="Arial" w:eastAsia="Arial" w:hAnsi="Arial"/>
                <w:sz w:val="14"/>
                <w:szCs w:val="14"/>
                <w:b w:val="1"/>
                <w:bCs w:val="1"/>
                <w:color w:val="auto"/>
              </w:rPr>
              <w:t>Successor</w:t>
            </w:r>
          </w:p>
        </w:tc>
        <w:tc>
          <w:tcPr>
            <w:tcW w:w="640" w:type="dxa"/>
            <w:vAlign w:val="bottom"/>
            <w:tcBorders>
              <w:bottom w:val="single" w:sz="8" w:color="auto"/>
            </w:tcBorders>
          </w:tcPr>
          <w:p>
            <w:pPr>
              <w:spacing w:after="0"/>
              <w:rPr>
                <w:sz w:val="13"/>
                <w:szCs w:val="13"/>
                <w:color w:val="auto"/>
              </w:rPr>
            </w:pPr>
          </w:p>
        </w:tc>
        <w:tc>
          <w:tcPr>
            <w:tcW w:w="600" w:type="dxa"/>
            <w:vAlign w:val="bottom"/>
            <w:tcBorders>
              <w:right w:val="single" w:sz="8" w:color="auto"/>
            </w:tcBorders>
          </w:tcPr>
          <w:p>
            <w:pPr>
              <w:spacing w:after="0"/>
              <w:rPr>
                <w:sz w:val="13"/>
                <w:szCs w:val="13"/>
                <w:color w:val="auto"/>
              </w:rPr>
            </w:pPr>
          </w:p>
        </w:tc>
        <w:tc>
          <w:tcPr>
            <w:tcW w:w="40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600" w:type="dxa"/>
            <w:vAlign w:val="bottom"/>
            <w:tcBorders>
              <w:bottom w:val="single" w:sz="8" w:color="auto"/>
            </w:tcBorders>
          </w:tcPr>
          <w:p>
            <w:pPr>
              <w:spacing w:after="0"/>
              <w:rPr>
                <w:sz w:val="13"/>
                <w:szCs w:val="13"/>
                <w:color w:val="auto"/>
              </w:rPr>
            </w:pPr>
          </w:p>
        </w:tc>
        <w:tc>
          <w:tcPr>
            <w:tcW w:w="500" w:type="dxa"/>
            <w:vAlign w:val="bottom"/>
            <w:tcBorders>
              <w:bottom w:val="single" w:sz="8" w:color="auto"/>
            </w:tcBorders>
          </w:tcPr>
          <w:p>
            <w:pPr>
              <w:spacing w:after="0"/>
              <w:rPr>
                <w:sz w:val="13"/>
                <w:szCs w:val="13"/>
                <w:color w:val="auto"/>
              </w:rPr>
            </w:pPr>
          </w:p>
        </w:tc>
        <w:tc>
          <w:tcPr>
            <w:tcW w:w="1820" w:type="dxa"/>
            <w:vAlign w:val="bottom"/>
            <w:tcBorders>
              <w:bottom w:val="single" w:sz="8" w:color="auto"/>
            </w:tcBorders>
            <w:gridSpan w:val="3"/>
          </w:tcPr>
          <w:p>
            <w:pPr>
              <w:ind w:left="540"/>
              <w:spacing w:after="0"/>
              <w:rPr>
                <w:sz w:val="20"/>
                <w:szCs w:val="20"/>
                <w:color w:val="auto"/>
              </w:rPr>
            </w:pPr>
            <w:r>
              <w:rPr>
                <w:rFonts w:ascii="Arial" w:cs="Arial" w:eastAsia="Arial" w:hAnsi="Arial"/>
                <w:sz w:val="14"/>
                <w:szCs w:val="14"/>
                <w:b w:val="1"/>
                <w:bCs w:val="1"/>
                <w:color w:val="auto"/>
              </w:rPr>
              <w:t>Predecessor</w:t>
            </w:r>
          </w:p>
        </w:tc>
        <w:tc>
          <w:tcPr>
            <w:tcW w:w="500" w:type="dxa"/>
            <w:vAlign w:val="bottom"/>
            <w:tcBorders>
              <w:bottom w:val="single" w:sz="8" w:color="auto"/>
            </w:tcBorders>
          </w:tcPr>
          <w:p>
            <w:pPr>
              <w:spacing w:after="0"/>
              <w:rPr>
                <w:sz w:val="13"/>
                <w:szCs w:val="13"/>
                <w:color w:val="auto"/>
              </w:rPr>
            </w:pPr>
          </w:p>
        </w:tc>
        <w:tc>
          <w:tcPr>
            <w:tcW w:w="64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r>
      <w:tr>
        <w:trPr>
          <w:trHeight w:val="129"/>
        </w:trPr>
        <w:tc>
          <w:tcPr>
            <w:tcW w:w="39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40" w:type="dxa"/>
            <w:vAlign w:val="bottom"/>
          </w:tcPr>
          <w:p>
            <w:pPr>
              <w:jc w:val="center"/>
              <w:spacing w:after="0" w:line="129" w:lineRule="exact"/>
              <w:rPr>
                <w:sz w:val="20"/>
                <w:szCs w:val="20"/>
                <w:color w:val="auto"/>
              </w:rPr>
            </w:pPr>
            <w:r>
              <w:rPr>
                <w:rFonts w:ascii="Arial" w:cs="Arial" w:eastAsia="Arial" w:hAnsi="Arial"/>
                <w:sz w:val="14"/>
                <w:szCs w:val="14"/>
                <w:b w:val="1"/>
                <w:bCs w:val="1"/>
                <w:color w:val="auto"/>
                <w:w w:val="84"/>
              </w:rPr>
              <w:t>Percentage</w:t>
            </w:r>
          </w:p>
        </w:tc>
        <w:tc>
          <w:tcPr>
            <w:tcW w:w="600" w:type="dxa"/>
            <w:vAlign w:val="bottom"/>
            <w:tcBorders>
              <w:right w:val="single" w:sz="8" w:color="auto"/>
            </w:tcBorders>
          </w:tcPr>
          <w:p>
            <w:pPr>
              <w:spacing w:after="0"/>
              <w:rPr>
                <w:sz w:val="11"/>
                <w:szCs w:val="11"/>
                <w:color w:val="auto"/>
              </w:rPr>
            </w:pPr>
          </w:p>
        </w:tc>
        <w:tc>
          <w:tcPr>
            <w:tcW w:w="4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60" w:type="dxa"/>
            <w:vAlign w:val="bottom"/>
          </w:tcPr>
          <w:p>
            <w:pPr>
              <w:jc w:val="center"/>
              <w:spacing w:after="0" w:line="129" w:lineRule="exact"/>
              <w:rPr>
                <w:sz w:val="20"/>
                <w:szCs w:val="20"/>
                <w:color w:val="auto"/>
              </w:rPr>
            </w:pPr>
            <w:r>
              <w:rPr>
                <w:rFonts w:ascii="Arial" w:cs="Arial" w:eastAsia="Arial" w:hAnsi="Arial"/>
                <w:sz w:val="14"/>
                <w:szCs w:val="14"/>
                <w:b w:val="1"/>
                <w:bCs w:val="1"/>
                <w:color w:val="auto"/>
                <w:w w:val="82"/>
              </w:rPr>
              <w:t>Percentage</w:t>
            </w:r>
          </w:p>
        </w:tc>
        <w:tc>
          <w:tcPr>
            <w:tcW w:w="500" w:type="dxa"/>
            <w:vAlign w:val="bottom"/>
          </w:tcPr>
          <w:p>
            <w:pPr>
              <w:spacing w:after="0"/>
              <w:rPr>
                <w:sz w:val="11"/>
                <w:szCs w:val="11"/>
                <w:color w:val="auto"/>
              </w:rPr>
            </w:pPr>
          </w:p>
        </w:tc>
        <w:tc>
          <w:tcPr>
            <w:tcW w:w="660" w:type="dxa"/>
            <w:vAlign w:val="bottom"/>
          </w:tcPr>
          <w:p>
            <w:pPr>
              <w:jc w:val="center"/>
              <w:spacing w:after="0" w:line="129" w:lineRule="exact"/>
              <w:rPr>
                <w:sz w:val="20"/>
                <w:szCs w:val="20"/>
                <w:color w:val="auto"/>
              </w:rPr>
            </w:pPr>
            <w:r>
              <w:rPr>
                <w:rFonts w:ascii="Arial" w:cs="Arial" w:eastAsia="Arial" w:hAnsi="Arial"/>
                <w:sz w:val="14"/>
                <w:szCs w:val="14"/>
                <w:b w:val="1"/>
                <w:bCs w:val="1"/>
                <w:color w:val="auto"/>
                <w:w w:val="89"/>
              </w:rPr>
              <w:t>January 1,</w:t>
            </w:r>
          </w:p>
        </w:tc>
        <w:tc>
          <w:tcPr>
            <w:tcW w:w="500" w:type="dxa"/>
            <w:vAlign w:val="bottom"/>
          </w:tcPr>
          <w:p>
            <w:pPr>
              <w:spacing w:after="0"/>
              <w:rPr>
                <w:sz w:val="11"/>
                <w:szCs w:val="11"/>
                <w:color w:val="auto"/>
              </w:rPr>
            </w:pPr>
          </w:p>
        </w:tc>
        <w:tc>
          <w:tcPr>
            <w:tcW w:w="640" w:type="dxa"/>
            <w:vAlign w:val="bottom"/>
          </w:tcPr>
          <w:p>
            <w:pPr>
              <w:jc w:val="center"/>
              <w:spacing w:after="0" w:line="129" w:lineRule="exact"/>
              <w:rPr>
                <w:sz w:val="20"/>
                <w:szCs w:val="20"/>
                <w:color w:val="auto"/>
              </w:rPr>
            </w:pPr>
            <w:r>
              <w:rPr>
                <w:rFonts w:ascii="Arial" w:cs="Arial" w:eastAsia="Arial" w:hAnsi="Arial"/>
                <w:sz w:val="14"/>
                <w:szCs w:val="14"/>
                <w:b w:val="1"/>
                <w:bCs w:val="1"/>
                <w:color w:val="auto"/>
                <w:w w:val="84"/>
              </w:rPr>
              <w:t>Percentage</w:t>
            </w:r>
          </w:p>
        </w:tc>
        <w:tc>
          <w:tcPr>
            <w:tcW w:w="100" w:type="dxa"/>
            <w:vAlign w:val="bottom"/>
          </w:tcPr>
          <w:p>
            <w:pPr>
              <w:spacing w:after="0"/>
              <w:rPr>
                <w:sz w:val="11"/>
                <w:szCs w:val="11"/>
                <w:color w:val="auto"/>
              </w:rPr>
            </w:pPr>
          </w:p>
        </w:tc>
      </w:tr>
      <w:tr>
        <w:trPr>
          <w:trHeight w:val="149"/>
        </w:trPr>
        <w:tc>
          <w:tcPr>
            <w:tcW w:w="39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40" w:type="dxa"/>
            <w:vAlign w:val="bottom"/>
            <w:tcBorders>
              <w:right w:val="single" w:sz="8" w:color="auto"/>
            </w:tcBorders>
            <w:gridSpan w:val="2"/>
          </w:tcPr>
          <w:p>
            <w:pPr>
              <w:jc w:val="center"/>
              <w:ind w:right="600"/>
              <w:spacing w:after="0" w:line="149" w:lineRule="exact"/>
              <w:rPr>
                <w:sz w:val="20"/>
                <w:szCs w:val="20"/>
                <w:color w:val="auto"/>
              </w:rPr>
            </w:pPr>
            <w:r>
              <w:rPr>
                <w:rFonts w:ascii="Arial" w:cs="Arial" w:eastAsia="Arial" w:hAnsi="Arial"/>
                <w:sz w:val="14"/>
                <w:szCs w:val="14"/>
                <w:b w:val="1"/>
                <w:bCs w:val="1"/>
                <w:color w:val="auto"/>
                <w:w w:val="86"/>
              </w:rPr>
              <w:t>of Total</w:t>
            </w:r>
          </w:p>
        </w:tc>
        <w:tc>
          <w:tcPr>
            <w:tcW w:w="4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jc w:val="center"/>
              <w:ind w:right="27"/>
              <w:spacing w:after="0" w:line="149" w:lineRule="exact"/>
              <w:rPr>
                <w:sz w:val="20"/>
                <w:szCs w:val="20"/>
                <w:color w:val="auto"/>
              </w:rPr>
            </w:pPr>
            <w:r>
              <w:rPr>
                <w:rFonts w:ascii="Arial" w:cs="Arial" w:eastAsia="Arial" w:hAnsi="Arial"/>
                <w:sz w:val="14"/>
                <w:szCs w:val="14"/>
                <w:b w:val="1"/>
                <w:bCs w:val="1"/>
                <w:color w:val="auto"/>
                <w:w w:val="87"/>
              </w:rPr>
              <w:t>July 1,</w:t>
            </w:r>
          </w:p>
        </w:tc>
        <w:tc>
          <w:tcPr>
            <w:tcW w:w="500" w:type="dxa"/>
            <w:vAlign w:val="bottom"/>
          </w:tcPr>
          <w:p>
            <w:pPr>
              <w:spacing w:after="0"/>
              <w:rPr>
                <w:sz w:val="12"/>
                <w:szCs w:val="12"/>
                <w:color w:val="auto"/>
              </w:rPr>
            </w:pPr>
          </w:p>
        </w:tc>
        <w:tc>
          <w:tcPr>
            <w:tcW w:w="6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6"/>
              </w:rPr>
              <w:t>of Total</w:t>
            </w:r>
          </w:p>
        </w:tc>
        <w:tc>
          <w:tcPr>
            <w:tcW w:w="1160" w:type="dxa"/>
            <w:vAlign w:val="bottom"/>
            <w:gridSpan w:val="2"/>
          </w:tcPr>
          <w:p>
            <w:pPr>
              <w:jc w:val="center"/>
              <w:ind w:left="422"/>
              <w:spacing w:after="0" w:line="149" w:lineRule="exact"/>
              <w:rPr>
                <w:sz w:val="20"/>
                <w:szCs w:val="20"/>
                <w:color w:val="auto"/>
              </w:rPr>
            </w:pPr>
            <w:r>
              <w:rPr>
                <w:rFonts w:ascii="Arial" w:cs="Arial" w:eastAsia="Arial" w:hAnsi="Arial"/>
                <w:sz w:val="14"/>
                <w:szCs w:val="14"/>
                <w:b w:val="1"/>
                <w:bCs w:val="1"/>
                <w:color w:val="auto"/>
                <w:w w:val="83"/>
              </w:rPr>
              <w:t>2009</w:t>
            </w:r>
          </w:p>
        </w:tc>
        <w:tc>
          <w:tcPr>
            <w:tcW w:w="500" w:type="dxa"/>
            <w:vAlign w:val="bottom"/>
          </w:tcPr>
          <w:p>
            <w:pPr>
              <w:spacing w:after="0"/>
              <w:rPr>
                <w:sz w:val="12"/>
                <w:szCs w:val="12"/>
                <w:color w:val="auto"/>
              </w:rPr>
            </w:pPr>
          </w:p>
        </w:tc>
        <w:tc>
          <w:tcPr>
            <w:tcW w:w="74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86"/>
              </w:rPr>
              <w:t>of Total</w:t>
            </w:r>
          </w:p>
        </w:tc>
      </w:tr>
      <w:tr>
        <w:trPr>
          <w:trHeight w:val="149"/>
        </w:trPr>
        <w:tc>
          <w:tcPr>
            <w:tcW w:w="39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500" w:type="dxa"/>
            <w:vAlign w:val="bottom"/>
            <w:gridSpan w:val="2"/>
          </w:tcPr>
          <w:p>
            <w:pPr>
              <w:jc w:val="center"/>
              <w:ind w:right="640"/>
              <w:spacing w:after="0" w:line="149" w:lineRule="exact"/>
              <w:rPr>
                <w:sz w:val="20"/>
                <w:szCs w:val="20"/>
                <w:color w:val="auto"/>
              </w:rPr>
            </w:pPr>
            <w:r>
              <w:rPr>
                <w:rFonts w:ascii="Arial" w:cs="Arial" w:eastAsia="Arial" w:hAnsi="Arial"/>
                <w:sz w:val="14"/>
                <w:szCs w:val="14"/>
                <w:b w:val="1"/>
                <w:bCs w:val="1"/>
                <w:color w:val="auto"/>
                <w:w w:val="88"/>
              </w:rPr>
              <w:t>Nine Months</w:t>
            </w:r>
          </w:p>
        </w:tc>
        <w:tc>
          <w:tcPr>
            <w:tcW w:w="1240" w:type="dxa"/>
            <w:vAlign w:val="bottom"/>
            <w:tcBorders>
              <w:right w:val="single" w:sz="8" w:color="auto"/>
            </w:tcBorders>
            <w:gridSpan w:val="2"/>
          </w:tcPr>
          <w:p>
            <w:pPr>
              <w:jc w:val="center"/>
              <w:ind w:right="660"/>
              <w:spacing w:after="0" w:line="149" w:lineRule="exact"/>
              <w:rPr>
                <w:sz w:val="20"/>
                <w:szCs w:val="20"/>
                <w:color w:val="auto"/>
              </w:rPr>
            </w:pPr>
            <w:r>
              <w:rPr>
                <w:rFonts w:ascii="Arial" w:cs="Arial" w:eastAsia="Arial" w:hAnsi="Arial"/>
                <w:sz w:val="14"/>
                <w:szCs w:val="14"/>
                <w:b w:val="1"/>
                <w:bCs w:val="1"/>
                <w:color w:val="auto"/>
                <w:w w:val="85"/>
              </w:rPr>
              <w:t>net</w:t>
            </w:r>
          </w:p>
        </w:tc>
        <w:tc>
          <w:tcPr>
            <w:tcW w:w="4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jc w:val="center"/>
              <w:ind w:right="7"/>
              <w:spacing w:after="0" w:line="149" w:lineRule="exact"/>
              <w:rPr>
                <w:sz w:val="20"/>
                <w:szCs w:val="20"/>
                <w:color w:val="auto"/>
              </w:rPr>
            </w:pPr>
            <w:r>
              <w:rPr>
                <w:rFonts w:ascii="Arial" w:cs="Arial" w:eastAsia="Arial" w:hAnsi="Arial"/>
                <w:sz w:val="14"/>
                <w:szCs w:val="14"/>
                <w:b w:val="1"/>
                <w:bCs w:val="1"/>
                <w:color w:val="auto"/>
                <w:w w:val="89"/>
              </w:rPr>
              <w:t>2009</w:t>
            </w:r>
          </w:p>
        </w:tc>
        <w:tc>
          <w:tcPr>
            <w:tcW w:w="500" w:type="dxa"/>
            <w:vAlign w:val="bottom"/>
          </w:tcPr>
          <w:p>
            <w:pPr>
              <w:spacing w:after="0"/>
              <w:rPr>
                <w:sz w:val="12"/>
                <w:szCs w:val="12"/>
                <w:color w:val="auto"/>
              </w:rPr>
            </w:pPr>
          </w:p>
        </w:tc>
        <w:tc>
          <w:tcPr>
            <w:tcW w:w="6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5"/>
              </w:rPr>
              <w:t>net</w:t>
            </w:r>
          </w:p>
        </w:tc>
        <w:tc>
          <w:tcPr>
            <w:tcW w:w="500" w:type="dxa"/>
            <w:vAlign w:val="bottom"/>
          </w:tcPr>
          <w:p>
            <w:pPr>
              <w:spacing w:after="0"/>
              <w:rPr>
                <w:sz w:val="12"/>
                <w:szCs w:val="12"/>
                <w:color w:val="auto"/>
              </w:rPr>
            </w:pPr>
          </w:p>
        </w:tc>
        <w:tc>
          <w:tcPr>
            <w:tcW w:w="6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7"/>
              </w:rPr>
              <w:t>Through</w:t>
            </w:r>
          </w:p>
        </w:tc>
        <w:tc>
          <w:tcPr>
            <w:tcW w:w="500" w:type="dxa"/>
            <w:vAlign w:val="bottom"/>
          </w:tcPr>
          <w:p>
            <w:pPr>
              <w:spacing w:after="0"/>
              <w:rPr>
                <w:sz w:val="12"/>
                <w:szCs w:val="12"/>
                <w:color w:val="auto"/>
              </w:rPr>
            </w:pPr>
          </w:p>
        </w:tc>
        <w:tc>
          <w:tcPr>
            <w:tcW w:w="74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85"/>
              </w:rPr>
              <w:t>net</w:t>
            </w:r>
          </w:p>
        </w:tc>
      </w:tr>
      <w:tr>
        <w:trPr>
          <w:trHeight w:val="149"/>
        </w:trPr>
        <w:tc>
          <w:tcPr>
            <w:tcW w:w="39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500" w:type="dxa"/>
            <w:vAlign w:val="bottom"/>
            <w:gridSpan w:val="2"/>
          </w:tcPr>
          <w:p>
            <w:pPr>
              <w:jc w:val="center"/>
              <w:ind w:right="640"/>
              <w:spacing w:after="0" w:line="149" w:lineRule="exact"/>
              <w:rPr>
                <w:sz w:val="20"/>
                <w:szCs w:val="20"/>
                <w:color w:val="auto"/>
              </w:rPr>
            </w:pPr>
            <w:r>
              <w:rPr>
                <w:rFonts w:ascii="Arial" w:cs="Arial" w:eastAsia="Arial" w:hAnsi="Arial"/>
                <w:sz w:val="14"/>
                <w:szCs w:val="14"/>
                <w:b w:val="1"/>
                <w:bCs w:val="1"/>
                <w:color w:val="auto"/>
                <w:w w:val="88"/>
              </w:rPr>
              <w:t>Ended</w:t>
            </w:r>
          </w:p>
        </w:tc>
        <w:tc>
          <w:tcPr>
            <w:tcW w:w="1240" w:type="dxa"/>
            <w:vAlign w:val="bottom"/>
            <w:tcBorders>
              <w:right w:val="single" w:sz="8" w:color="auto"/>
            </w:tcBorders>
            <w:gridSpan w:val="2"/>
          </w:tcPr>
          <w:p>
            <w:pPr>
              <w:jc w:val="center"/>
              <w:ind w:right="600"/>
              <w:spacing w:after="0" w:line="149" w:lineRule="exact"/>
              <w:rPr>
                <w:sz w:val="20"/>
                <w:szCs w:val="20"/>
                <w:color w:val="auto"/>
              </w:rPr>
            </w:pPr>
            <w:r>
              <w:rPr>
                <w:rFonts w:ascii="Arial" w:cs="Arial" w:eastAsia="Arial" w:hAnsi="Arial"/>
                <w:sz w:val="14"/>
                <w:szCs w:val="14"/>
                <w:b w:val="1"/>
                <w:bCs w:val="1"/>
                <w:color w:val="auto"/>
                <w:w w:val="81"/>
              </w:rPr>
              <w:t>sales and</w:t>
            </w:r>
          </w:p>
        </w:tc>
        <w:tc>
          <w:tcPr>
            <w:tcW w:w="4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jc w:val="center"/>
              <w:ind w:right="7"/>
              <w:spacing w:after="0" w:line="149" w:lineRule="exact"/>
              <w:rPr>
                <w:sz w:val="20"/>
                <w:szCs w:val="20"/>
                <w:color w:val="auto"/>
              </w:rPr>
            </w:pPr>
            <w:r>
              <w:rPr>
                <w:rFonts w:ascii="Arial" w:cs="Arial" w:eastAsia="Arial" w:hAnsi="Arial"/>
                <w:sz w:val="14"/>
                <w:szCs w:val="14"/>
                <w:b w:val="1"/>
                <w:bCs w:val="1"/>
                <w:color w:val="auto"/>
                <w:w w:val="91"/>
              </w:rPr>
              <w:t>Through</w:t>
            </w:r>
          </w:p>
        </w:tc>
        <w:tc>
          <w:tcPr>
            <w:tcW w:w="500" w:type="dxa"/>
            <w:vAlign w:val="bottom"/>
          </w:tcPr>
          <w:p>
            <w:pPr>
              <w:spacing w:after="0"/>
              <w:rPr>
                <w:sz w:val="12"/>
                <w:szCs w:val="12"/>
                <w:color w:val="auto"/>
              </w:rPr>
            </w:pPr>
          </w:p>
        </w:tc>
        <w:tc>
          <w:tcPr>
            <w:tcW w:w="6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1"/>
              </w:rPr>
              <w:t>sales and</w:t>
            </w:r>
          </w:p>
        </w:tc>
        <w:tc>
          <w:tcPr>
            <w:tcW w:w="500" w:type="dxa"/>
            <w:vAlign w:val="bottom"/>
          </w:tcPr>
          <w:p>
            <w:pPr>
              <w:spacing w:after="0"/>
              <w:rPr>
                <w:sz w:val="12"/>
                <w:szCs w:val="12"/>
                <w:color w:val="auto"/>
              </w:rPr>
            </w:pPr>
          </w:p>
        </w:tc>
        <w:tc>
          <w:tcPr>
            <w:tcW w:w="6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7"/>
              </w:rPr>
              <w:t>July 9,</w:t>
            </w:r>
          </w:p>
        </w:tc>
        <w:tc>
          <w:tcPr>
            <w:tcW w:w="500" w:type="dxa"/>
            <w:vAlign w:val="bottom"/>
          </w:tcPr>
          <w:p>
            <w:pPr>
              <w:spacing w:after="0"/>
              <w:rPr>
                <w:sz w:val="12"/>
                <w:szCs w:val="12"/>
                <w:color w:val="auto"/>
              </w:rPr>
            </w:pPr>
          </w:p>
        </w:tc>
        <w:tc>
          <w:tcPr>
            <w:tcW w:w="74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81"/>
              </w:rPr>
              <w:t>sales and</w:t>
            </w:r>
          </w:p>
        </w:tc>
      </w:tr>
      <w:tr>
        <w:trPr>
          <w:trHeight w:val="161"/>
        </w:trPr>
        <w:tc>
          <w:tcPr>
            <w:tcW w:w="3900" w:type="dxa"/>
            <w:vAlign w:val="bottom"/>
          </w:tcPr>
          <w:p>
            <w:pPr>
              <w:spacing w:after="0"/>
              <w:rPr>
                <w:sz w:val="14"/>
                <w:szCs w:val="14"/>
                <w:color w:val="auto"/>
              </w:rPr>
            </w:pPr>
          </w:p>
        </w:tc>
        <w:tc>
          <w:tcPr>
            <w:tcW w:w="114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85"/>
              </w:rPr>
              <w:t>September 30, 2010</w:t>
            </w:r>
          </w:p>
        </w:tc>
        <w:tc>
          <w:tcPr>
            <w:tcW w:w="500" w:type="dxa"/>
            <w:vAlign w:val="bottom"/>
          </w:tcPr>
          <w:p>
            <w:pPr>
              <w:spacing w:after="0"/>
              <w:rPr>
                <w:sz w:val="14"/>
                <w:szCs w:val="14"/>
                <w:color w:val="auto"/>
              </w:rPr>
            </w:pPr>
          </w:p>
        </w:tc>
        <w:tc>
          <w:tcPr>
            <w:tcW w:w="6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5"/>
              </w:rPr>
              <w:t>revenue</w:t>
            </w:r>
          </w:p>
        </w:tc>
        <w:tc>
          <w:tcPr>
            <w:tcW w:w="600" w:type="dxa"/>
            <w:vAlign w:val="bottom"/>
            <w:tcBorders>
              <w:right w:val="single" w:sz="8" w:color="auto"/>
            </w:tcBorders>
          </w:tcPr>
          <w:p>
            <w:pPr>
              <w:spacing w:after="0"/>
              <w:rPr>
                <w:sz w:val="14"/>
                <w:szCs w:val="14"/>
                <w:color w:val="auto"/>
              </w:rPr>
            </w:pPr>
          </w:p>
        </w:tc>
        <w:tc>
          <w:tcPr>
            <w:tcW w:w="400" w:type="dxa"/>
            <w:vAlign w:val="bottom"/>
          </w:tcPr>
          <w:p>
            <w:pPr>
              <w:spacing w:after="0"/>
              <w:rPr>
                <w:sz w:val="14"/>
                <w:szCs w:val="14"/>
                <w:color w:val="auto"/>
              </w:rPr>
            </w:pPr>
          </w:p>
        </w:tc>
        <w:tc>
          <w:tcPr>
            <w:tcW w:w="68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86"/>
              </w:rPr>
              <w:t>July 9, 2009</w:t>
            </w:r>
          </w:p>
        </w:tc>
        <w:tc>
          <w:tcPr>
            <w:tcW w:w="500" w:type="dxa"/>
            <w:vAlign w:val="bottom"/>
          </w:tcPr>
          <w:p>
            <w:pPr>
              <w:spacing w:after="0"/>
              <w:rPr>
                <w:sz w:val="14"/>
                <w:szCs w:val="14"/>
                <w:color w:val="auto"/>
              </w:rPr>
            </w:pPr>
          </w:p>
        </w:tc>
        <w:tc>
          <w:tcPr>
            <w:tcW w:w="6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5"/>
              </w:rPr>
              <w:t>revenue</w:t>
            </w:r>
          </w:p>
        </w:tc>
        <w:tc>
          <w:tcPr>
            <w:tcW w:w="500" w:type="dxa"/>
            <w:vAlign w:val="bottom"/>
          </w:tcPr>
          <w:p>
            <w:pPr>
              <w:spacing w:after="0"/>
              <w:rPr>
                <w:sz w:val="14"/>
                <w:szCs w:val="14"/>
                <w:color w:val="auto"/>
              </w:rPr>
            </w:pPr>
          </w:p>
        </w:tc>
        <w:tc>
          <w:tcPr>
            <w:tcW w:w="6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3"/>
              </w:rPr>
              <w:t>2009</w:t>
            </w:r>
          </w:p>
        </w:tc>
        <w:tc>
          <w:tcPr>
            <w:tcW w:w="500" w:type="dxa"/>
            <w:vAlign w:val="bottom"/>
          </w:tcPr>
          <w:p>
            <w:pPr>
              <w:spacing w:after="0"/>
              <w:rPr>
                <w:sz w:val="14"/>
                <w:szCs w:val="14"/>
                <w:color w:val="auto"/>
              </w:rPr>
            </w:pPr>
          </w:p>
        </w:tc>
        <w:tc>
          <w:tcPr>
            <w:tcW w:w="6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1"/>
              </w:rPr>
              <w:t>revenue</w:t>
            </w:r>
          </w:p>
        </w:tc>
        <w:tc>
          <w:tcPr>
            <w:tcW w:w="100" w:type="dxa"/>
            <w:vAlign w:val="bottom"/>
          </w:tcPr>
          <w:p>
            <w:pPr>
              <w:spacing w:after="0"/>
              <w:rPr>
                <w:sz w:val="14"/>
                <w:szCs w:val="14"/>
                <w:color w:val="auto"/>
              </w:rPr>
            </w:pPr>
          </w:p>
        </w:tc>
      </w:tr>
      <w:tr>
        <w:trPr>
          <w:trHeight w:val="210"/>
        </w:trPr>
        <w:tc>
          <w:tcPr>
            <w:tcW w:w="3900" w:type="dxa"/>
            <w:vAlign w:val="bottom"/>
            <w:shd w:val="clear" w:color="auto" w:fill="CCEEFF"/>
          </w:tcPr>
          <w:p>
            <w:pPr>
              <w:spacing w:after="0"/>
              <w:rPr>
                <w:sz w:val="20"/>
                <w:szCs w:val="20"/>
                <w:color w:val="auto"/>
              </w:rPr>
            </w:pPr>
            <w:r>
              <w:rPr>
                <w:rFonts w:ascii="Arial" w:cs="Arial" w:eastAsia="Arial" w:hAnsi="Arial"/>
                <w:sz w:val="18"/>
                <w:szCs w:val="18"/>
                <w:color w:val="auto"/>
              </w:rPr>
              <w:t>Other expenses, net</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500" w:type="dxa"/>
            <w:vAlign w:val="bottom"/>
            <w:gridSpan w:val="2"/>
            <w:shd w:val="clear" w:color="auto" w:fill="CCEEFF"/>
          </w:tcPr>
          <w:p>
            <w:pPr>
              <w:ind w:left="740"/>
              <w:spacing w:after="0"/>
              <w:rPr>
                <w:sz w:val="20"/>
                <w:szCs w:val="20"/>
                <w:color w:val="auto"/>
              </w:rPr>
            </w:pPr>
            <w:r>
              <w:rPr>
                <w:rFonts w:ascii="Arial" w:cs="Arial" w:eastAsia="Arial" w:hAnsi="Arial"/>
                <w:sz w:val="18"/>
                <w:szCs w:val="18"/>
                <w:color w:val="auto"/>
              </w:rPr>
              <w:t>115</w:t>
            </w:r>
          </w:p>
        </w:tc>
        <w:tc>
          <w:tcPr>
            <w:tcW w:w="1240" w:type="dxa"/>
            <w:vAlign w:val="bottom"/>
            <w:tcBorders>
              <w:right w:val="single" w:sz="8" w:color="auto"/>
            </w:tcBorders>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0.1%</w:t>
            </w:r>
          </w:p>
        </w:tc>
        <w:tc>
          <w:tcPr>
            <w:tcW w:w="40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w:t>
            </w:r>
          </w:p>
        </w:tc>
        <w:tc>
          <w:tcPr>
            <w:tcW w:w="1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4.9%</w:t>
            </w:r>
          </w:p>
        </w:tc>
        <w:tc>
          <w:tcPr>
            <w:tcW w:w="1160" w:type="dxa"/>
            <w:vAlign w:val="bottom"/>
            <w:gridSpan w:val="2"/>
            <w:shd w:val="clear" w:color="auto" w:fill="CCEEFF"/>
          </w:tcPr>
          <w:p>
            <w:pPr>
              <w:jc w:val="center"/>
              <w:ind w:left="422"/>
              <w:spacing w:after="0"/>
              <w:rPr>
                <w:sz w:val="20"/>
                <w:szCs w:val="20"/>
                <w:color w:val="auto"/>
              </w:rPr>
            </w:pPr>
            <w:r>
              <w:rPr>
                <w:rFonts w:ascii="Arial" w:cs="Arial" w:eastAsia="Arial" w:hAnsi="Arial"/>
                <w:sz w:val="18"/>
                <w:szCs w:val="18"/>
                <w:color w:val="auto"/>
              </w:rPr>
              <w:t>$  1,235</w:t>
            </w: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100" w:type="dxa"/>
            <w:vAlign w:val="bottom"/>
            <w:shd w:val="clear" w:color="auto" w:fill="CCEEFF"/>
          </w:tcPr>
          <w:p>
            <w:pPr>
              <w:spacing w:after="0"/>
              <w:rPr>
                <w:sz w:val="18"/>
                <w:szCs w:val="18"/>
                <w:color w:val="auto"/>
              </w:rPr>
            </w:pPr>
          </w:p>
        </w:tc>
      </w:tr>
    </w:tbl>
    <w:p>
      <w:pPr>
        <w:spacing w:after="0" w:line="154"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GM</w:t>
      </w:r>
    </w:p>
    <w:p>
      <w:pPr>
        <w:spacing w:after="0" w:line="171" w:lineRule="exact"/>
        <w:rPr>
          <w:sz w:val="20"/>
          <w:szCs w:val="20"/>
          <w:color w:val="auto"/>
        </w:rPr>
      </w:pPr>
    </w:p>
    <w:p>
      <w:pPr>
        <w:ind w:left="240"/>
        <w:spacing w:after="0"/>
        <w:rPr>
          <w:sz w:val="20"/>
          <w:szCs w:val="20"/>
          <w:color w:val="auto"/>
        </w:rPr>
      </w:pPr>
      <w:r>
        <w:rPr>
          <w:rFonts w:ascii="Arial" w:cs="Arial" w:eastAsia="Arial" w:hAnsi="Arial"/>
          <w:sz w:val="16"/>
          <w:szCs w:val="16"/>
          <w:color w:val="auto"/>
        </w:rPr>
        <w:t>In the nine months ended September 30, 2010 Other expenses, net included ongoing expenses related to our portfolio of automotive retail leases.</w:t>
      </w:r>
    </w:p>
    <w:p>
      <w:pPr>
        <w:spacing w:after="0" w:line="194"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Old GM</w:t>
      </w:r>
    </w:p>
    <w:p>
      <w:pPr>
        <w:spacing w:after="0" w:line="171" w:lineRule="exact"/>
        <w:rPr>
          <w:sz w:val="20"/>
          <w:szCs w:val="20"/>
          <w:color w:val="auto"/>
        </w:rPr>
      </w:pPr>
    </w:p>
    <w:p>
      <w:pPr>
        <w:ind w:right="120" w:firstLine="228"/>
        <w:spacing w:after="0" w:line="259" w:lineRule="auto"/>
        <w:rPr>
          <w:sz w:val="20"/>
          <w:szCs w:val="20"/>
          <w:color w:val="auto"/>
        </w:rPr>
      </w:pPr>
      <w:r>
        <w:rPr>
          <w:rFonts w:ascii="Arial" w:cs="Arial" w:eastAsia="Arial" w:hAnsi="Arial"/>
          <w:sz w:val="18"/>
          <w:szCs w:val="18"/>
          <w:color w:val="auto"/>
        </w:rPr>
        <w:t>In the period January 1, 2009 through July 9, 2009 Other expenses, net was primarily comprised of: (1) charges of $0.8 billion in GME, primarily related to the deconsolidation of Saab; (2) charges of $0.2 billion related to Delphi; and (3) depreciation expense of $0.1 billion related to the portfolio of automotive retail leases.</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105</w:t>
      </w:r>
    </w:p>
    <w:p>
      <w:pPr>
        <w:sectPr>
          <w:pgSz w:w="11900" w:h="16838" w:orient="portrait"/>
          <w:cols w:equalWidth="0" w:num="1">
            <w:col w:w="11420"/>
          </w:cols>
          <w:pgMar w:left="240" w:top="459" w:right="239" w:bottom="1440" w:gutter="0" w:footer="0" w:header="0"/>
        </w:sectPr>
      </w:pPr>
    </w:p>
    <w:bookmarkStart w:id="107" w:name="page108"/>
    <w:bookmarkEnd w:id="10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339"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Interest Expense</w:t>
      </w:r>
    </w:p>
    <w:p>
      <w:pPr>
        <w:spacing w:after="0" w:line="24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4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940" w:type="dxa"/>
            <w:vAlign w:val="bottom"/>
            <w:gridSpan w:val="4"/>
          </w:tcPr>
          <w:p>
            <w:pPr>
              <w:jc w:val="center"/>
              <w:ind w:right="220"/>
              <w:spacing w:after="0"/>
              <w:rPr>
                <w:sz w:val="20"/>
                <w:szCs w:val="20"/>
                <w:color w:val="auto"/>
              </w:rPr>
            </w:pPr>
            <w:r>
              <w:rPr>
                <w:rFonts w:ascii="Arial" w:cs="Arial" w:eastAsia="Arial" w:hAnsi="Arial"/>
                <w:sz w:val="14"/>
                <w:szCs w:val="14"/>
                <w:b w:val="1"/>
                <w:bCs w:val="1"/>
                <w:color w:val="auto"/>
                <w:w w:val="92"/>
              </w:rPr>
              <w:t>Three Months Ended</w:t>
            </w:r>
          </w:p>
        </w:tc>
        <w:tc>
          <w:tcPr>
            <w:tcW w:w="0" w:type="dxa"/>
            <w:vAlign w:val="bottom"/>
          </w:tcPr>
          <w:p>
            <w:pPr>
              <w:spacing w:after="0"/>
              <w:rPr>
                <w:sz w:val="1"/>
                <w:szCs w:val="1"/>
                <w:color w:val="auto"/>
              </w:rPr>
            </w:pPr>
          </w:p>
        </w:tc>
      </w:tr>
      <w:tr>
        <w:trPr>
          <w:trHeight w:val="161"/>
        </w:trPr>
        <w:tc>
          <w:tcPr>
            <w:tcW w:w="34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400" w:type="dxa"/>
            <w:vAlign w:val="bottom"/>
            <w:gridSpan w:val="3"/>
          </w:tcPr>
          <w:p>
            <w:pPr>
              <w:jc w:val="right"/>
              <w:ind w:right="52"/>
              <w:spacing w:after="0"/>
              <w:rPr>
                <w:sz w:val="20"/>
                <w:szCs w:val="20"/>
                <w:color w:val="auto"/>
              </w:rPr>
            </w:pPr>
            <w:r>
              <w:rPr>
                <w:rFonts w:ascii="Arial" w:cs="Arial" w:eastAsia="Arial" w:hAnsi="Arial"/>
                <w:sz w:val="14"/>
                <w:szCs w:val="14"/>
                <w:b w:val="1"/>
                <w:bCs w:val="1"/>
                <w:color w:val="auto"/>
              </w:rPr>
              <w:t>Successor</w:t>
            </w:r>
          </w:p>
        </w:tc>
        <w:tc>
          <w:tcPr>
            <w:tcW w:w="10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940" w:type="dxa"/>
            <w:vAlign w:val="bottom"/>
            <w:gridSpan w:val="4"/>
          </w:tcPr>
          <w:p>
            <w:pPr>
              <w:jc w:val="center"/>
              <w:ind w:right="220"/>
              <w:spacing w:after="0"/>
              <w:rPr>
                <w:sz w:val="20"/>
                <w:szCs w:val="20"/>
                <w:color w:val="auto"/>
              </w:rPr>
            </w:pPr>
            <w:r>
              <w:rPr>
                <w:rFonts w:ascii="Arial" w:cs="Arial" w:eastAsia="Arial" w:hAnsi="Arial"/>
                <w:sz w:val="14"/>
                <w:szCs w:val="14"/>
                <w:b w:val="1"/>
                <w:bCs w:val="1"/>
                <w:color w:val="auto"/>
                <w:w w:val="85"/>
              </w:rPr>
              <w:t>September 30, 2010</w:t>
            </w:r>
          </w:p>
        </w:tc>
        <w:tc>
          <w:tcPr>
            <w:tcW w:w="0" w:type="dxa"/>
            <w:vAlign w:val="bottom"/>
          </w:tcPr>
          <w:p>
            <w:pPr>
              <w:spacing w:after="0"/>
              <w:rPr>
                <w:sz w:val="1"/>
                <w:szCs w:val="1"/>
                <w:color w:val="auto"/>
              </w:rPr>
            </w:pPr>
          </w:p>
        </w:tc>
      </w:tr>
      <w:tr>
        <w:trPr>
          <w:trHeight w:val="27"/>
        </w:trPr>
        <w:tc>
          <w:tcPr>
            <w:tcW w:w="3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540" w:type="dxa"/>
            <w:vAlign w:val="bottom"/>
          </w:tcPr>
          <w:p>
            <w:pPr>
              <w:spacing w:after="0"/>
              <w:rPr>
                <w:sz w:val="2"/>
                <w:szCs w:val="2"/>
                <w:color w:val="auto"/>
              </w:rPr>
            </w:pPr>
          </w:p>
        </w:tc>
        <w:tc>
          <w:tcPr>
            <w:tcW w:w="740" w:type="dxa"/>
            <w:vAlign w:val="bottom"/>
          </w:tcPr>
          <w:p>
            <w:pPr>
              <w:spacing w:after="0"/>
              <w:rPr>
                <w:sz w:val="2"/>
                <w:szCs w:val="2"/>
                <w:color w:val="auto"/>
              </w:rPr>
            </w:pPr>
          </w:p>
        </w:tc>
        <w:tc>
          <w:tcPr>
            <w:tcW w:w="5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20" w:type="dxa"/>
            <w:vAlign w:val="bottom"/>
            <w:gridSpan w:val="2"/>
          </w:tcPr>
          <w:p>
            <w:pPr>
              <w:spacing w:after="0"/>
              <w:rPr>
                <w:sz w:val="2"/>
                <w:szCs w:val="2"/>
                <w:color w:val="auto"/>
              </w:rPr>
            </w:pPr>
          </w:p>
        </w:tc>
        <w:tc>
          <w:tcPr>
            <w:tcW w:w="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940" w:type="dxa"/>
            <w:vAlign w:val="bottom"/>
            <w:gridSpan w:val="4"/>
            <w:vMerge w:val="restart"/>
          </w:tcPr>
          <w:p>
            <w:pPr>
              <w:jc w:val="center"/>
              <w:ind w:right="220"/>
              <w:spacing w:after="0"/>
              <w:rPr>
                <w:sz w:val="20"/>
                <w:szCs w:val="20"/>
                <w:color w:val="auto"/>
              </w:rPr>
            </w:pPr>
            <w:r>
              <w:rPr>
                <w:rFonts w:ascii="Arial" w:cs="Arial" w:eastAsia="Arial" w:hAnsi="Arial"/>
                <w:sz w:val="14"/>
                <w:szCs w:val="14"/>
                <w:b w:val="1"/>
                <w:bCs w:val="1"/>
                <w:color w:val="auto"/>
                <w:w w:val="86"/>
              </w:rPr>
              <w:t>vs. Period July 10, 2009</w:t>
            </w:r>
          </w:p>
        </w:tc>
        <w:tc>
          <w:tcPr>
            <w:tcW w:w="0" w:type="dxa"/>
            <w:vAlign w:val="bottom"/>
          </w:tcPr>
          <w:p>
            <w:pPr>
              <w:spacing w:after="0"/>
              <w:rPr>
                <w:sz w:val="1"/>
                <w:szCs w:val="1"/>
                <w:color w:val="auto"/>
              </w:rPr>
            </w:pPr>
          </w:p>
        </w:tc>
      </w:tr>
      <w:tr>
        <w:trPr>
          <w:trHeight w:val="115"/>
        </w:trPr>
        <w:tc>
          <w:tcPr>
            <w:tcW w:w="3460" w:type="dxa"/>
            <w:vAlign w:val="bottom"/>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1020" w:type="dxa"/>
            <w:vAlign w:val="bottom"/>
            <w:tcBorders>
              <w:top w:val="single" w:sz="8" w:color="auto"/>
            </w:tcBorders>
          </w:tcPr>
          <w:p>
            <w:pPr>
              <w:spacing w:after="0"/>
              <w:rPr>
                <w:sz w:val="10"/>
                <w:szCs w:val="10"/>
                <w:color w:val="auto"/>
              </w:rPr>
            </w:pPr>
          </w:p>
        </w:tc>
        <w:tc>
          <w:tcPr>
            <w:tcW w:w="540" w:type="dxa"/>
            <w:vAlign w:val="bottom"/>
            <w:tcBorders>
              <w:top w:val="single" w:sz="8" w:color="auto"/>
            </w:tcBorders>
          </w:tcPr>
          <w:p>
            <w:pPr>
              <w:spacing w:after="0"/>
              <w:rPr>
                <w:sz w:val="10"/>
                <w:szCs w:val="10"/>
                <w:color w:val="auto"/>
              </w:rPr>
            </w:pPr>
          </w:p>
        </w:tc>
        <w:tc>
          <w:tcPr>
            <w:tcW w:w="740" w:type="dxa"/>
            <w:vAlign w:val="bottom"/>
            <w:tcBorders>
              <w:top w:val="single" w:sz="8" w:color="auto"/>
            </w:tcBorders>
          </w:tcPr>
          <w:p>
            <w:pPr>
              <w:jc w:val="center"/>
              <w:spacing w:after="0" w:line="115" w:lineRule="exact"/>
              <w:rPr>
                <w:sz w:val="20"/>
                <w:szCs w:val="20"/>
                <w:color w:val="auto"/>
              </w:rPr>
            </w:pPr>
            <w:r>
              <w:rPr>
                <w:rFonts w:ascii="Arial" w:cs="Arial" w:eastAsia="Arial" w:hAnsi="Arial"/>
                <w:sz w:val="12"/>
                <w:szCs w:val="12"/>
                <w:b w:val="1"/>
                <w:bCs w:val="1"/>
                <w:color w:val="auto"/>
                <w:w w:val="95"/>
              </w:rPr>
              <w:t>Percentage</w:t>
            </w:r>
          </w:p>
        </w:tc>
        <w:tc>
          <w:tcPr>
            <w:tcW w:w="520" w:type="dxa"/>
            <w:vAlign w:val="bottom"/>
            <w:tcBorders>
              <w:top w:val="single" w:sz="8" w:color="auto"/>
            </w:tcBorders>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1000" w:type="dxa"/>
            <w:vAlign w:val="bottom"/>
            <w:tcBorders>
              <w:top w:val="single" w:sz="8" w:color="auto"/>
            </w:tcBorders>
          </w:tcPr>
          <w:p>
            <w:pPr>
              <w:spacing w:after="0"/>
              <w:rPr>
                <w:sz w:val="10"/>
                <w:szCs w:val="10"/>
                <w:color w:val="auto"/>
              </w:rPr>
            </w:pPr>
          </w:p>
        </w:tc>
        <w:tc>
          <w:tcPr>
            <w:tcW w:w="540" w:type="dxa"/>
            <w:vAlign w:val="bottom"/>
            <w:tcBorders>
              <w:top w:val="single" w:sz="8" w:color="auto"/>
            </w:tcBorders>
          </w:tcPr>
          <w:p>
            <w:pPr>
              <w:spacing w:after="0"/>
              <w:rPr>
                <w:sz w:val="10"/>
                <w:szCs w:val="10"/>
                <w:color w:val="auto"/>
              </w:rPr>
            </w:pPr>
          </w:p>
        </w:tc>
        <w:tc>
          <w:tcPr>
            <w:tcW w:w="740" w:type="dxa"/>
            <w:vAlign w:val="bottom"/>
            <w:tcBorders>
              <w:top w:val="single" w:sz="8" w:color="auto"/>
            </w:tcBorders>
          </w:tcPr>
          <w:p>
            <w:pPr>
              <w:jc w:val="center"/>
              <w:spacing w:after="0" w:line="115" w:lineRule="exact"/>
              <w:rPr>
                <w:sz w:val="20"/>
                <w:szCs w:val="20"/>
                <w:color w:val="auto"/>
              </w:rPr>
            </w:pPr>
            <w:r>
              <w:rPr>
                <w:rFonts w:ascii="Arial" w:cs="Arial" w:eastAsia="Arial" w:hAnsi="Arial"/>
                <w:sz w:val="12"/>
                <w:szCs w:val="12"/>
                <w:b w:val="1"/>
                <w:bCs w:val="1"/>
                <w:color w:val="auto"/>
                <w:w w:val="98"/>
              </w:rPr>
              <w:t>Percentage</w:t>
            </w:r>
          </w:p>
        </w:tc>
        <w:tc>
          <w:tcPr>
            <w:tcW w:w="2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940" w:type="dxa"/>
            <w:vAlign w:val="bottom"/>
            <w:gridSpan w:val="4"/>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34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560" w:type="dxa"/>
            <w:vAlign w:val="bottom"/>
            <w:gridSpan w:val="2"/>
          </w:tcPr>
          <w:p>
            <w:pPr>
              <w:jc w:val="center"/>
              <w:ind w:right="660"/>
              <w:spacing w:after="0" w:line="149" w:lineRule="exact"/>
              <w:rPr>
                <w:sz w:val="20"/>
                <w:szCs w:val="20"/>
                <w:color w:val="auto"/>
              </w:rPr>
            </w:pPr>
            <w:r>
              <w:rPr>
                <w:rFonts w:ascii="Arial" w:cs="Arial" w:eastAsia="Arial" w:hAnsi="Arial"/>
                <w:sz w:val="14"/>
                <w:szCs w:val="14"/>
                <w:b w:val="1"/>
                <w:bCs w:val="1"/>
                <w:color w:val="auto"/>
                <w:w w:val="89"/>
              </w:rPr>
              <w:t>Three Months</w:t>
            </w:r>
          </w:p>
        </w:tc>
        <w:tc>
          <w:tcPr>
            <w:tcW w:w="7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of Total</w:t>
            </w:r>
          </w:p>
        </w:tc>
        <w:tc>
          <w:tcPr>
            <w:tcW w:w="5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540" w:type="dxa"/>
            <w:vAlign w:val="bottom"/>
            <w:gridSpan w:val="2"/>
          </w:tcPr>
          <w:p>
            <w:pPr>
              <w:jc w:val="center"/>
              <w:ind w:right="660"/>
              <w:spacing w:after="0" w:line="149" w:lineRule="exact"/>
              <w:rPr>
                <w:sz w:val="20"/>
                <w:szCs w:val="20"/>
                <w:color w:val="auto"/>
              </w:rPr>
            </w:pPr>
            <w:r>
              <w:rPr>
                <w:rFonts w:ascii="Arial" w:cs="Arial" w:eastAsia="Arial" w:hAnsi="Arial"/>
                <w:sz w:val="14"/>
                <w:szCs w:val="14"/>
                <w:b w:val="1"/>
                <w:bCs w:val="1"/>
                <w:color w:val="auto"/>
                <w:w w:val="87"/>
              </w:rPr>
              <w:t>July 10, 2009</w:t>
            </w:r>
          </w:p>
        </w:tc>
        <w:tc>
          <w:tcPr>
            <w:tcW w:w="102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4"/>
              </w:rPr>
              <w:t>of Total</w:t>
            </w:r>
          </w:p>
        </w:tc>
        <w:tc>
          <w:tcPr>
            <w:tcW w:w="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80" w:type="dxa"/>
            <w:vAlign w:val="bottom"/>
            <w:gridSpan w:val="2"/>
          </w:tcPr>
          <w:p>
            <w:pPr>
              <w:jc w:val="center"/>
              <w:ind w:left="370"/>
              <w:spacing w:after="0" w:line="149" w:lineRule="exact"/>
              <w:rPr>
                <w:sz w:val="20"/>
                <w:szCs w:val="20"/>
                <w:color w:val="auto"/>
              </w:rPr>
            </w:pPr>
            <w:r>
              <w:rPr>
                <w:rFonts w:ascii="Arial" w:cs="Arial" w:eastAsia="Arial" w:hAnsi="Arial"/>
                <w:sz w:val="14"/>
                <w:szCs w:val="14"/>
                <w:b w:val="1"/>
                <w:bCs w:val="1"/>
                <w:color w:val="auto"/>
                <w:w w:val="91"/>
              </w:rPr>
              <w:t>Through</w:t>
            </w: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34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560" w:type="dxa"/>
            <w:vAlign w:val="bottom"/>
            <w:gridSpan w:val="2"/>
          </w:tcPr>
          <w:p>
            <w:pPr>
              <w:jc w:val="center"/>
              <w:ind w:right="660"/>
              <w:spacing w:after="0" w:line="129" w:lineRule="exact"/>
              <w:rPr>
                <w:sz w:val="20"/>
                <w:szCs w:val="20"/>
                <w:color w:val="auto"/>
              </w:rPr>
            </w:pPr>
            <w:r>
              <w:rPr>
                <w:rFonts w:ascii="Arial" w:cs="Arial" w:eastAsia="Arial" w:hAnsi="Arial"/>
                <w:sz w:val="14"/>
                <w:szCs w:val="14"/>
                <w:b w:val="1"/>
                <w:bCs w:val="1"/>
                <w:color w:val="auto"/>
                <w:w w:val="88"/>
              </w:rPr>
              <w:t>Ended</w:t>
            </w:r>
          </w:p>
        </w:tc>
        <w:tc>
          <w:tcPr>
            <w:tcW w:w="740" w:type="dxa"/>
            <w:vAlign w:val="bottom"/>
          </w:tcPr>
          <w:p>
            <w:pPr>
              <w:jc w:val="center"/>
              <w:spacing w:after="0" w:line="129" w:lineRule="exact"/>
              <w:rPr>
                <w:sz w:val="20"/>
                <w:szCs w:val="20"/>
                <w:color w:val="auto"/>
              </w:rPr>
            </w:pPr>
            <w:r>
              <w:rPr>
                <w:rFonts w:ascii="Arial" w:cs="Arial" w:eastAsia="Arial" w:hAnsi="Arial"/>
                <w:sz w:val="14"/>
                <w:szCs w:val="14"/>
                <w:b w:val="1"/>
                <w:bCs w:val="1"/>
                <w:color w:val="auto"/>
                <w:w w:val="83"/>
              </w:rPr>
              <w:t>net sales and</w:t>
            </w:r>
          </w:p>
        </w:tc>
        <w:tc>
          <w:tcPr>
            <w:tcW w:w="5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540" w:type="dxa"/>
            <w:vAlign w:val="bottom"/>
            <w:gridSpan w:val="2"/>
          </w:tcPr>
          <w:p>
            <w:pPr>
              <w:jc w:val="center"/>
              <w:ind w:right="660"/>
              <w:spacing w:after="0" w:line="129" w:lineRule="exact"/>
              <w:rPr>
                <w:sz w:val="20"/>
                <w:szCs w:val="20"/>
                <w:color w:val="auto"/>
              </w:rPr>
            </w:pPr>
            <w:r>
              <w:rPr>
                <w:rFonts w:ascii="Arial" w:cs="Arial" w:eastAsia="Arial" w:hAnsi="Arial"/>
                <w:sz w:val="14"/>
                <w:szCs w:val="14"/>
                <w:b w:val="1"/>
                <w:bCs w:val="1"/>
                <w:color w:val="auto"/>
                <w:w w:val="91"/>
              </w:rPr>
              <w:t>Through</w:t>
            </w:r>
          </w:p>
        </w:tc>
        <w:tc>
          <w:tcPr>
            <w:tcW w:w="1020" w:type="dxa"/>
            <w:vAlign w:val="bottom"/>
            <w:gridSpan w:val="2"/>
          </w:tcPr>
          <w:p>
            <w:pPr>
              <w:jc w:val="center"/>
              <w:ind w:right="280"/>
              <w:spacing w:after="0" w:line="129" w:lineRule="exact"/>
              <w:rPr>
                <w:sz w:val="20"/>
                <w:szCs w:val="20"/>
                <w:color w:val="auto"/>
              </w:rPr>
            </w:pPr>
            <w:r>
              <w:rPr>
                <w:rFonts w:ascii="Arial" w:cs="Arial" w:eastAsia="Arial" w:hAnsi="Arial"/>
                <w:sz w:val="14"/>
                <w:szCs w:val="14"/>
                <w:b w:val="1"/>
                <w:bCs w:val="1"/>
                <w:color w:val="auto"/>
                <w:w w:val="83"/>
              </w:rPr>
              <w:t>net sales and</w:t>
            </w:r>
          </w:p>
        </w:tc>
        <w:tc>
          <w:tcPr>
            <w:tcW w:w="26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1840" w:type="dxa"/>
            <w:vAlign w:val="bottom"/>
            <w:tcBorders>
              <w:bottom w:val="single" w:sz="8" w:color="auto"/>
            </w:tcBorders>
            <w:gridSpan w:val="3"/>
          </w:tcPr>
          <w:p>
            <w:pPr>
              <w:jc w:val="center"/>
              <w:ind w:right="42"/>
              <w:spacing w:after="0" w:line="115" w:lineRule="exact"/>
              <w:rPr>
                <w:sz w:val="20"/>
                <w:szCs w:val="20"/>
                <w:color w:val="auto"/>
              </w:rPr>
            </w:pPr>
            <w:r>
              <w:rPr>
                <w:rFonts w:ascii="Arial" w:cs="Arial" w:eastAsia="Arial" w:hAnsi="Arial"/>
                <w:sz w:val="12"/>
                <w:szCs w:val="12"/>
                <w:b w:val="1"/>
                <w:bCs w:val="1"/>
                <w:color w:val="auto"/>
              </w:rPr>
              <w:t>September 30, 2009 Change</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9"/>
        </w:trPr>
        <w:tc>
          <w:tcPr>
            <w:tcW w:w="3460" w:type="dxa"/>
            <w:vAlign w:val="bottom"/>
          </w:tcPr>
          <w:p>
            <w:pPr>
              <w:spacing w:after="0"/>
              <w:rPr>
                <w:sz w:val="14"/>
                <w:szCs w:val="14"/>
                <w:color w:val="auto"/>
              </w:rPr>
            </w:pPr>
          </w:p>
        </w:tc>
        <w:tc>
          <w:tcPr>
            <w:tcW w:w="1140" w:type="dxa"/>
            <w:vAlign w:val="bottom"/>
            <w:gridSpan w:val="2"/>
          </w:tcPr>
          <w:p>
            <w:pPr>
              <w:jc w:val="center"/>
              <w:spacing w:after="0"/>
              <w:rPr>
                <w:sz w:val="20"/>
                <w:szCs w:val="20"/>
                <w:color w:val="auto"/>
              </w:rPr>
            </w:pPr>
            <w:r>
              <w:rPr>
                <w:rFonts w:ascii="Arial" w:cs="Arial" w:eastAsia="Arial" w:hAnsi="Arial"/>
                <w:sz w:val="14"/>
                <w:szCs w:val="14"/>
                <w:b w:val="1"/>
                <w:bCs w:val="1"/>
                <w:color w:val="auto"/>
                <w:w w:val="87"/>
              </w:rPr>
              <w:t>September 30, 2010</w:t>
            </w:r>
          </w:p>
        </w:tc>
        <w:tc>
          <w:tcPr>
            <w:tcW w:w="540" w:type="dxa"/>
            <w:vAlign w:val="bottom"/>
          </w:tcPr>
          <w:p>
            <w:pPr>
              <w:spacing w:after="0"/>
              <w:rPr>
                <w:sz w:val="14"/>
                <w:szCs w:val="14"/>
                <w:color w:val="auto"/>
              </w:rPr>
            </w:pPr>
          </w:p>
        </w:tc>
        <w:tc>
          <w:tcPr>
            <w:tcW w:w="740" w:type="dxa"/>
            <w:vAlign w:val="bottom"/>
          </w:tcPr>
          <w:p>
            <w:pPr>
              <w:jc w:val="center"/>
              <w:spacing w:after="0"/>
              <w:rPr>
                <w:sz w:val="20"/>
                <w:szCs w:val="20"/>
                <w:color w:val="auto"/>
              </w:rPr>
            </w:pPr>
            <w:r>
              <w:rPr>
                <w:rFonts w:ascii="Arial" w:cs="Arial" w:eastAsia="Arial" w:hAnsi="Arial"/>
                <w:sz w:val="14"/>
                <w:szCs w:val="14"/>
                <w:b w:val="1"/>
                <w:bCs w:val="1"/>
                <w:color w:val="auto"/>
                <w:w w:val="85"/>
              </w:rPr>
              <w:t>revenue</w:t>
            </w:r>
          </w:p>
        </w:tc>
        <w:tc>
          <w:tcPr>
            <w:tcW w:w="520" w:type="dxa"/>
            <w:vAlign w:val="bottom"/>
          </w:tcPr>
          <w:p>
            <w:pPr>
              <w:spacing w:after="0"/>
              <w:rPr>
                <w:sz w:val="14"/>
                <w:szCs w:val="14"/>
                <w:color w:val="auto"/>
              </w:rPr>
            </w:pPr>
          </w:p>
        </w:tc>
        <w:tc>
          <w:tcPr>
            <w:tcW w:w="1680" w:type="dxa"/>
            <w:vAlign w:val="bottom"/>
            <w:gridSpan w:val="3"/>
          </w:tcPr>
          <w:p>
            <w:pPr>
              <w:jc w:val="center"/>
              <w:ind w:right="520"/>
              <w:spacing w:after="0"/>
              <w:rPr>
                <w:sz w:val="20"/>
                <w:szCs w:val="20"/>
                <w:color w:val="auto"/>
              </w:rPr>
            </w:pPr>
            <w:r>
              <w:rPr>
                <w:rFonts w:ascii="Arial" w:cs="Arial" w:eastAsia="Arial" w:hAnsi="Arial"/>
                <w:sz w:val="14"/>
                <w:szCs w:val="14"/>
                <w:b w:val="1"/>
                <w:bCs w:val="1"/>
                <w:color w:val="auto"/>
                <w:w w:val="85"/>
              </w:rPr>
              <w:t>September 30, 2009</w:t>
            </w:r>
          </w:p>
        </w:tc>
        <w:tc>
          <w:tcPr>
            <w:tcW w:w="102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85"/>
              </w:rPr>
              <w:t>revenue</w:t>
            </w:r>
          </w:p>
        </w:tc>
        <w:tc>
          <w:tcPr>
            <w:tcW w:w="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80" w:type="dxa"/>
            <w:vAlign w:val="bottom"/>
            <w:gridSpan w:val="2"/>
          </w:tcPr>
          <w:p>
            <w:pPr>
              <w:ind w:left="80"/>
              <w:spacing w:after="0"/>
              <w:rPr>
                <w:sz w:val="20"/>
                <w:szCs w:val="20"/>
                <w:color w:val="auto"/>
              </w:rPr>
            </w:pPr>
            <w:r>
              <w:rPr>
                <w:rFonts w:ascii="Arial" w:cs="Arial" w:eastAsia="Arial" w:hAnsi="Arial"/>
                <w:sz w:val="14"/>
                <w:szCs w:val="14"/>
                <w:b w:val="1"/>
                <w:bCs w:val="1"/>
                <w:color w:val="auto"/>
              </w:rPr>
              <w:t>Amount</w:t>
            </w:r>
          </w:p>
        </w:tc>
        <w:tc>
          <w:tcPr>
            <w:tcW w:w="560" w:type="dxa"/>
            <w:vAlign w:val="bottom"/>
          </w:tcPr>
          <w:p>
            <w:pPr>
              <w:jc w:val="right"/>
              <w:ind w:right="142"/>
              <w:spacing w:after="0"/>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34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460" w:type="dxa"/>
            <w:vAlign w:val="bottom"/>
            <w:shd w:val="clear" w:color="auto" w:fill="CCEEFF"/>
          </w:tcPr>
          <w:p>
            <w:pPr>
              <w:spacing w:after="0"/>
              <w:rPr>
                <w:sz w:val="20"/>
                <w:szCs w:val="20"/>
                <w:color w:val="auto"/>
              </w:rPr>
            </w:pPr>
            <w:r>
              <w:rPr>
                <w:rFonts w:ascii="Arial" w:cs="Arial" w:eastAsia="Arial" w:hAnsi="Arial"/>
                <w:sz w:val="18"/>
                <w:szCs w:val="18"/>
                <w:color w:val="auto"/>
              </w:rPr>
              <w:t>Interest expense</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56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(263)</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0.8%</w:t>
            </w: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54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(365)</w:t>
            </w:r>
          </w:p>
        </w:tc>
        <w:tc>
          <w:tcPr>
            <w:tcW w:w="10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1.5%</w:t>
            </w:r>
          </w:p>
        </w:tc>
        <w:tc>
          <w:tcPr>
            <w:tcW w:w="3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w:t>
            </w:r>
          </w:p>
        </w:tc>
        <w:tc>
          <w:tcPr>
            <w:tcW w:w="52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154" w:lineRule="exact"/>
        <w:rPr>
          <w:sz w:val="20"/>
          <w:szCs w:val="20"/>
          <w:color w:val="auto"/>
        </w:rPr>
      </w:pPr>
    </w:p>
    <w:p>
      <w:pPr>
        <w:ind w:right="120" w:firstLine="228"/>
        <w:spacing w:after="0" w:line="370" w:lineRule="auto"/>
        <w:rPr>
          <w:sz w:val="20"/>
          <w:szCs w:val="20"/>
          <w:color w:val="auto"/>
        </w:rPr>
      </w:pPr>
      <w:r>
        <w:rPr>
          <w:rFonts w:ascii="Arial" w:cs="Arial" w:eastAsia="Arial" w:hAnsi="Arial"/>
          <w:sz w:val="15"/>
          <w:szCs w:val="15"/>
          <w:color w:val="auto"/>
        </w:rPr>
        <w:t>In the three months ended September 30, 2010 Interest expense decreased compared to the period July 10, 2009 through September 30, 2009 by $102 million (or 27.9%) due to a decrease in debt balances, primarily resulting from the full repayments of the UST Loans and Canadian Loan of $7.0 billion in April 2010.</w:t>
      </w:r>
    </w:p>
    <w:p>
      <w:pPr>
        <w:spacing w:after="0" w:line="9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74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460" w:type="dxa"/>
            <w:vAlign w:val="bottom"/>
            <w:tcBorders>
              <w:bottom w:val="single" w:sz="8" w:color="auto"/>
            </w:tcBorders>
            <w:gridSpan w:val="2"/>
          </w:tcPr>
          <w:p>
            <w:pPr>
              <w:jc w:val="right"/>
              <w:ind w:right="200"/>
              <w:spacing w:after="0"/>
              <w:rPr>
                <w:sz w:val="20"/>
                <w:szCs w:val="20"/>
                <w:color w:val="auto"/>
              </w:rPr>
            </w:pPr>
            <w:r>
              <w:rPr>
                <w:rFonts w:ascii="Arial" w:cs="Arial" w:eastAsia="Arial" w:hAnsi="Arial"/>
                <w:sz w:val="14"/>
                <w:szCs w:val="14"/>
                <w:b w:val="1"/>
                <w:bCs w:val="1"/>
                <w:color w:val="auto"/>
              </w:rPr>
              <w:t>Successor</w:t>
            </w:r>
          </w:p>
        </w:tc>
        <w:tc>
          <w:tcPr>
            <w:tcW w:w="640" w:type="dxa"/>
            <w:vAlign w:val="bottom"/>
            <w:tcBorders>
              <w:bottom w:val="single" w:sz="8" w:color="auto"/>
            </w:tcBorders>
          </w:tcPr>
          <w:p>
            <w:pPr>
              <w:spacing w:after="0"/>
              <w:rPr>
                <w:sz w:val="14"/>
                <w:szCs w:val="14"/>
                <w:color w:val="auto"/>
              </w:rPr>
            </w:pPr>
          </w:p>
        </w:tc>
        <w:tc>
          <w:tcPr>
            <w:tcW w:w="560" w:type="dxa"/>
            <w:vAlign w:val="bottom"/>
            <w:tcBorders>
              <w:right w:val="single" w:sz="8" w:color="auto"/>
            </w:tcBorders>
          </w:tcPr>
          <w:p>
            <w:pPr>
              <w:spacing w:after="0"/>
              <w:rPr>
                <w:sz w:val="14"/>
                <w:szCs w:val="14"/>
                <w:color w:val="auto"/>
              </w:rPr>
            </w:pPr>
          </w:p>
        </w:tc>
        <w:tc>
          <w:tcPr>
            <w:tcW w:w="340" w:type="dxa"/>
            <w:vAlign w:val="bottom"/>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2240" w:type="dxa"/>
            <w:vAlign w:val="bottom"/>
            <w:tcBorders>
              <w:bottom w:val="single" w:sz="8" w:color="auto"/>
            </w:tcBorders>
            <w:gridSpan w:val="4"/>
          </w:tcPr>
          <w:p>
            <w:pPr>
              <w:jc w:val="right"/>
              <w:ind w:right="940"/>
              <w:spacing w:after="0"/>
              <w:rPr>
                <w:sz w:val="20"/>
                <w:szCs w:val="20"/>
                <w:color w:val="auto"/>
              </w:rPr>
            </w:pPr>
            <w:r>
              <w:rPr>
                <w:rFonts w:ascii="Arial" w:cs="Arial" w:eastAsia="Arial" w:hAnsi="Arial"/>
                <w:sz w:val="14"/>
                <w:szCs w:val="14"/>
                <w:b w:val="1"/>
                <w:bCs w:val="1"/>
                <w:color w:val="auto"/>
              </w:rPr>
              <w:t>Predecessor</w:t>
            </w:r>
          </w:p>
        </w:tc>
        <w:tc>
          <w:tcPr>
            <w:tcW w:w="6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29"/>
        </w:trPr>
        <w:tc>
          <w:tcPr>
            <w:tcW w:w="2740" w:type="dxa"/>
            <w:vAlign w:val="bottom"/>
          </w:tcPr>
          <w:p>
            <w:pPr>
              <w:spacing w:after="0"/>
              <w:rPr>
                <w:sz w:val="11"/>
                <w:szCs w:val="11"/>
                <w:color w:val="auto"/>
              </w:rPr>
            </w:pPr>
          </w:p>
        </w:tc>
        <w:tc>
          <w:tcPr>
            <w:tcW w:w="16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40" w:type="dxa"/>
            <w:vAlign w:val="bottom"/>
          </w:tcPr>
          <w:p>
            <w:pPr>
              <w:jc w:val="center"/>
              <w:spacing w:after="0" w:line="129" w:lineRule="exact"/>
              <w:rPr>
                <w:sz w:val="20"/>
                <w:szCs w:val="20"/>
                <w:color w:val="auto"/>
              </w:rPr>
            </w:pPr>
            <w:r>
              <w:rPr>
                <w:rFonts w:ascii="Arial" w:cs="Arial" w:eastAsia="Arial" w:hAnsi="Arial"/>
                <w:sz w:val="14"/>
                <w:szCs w:val="14"/>
                <w:b w:val="1"/>
                <w:bCs w:val="1"/>
                <w:color w:val="auto"/>
                <w:w w:val="84"/>
              </w:rPr>
              <w:t>Percentage</w:t>
            </w:r>
          </w:p>
        </w:tc>
        <w:tc>
          <w:tcPr>
            <w:tcW w:w="560" w:type="dxa"/>
            <w:vAlign w:val="bottom"/>
            <w:tcBorders>
              <w:right w:val="single" w:sz="8" w:color="auto"/>
            </w:tcBorders>
          </w:tcPr>
          <w:p>
            <w:pPr>
              <w:spacing w:after="0"/>
              <w:rPr>
                <w:sz w:val="11"/>
                <w:szCs w:val="11"/>
                <w:color w:val="auto"/>
              </w:rPr>
            </w:pPr>
          </w:p>
        </w:tc>
        <w:tc>
          <w:tcPr>
            <w:tcW w:w="340" w:type="dxa"/>
            <w:vAlign w:val="bottom"/>
          </w:tcPr>
          <w:p>
            <w:pPr>
              <w:spacing w:after="0"/>
              <w:rPr>
                <w:sz w:val="11"/>
                <w:szCs w:val="11"/>
                <w:color w:val="auto"/>
              </w:rPr>
            </w:pPr>
          </w:p>
        </w:tc>
        <w:tc>
          <w:tcPr>
            <w:tcW w:w="960" w:type="dxa"/>
            <w:vAlign w:val="bottom"/>
            <w:gridSpan w:val="2"/>
          </w:tcPr>
          <w:p>
            <w:pPr>
              <w:jc w:val="center"/>
              <w:ind w:right="500"/>
              <w:spacing w:after="0" w:line="129" w:lineRule="exact"/>
              <w:rPr>
                <w:sz w:val="20"/>
                <w:szCs w:val="20"/>
                <w:color w:val="auto"/>
              </w:rPr>
            </w:pPr>
            <w:r>
              <w:rPr>
                <w:rFonts w:ascii="Arial" w:cs="Arial" w:eastAsia="Arial" w:hAnsi="Arial"/>
                <w:sz w:val="14"/>
                <w:szCs w:val="14"/>
                <w:b w:val="1"/>
                <w:bCs w:val="1"/>
                <w:color w:val="auto"/>
                <w:w w:val="87"/>
              </w:rPr>
              <w:t>July 1,</w:t>
            </w:r>
          </w:p>
        </w:tc>
        <w:tc>
          <w:tcPr>
            <w:tcW w:w="660" w:type="dxa"/>
            <w:vAlign w:val="bottom"/>
          </w:tcPr>
          <w:p>
            <w:pPr>
              <w:jc w:val="center"/>
              <w:spacing w:after="0" w:line="129" w:lineRule="exact"/>
              <w:rPr>
                <w:sz w:val="20"/>
                <w:szCs w:val="20"/>
                <w:color w:val="auto"/>
              </w:rPr>
            </w:pPr>
            <w:r>
              <w:rPr>
                <w:rFonts w:ascii="Arial" w:cs="Arial" w:eastAsia="Arial" w:hAnsi="Arial"/>
                <w:sz w:val="14"/>
                <w:szCs w:val="14"/>
                <w:b w:val="1"/>
                <w:bCs w:val="1"/>
                <w:color w:val="auto"/>
                <w:w w:val="84"/>
              </w:rPr>
              <w:t>Percentage</w:t>
            </w:r>
          </w:p>
        </w:tc>
        <w:tc>
          <w:tcPr>
            <w:tcW w:w="460" w:type="dxa"/>
            <w:vAlign w:val="bottom"/>
          </w:tcPr>
          <w:p>
            <w:pPr>
              <w:spacing w:after="0"/>
              <w:rPr>
                <w:sz w:val="11"/>
                <w:szCs w:val="11"/>
                <w:color w:val="auto"/>
              </w:rPr>
            </w:pPr>
          </w:p>
        </w:tc>
        <w:tc>
          <w:tcPr>
            <w:tcW w:w="1120" w:type="dxa"/>
            <w:vAlign w:val="bottom"/>
            <w:gridSpan w:val="2"/>
          </w:tcPr>
          <w:p>
            <w:pPr>
              <w:jc w:val="center"/>
              <w:ind w:right="500"/>
              <w:spacing w:after="0" w:line="129" w:lineRule="exact"/>
              <w:rPr>
                <w:sz w:val="20"/>
                <w:szCs w:val="20"/>
                <w:color w:val="auto"/>
              </w:rPr>
            </w:pPr>
            <w:r>
              <w:rPr>
                <w:rFonts w:ascii="Arial" w:cs="Arial" w:eastAsia="Arial" w:hAnsi="Arial"/>
                <w:sz w:val="14"/>
                <w:szCs w:val="14"/>
                <w:b w:val="1"/>
                <w:bCs w:val="1"/>
                <w:color w:val="auto"/>
                <w:w w:val="89"/>
              </w:rPr>
              <w:t>January 1,</w:t>
            </w:r>
          </w:p>
        </w:tc>
        <w:tc>
          <w:tcPr>
            <w:tcW w:w="640" w:type="dxa"/>
            <w:vAlign w:val="bottom"/>
          </w:tcPr>
          <w:p>
            <w:pPr>
              <w:jc w:val="center"/>
              <w:spacing w:after="0" w:line="129" w:lineRule="exact"/>
              <w:rPr>
                <w:sz w:val="20"/>
                <w:szCs w:val="20"/>
                <w:color w:val="auto"/>
              </w:rPr>
            </w:pPr>
            <w:r>
              <w:rPr>
                <w:rFonts w:ascii="Arial" w:cs="Arial" w:eastAsia="Arial" w:hAnsi="Arial"/>
                <w:sz w:val="14"/>
                <w:szCs w:val="14"/>
                <w:b w:val="1"/>
                <w:bCs w:val="1"/>
                <w:color w:val="auto"/>
                <w:w w:val="84"/>
              </w:rPr>
              <w:t>Percentage</w:t>
            </w:r>
          </w:p>
        </w:tc>
        <w:tc>
          <w:tcPr>
            <w:tcW w:w="100" w:type="dxa"/>
            <w:vAlign w:val="bottom"/>
          </w:tcPr>
          <w:p>
            <w:pPr>
              <w:spacing w:after="0"/>
              <w:rPr>
                <w:sz w:val="11"/>
                <w:szCs w:val="11"/>
                <w:color w:val="auto"/>
              </w:rPr>
            </w:pPr>
          </w:p>
        </w:tc>
      </w:tr>
      <w:tr>
        <w:trPr>
          <w:trHeight w:val="149"/>
        </w:trPr>
        <w:tc>
          <w:tcPr>
            <w:tcW w:w="2740" w:type="dxa"/>
            <w:vAlign w:val="bottom"/>
          </w:tcPr>
          <w:p>
            <w:pPr>
              <w:spacing w:after="0"/>
              <w:rPr>
                <w:sz w:val="12"/>
                <w:szCs w:val="12"/>
                <w:color w:val="auto"/>
              </w:rPr>
            </w:pPr>
          </w:p>
        </w:tc>
        <w:tc>
          <w:tcPr>
            <w:tcW w:w="16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6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6"/>
              </w:rPr>
              <w:t>of Total</w:t>
            </w:r>
          </w:p>
        </w:tc>
        <w:tc>
          <w:tcPr>
            <w:tcW w:w="560" w:type="dxa"/>
            <w:vAlign w:val="bottom"/>
            <w:tcBorders>
              <w:right w:val="single" w:sz="8" w:color="auto"/>
            </w:tcBorders>
          </w:tcPr>
          <w:p>
            <w:pPr>
              <w:spacing w:after="0"/>
              <w:rPr>
                <w:sz w:val="12"/>
                <w:szCs w:val="12"/>
                <w:color w:val="auto"/>
              </w:rPr>
            </w:pPr>
          </w:p>
        </w:tc>
        <w:tc>
          <w:tcPr>
            <w:tcW w:w="840" w:type="dxa"/>
            <w:vAlign w:val="bottom"/>
            <w:gridSpan w:val="2"/>
          </w:tcPr>
          <w:p>
            <w:pPr>
              <w:jc w:val="center"/>
              <w:ind w:left="262"/>
              <w:spacing w:after="0" w:line="149" w:lineRule="exact"/>
              <w:rPr>
                <w:sz w:val="20"/>
                <w:szCs w:val="20"/>
                <w:color w:val="auto"/>
              </w:rPr>
            </w:pPr>
            <w:r>
              <w:rPr>
                <w:rFonts w:ascii="Arial" w:cs="Arial" w:eastAsia="Arial" w:hAnsi="Arial"/>
                <w:sz w:val="14"/>
                <w:szCs w:val="14"/>
                <w:b w:val="1"/>
                <w:bCs w:val="1"/>
                <w:color w:val="auto"/>
                <w:w w:val="83"/>
              </w:rPr>
              <w:t>2009</w:t>
            </w:r>
          </w:p>
        </w:tc>
        <w:tc>
          <w:tcPr>
            <w:tcW w:w="460" w:type="dxa"/>
            <w:vAlign w:val="bottom"/>
          </w:tcPr>
          <w:p>
            <w:pPr>
              <w:spacing w:after="0"/>
              <w:rPr>
                <w:sz w:val="12"/>
                <w:szCs w:val="12"/>
                <w:color w:val="auto"/>
              </w:rPr>
            </w:pPr>
          </w:p>
        </w:tc>
        <w:tc>
          <w:tcPr>
            <w:tcW w:w="6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6"/>
              </w:rPr>
              <w:t>of Total</w:t>
            </w:r>
          </w:p>
        </w:tc>
        <w:tc>
          <w:tcPr>
            <w:tcW w:w="1120" w:type="dxa"/>
            <w:vAlign w:val="bottom"/>
            <w:gridSpan w:val="2"/>
          </w:tcPr>
          <w:p>
            <w:pPr>
              <w:jc w:val="center"/>
              <w:ind w:left="382"/>
              <w:spacing w:after="0" w:line="149" w:lineRule="exact"/>
              <w:rPr>
                <w:sz w:val="20"/>
                <w:szCs w:val="20"/>
                <w:color w:val="auto"/>
              </w:rPr>
            </w:pPr>
            <w:r>
              <w:rPr>
                <w:rFonts w:ascii="Arial" w:cs="Arial" w:eastAsia="Arial" w:hAnsi="Arial"/>
                <w:sz w:val="14"/>
                <w:szCs w:val="14"/>
                <w:b w:val="1"/>
                <w:bCs w:val="1"/>
                <w:color w:val="auto"/>
                <w:w w:val="83"/>
              </w:rPr>
              <w:t>2009</w:t>
            </w:r>
          </w:p>
        </w:tc>
        <w:tc>
          <w:tcPr>
            <w:tcW w:w="460" w:type="dxa"/>
            <w:vAlign w:val="bottom"/>
          </w:tcPr>
          <w:p>
            <w:pPr>
              <w:spacing w:after="0"/>
              <w:rPr>
                <w:sz w:val="12"/>
                <w:szCs w:val="12"/>
                <w:color w:val="auto"/>
              </w:rPr>
            </w:pPr>
          </w:p>
        </w:tc>
        <w:tc>
          <w:tcPr>
            <w:tcW w:w="74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86"/>
              </w:rPr>
              <w:t>of Total</w:t>
            </w:r>
          </w:p>
        </w:tc>
      </w:tr>
      <w:tr>
        <w:trPr>
          <w:trHeight w:val="149"/>
        </w:trPr>
        <w:tc>
          <w:tcPr>
            <w:tcW w:w="2740" w:type="dxa"/>
            <w:vAlign w:val="bottom"/>
          </w:tcPr>
          <w:p>
            <w:pPr>
              <w:spacing w:after="0"/>
              <w:rPr>
                <w:sz w:val="12"/>
                <w:szCs w:val="12"/>
                <w:color w:val="auto"/>
              </w:rPr>
            </w:pPr>
          </w:p>
        </w:tc>
        <w:tc>
          <w:tcPr>
            <w:tcW w:w="16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60" w:type="dxa"/>
            <w:vAlign w:val="bottom"/>
            <w:gridSpan w:val="2"/>
          </w:tcPr>
          <w:p>
            <w:pPr>
              <w:jc w:val="center"/>
              <w:ind w:right="600"/>
              <w:spacing w:after="0" w:line="149" w:lineRule="exact"/>
              <w:rPr>
                <w:sz w:val="20"/>
                <w:szCs w:val="20"/>
                <w:color w:val="auto"/>
              </w:rPr>
            </w:pPr>
            <w:r>
              <w:rPr>
                <w:rFonts w:ascii="Arial" w:cs="Arial" w:eastAsia="Arial" w:hAnsi="Arial"/>
                <w:sz w:val="14"/>
                <w:szCs w:val="14"/>
                <w:b w:val="1"/>
                <w:bCs w:val="1"/>
                <w:color w:val="auto"/>
                <w:w w:val="88"/>
              </w:rPr>
              <w:t>Nine Months</w:t>
            </w:r>
          </w:p>
        </w:tc>
        <w:tc>
          <w:tcPr>
            <w:tcW w:w="6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5"/>
              </w:rPr>
              <w:t>net</w:t>
            </w:r>
          </w:p>
        </w:tc>
        <w:tc>
          <w:tcPr>
            <w:tcW w:w="560" w:type="dxa"/>
            <w:vAlign w:val="bottom"/>
            <w:tcBorders>
              <w:right w:val="single" w:sz="8" w:color="auto"/>
            </w:tcBorders>
          </w:tcPr>
          <w:p>
            <w:pPr>
              <w:spacing w:after="0"/>
              <w:rPr>
                <w:sz w:val="12"/>
                <w:szCs w:val="12"/>
                <w:color w:val="auto"/>
              </w:rPr>
            </w:pPr>
          </w:p>
        </w:tc>
        <w:tc>
          <w:tcPr>
            <w:tcW w:w="340" w:type="dxa"/>
            <w:vAlign w:val="bottom"/>
          </w:tcPr>
          <w:p>
            <w:pPr>
              <w:spacing w:after="0"/>
              <w:rPr>
                <w:sz w:val="12"/>
                <w:szCs w:val="12"/>
                <w:color w:val="auto"/>
              </w:rPr>
            </w:pPr>
          </w:p>
        </w:tc>
        <w:tc>
          <w:tcPr>
            <w:tcW w:w="960" w:type="dxa"/>
            <w:vAlign w:val="bottom"/>
            <w:gridSpan w:val="2"/>
          </w:tcPr>
          <w:p>
            <w:pPr>
              <w:jc w:val="center"/>
              <w:ind w:right="460"/>
              <w:spacing w:after="0" w:line="149" w:lineRule="exact"/>
              <w:rPr>
                <w:sz w:val="20"/>
                <w:szCs w:val="20"/>
                <w:color w:val="auto"/>
              </w:rPr>
            </w:pPr>
            <w:r>
              <w:rPr>
                <w:rFonts w:ascii="Arial" w:cs="Arial" w:eastAsia="Arial" w:hAnsi="Arial"/>
                <w:sz w:val="14"/>
                <w:szCs w:val="14"/>
                <w:b w:val="1"/>
                <w:bCs w:val="1"/>
                <w:color w:val="auto"/>
                <w:w w:val="87"/>
              </w:rPr>
              <w:t>Through</w:t>
            </w:r>
          </w:p>
        </w:tc>
        <w:tc>
          <w:tcPr>
            <w:tcW w:w="6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5"/>
              </w:rPr>
              <w:t>net</w:t>
            </w:r>
          </w:p>
        </w:tc>
        <w:tc>
          <w:tcPr>
            <w:tcW w:w="460" w:type="dxa"/>
            <w:vAlign w:val="bottom"/>
          </w:tcPr>
          <w:p>
            <w:pPr>
              <w:spacing w:after="0"/>
              <w:rPr>
                <w:sz w:val="12"/>
                <w:szCs w:val="12"/>
                <w:color w:val="auto"/>
              </w:rPr>
            </w:pPr>
          </w:p>
        </w:tc>
        <w:tc>
          <w:tcPr>
            <w:tcW w:w="1120" w:type="dxa"/>
            <w:vAlign w:val="bottom"/>
            <w:gridSpan w:val="2"/>
          </w:tcPr>
          <w:p>
            <w:pPr>
              <w:jc w:val="center"/>
              <w:ind w:right="460"/>
              <w:spacing w:after="0" w:line="149" w:lineRule="exact"/>
              <w:rPr>
                <w:sz w:val="20"/>
                <w:szCs w:val="20"/>
                <w:color w:val="auto"/>
              </w:rPr>
            </w:pPr>
            <w:r>
              <w:rPr>
                <w:rFonts w:ascii="Arial" w:cs="Arial" w:eastAsia="Arial" w:hAnsi="Arial"/>
                <w:sz w:val="14"/>
                <w:szCs w:val="14"/>
                <w:b w:val="1"/>
                <w:bCs w:val="1"/>
                <w:color w:val="auto"/>
                <w:w w:val="87"/>
              </w:rPr>
              <w:t>Through</w:t>
            </w:r>
          </w:p>
        </w:tc>
        <w:tc>
          <w:tcPr>
            <w:tcW w:w="74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85"/>
              </w:rPr>
              <w:t>net</w:t>
            </w:r>
          </w:p>
        </w:tc>
      </w:tr>
      <w:tr>
        <w:trPr>
          <w:trHeight w:val="149"/>
        </w:trPr>
        <w:tc>
          <w:tcPr>
            <w:tcW w:w="2740" w:type="dxa"/>
            <w:vAlign w:val="bottom"/>
          </w:tcPr>
          <w:p>
            <w:pPr>
              <w:spacing w:after="0"/>
              <w:rPr>
                <w:sz w:val="12"/>
                <w:szCs w:val="12"/>
                <w:color w:val="auto"/>
              </w:rPr>
            </w:pPr>
          </w:p>
        </w:tc>
        <w:tc>
          <w:tcPr>
            <w:tcW w:w="16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60" w:type="dxa"/>
            <w:vAlign w:val="bottom"/>
            <w:gridSpan w:val="2"/>
          </w:tcPr>
          <w:p>
            <w:pPr>
              <w:jc w:val="center"/>
              <w:ind w:right="600"/>
              <w:spacing w:after="0" w:line="149" w:lineRule="exact"/>
              <w:rPr>
                <w:sz w:val="20"/>
                <w:szCs w:val="20"/>
                <w:color w:val="auto"/>
              </w:rPr>
            </w:pPr>
            <w:r>
              <w:rPr>
                <w:rFonts w:ascii="Arial" w:cs="Arial" w:eastAsia="Arial" w:hAnsi="Arial"/>
                <w:sz w:val="14"/>
                <w:szCs w:val="14"/>
                <w:b w:val="1"/>
                <w:bCs w:val="1"/>
                <w:color w:val="auto"/>
                <w:w w:val="88"/>
              </w:rPr>
              <w:t>Ended</w:t>
            </w:r>
          </w:p>
        </w:tc>
        <w:tc>
          <w:tcPr>
            <w:tcW w:w="6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1"/>
              </w:rPr>
              <w:t>sales and</w:t>
            </w:r>
          </w:p>
        </w:tc>
        <w:tc>
          <w:tcPr>
            <w:tcW w:w="560" w:type="dxa"/>
            <w:vAlign w:val="bottom"/>
            <w:tcBorders>
              <w:right w:val="single" w:sz="8" w:color="auto"/>
            </w:tcBorders>
          </w:tcPr>
          <w:p>
            <w:pPr>
              <w:spacing w:after="0"/>
              <w:rPr>
                <w:sz w:val="12"/>
                <w:szCs w:val="12"/>
                <w:color w:val="auto"/>
              </w:rPr>
            </w:pPr>
          </w:p>
        </w:tc>
        <w:tc>
          <w:tcPr>
            <w:tcW w:w="340" w:type="dxa"/>
            <w:vAlign w:val="bottom"/>
          </w:tcPr>
          <w:p>
            <w:pPr>
              <w:spacing w:after="0"/>
              <w:rPr>
                <w:sz w:val="12"/>
                <w:szCs w:val="12"/>
                <w:color w:val="auto"/>
              </w:rPr>
            </w:pPr>
          </w:p>
        </w:tc>
        <w:tc>
          <w:tcPr>
            <w:tcW w:w="960" w:type="dxa"/>
            <w:vAlign w:val="bottom"/>
            <w:gridSpan w:val="2"/>
          </w:tcPr>
          <w:p>
            <w:pPr>
              <w:jc w:val="center"/>
              <w:ind w:right="460"/>
              <w:spacing w:after="0" w:line="149" w:lineRule="exact"/>
              <w:rPr>
                <w:sz w:val="20"/>
                <w:szCs w:val="20"/>
                <w:color w:val="auto"/>
              </w:rPr>
            </w:pPr>
            <w:r>
              <w:rPr>
                <w:rFonts w:ascii="Arial" w:cs="Arial" w:eastAsia="Arial" w:hAnsi="Arial"/>
                <w:sz w:val="14"/>
                <w:szCs w:val="14"/>
                <w:b w:val="1"/>
                <w:bCs w:val="1"/>
                <w:color w:val="auto"/>
                <w:w w:val="87"/>
              </w:rPr>
              <w:t>July 9,</w:t>
            </w:r>
          </w:p>
        </w:tc>
        <w:tc>
          <w:tcPr>
            <w:tcW w:w="6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1"/>
              </w:rPr>
              <w:t>sales and</w:t>
            </w:r>
          </w:p>
        </w:tc>
        <w:tc>
          <w:tcPr>
            <w:tcW w:w="460" w:type="dxa"/>
            <w:vAlign w:val="bottom"/>
          </w:tcPr>
          <w:p>
            <w:pPr>
              <w:spacing w:after="0"/>
              <w:rPr>
                <w:sz w:val="12"/>
                <w:szCs w:val="12"/>
                <w:color w:val="auto"/>
              </w:rPr>
            </w:pPr>
          </w:p>
        </w:tc>
        <w:tc>
          <w:tcPr>
            <w:tcW w:w="1120" w:type="dxa"/>
            <w:vAlign w:val="bottom"/>
            <w:gridSpan w:val="2"/>
          </w:tcPr>
          <w:p>
            <w:pPr>
              <w:jc w:val="center"/>
              <w:ind w:right="460"/>
              <w:spacing w:after="0" w:line="149" w:lineRule="exact"/>
              <w:rPr>
                <w:sz w:val="20"/>
                <w:szCs w:val="20"/>
                <w:color w:val="auto"/>
              </w:rPr>
            </w:pPr>
            <w:r>
              <w:rPr>
                <w:rFonts w:ascii="Arial" w:cs="Arial" w:eastAsia="Arial" w:hAnsi="Arial"/>
                <w:sz w:val="14"/>
                <w:szCs w:val="14"/>
                <w:b w:val="1"/>
                <w:bCs w:val="1"/>
                <w:color w:val="auto"/>
                <w:w w:val="87"/>
              </w:rPr>
              <w:t>July 9,</w:t>
            </w:r>
          </w:p>
        </w:tc>
        <w:tc>
          <w:tcPr>
            <w:tcW w:w="74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81"/>
              </w:rPr>
              <w:t>sales and</w:t>
            </w:r>
          </w:p>
        </w:tc>
      </w:tr>
      <w:tr>
        <w:trPr>
          <w:trHeight w:val="161"/>
        </w:trPr>
        <w:tc>
          <w:tcPr>
            <w:tcW w:w="274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114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87"/>
              </w:rPr>
              <w:t>September 30, 2010</w:t>
            </w:r>
          </w:p>
        </w:tc>
        <w:tc>
          <w:tcPr>
            <w:tcW w:w="460" w:type="dxa"/>
            <w:vAlign w:val="bottom"/>
          </w:tcPr>
          <w:p>
            <w:pPr>
              <w:spacing w:after="0"/>
              <w:rPr>
                <w:sz w:val="14"/>
                <w:szCs w:val="14"/>
                <w:color w:val="auto"/>
              </w:rPr>
            </w:pPr>
          </w:p>
        </w:tc>
        <w:tc>
          <w:tcPr>
            <w:tcW w:w="6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1"/>
              </w:rPr>
              <w:t>revenue</w:t>
            </w:r>
          </w:p>
        </w:tc>
        <w:tc>
          <w:tcPr>
            <w:tcW w:w="560" w:type="dxa"/>
            <w:vAlign w:val="bottom"/>
            <w:tcBorders>
              <w:right w:val="single" w:sz="8" w:color="auto"/>
            </w:tcBorders>
          </w:tcPr>
          <w:p>
            <w:pPr>
              <w:spacing w:after="0"/>
              <w:rPr>
                <w:sz w:val="14"/>
                <w:szCs w:val="14"/>
                <w:color w:val="auto"/>
              </w:rPr>
            </w:pPr>
          </w:p>
        </w:tc>
        <w:tc>
          <w:tcPr>
            <w:tcW w:w="340" w:type="dxa"/>
            <w:vAlign w:val="bottom"/>
          </w:tcPr>
          <w:p>
            <w:pPr>
              <w:spacing w:after="0"/>
              <w:rPr>
                <w:sz w:val="14"/>
                <w:szCs w:val="14"/>
                <w:color w:val="auto"/>
              </w:rPr>
            </w:pPr>
          </w:p>
        </w:tc>
        <w:tc>
          <w:tcPr>
            <w:tcW w:w="5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3"/>
              </w:rPr>
              <w:t>2009</w:t>
            </w:r>
          </w:p>
        </w:tc>
        <w:tc>
          <w:tcPr>
            <w:tcW w:w="460" w:type="dxa"/>
            <w:vAlign w:val="bottom"/>
          </w:tcPr>
          <w:p>
            <w:pPr>
              <w:spacing w:after="0"/>
              <w:rPr>
                <w:sz w:val="14"/>
                <w:szCs w:val="14"/>
                <w:color w:val="auto"/>
              </w:rPr>
            </w:pPr>
          </w:p>
        </w:tc>
        <w:tc>
          <w:tcPr>
            <w:tcW w:w="6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5"/>
              </w:rPr>
              <w:t>revenue</w:t>
            </w:r>
          </w:p>
        </w:tc>
        <w:tc>
          <w:tcPr>
            <w:tcW w:w="460" w:type="dxa"/>
            <w:vAlign w:val="bottom"/>
          </w:tcPr>
          <w:p>
            <w:pPr>
              <w:spacing w:after="0"/>
              <w:rPr>
                <w:sz w:val="14"/>
                <w:szCs w:val="14"/>
                <w:color w:val="auto"/>
              </w:rPr>
            </w:pPr>
          </w:p>
        </w:tc>
        <w:tc>
          <w:tcPr>
            <w:tcW w:w="6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3"/>
              </w:rPr>
              <w:t>2009</w:t>
            </w:r>
          </w:p>
        </w:tc>
        <w:tc>
          <w:tcPr>
            <w:tcW w:w="460" w:type="dxa"/>
            <w:vAlign w:val="bottom"/>
          </w:tcPr>
          <w:p>
            <w:pPr>
              <w:spacing w:after="0"/>
              <w:rPr>
                <w:sz w:val="14"/>
                <w:szCs w:val="14"/>
                <w:color w:val="auto"/>
              </w:rPr>
            </w:pPr>
          </w:p>
        </w:tc>
        <w:tc>
          <w:tcPr>
            <w:tcW w:w="6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1"/>
              </w:rPr>
              <w:t>revenue</w:t>
            </w:r>
          </w:p>
        </w:tc>
        <w:tc>
          <w:tcPr>
            <w:tcW w:w="100" w:type="dxa"/>
            <w:vAlign w:val="bottom"/>
          </w:tcPr>
          <w:p>
            <w:pPr>
              <w:spacing w:after="0"/>
              <w:rPr>
                <w:sz w:val="14"/>
                <w:szCs w:val="14"/>
                <w:color w:val="auto"/>
              </w:rPr>
            </w:pPr>
          </w:p>
        </w:tc>
      </w:tr>
      <w:tr>
        <w:trPr>
          <w:trHeight w:val="210"/>
        </w:trPr>
        <w:tc>
          <w:tcPr>
            <w:tcW w:w="2740" w:type="dxa"/>
            <w:vAlign w:val="bottom"/>
            <w:shd w:val="clear" w:color="auto" w:fill="CCEEFF"/>
          </w:tcPr>
          <w:p>
            <w:pPr>
              <w:spacing w:after="0"/>
              <w:rPr>
                <w:sz w:val="20"/>
                <w:szCs w:val="20"/>
                <w:color w:val="auto"/>
              </w:rPr>
            </w:pPr>
            <w:r>
              <w:rPr>
                <w:rFonts w:ascii="Arial" w:cs="Arial" w:eastAsia="Arial" w:hAnsi="Arial"/>
                <w:sz w:val="18"/>
                <w:szCs w:val="18"/>
                <w:color w:val="auto"/>
              </w:rPr>
              <w:t>Interest expense</w:t>
            </w:r>
          </w:p>
        </w:tc>
        <w:tc>
          <w:tcPr>
            <w:tcW w:w="1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6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(850)</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0.9%</w:t>
            </w:r>
          </w:p>
        </w:tc>
        <w:tc>
          <w:tcPr>
            <w:tcW w:w="560" w:type="dxa"/>
            <w:vAlign w:val="bottom"/>
            <w:tcBorders>
              <w:right w:val="single" w:sz="8" w:color="auto"/>
            </w:tcBorders>
            <w:shd w:val="clear" w:color="auto" w:fill="CCEEFF"/>
          </w:tcPr>
          <w:p>
            <w:pPr>
              <w:spacing w:after="0"/>
              <w:rPr>
                <w:sz w:val="18"/>
                <w:szCs w:val="18"/>
                <w:color w:val="auto"/>
              </w:rPr>
            </w:pPr>
          </w:p>
        </w:tc>
        <w:tc>
          <w:tcPr>
            <w:tcW w:w="1300" w:type="dxa"/>
            <w:vAlign w:val="bottom"/>
            <w:gridSpan w:val="3"/>
            <w:shd w:val="clear" w:color="auto" w:fill="CCEEFF"/>
          </w:tcPr>
          <w:p>
            <w:pPr>
              <w:jc w:val="right"/>
              <w:ind w:right="400"/>
              <w:spacing w:after="0"/>
              <w:rPr>
                <w:sz w:val="20"/>
                <w:szCs w:val="20"/>
                <w:color w:val="auto"/>
              </w:rPr>
            </w:pPr>
            <w:r>
              <w:rPr>
                <w:rFonts w:ascii="Arial" w:cs="Arial" w:eastAsia="Arial" w:hAnsi="Arial"/>
                <w:sz w:val="18"/>
                <w:szCs w:val="18"/>
                <w:color w:val="auto"/>
              </w:rPr>
              <w:t>$ (823)</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50.3%</w:t>
            </w:r>
          </w:p>
        </w:tc>
        <w:tc>
          <w:tcPr>
            <w:tcW w:w="1580" w:type="dxa"/>
            <w:vAlign w:val="bottom"/>
            <w:gridSpan w:val="3"/>
            <w:shd w:val="clear" w:color="auto" w:fill="CCEEFF"/>
          </w:tcPr>
          <w:p>
            <w:pPr>
              <w:jc w:val="right"/>
              <w:ind w:right="400"/>
              <w:spacing w:after="0"/>
              <w:rPr>
                <w:sz w:val="20"/>
                <w:szCs w:val="20"/>
                <w:color w:val="auto"/>
              </w:rPr>
            </w:pPr>
            <w:r>
              <w:rPr>
                <w:rFonts w:ascii="Arial" w:cs="Arial" w:eastAsia="Arial" w:hAnsi="Arial"/>
                <w:sz w:val="18"/>
                <w:szCs w:val="18"/>
                <w:color w:val="auto"/>
              </w:rPr>
              <w:t>$  (5,428)</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w:t>
            </w:r>
          </w:p>
        </w:tc>
        <w:tc>
          <w:tcPr>
            <w:tcW w:w="100" w:type="dxa"/>
            <w:vAlign w:val="bottom"/>
            <w:shd w:val="clear" w:color="auto" w:fill="CCEEFF"/>
          </w:tcPr>
          <w:p>
            <w:pPr>
              <w:spacing w:after="0"/>
              <w:rPr>
                <w:sz w:val="18"/>
                <w:szCs w:val="18"/>
                <w:color w:val="auto"/>
              </w:rPr>
            </w:pPr>
          </w:p>
        </w:tc>
      </w:tr>
    </w:tbl>
    <w:p>
      <w:pPr>
        <w:spacing w:after="0" w:line="154"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GM</w:t>
      </w:r>
    </w:p>
    <w:p>
      <w:pPr>
        <w:spacing w:after="0" w:line="171" w:lineRule="exact"/>
        <w:rPr>
          <w:sz w:val="20"/>
          <w:szCs w:val="20"/>
          <w:color w:val="auto"/>
        </w:rPr>
      </w:pPr>
    </w:p>
    <w:p>
      <w:pPr>
        <w:ind w:right="280" w:firstLine="228"/>
        <w:spacing w:after="0" w:line="370" w:lineRule="auto"/>
        <w:rPr>
          <w:sz w:val="20"/>
          <w:szCs w:val="20"/>
          <w:color w:val="auto"/>
        </w:rPr>
      </w:pPr>
      <w:r>
        <w:rPr>
          <w:rFonts w:ascii="Arial" w:cs="Arial" w:eastAsia="Arial" w:hAnsi="Arial"/>
          <w:sz w:val="15"/>
          <w:szCs w:val="15"/>
          <w:color w:val="auto"/>
        </w:rPr>
        <w:t>In the nine months ended September 30, 2010 Interest expense included: (1) interest expense on GMIO debt of $0.3 billion; (2) interest expense on GMNA debt of $0.2 billion; (3) VEBA Notes interest expense and premium amortization of $0.2 billion; and (4) interest expense on the UST Loans of $0.1 billion.</w:t>
      </w:r>
    </w:p>
    <w:p>
      <w:pPr>
        <w:spacing w:after="0" w:line="62"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Old GM</w:t>
      </w:r>
    </w:p>
    <w:p>
      <w:pPr>
        <w:spacing w:after="0" w:line="171" w:lineRule="exact"/>
        <w:rPr>
          <w:sz w:val="20"/>
          <w:szCs w:val="20"/>
          <w:color w:val="auto"/>
        </w:rPr>
      </w:pPr>
    </w:p>
    <w:p>
      <w:pPr>
        <w:ind w:left="240"/>
        <w:spacing w:after="0"/>
        <w:rPr>
          <w:sz w:val="20"/>
          <w:szCs w:val="20"/>
          <w:color w:val="auto"/>
        </w:rPr>
      </w:pPr>
      <w:r>
        <w:rPr>
          <w:rFonts w:ascii="Arial" w:cs="Arial" w:eastAsia="Arial" w:hAnsi="Arial"/>
          <w:sz w:val="18"/>
          <w:szCs w:val="18"/>
          <w:color w:val="auto"/>
        </w:rPr>
        <w:t>In the period July 1, 2009 through July 9, 2009 Old GM recorded amortization of discounts primarily related to the DIP Facility of $0.6 billion.</w:t>
      </w:r>
    </w:p>
    <w:p>
      <w:pPr>
        <w:spacing w:after="0" w:line="171" w:lineRule="exact"/>
        <w:rPr>
          <w:sz w:val="20"/>
          <w:szCs w:val="20"/>
          <w:color w:val="auto"/>
        </w:rPr>
      </w:pPr>
    </w:p>
    <w:p>
      <w:pPr>
        <w:ind w:right="20" w:firstLine="228"/>
        <w:spacing w:after="0" w:line="256" w:lineRule="auto"/>
        <w:rPr>
          <w:sz w:val="20"/>
          <w:szCs w:val="20"/>
          <w:color w:val="auto"/>
        </w:rPr>
      </w:pPr>
      <w:r>
        <w:rPr>
          <w:rFonts w:ascii="Arial" w:cs="Arial" w:eastAsia="Arial" w:hAnsi="Arial"/>
          <w:sz w:val="18"/>
          <w:szCs w:val="18"/>
          <w:color w:val="auto"/>
        </w:rPr>
        <w:t>In the period January 1, 2009 through July 9, 2009 Old GM recorded amortization of discounts related to the UST Loan, EDC Loan, and DIP Facilities of $3.7 billion. In addition, Old GM incurred interest expense of $1.7 billion primarily related to interest expense of $0.8 billion on unsecured debt balances, $0.4 billion on the UST Loan Facility and $0.2 billion on GMIO debt. Old GM ceased accruing and paying interest on most of its unsecured U.S. and foreign denominated debt on June 1, 2009, the date of its Chapter 11 Proceedings.</w:t>
      </w:r>
    </w:p>
    <w:p>
      <w:pPr>
        <w:spacing w:after="0" w:line="143"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Interest Income and Other Non-Operating Income, net</w:t>
      </w:r>
    </w:p>
    <w:p>
      <w:pPr>
        <w:spacing w:after="0" w:line="24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1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80" w:type="dxa"/>
            <w:vAlign w:val="bottom"/>
            <w:gridSpan w:val="5"/>
          </w:tcPr>
          <w:p>
            <w:pPr>
              <w:jc w:val="center"/>
              <w:ind w:right="380"/>
              <w:spacing w:after="0"/>
              <w:rPr>
                <w:sz w:val="20"/>
                <w:szCs w:val="20"/>
                <w:color w:val="auto"/>
              </w:rPr>
            </w:pPr>
            <w:r>
              <w:rPr>
                <w:rFonts w:ascii="Arial" w:cs="Arial" w:eastAsia="Arial" w:hAnsi="Arial"/>
                <w:sz w:val="14"/>
                <w:szCs w:val="14"/>
                <w:b w:val="1"/>
                <w:bCs w:val="1"/>
                <w:color w:val="auto"/>
                <w:w w:val="90"/>
              </w:rPr>
              <w:t>Three Months Ended</w:t>
            </w:r>
          </w:p>
        </w:tc>
        <w:tc>
          <w:tcPr>
            <w:tcW w:w="0" w:type="dxa"/>
            <w:vAlign w:val="bottom"/>
          </w:tcPr>
          <w:p>
            <w:pPr>
              <w:spacing w:after="0"/>
              <w:rPr>
                <w:sz w:val="1"/>
                <w:szCs w:val="1"/>
                <w:color w:val="auto"/>
              </w:rPr>
            </w:pPr>
          </w:p>
        </w:tc>
      </w:tr>
      <w:tr>
        <w:trPr>
          <w:trHeight w:val="161"/>
        </w:trPr>
        <w:tc>
          <w:tcPr>
            <w:tcW w:w="31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380" w:type="dxa"/>
            <w:vAlign w:val="bottom"/>
            <w:gridSpan w:val="4"/>
          </w:tcPr>
          <w:p>
            <w:pPr>
              <w:jc w:val="right"/>
              <w:ind w:right="32"/>
              <w:spacing w:after="0"/>
              <w:rPr>
                <w:sz w:val="20"/>
                <w:szCs w:val="20"/>
                <w:color w:val="auto"/>
              </w:rPr>
            </w:pPr>
            <w:r>
              <w:rPr>
                <w:rFonts w:ascii="Arial" w:cs="Arial" w:eastAsia="Arial" w:hAnsi="Arial"/>
                <w:sz w:val="14"/>
                <w:szCs w:val="14"/>
                <w:b w:val="1"/>
                <w:bCs w:val="1"/>
                <w:color w:val="auto"/>
              </w:rPr>
              <w:t>Successor</w:t>
            </w:r>
          </w:p>
        </w:tc>
        <w:tc>
          <w:tcPr>
            <w:tcW w:w="10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40" w:type="dxa"/>
            <w:vAlign w:val="bottom"/>
            <w:gridSpan w:val="3"/>
          </w:tcPr>
          <w:p>
            <w:pPr>
              <w:jc w:val="center"/>
              <w:ind w:left="170"/>
              <w:spacing w:after="0"/>
              <w:rPr>
                <w:sz w:val="20"/>
                <w:szCs w:val="20"/>
                <w:color w:val="auto"/>
              </w:rPr>
            </w:pPr>
            <w:r>
              <w:rPr>
                <w:rFonts w:ascii="Arial" w:cs="Arial" w:eastAsia="Arial" w:hAnsi="Arial"/>
                <w:sz w:val="14"/>
                <w:szCs w:val="14"/>
                <w:b w:val="1"/>
                <w:bCs w:val="1"/>
                <w:color w:val="auto"/>
                <w:w w:val="85"/>
              </w:rPr>
              <w:t>September 30, 2010</w:t>
            </w:r>
          </w:p>
        </w:tc>
        <w:tc>
          <w:tcPr>
            <w:tcW w:w="3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7"/>
        </w:trPr>
        <w:tc>
          <w:tcPr>
            <w:tcW w:w="31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50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80" w:type="dxa"/>
            <w:vAlign w:val="bottom"/>
            <w:gridSpan w:val="5"/>
            <w:vMerge w:val="restart"/>
          </w:tcPr>
          <w:p>
            <w:pPr>
              <w:jc w:val="center"/>
              <w:ind w:right="400"/>
              <w:spacing w:after="0"/>
              <w:rPr>
                <w:sz w:val="20"/>
                <w:szCs w:val="20"/>
                <w:color w:val="auto"/>
              </w:rPr>
            </w:pPr>
            <w:r>
              <w:rPr>
                <w:rFonts w:ascii="Arial" w:cs="Arial" w:eastAsia="Arial" w:hAnsi="Arial"/>
                <w:sz w:val="14"/>
                <w:szCs w:val="14"/>
                <w:b w:val="1"/>
                <w:bCs w:val="1"/>
                <w:color w:val="auto"/>
                <w:w w:val="86"/>
              </w:rPr>
              <w:t>vs. Period July 10, 2009</w:t>
            </w:r>
          </w:p>
        </w:tc>
        <w:tc>
          <w:tcPr>
            <w:tcW w:w="0" w:type="dxa"/>
            <w:vAlign w:val="bottom"/>
          </w:tcPr>
          <w:p>
            <w:pPr>
              <w:spacing w:after="0"/>
              <w:rPr>
                <w:sz w:val="1"/>
                <w:szCs w:val="1"/>
                <w:color w:val="auto"/>
              </w:rPr>
            </w:pPr>
          </w:p>
        </w:tc>
      </w:tr>
      <w:tr>
        <w:trPr>
          <w:trHeight w:val="115"/>
        </w:trPr>
        <w:tc>
          <w:tcPr>
            <w:tcW w:w="314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000" w:type="dxa"/>
            <w:vAlign w:val="bottom"/>
            <w:gridSpan w:val="2"/>
          </w:tcPr>
          <w:p>
            <w:pPr>
              <w:jc w:val="center"/>
              <w:ind w:right="240"/>
              <w:spacing w:after="0" w:line="115" w:lineRule="exact"/>
              <w:rPr>
                <w:sz w:val="20"/>
                <w:szCs w:val="20"/>
                <w:color w:val="auto"/>
              </w:rPr>
            </w:pPr>
            <w:r>
              <w:rPr>
                <w:rFonts w:ascii="Arial" w:cs="Arial" w:eastAsia="Arial" w:hAnsi="Arial"/>
                <w:sz w:val="12"/>
                <w:szCs w:val="12"/>
                <w:b w:val="1"/>
                <w:bCs w:val="1"/>
                <w:color w:val="auto"/>
                <w:w w:val="98"/>
              </w:rPr>
              <w:t>Percentage</w:t>
            </w:r>
          </w:p>
        </w:tc>
        <w:tc>
          <w:tcPr>
            <w:tcW w:w="2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740" w:type="dxa"/>
            <w:vAlign w:val="bottom"/>
          </w:tcPr>
          <w:p>
            <w:pPr>
              <w:jc w:val="center"/>
              <w:spacing w:after="0" w:line="115" w:lineRule="exact"/>
              <w:rPr>
                <w:sz w:val="20"/>
                <w:szCs w:val="20"/>
                <w:color w:val="auto"/>
              </w:rPr>
            </w:pPr>
            <w:r>
              <w:rPr>
                <w:rFonts w:ascii="Arial" w:cs="Arial" w:eastAsia="Arial" w:hAnsi="Arial"/>
                <w:sz w:val="12"/>
                <w:szCs w:val="12"/>
                <w:b w:val="1"/>
                <w:bCs w:val="1"/>
                <w:color w:val="auto"/>
                <w:w w:val="98"/>
              </w:rPr>
              <w:t>Percentage</w:t>
            </w:r>
          </w:p>
        </w:tc>
        <w:tc>
          <w:tcPr>
            <w:tcW w:w="5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080" w:type="dxa"/>
            <w:vAlign w:val="bottom"/>
            <w:gridSpan w:val="5"/>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31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500" w:type="dxa"/>
            <w:vAlign w:val="bottom"/>
            <w:gridSpan w:val="2"/>
          </w:tcPr>
          <w:p>
            <w:pPr>
              <w:jc w:val="center"/>
              <w:ind w:right="640"/>
              <w:spacing w:after="0" w:line="149" w:lineRule="exact"/>
              <w:rPr>
                <w:sz w:val="20"/>
                <w:szCs w:val="20"/>
                <w:color w:val="auto"/>
              </w:rPr>
            </w:pPr>
            <w:r>
              <w:rPr>
                <w:rFonts w:ascii="Arial" w:cs="Arial" w:eastAsia="Arial" w:hAnsi="Arial"/>
                <w:sz w:val="14"/>
                <w:szCs w:val="14"/>
                <w:b w:val="1"/>
                <w:bCs w:val="1"/>
                <w:color w:val="auto"/>
                <w:w w:val="89"/>
              </w:rPr>
              <w:t>Three Months</w:t>
            </w:r>
          </w:p>
        </w:tc>
        <w:tc>
          <w:tcPr>
            <w:tcW w:w="100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4"/>
              </w:rPr>
              <w:t>of Total</w:t>
            </w: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500" w:type="dxa"/>
            <w:vAlign w:val="bottom"/>
            <w:gridSpan w:val="2"/>
          </w:tcPr>
          <w:p>
            <w:pPr>
              <w:jc w:val="center"/>
              <w:ind w:right="620"/>
              <w:spacing w:after="0" w:line="149" w:lineRule="exact"/>
              <w:rPr>
                <w:sz w:val="20"/>
                <w:szCs w:val="20"/>
                <w:color w:val="auto"/>
              </w:rPr>
            </w:pPr>
            <w:r>
              <w:rPr>
                <w:rFonts w:ascii="Arial" w:cs="Arial" w:eastAsia="Arial" w:hAnsi="Arial"/>
                <w:sz w:val="14"/>
                <w:szCs w:val="14"/>
                <w:b w:val="1"/>
                <w:bCs w:val="1"/>
                <w:color w:val="auto"/>
                <w:w w:val="87"/>
              </w:rPr>
              <w:t>July 10, 2009</w:t>
            </w:r>
          </w:p>
        </w:tc>
        <w:tc>
          <w:tcPr>
            <w:tcW w:w="7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4"/>
              </w:rPr>
              <w:t>of Total</w:t>
            </w:r>
          </w:p>
        </w:tc>
        <w:tc>
          <w:tcPr>
            <w:tcW w:w="5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40" w:type="dxa"/>
            <w:vAlign w:val="bottom"/>
            <w:gridSpan w:val="3"/>
          </w:tcPr>
          <w:p>
            <w:pPr>
              <w:jc w:val="center"/>
              <w:ind w:left="190"/>
              <w:spacing w:after="0" w:line="149" w:lineRule="exact"/>
              <w:rPr>
                <w:sz w:val="20"/>
                <w:szCs w:val="20"/>
                <w:color w:val="auto"/>
              </w:rPr>
            </w:pPr>
            <w:r>
              <w:rPr>
                <w:rFonts w:ascii="Arial" w:cs="Arial" w:eastAsia="Arial" w:hAnsi="Arial"/>
                <w:sz w:val="14"/>
                <w:szCs w:val="14"/>
                <w:b w:val="1"/>
                <w:bCs w:val="1"/>
                <w:color w:val="auto"/>
                <w:w w:val="87"/>
              </w:rPr>
              <w:t>Through</w:t>
            </w:r>
          </w:p>
        </w:tc>
        <w:tc>
          <w:tcPr>
            <w:tcW w:w="3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31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500" w:type="dxa"/>
            <w:vAlign w:val="bottom"/>
            <w:gridSpan w:val="2"/>
          </w:tcPr>
          <w:p>
            <w:pPr>
              <w:jc w:val="center"/>
              <w:ind w:right="620"/>
              <w:spacing w:after="0" w:line="129" w:lineRule="exact"/>
              <w:rPr>
                <w:sz w:val="20"/>
                <w:szCs w:val="20"/>
                <w:color w:val="auto"/>
              </w:rPr>
            </w:pPr>
            <w:r>
              <w:rPr>
                <w:rFonts w:ascii="Arial" w:cs="Arial" w:eastAsia="Arial" w:hAnsi="Arial"/>
                <w:sz w:val="14"/>
                <w:szCs w:val="14"/>
                <w:b w:val="1"/>
                <w:bCs w:val="1"/>
                <w:color w:val="auto"/>
                <w:w w:val="84"/>
              </w:rPr>
              <w:t>Ended</w:t>
            </w:r>
          </w:p>
        </w:tc>
        <w:tc>
          <w:tcPr>
            <w:tcW w:w="1000" w:type="dxa"/>
            <w:vAlign w:val="bottom"/>
            <w:gridSpan w:val="2"/>
          </w:tcPr>
          <w:p>
            <w:pPr>
              <w:jc w:val="center"/>
              <w:ind w:right="260"/>
              <w:spacing w:after="0" w:line="129" w:lineRule="exact"/>
              <w:rPr>
                <w:sz w:val="20"/>
                <w:szCs w:val="20"/>
                <w:color w:val="auto"/>
              </w:rPr>
            </w:pPr>
            <w:r>
              <w:rPr>
                <w:rFonts w:ascii="Arial" w:cs="Arial" w:eastAsia="Arial" w:hAnsi="Arial"/>
                <w:sz w:val="14"/>
                <w:szCs w:val="14"/>
                <w:b w:val="1"/>
                <w:bCs w:val="1"/>
                <w:color w:val="auto"/>
                <w:w w:val="83"/>
              </w:rPr>
              <w:t>net sales and</w:t>
            </w:r>
          </w:p>
        </w:tc>
        <w:tc>
          <w:tcPr>
            <w:tcW w:w="2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500" w:type="dxa"/>
            <w:vAlign w:val="bottom"/>
            <w:gridSpan w:val="2"/>
          </w:tcPr>
          <w:p>
            <w:pPr>
              <w:jc w:val="center"/>
              <w:ind w:right="640"/>
              <w:spacing w:after="0" w:line="129" w:lineRule="exact"/>
              <w:rPr>
                <w:sz w:val="20"/>
                <w:szCs w:val="20"/>
                <w:color w:val="auto"/>
              </w:rPr>
            </w:pPr>
            <w:r>
              <w:rPr>
                <w:rFonts w:ascii="Arial" w:cs="Arial" w:eastAsia="Arial" w:hAnsi="Arial"/>
                <w:sz w:val="14"/>
                <w:szCs w:val="14"/>
                <w:b w:val="1"/>
                <w:bCs w:val="1"/>
                <w:color w:val="auto"/>
                <w:w w:val="87"/>
              </w:rPr>
              <w:t>Through</w:t>
            </w:r>
          </w:p>
        </w:tc>
        <w:tc>
          <w:tcPr>
            <w:tcW w:w="740" w:type="dxa"/>
            <w:vAlign w:val="bottom"/>
          </w:tcPr>
          <w:p>
            <w:pPr>
              <w:jc w:val="center"/>
              <w:spacing w:after="0" w:line="129" w:lineRule="exact"/>
              <w:rPr>
                <w:sz w:val="20"/>
                <w:szCs w:val="20"/>
                <w:color w:val="auto"/>
              </w:rPr>
            </w:pPr>
            <w:r>
              <w:rPr>
                <w:rFonts w:ascii="Arial" w:cs="Arial" w:eastAsia="Arial" w:hAnsi="Arial"/>
                <w:sz w:val="14"/>
                <w:szCs w:val="14"/>
                <w:b w:val="1"/>
                <w:bCs w:val="1"/>
                <w:color w:val="auto"/>
                <w:w w:val="83"/>
              </w:rPr>
              <w:t>net sales and</w:t>
            </w:r>
          </w:p>
        </w:tc>
        <w:tc>
          <w:tcPr>
            <w:tcW w:w="500" w:type="dxa"/>
            <w:vAlign w:val="bottom"/>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1820" w:type="dxa"/>
            <w:vAlign w:val="bottom"/>
            <w:tcBorders>
              <w:bottom w:val="single" w:sz="8" w:color="auto"/>
            </w:tcBorders>
            <w:gridSpan w:val="4"/>
          </w:tcPr>
          <w:p>
            <w:pPr>
              <w:jc w:val="center"/>
              <w:ind w:right="62"/>
              <w:spacing w:after="0" w:line="115" w:lineRule="exact"/>
              <w:rPr>
                <w:sz w:val="20"/>
                <w:szCs w:val="20"/>
                <w:color w:val="auto"/>
              </w:rPr>
            </w:pPr>
            <w:r>
              <w:rPr>
                <w:rFonts w:ascii="Arial" w:cs="Arial" w:eastAsia="Arial" w:hAnsi="Arial"/>
                <w:sz w:val="12"/>
                <w:szCs w:val="12"/>
                <w:b w:val="1"/>
                <w:bCs w:val="1"/>
                <w:color w:val="auto"/>
              </w:rPr>
              <w:t>September 30, 2009 Change</w:t>
            </w:r>
          </w:p>
        </w:tc>
        <w:tc>
          <w:tcPr>
            <w:tcW w:w="2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9"/>
        </w:trPr>
        <w:tc>
          <w:tcPr>
            <w:tcW w:w="31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620" w:type="dxa"/>
            <w:vAlign w:val="bottom"/>
            <w:gridSpan w:val="3"/>
          </w:tcPr>
          <w:p>
            <w:pPr>
              <w:jc w:val="center"/>
              <w:ind w:right="500"/>
              <w:spacing w:after="0"/>
              <w:rPr>
                <w:sz w:val="20"/>
                <w:szCs w:val="20"/>
                <w:color w:val="auto"/>
              </w:rPr>
            </w:pPr>
            <w:r>
              <w:rPr>
                <w:rFonts w:ascii="Arial" w:cs="Arial" w:eastAsia="Arial" w:hAnsi="Arial"/>
                <w:sz w:val="14"/>
                <w:szCs w:val="14"/>
                <w:b w:val="1"/>
                <w:bCs w:val="1"/>
                <w:color w:val="auto"/>
                <w:w w:val="85"/>
              </w:rPr>
              <w:t>September 30, 2010</w:t>
            </w:r>
          </w:p>
        </w:tc>
        <w:tc>
          <w:tcPr>
            <w:tcW w:w="10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1"/>
              </w:rPr>
              <w:t>revenue</w:t>
            </w:r>
          </w:p>
        </w:tc>
        <w:tc>
          <w:tcPr>
            <w:tcW w:w="240" w:type="dxa"/>
            <w:vAlign w:val="bottom"/>
          </w:tcPr>
          <w:p>
            <w:pPr>
              <w:spacing w:after="0"/>
              <w:rPr>
                <w:sz w:val="14"/>
                <w:szCs w:val="14"/>
                <w:color w:val="auto"/>
              </w:rPr>
            </w:pPr>
          </w:p>
        </w:tc>
        <w:tc>
          <w:tcPr>
            <w:tcW w:w="1640" w:type="dxa"/>
            <w:vAlign w:val="bottom"/>
            <w:gridSpan w:val="3"/>
          </w:tcPr>
          <w:p>
            <w:pPr>
              <w:jc w:val="center"/>
              <w:ind w:right="480"/>
              <w:spacing w:after="0"/>
              <w:rPr>
                <w:sz w:val="20"/>
                <w:szCs w:val="20"/>
                <w:color w:val="auto"/>
              </w:rPr>
            </w:pPr>
            <w:r>
              <w:rPr>
                <w:rFonts w:ascii="Arial" w:cs="Arial" w:eastAsia="Arial" w:hAnsi="Arial"/>
                <w:sz w:val="14"/>
                <w:szCs w:val="14"/>
                <w:b w:val="1"/>
                <w:bCs w:val="1"/>
                <w:color w:val="auto"/>
                <w:w w:val="85"/>
              </w:rPr>
              <w:t>September 30, 2009</w:t>
            </w:r>
          </w:p>
        </w:tc>
        <w:tc>
          <w:tcPr>
            <w:tcW w:w="740" w:type="dxa"/>
            <w:vAlign w:val="bottom"/>
          </w:tcPr>
          <w:p>
            <w:pPr>
              <w:jc w:val="center"/>
              <w:spacing w:after="0"/>
              <w:rPr>
                <w:sz w:val="20"/>
                <w:szCs w:val="20"/>
                <w:color w:val="auto"/>
              </w:rPr>
            </w:pPr>
            <w:r>
              <w:rPr>
                <w:rFonts w:ascii="Arial" w:cs="Arial" w:eastAsia="Arial" w:hAnsi="Arial"/>
                <w:sz w:val="14"/>
                <w:szCs w:val="14"/>
                <w:b w:val="1"/>
                <w:bCs w:val="1"/>
                <w:color w:val="auto"/>
                <w:w w:val="85"/>
              </w:rPr>
              <w:t>revenue</w:t>
            </w:r>
          </w:p>
        </w:tc>
        <w:tc>
          <w:tcPr>
            <w:tcW w:w="5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40" w:type="dxa"/>
            <w:vAlign w:val="bottom"/>
            <w:gridSpan w:val="3"/>
          </w:tcPr>
          <w:p>
            <w:pPr>
              <w:ind w:left="80"/>
              <w:spacing w:after="0"/>
              <w:rPr>
                <w:sz w:val="20"/>
                <w:szCs w:val="20"/>
                <w:color w:val="auto"/>
              </w:rPr>
            </w:pPr>
            <w:r>
              <w:rPr>
                <w:rFonts w:ascii="Arial" w:cs="Arial" w:eastAsia="Arial" w:hAnsi="Arial"/>
                <w:sz w:val="14"/>
                <w:szCs w:val="14"/>
                <w:b w:val="1"/>
                <w:bCs w:val="1"/>
                <w:color w:val="auto"/>
              </w:rPr>
              <w:t>Amount</w:t>
            </w:r>
          </w:p>
        </w:tc>
        <w:tc>
          <w:tcPr>
            <w:tcW w:w="380" w:type="dxa"/>
            <w:vAlign w:val="bottom"/>
          </w:tcPr>
          <w:p>
            <w:pPr>
              <w:ind w:left="40"/>
              <w:spacing w:after="0"/>
              <w:rPr>
                <w:sz w:val="20"/>
                <w:szCs w:val="20"/>
                <w:color w:val="auto"/>
              </w:rPr>
            </w:pPr>
            <w:r>
              <w:rPr>
                <w:rFonts w:ascii="Arial" w:cs="Arial" w:eastAsia="Arial" w:hAnsi="Arial"/>
                <w:sz w:val="14"/>
                <w:szCs w:val="14"/>
                <w:b w:val="1"/>
                <w:bCs w:val="1"/>
                <w:color w:val="auto"/>
              </w:rPr>
              <w:t>%</w:t>
            </w:r>
          </w:p>
        </w:tc>
        <w:tc>
          <w:tcPr>
            <w:tcW w:w="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1"/>
        </w:trPr>
        <w:tc>
          <w:tcPr>
            <w:tcW w:w="314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7"/>
              </w:rPr>
              <w:t>Interest income and other non-operating</w:t>
            </w:r>
          </w:p>
        </w:tc>
        <w:tc>
          <w:tcPr>
            <w:tcW w:w="320" w:type="dxa"/>
            <w:vAlign w:val="bottom"/>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1000" w:type="dxa"/>
            <w:vAlign w:val="bottom"/>
            <w:tcBorders>
              <w:top w:val="single" w:sz="8" w:color="auto"/>
            </w:tcBorders>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740" w:type="dxa"/>
            <w:vAlign w:val="bottom"/>
            <w:tcBorders>
              <w:top w:val="single" w:sz="8" w:color="auto"/>
            </w:tcBorders>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1000" w:type="dxa"/>
            <w:vAlign w:val="bottom"/>
            <w:tcBorders>
              <w:top w:val="single" w:sz="8" w:color="auto"/>
            </w:tcBorders>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740" w:type="dxa"/>
            <w:vAlign w:val="bottom"/>
            <w:tcBorders>
              <w:top w:val="single" w:sz="8" w:color="auto"/>
            </w:tcBorders>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760" w:type="dxa"/>
            <w:vAlign w:val="bottom"/>
            <w:tcBorders>
              <w:top w:val="single" w:sz="8" w:color="auto"/>
            </w:tcBorders>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380" w:type="dxa"/>
            <w:vAlign w:val="bottom"/>
            <w:tcBorders>
              <w:top w:val="single" w:sz="8" w:color="auto"/>
            </w:tcBorders>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4"/>
        </w:trPr>
        <w:tc>
          <w:tcPr>
            <w:tcW w:w="31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income, net</w:t>
            </w: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50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258</w:t>
            </w:r>
          </w:p>
        </w:tc>
        <w:tc>
          <w:tcPr>
            <w:tcW w:w="10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0.8%</w:t>
            </w: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50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454</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(196)</w:t>
            </w:r>
          </w:p>
        </w:tc>
        <w:tc>
          <w:tcPr>
            <w:tcW w:w="180" w:type="dxa"/>
            <w:vAlign w:val="bottom"/>
            <w:shd w:val="clear" w:color="auto" w:fill="CCEEFF"/>
          </w:tcPr>
          <w:p>
            <w:pPr>
              <w:spacing w:after="0"/>
              <w:rPr>
                <w:sz w:val="19"/>
                <w:szCs w:val="19"/>
                <w:color w:val="auto"/>
              </w:rPr>
            </w:pPr>
          </w:p>
        </w:tc>
        <w:tc>
          <w:tcPr>
            <w:tcW w:w="6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w w:val="95"/>
              </w:rPr>
              <w:t>(43.2)%</w:t>
            </w:r>
          </w:p>
        </w:tc>
        <w:tc>
          <w:tcPr>
            <w:tcW w:w="0" w:type="dxa"/>
            <w:vAlign w:val="bottom"/>
          </w:tcPr>
          <w:p>
            <w:pPr>
              <w:spacing w:after="0"/>
              <w:rPr>
                <w:sz w:val="1"/>
                <w:szCs w:val="1"/>
                <w:color w:val="auto"/>
              </w:rPr>
            </w:pPr>
          </w:p>
        </w:tc>
      </w:tr>
      <w:tr>
        <w:trPr>
          <w:trHeight w:val="363"/>
        </w:trPr>
        <w:tc>
          <w:tcPr>
            <w:tcW w:w="31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0" w:type="dxa"/>
            <w:vAlign w:val="bottom"/>
            <w:gridSpan w:val="2"/>
          </w:tcPr>
          <w:p>
            <w:pPr>
              <w:jc w:val="right"/>
              <w:ind w:right="240"/>
              <w:spacing w:after="0"/>
              <w:rPr>
                <w:sz w:val="20"/>
                <w:szCs w:val="20"/>
                <w:color w:val="auto"/>
              </w:rPr>
            </w:pPr>
            <w:r>
              <w:rPr>
                <w:rFonts w:ascii="Arial" w:cs="Arial" w:eastAsia="Arial" w:hAnsi="Arial"/>
                <w:sz w:val="18"/>
                <w:szCs w:val="18"/>
                <w:color w:val="auto"/>
              </w:rPr>
              <w:t>106</w:t>
            </w: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108" w:name="page109"/>
    <w:bookmarkEnd w:id="10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339" w:lineRule="exact"/>
        <w:rPr>
          <w:sz w:val="20"/>
          <w:szCs w:val="20"/>
          <w:color w:val="auto"/>
        </w:rPr>
      </w:pPr>
    </w:p>
    <w:p>
      <w:pPr>
        <w:ind w:right="140" w:firstLine="228"/>
        <w:spacing w:after="0" w:line="256" w:lineRule="auto"/>
        <w:rPr>
          <w:sz w:val="20"/>
          <w:szCs w:val="20"/>
          <w:color w:val="auto"/>
        </w:rPr>
      </w:pPr>
      <w:r>
        <w:rPr>
          <w:rFonts w:ascii="Arial" w:cs="Arial" w:eastAsia="Arial" w:hAnsi="Arial"/>
          <w:sz w:val="18"/>
          <w:szCs w:val="18"/>
          <w:color w:val="auto"/>
        </w:rPr>
        <w:t>In the three months ended September 30, 2010 Interest income and other non-operating income, net decreased compared to the period July 10, 2009 through September 30, 2009 by $0.2 billion (or 43.2%), primarily due to: (1) a decrease in derivative gains of $0.1 billion primarily related to the appreciation of the Korean Won against the U.S. Dollar and the Euro; and (2) expenses of $70 million recorded to increase the accrual for our contingently issuable shares based on an updated estimate of the fair value of our common stock.</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6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480" w:type="dxa"/>
            <w:vAlign w:val="bottom"/>
            <w:tcBorders>
              <w:bottom w:val="single" w:sz="8" w:color="auto"/>
            </w:tcBorders>
            <w:gridSpan w:val="2"/>
          </w:tcPr>
          <w:p>
            <w:pPr>
              <w:ind w:left="720"/>
              <w:spacing w:after="0"/>
              <w:rPr>
                <w:sz w:val="20"/>
                <w:szCs w:val="20"/>
                <w:color w:val="auto"/>
              </w:rPr>
            </w:pPr>
            <w:r>
              <w:rPr>
                <w:rFonts w:ascii="Arial" w:cs="Arial" w:eastAsia="Arial" w:hAnsi="Arial"/>
                <w:sz w:val="14"/>
                <w:szCs w:val="14"/>
                <w:b w:val="1"/>
                <w:bCs w:val="1"/>
                <w:color w:val="auto"/>
              </w:rPr>
              <w:t>Successor</w:t>
            </w:r>
          </w:p>
        </w:tc>
        <w:tc>
          <w:tcPr>
            <w:tcW w:w="640" w:type="dxa"/>
            <w:vAlign w:val="bottom"/>
            <w:tcBorders>
              <w:bottom w:val="single" w:sz="8" w:color="auto"/>
            </w:tcBorders>
          </w:tcPr>
          <w:p>
            <w:pPr>
              <w:spacing w:after="0"/>
              <w:rPr>
                <w:sz w:val="14"/>
                <w:szCs w:val="14"/>
                <w:color w:val="auto"/>
              </w:rPr>
            </w:pPr>
          </w:p>
        </w:tc>
        <w:tc>
          <w:tcPr>
            <w:tcW w:w="600" w:type="dxa"/>
            <w:vAlign w:val="bottom"/>
            <w:tcBorders>
              <w:right w:val="single" w:sz="8" w:color="auto"/>
            </w:tcBorders>
          </w:tcPr>
          <w:p>
            <w:pPr>
              <w:spacing w:after="0"/>
              <w:rPr>
                <w:sz w:val="14"/>
                <w:szCs w:val="14"/>
                <w:color w:val="auto"/>
              </w:rPr>
            </w:pPr>
          </w:p>
        </w:tc>
        <w:tc>
          <w:tcPr>
            <w:tcW w:w="38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126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Predecessor</w:t>
            </w:r>
          </w:p>
        </w:tc>
        <w:tc>
          <w:tcPr>
            <w:tcW w:w="56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29"/>
        </w:trPr>
        <w:tc>
          <w:tcPr>
            <w:tcW w:w="36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40" w:type="dxa"/>
            <w:vAlign w:val="bottom"/>
          </w:tcPr>
          <w:p>
            <w:pPr>
              <w:jc w:val="center"/>
              <w:spacing w:after="0" w:line="129" w:lineRule="exact"/>
              <w:rPr>
                <w:sz w:val="20"/>
                <w:szCs w:val="20"/>
                <w:color w:val="auto"/>
              </w:rPr>
            </w:pPr>
            <w:r>
              <w:rPr>
                <w:rFonts w:ascii="Arial" w:cs="Arial" w:eastAsia="Arial" w:hAnsi="Arial"/>
                <w:sz w:val="14"/>
                <w:szCs w:val="14"/>
                <w:b w:val="1"/>
                <w:bCs w:val="1"/>
                <w:color w:val="auto"/>
                <w:w w:val="84"/>
              </w:rPr>
              <w:t>Percentage</w:t>
            </w:r>
          </w:p>
        </w:tc>
        <w:tc>
          <w:tcPr>
            <w:tcW w:w="600" w:type="dxa"/>
            <w:vAlign w:val="bottom"/>
            <w:tcBorders>
              <w:right w:val="single" w:sz="8" w:color="auto"/>
            </w:tcBorders>
          </w:tcPr>
          <w:p>
            <w:pPr>
              <w:spacing w:after="0"/>
              <w:rPr>
                <w:sz w:val="11"/>
                <w:szCs w:val="11"/>
                <w:color w:val="auto"/>
              </w:rPr>
            </w:pPr>
          </w:p>
        </w:tc>
        <w:tc>
          <w:tcPr>
            <w:tcW w:w="3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60" w:type="dxa"/>
            <w:vAlign w:val="bottom"/>
          </w:tcPr>
          <w:p>
            <w:pPr>
              <w:jc w:val="center"/>
              <w:spacing w:after="0" w:line="129" w:lineRule="exact"/>
              <w:rPr>
                <w:sz w:val="20"/>
                <w:szCs w:val="20"/>
                <w:color w:val="auto"/>
              </w:rPr>
            </w:pPr>
            <w:r>
              <w:rPr>
                <w:rFonts w:ascii="Arial" w:cs="Arial" w:eastAsia="Arial" w:hAnsi="Arial"/>
                <w:sz w:val="14"/>
                <w:szCs w:val="14"/>
                <w:b w:val="1"/>
                <w:bCs w:val="1"/>
                <w:color w:val="auto"/>
                <w:w w:val="82"/>
              </w:rPr>
              <w:t>Percentage</w:t>
            </w:r>
          </w:p>
        </w:tc>
        <w:tc>
          <w:tcPr>
            <w:tcW w:w="500" w:type="dxa"/>
            <w:vAlign w:val="bottom"/>
          </w:tcPr>
          <w:p>
            <w:pPr>
              <w:spacing w:after="0"/>
              <w:rPr>
                <w:sz w:val="11"/>
                <w:szCs w:val="11"/>
                <w:color w:val="auto"/>
              </w:rPr>
            </w:pPr>
          </w:p>
        </w:tc>
        <w:tc>
          <w:tcPr>
            <w:tcW w:w="660" w:type="dxa"/>
            <w:vAlign w:val="bottom"/>
            <w:gridSpan w:val="2"/>
          </w:tcPr>
          <w:p>
            <w:pPr>
              <w:jc w:val="center"/>
              <w:spacing w:after="0" w:line="129" w:lineRule="exact"/>
              <w:rPr>
                <w:sz w:val="20"/>
                <w:szCs w:val="20"/>
                <w:color w:val="auto"/>
              </w:rPr>
            </w:pPr>
            <w:r>
              <w:rPr>
                <w:rFonts w:ascii="Arial" w:cs="Arial" w:eastAsia="Arial" w:hAnsi="Arial"/>
                <w:sz w:val="14"/>
                <w:szCs w:val="14"/>
                <w:b w:val="1"/>
                <w:bCs w:val="1"/>
                <w:color w:val="auto"/>
                <w:w w:val="89"/>
              </w:rPr>
              <w:t>January 1,</w:t>
            </w:r>
          </w:p>
        </w:tc>
        <w:tc>
          <w:tcPr>
            <w:tcW w:w="500" w:type="dxa"/>
            <w:vAlign w:val="bottom"/>
          </w:tcPr>
          <w:p>
            <w:pPr>
              <w:spacing w:after="0"/>
              <w:rPr>
                <w:sz w:val="11"/>
                <w:szCs w:val="11"/>
                <w:color w:val="auto"/>
              </w:rPr>
            </w:pPr>
          </w:p>
        </w:tc>
        <w:tc>
          <w:tcPr>
            <w:tcW w:w="640" w:type="dxa"/>
            <w:vAlign w:val="bottom"/>
          </w:tcPr>
          <w:p>
            <w:pPr>
              <w:jc w:val="center"/>
              <w:spacing w:after="0" w:line="129" w:lineRule="exact"/>
              <w:rPr>
                <w:sz w:val="20"/>
                <w:szCs w:val="20"/>
                <w:color w:val="auto"/>
              </w:rPr>
            </w:pPr>
            <w:r>
              <w:rPr>
                <w:rFonts w:ascii="Arial" w:cs="Arial" w:eastAsia="Arial" w:hAnsi="Arial"/>
                <w:sz w:val="14"/>
                <w:szCs w:val="14"/>
                <w:b w:val="1"/>
                <w:bCs w:val="1"/>
                <w:color w:val="auto"/>
                <w:w w:val="84"/>
              </w:rPr>
              <w:t>Percentage</w:t>
            </w:r>
          </w:p>
        </w:tc>
        <w:tc>
          <w:tcPr>
            <w:tcW w:w="100" w:type="dxa"/>
            <w:vAlign w:val="bottom"/>
          </w:tcPr>
          <w:p>
            <w:pPr>
              <w:spacing w:after="0"/>
              <w:rPr>
                <w:sz w:val="11"/>
                <w:szCs w:val="11"/>
                <w:color w:val="auto"/>
              </w:rPr>
            </w:pPr>
          </w:p>
        </w:tc>
      </w:tr>
      <w:tr>
        <w:trPr>
          <w:trHeight w:val="149"/>
        </w:trPr>
        <w:tc>
          <w:tcPr>
            <w:tcW w:w="36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240" w:type="dxa"/>
            <w:vAlign w:val="bottom"/>
            <w:tcBorders>
              <w:right w:val="single" w:sz="8" w:color="auto"/>
            </w:tcBorders>
            <w:gridSpan w:val="2"/>
          </w:tcPr>
          <w:p>
            <w:pPr>
              <w:jc w:val="center"/>
              <w:ind w:right="600"/>
              <w:spacing w:after="0" w:line="149" w:lineRule="exact"/>
              <w:rPr>
                <w:sz w:val="20"/>
                <w:szCs w:val="20"/>
                <w:color w:val="auto"/>
              </w:rPr>
            </w:pPr>
            <w:r>
              <w:rPr>
                <w:rFonts w:ascii="Arial" w:cs="Arial" w:eastAsia="Arial" w:hAnsi="Arial"/>
                <w:sz w:val="14"/>
                <w:szCs w:val="14"/>
                <w:b w:val="1"/>
                <w:bCs w:val="1"/>
                <w:color w:val="auto"/>
                <w:w w:val="86"/>
              </w:rPr>
              <w:t>of Total</w:t>
            </w:r>
          </w:p>
        </w:tc>
        <w:tc>
          <w:tcPr>
            <w:tcW w:w="3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jc w:val="center"/>
              <w:ind w:right="27"/>
              <w:spacing w:after="0" w:line="149" w:lineRule="exact"/>
              <w:rPr>
                <w:sz w:val="20"/>
                <w:szCs w:val="20"/>
                <w:color w:val="auto"/>
              </w:rPr>
            </w:pPr>
            <w:r>
              <w:rPr>
                <w:rFonts w:ascii="Arial" w:cs="Arial" w:eastAsia="Arial" w:hAnsi="Arial"/>
                <w:sz w:val="14"/>
                <w:szCs w:val="14"/>
                <w:b w:val="1"/>
                <w:bCs w:val="1"/>
                <w:color w:val="auto"/>
                <w:w w:val="87"/>
              </w:rPr>
              <w:t>July 1,</w:t>
            </w:r>
          </w:p>
        </w:tc>
        <w:tc>
          <w:tcPr>
            <w:tcW w:w="500" w:type="dxa"/>
            <w:vAlign w:val="bottom"/>
          </w:tcPr>
          <w:p>
            <w:pPr>
              <w:spacing w:after="0"/>
              <w:rPr>
                <w:sz w:val="12"/>
                <w:szCs w:val="12"/>
                <w:color w:val="auto"/>
              </w:rPr>
            </w:pPr>
          </w:p>
        </w:tc>
        <w:tc>
          <w:tcPr>
            <w:tcW w:w="6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6"/>
              </w:rPr>
              <w:t>of Total</w:t>
            </w: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jc w:val="center"/>
              <w:ind w:right="27"/>
              <w:spacing w:after="0" w:line="149" w:lineRule="exact"/>
              <w:rPr>
                <w:sz w:val="20"/>
                <w:szCs w:val="20"/>
                <w:color w:val="auto"/>
              </w:rPr>
            </w:pPr>
            <w:r>
              <w:rPr>
                <w:rFonts w:ascii="Arial" w:cs="Arial" w:eastAsia="Arial" w:hAnsi="Arial"/>
                <w:sz w:val="14"/>
                <w:szCs w:val="14"/>
                <w:b w:val="1"/>
                <w:bCs w:val="1"/>
                <w:color w:val="auto"/>
                <w:w w:val="83"/>
              </w:rPr>
              <w:t>2009</w:t>
            </w:r>
          </w:p>
        </w:tc>
        <w:tc>
          <w:tcPr>
            <w:tcW w:w="500" w:type="dxa"/>
            <w:vAlign w:val="bottom"/>
          </w:tcPr>
          <w:p>
            <w:pPr>
              <w:spacing w:after="0"/>
              <w:rPr>
                <w:sz w:val="12"/>
                <w:szCs w:val="12"/>
                <w:color w:val="auto"/>
              </w:rPr>
            </w:pPr>
          </w:p>
        </w:tc>
        <w:tc>
          <w:tcPr>
            <w:tcW w:w="74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86"/>
              </w:rPr>
              <w:t>of Total</w:t>
            </w:r>
          </w:p>
        </w:tc>
      </w:tr>
      <w:tr>
        <w:trPr>
          <w:trHeight w:val="149"/>
        </w:trPr>
        <w:tc>
          <w:tcPr>
            <w:tcW w:w="36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80" w:type="dxa"/>
            <w:vAlign w:val="bottom"/>
            <w:gridSpan w:val="2"/>
          </w:tcPr>
          <w:p>
            <w:pPr>
              <w:jc w:val="center"/>
              <w:ind w:right="620"/>
              <w:spacing w:after="0" w:line="149" w:lineRule="exact"/>
              <w:rPr>
                <w:sz w:val="20"/>
                <w:szCs w:val="20"/>
                <w:color w:val="auto"/>
              </w:rPr>
            </w:pPr>
            <w:r>
              <w:rPr>
                <w:rFonts w:ascii="Arial" w:cs="Arial" w:eastAsia="Arial" w:hAnsi="Arial"/>
                <w:sz w:val="14"/>
                <w:szCs w:val="14"/>
                <w:b w:val="1"/>
                <w:bCs w:val="1"/>
                <w:color w:val="auto"/>
                <w:w w:val="88"/>
              </w:rPr>
              <w:t>Nine Months</w:t>
            </w:r>
          </w:p>
        </w:tc>
        <w:tc>
          <w:tcPr>
            <w:tcW w:w="1240" w:type="dxa"/>
            <w:vAlign w:val="bottom"/>
            <w:tcBorders>
              <w:right w:val="single" w:sz="8" w:color="auto"/>
            </w:tcBorders>
            <w:gridSpan w:val="2"/>
          </w:tcPr>
          <w:p>
            <w:pPr>
              <w:jc w:val="center"/>
              <w:ind w:right="620"/>
              <w:spacing w:after="0" w:line="149" w:lineRule="exact"/>
              <w:rPr>
                <w:sz w:val="20"/>
                <w:szCs w:val="20"/>
                <w:color w:val="auto"/>
              </w:rPr>
            </w:pPr>
            <w:r>
              <w:rPr>
                <w:rFonts w:ascii="Arial" w:cs="Arial" w:eastAsia="Arial" w:hAnsi="Arial"/>
                <w:sz w:val="14"/>
                <w:szCs w:val="14"/>
                <w:b w:val="1"/>
                <w:bCs w:val="1"/>
                <w:color w:val="auto"/>
                <w:w w:val="85"/>
              </w:rPr>
              <w:t>net</w:t>
            </w:r>
          </w:p>
        </w:tc>
        <w:tc>
          <w:tcPr>
            <w:tcW w:w="3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jc w:val="center"/>
              <w:ind w:right="7"/>
              <w:spacing w:after="0" w:line="149" w:lineRule="exact"/>
              <w:rPr>
                <w:sz w:val="20"/>
                <w:szCs w:val="20"/>
                <w:color w:val="auto"/>
              </w:rPr>
            </w:pPr>
            <w:r>
              <w:rPr>
                <w:rFonts w:ascii="Arial" w:cs="Arial" w:eastAsia="Arial" w:hAnsi="Arial"/>
                <w:sz w:val="14"/>
                <w:szCs w:val="14"/>
                <w:b w:val="1"/>
                <w:bCs w:val="1"/>
                <w:color w:val="auto"/>
                <w:w w:val="89"/>
              </w:rPr>
              <w:t>2009</w:t>
            </w:r>
          </w:p>
        </w:tc>
        <w:tc>
          <w:tcPr>
            <w:tcW w:w="500" w:type="dxa"/>
            <w:vAlign w:val="bottom"/>
          </w:tcPr>
          <w:p>
            <w:pPr>
              <w:spacing w:after="0"/>
              <w:rPr>
                <w:sz w:val="12"/>
                <w:szCs w:val="12"/>
                <w:color w:val="auto"/>
              </w:rPr>
            </w:pPr>
          </w:p>
        </w:tc>
        <w:tc>
          <w:tcPr>
            <w:tcW w:w="6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5"/>
              </w:rPr>
              <w:t>net</w:t>
            </w:r>
          </w:p>
        </w:tc>
        <w:tc>
          <w:tcPr>
            <w:tcW w:w="500" w:type="dxa"/>
            <w:vAlign w:val="bottom"/>
          </w:tcPr>
          <w:p>
            <w:pPr>
              <w:spacing w:after="0"/>
              <w:rPr>
                <w:sz w:val="12"/>
                <w:szCs w:val="12"/>
                <w:color w:val="auto"/>
              </w:rPr>
            </w:pPr>
          </w:p>
        </w:tc>
        <w:tc>
          <w:tcPr>
            <w:tcW w:w="66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7"/>
              </w:rPr>
              <w:t>Through</w:t>
            </w:r>
          </w:p>
        </w:tc>
        <w:tc>
          <w:tcPr>
            <w:tcW w:w="500" w:type="dxa"/>
            <w:vAlign w:val="bottom"/>
          </w:tcPr>
          <w:p>
            <w:pPr>
              <w:spacing w:after="0"/>
              <w:rPr>
                <w:sz w:val="12"/>
                <w:szCs w:val="12"/>
                <w:color w:val="auto"/>
              </w:rPr>
            </w:pPr>
          </w:p>
        </w:tc>
        <w:tc>
          <w:tcPr>
            <w:tcW w:w="74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85"/>
              </w:rPr>
              <w:t>net</w:t>
            </w:r>
          </w:p>
        </w:tc>
      </w:tr>
      <w:tr>
        <w:trPr>
          <w:trHeight w:val="149"/>
        </w:trPr>
        <w:tc>
          <w:tcPr>
            <w:tcW w:w="36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80" w:type="dxa"/>
            <w:vAlign w:val="bottom"/>
            <w:gridSpan w:val="2"/>
          </w:tcPr>
          <w:p>
            <w:pPr>
              <w:jc w:val="center"/>
              <w:ind w:right="620"/>
              <w:spacing w:after="0" w:line="149" w:lineRule="exact"/>
              <w:rPr>
                <w:sz w:val="20"/>
                <w:szCs w:val="20"/>
                <w:color w:val="auto"/>
              </w:rPr>
            </w:pPr>
            <w:r>
              <w:rPr>
                <w:rFonts w:ascii="Arial" w:cs="Arial" w:eastAsia="Arial" w:hAnsi="Arial"/>
                <w:sz w:val="14"/>
                <w:szCs w:val="14"/>
                <w:b w:val="1"/>
                <w:bCs w:val="1"/>
                <w:color w:val="auto"/>
                <w:w w:val="88"/>
              </w:rPr>
              <w:t>Ended</w:t>
            </w:r>
          </w:p>
        </w:tc>
        <w:tc>
          <w:tcPr>
            <w:tcW w:w="1240" w:type="dxa"/>
            <w:vAlign w:val="bottom"/>
            <w:tcBorders>
              <w:right w:val="single" w:sz="8" w:color="auto"/>
            </w:tcBorders>
            <w:gridSpan w:val="2"/>
          </w:tcPr>
          <w:p>
            <w:pPr>
              <w:jc w:val="center"/>
              <w:ind w:right="600"/>
              <w:spacing w:after="0" w:line="149" w:lineRule="exact"/>
              <w:rPr>
                <w:sz w:val="20"/>
                <w:szCs w:val="20"/>
                <w:color w:val="auto"/>
              </w:rPr>
            </w:pPr>
            <w:r>
              <w:rPr>
                <w:rFonts w:ascii="Arial" w:cs="Arial" w:eastAsia="Arial" w:hAnsi="Arial"/>
                <w:sz w:val="14"/>
                <w:szCs w:val="14"/>
                <w:b w:val="1"/>
                <w:bCs w:val="1"/>
                <w:color w:val="auto"/>
                <w:w w:val="81"/>
              </w:rPr>
              <w:t>sales and</w:t>
            </w:r>
          </w:p>
        </w:tc>
        <w:tc>
          <w:tcPr>
            <w:tcW w:w="3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jc w:val="center"/>
              <w:ind w:right="7"/>
              <w:spacing w:after="0" w:line="149" w:lineRule="exact"/>
              <w:rPr>
                <w:sz w:val="20"/>
                <w:szCs w:val="20"/>
                <w:color w:val="auto"/>
              </w:rPr>
            </w:pPr>
            <w:r>
              <w:rPr>
                <w:rFonts w:ascii="Arial" w:cs="Arial" w:eastAsia="Arial" w:hAnsi="Arial"/>
                <w:sz w:val="14"/>
                <w:szCs w:val="14"/>
                <w:b w:val="1"/>
                <w:bCs w:val="1"/>
                <w:color w:val="auto"/>
                <w:w w:val="91"/>
              </w:rPr>
              <w:t>Through</w:t>
            </w:r>
          </w:p>
        </w:tc>
        <w:tc>
          <w:tcPr>
            <w:tcW w:w="500" w:type="dxa"/>
            <w:vAlign w:val="bottom"/>
          </w:tcPr>
          <w:p>
            <w:pPr>
              <w:spacing w:after="0"/>
              <w:rPr>
                <w:sz w:val="12"/>
                <w:szCs w:val="12"/>
                <w:color w:val="auto"/>
              </w:rPr>
            </w:pPr>
          </w:p>
        </w:tc>
        <w:tc>
          <w:tcPr>
            <w:tcW w:w="6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1"/>
              </w:rPr>
              <w:t>sales and</w:t>
            </w: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jc w:val="center"/>
              <w:ind w:right="27"/>
              <w:spacing w:after="0" w:line="149" w:lineRule="exact"/>
              <w:rPr>
                <w:sz w:val="20"/>
                <w:szCs w:val="20"/>
                <w:color w:val="auto"/>
              </w:rPr>
            </w:pPr>
            <w:r>
              <w:rPr>
                <w:rFonts w:ascii="Arial" w:cs="Arial" w:eastAsia="Arial" w:hAnsi="Arial"/>
                <w:sz w:val="14"/>
                <w:szCs w:val="14"/>
                <w:b w:val="1"/>
                <w:bCs w:val="1"/>
                <w:color w:val="auto"/>
                <w:w w:val="87"/>
              </w:rPr>
              <w:t>July 9,</w:t>
            </w:r>
          </w:p>
        </w:tc>
        <w:tc>
          <w:tcPr>
            <w:tcW w:w="500" w:type="dxa"/>
            <w:vAlign w:val="bottom"/>
          </w:tcPr>
          <w:p>
            <w:pPr>
              <w:spacing w:after="0"/>
              <w:rPr>
                <w:sz w:val="12"/>
                <w:szCs w:val="12"/>
                <w:color w:val="auto"/>
              </w:rPr>
            </w:pPr>
          </w:p>
        </w:tc>
        <w:tc>
          <w:tcPr>
            <w:tcW w:w="74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81"/>
              </w:rPr>
              <w:t>sales and</w:t>
            </w:r>
          </w:p>
        </w:tc>
      </w:tr>
      <w:tr>
        <w:trPr>
          <w:trHeight w:val="161"/>
        </w:trPr>
        <w:tc>
          <w:tcPr>
            <w:tcW w:w="36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620" w:type="dxa"/>
            <w:vAlign w:val="bottom"/>
            <w:gridSpan w:val="3"/>
          </w:tcPr>
          <w:p>
            <w:pPr>
              <w:jc w:val="center"/>
              <w:ind w:right="500"/>
              <w:spacing w:after="0"/>
              <w:rPr>
                <w:sz w:val="20"/>
                <w:szCs w:val="20"/>
                <w:color w:val="auto"/>
              </w:rPr>
            </w:pPr>
            <w:r>
              <w:rPr>
                <w:rFonts w:ascii="Arial" w:cs="Arial" w:eastAsia="Arial" w:hAnsi="Arial"/>
                <w:sz w:val="14"/>
                <w:szCs w:val="14"/>
                <w:b w:val="1"/>
                <w:bCs w:val="1"/>
                <w:color w:val="auto"/>
                <w:w w:val="85"/>
              </w:rPr>
              <w:t>September 30, 2010</w:t>
            </w:r>
          </w:p>
        </w:tc>
        <w:tc>
          <w:tcPr>
            <w:tcW w:w="1240" w:type="dxa"/>
            <w:vAlign w:val="bottom"/>
            <w:tcBorders>
              <w:right w:val="single" w:sz="8" w:color="auto"/>
            </w:tcBorders>
            <w:gridSpan w:val="2"/>
          </w:tcPr>
          <w:p>
            <w:pPr>
              <w:jc w:val="center"/>
              <w:ind w:right="580"/>
              <w:spacing w:after="0"/>
              <w:rPr>
                <w:sz w:val="20"/>
                <w:szCs w:val="20"/>
                <w:color w:val="auto"/>
              </w:rPr>
            </w:pPr>
            <w:r>
              <w:rPr>
                <w:rFonts w:ascii="Arial" w:cs="Arial" w:eastAsia="Arial" w:hAnsi="Arial"/>
                <w:sz w:val="14"/>
                <w:szCs w:val="14"/>
                <w:b w:val="1"/>
                <w:bCs w:val="1"/>
                <w:color w:val="auto"/>
                <w:w w:val="85"/>
              </w:rPr>
              <w:t>revenue</w:t>
            </w:r>
          </w:p>
        </w:tc>
        <w:tc>
          <w:tcPr>
            <w:tcW w:w="380" w:type="dxa"/>
            <w:vAlign w:val="bottom"/>
          </w:tcPr>
          <w:p>
            <w:pPr>
              <w:spacing w:after="0"/>
              <w:rPr>
                <w:sz w:val="14"/>
                <w:szCs w:val="14"/>
                <w:color w:val="auto"/>
              </w:rPr>
            </w:pPr>
          </w:p>
        </w:tc>
        <w:tc>
          <w:tcPr>
            <w:tcW w:w="680" w:type="dxa"/>
            <w:vAlign w:val="bottom"/>
            <w:gridSpan w:val="2"/>
          </w:tcPr>
          <w:p>
            <w:pPr>
              <w:jc w:val="center"/>
              <w:spacing w:after="0"/>
              <w:rPr>
                <w:sz w:val="20"/>
                <w:szCs w:val="20"/>
                <w:color w:val="auto"/>
              </w:rPr>
            </w:pPr>
            <w:r>
              <w:rPr>
                <w:rFonts w:ascii="Arial" w:cs="Arial" w:eastAsia="Arial" w:hAnsi="Arial"/>
                <w:sz w:val="14"/>
                <w:szCs w:val="14"/>
                <w:b w:val="1"/>
                <w:bCs w:val="1"/>
                <w:color w:val="auto"/>
                <w:w w:val="86"/>
              </w:rPr>
              <w:t>July 9, 2009</w:t>
            </w:r>
          </w:p>
        </w:tc>
        <w:tc>
          <w:tcPr>
            <w:tcW w:w="500" w:type="dxa"/>
            <w:vAlign w:val="bottom"/>
          </w:tcPr>
          <w:p>
            <w:pPr>
              <w:spacing w:after="0"/>
              <w:rPr>
                <w:sz w:val="14"/>
                <w:szCs w:val="14"/>
                <w:color w:val="auto"/>
              </w:rPr>
            </w:pPr>
          </w:p>
        </w:tc>
        <w:tc>
          <w:tcPr>
            <w:tcW w:w="660" w:type="dxa"/>
            <w:vAlign w:val="bottom"/>
          </w:tcPr>
          <w:p>
            <w:pPr>
              <w:jc w:val="center"/>
              <w:spacing w:after="0"/>
              <w:rPr>
                <w:sz w:val="20"/>
                <w:szCs w:val="20"/>
                <w:color w:val="auto"/>
              </w:rPr>
            </w:pPr>
            <w:r>
              <w:rPr>
                <w:rFonts w:ascii="Arial" w:cs="Arial" w:eastAsia="Arial" w:hAnsi="Arial"/>
                <w:sz w:val="14"/>
                <w:szCs w:val="14"/>
                <w:b w:val="1"/>
                <w:bCs w:val="1"/>
                <w:color w:val="auto"/>
                <w:w w:val="85"/>
              </w:rPr>
              <w:t>revenue</w:t>
            </w:r>
          </w:p>
        </w:tc>
        <w:tc>
          <w:tcPr>
            <w:tcW w:w="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jc w:val="center"/>
              <w:ind w:right="27"/>
              <w:spacing w:after="0"/>
              <w:rPr>
                <w:sz w:val="20"/>
                <w:szCs w:val="20"/>
                <w:color w:val="auto"/>
              </w:rPr>
            </w:pPr>
            <w:r>
              <w:rPr>
                <w:rFonts w:ascii="Arial" w:cs="Arial" w:eastAsia="Arial" w:hAnsi="Arial"/>
                <w:sz w:val="14"/>
                <w:szCs w:val="14"/>
                <w:b w:val="1"/>
                <w:bCs w:val="1"/>
                <w:color w:val="auto"/>
                <w:w w:val="83"/>
              </w:rPr>
              <w:t>2009</w:t>
            </w:r>
          </w:p>
        </w:tc>
        <w:tc>
          <w:tcPr>
            <w:tcW w:w="500" w:type="dxa"/>
            <w:vAlign w:val="bottom"/>
          </w:tcPr>
          <w:p>
            <w:pPr>
              <w:spacing w:after="0"/>
              <w:rPr>
                <w:sz w:val="14"/>
                <w:szCs w:val="14"/>
                <w:color w:val="auto"/>
              </w:rPr>
            </w:pPr>
          </w:p>
        </w:tc>
        <w:tc>
          <w:tcPr>
            <w:tcW w:w="74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1"/>
              </w:rPr>
              <w:t>revenue</w:t>
            </w:r>
          </w:p>
        </w:tc>
      </w:tr>
      <w:tr>
        <w:trPr>
          <w:trHeight w:val="201"/>
        </w:trPr>
        <w:tc>
          <w:tcPr>
            <w:tcW w:w="36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4"/>
              </w:rPr>
              <w:t>Interest income and other non-operating income,</w:t>
            </w:r>
          </w:p>
        </w:tc>
        <w:tc>
          <w:tcPr>
            <w:tcW w:w="260" w:type="dxa"/>
            <w:vAlign w:val="bottom"/>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1000" w:type="dxa"/>
            <w:vAlign w:val="bottom"/>
            <w:tcBorders>
              <w:top w:val="single" w:sz="8" w:color="auto"/>
            </w:tcBorders>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640" w:type="dxa"/>
            <w:vAlign w:val="bottom"/>
            <w:tcBorders>
              <w:top w:val="single" w:sz="8" w:color="auto"/>
            </w:tcBorders>
            <w:shd w:val="clear" w:color="auto" w:fill="CCEEFF"/>
          </w:tcPr>
          <w:p>
            <w:pPr>
              <w:spacing w:after="0"/>
              <w:rPr>
                <w:sz w:val="17"/>
                <w:szCs w:val="17"/>
                <w:color w:val="auto"/>
              </w:rPr>
            </w:pPr>
          </w:p>
        </w:tc>
        <w:tc>
          <w:tcPr>
            <w:tcW w:w="600" w:type="dxa"/>
            <w:vAlign w:val="bottom"/>
            <w:tcBorders>
              <w:right w:val="single" w:sz="8" w:color="auto"/>
            </w:tcBorders>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560" w:type="dxa"/>
            <w:vAlign w:val="bottom"/>
            <w:tcBorders>
              <w:top w:val="single" w:sz="8" w:color="auto"/>
            </w:tcBorders>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640" w:type="dxa"/>
            <w:vAlign w:val="bottom"/>
            <w:tcBorders>
              <w:top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24"/>
        </w:trPr>
        <w:tc>
          <w:tcPr>
            <w:tcW w:w="36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net</w:t>
            </w: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80" w:type="dxa"/>
            <w:vAlign w:val="bottom"/>
            <w:gridSpan w:val="2"/>
            <w:shd w:val="clear" w:color="auto" w:fill="CCEEFF"/>
          </w:tcPr>
          <w:p>
            <w:pPr>
              <w:ind w:left="720"/>
              <w:spacing w:after="0"/>
              <w:rPr>
                <w:sz w:val="20"/>
                <w:szCs w:val="20"/>
                <w:color w:val="auto"/>
              </w:rPr>
            </w:pPr>
            <w:r>
              <w:rPr>
                <w:rFonts w:ascii="Arial" w:cs="Arial" w:eastAsia="Arial" w:hAnsi="Arial"/>
                <w:sz w:val="18"/>
                <w:szCs w:val="18"/>
                <w:color w:val="auto"/>
              </w:rPr>
              <w:t>802</w:t>
            </w:r>
          </w:p>
        </w:tc>
        <w:tc>
          <w:tcPr>
            <w:tcW w:w="1240" w:type="dxa"/>
            <w:vAlign w:val="bottom"/>
            <w:tcBorders>
              <w:right w:val="single" w:sz="8" w:color="auto"/>
            </w:tcBorders>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0.8%</w:t>
            </w:r>
          </w:p>
        </w:tc>
        <w:tc>
          <w:tcPr>
            <w:tcW w:w="380" w:type="dxa"/>
            <w:vAlign w:val="bottom"/>
            <w:shd w:val="clear" w:color="auto" w:fill="CCEEFF"/>
          </w:tcPr>
          <w:p>
            <w:pPr>
              <w:spacing w:after="0"/>
              <w:rPr>
                <w:sz w:val="19"/>
                <w:szCs w:val="19"/>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1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852</w:t>
            </w: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100" w:type="dxa"/>
            <w:vAlign w:val="bottom"/>
            <w:shd w:val="clear" w:color="auto" w:fill="CCEEFF"/>
          </w:tcPr>
          <w:p>
            <w:pPr>
              <w:spacing w:after="0"/>
              <w:rPr>
                <w:sz w:val="19"/>
                <w:szCs w:val="19"/>
                <w:color w:val="auto"/>
              </w:rPr>
            </w:pPr>
          </w:p>
        </w:tc>
      </w:tr>
    </w:tbl>
    <w:p>
      <w:pPr>
        <w:spacing w:after="0" w:line="154"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GM</w:t>
      </w:r>
    </w:p>
    <w:p>
      <w:pPr>
        <w:spacing w:after="0" w:line="171" w:lineRule="exact"/>
        <w:rPr>
          <w:sz w:val="20"/>
          <w:szCs w:val="20"/>
          <w:color w:val="auto"/>
        </w:rPr>
      </w:pPr>
    </w:p>
    <w:p>
      <w:pPr>
        <w:ind w:right="140" w:firstLine="228"/>
        <w:spacing w:after="0" w:line="259" w:lineRule="auto"/>
        <w:rPr>
          <w:sz w:val="20"/>
          <w:szCs w:val="20"/>
          <w:color w:val="auto"/>
        </w:rPr>
      </w:pPr>
      <w:r>
        <w:rPr>
          <w:rFonts w:ascii="Arial" w:cs="Arial" w:eastAsia="Arial" w:hAnsi="Arial"/>
          <w:sz w:val="18"/>
          <w:szCs w:val="18"/>
          <w:color w:val="auto"/>
        </w:rPr>
        <w:t>In the nine months ended September 30, 2010 Interest income and other non-operating income, net primarily included interest income of $0.3 billion on cash deposits and marketable securities, gain on the sale of Saab of $0.1 billion, rental income of $0.1 billion, Ally Financial exclusivity fee of $0.1 billion and dividend income of $0.1 billion.</w:t>
      </w:r>
    </w:p>
    <w:p>
      <w:pPr>
        <w:spacing w:after="0" w:line="140"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Old GM</w:t>
      </w:r>
    </w:p>
    <w:p>
      <w:pPr>
        <w:spacing w:after="0" w:line="171" w:lineRule="exact"/>
        <w:rPr>
          <w:sz w:val="20"/>
          <w:szCs w:val="20"/>
          <w:color w:val="auto"/>
        </w:rPr>
      </w:pPr>
    </w:p>
    <w:p>
      <w:pPr>
        <w:ind w:firstLine="228"/>
        <w:spacing w:after="0" w:line="298" w:lineRule="auto"/>
        <w:rPr>
          <w:sz w:val="20"/>
          <w:szCs w:val="20"/>
          <w:color w:val="auto"/>
        </w:rPr>
      </w:pPr>
      <w:r>
        <w:rPr>
          <w:rFonts w:ascii="Arial" w:cs="Arial" w:eastAsia="Arial" w:hAnsi="Arial"/>
          <w:sz w:val="16"/>
          <w:szCs w:val="16"/>
          <w:color w:val="auto"/>
        </w:rPr>
        <w:t>In the period January 1, 2009 through July 9, 2009 Interest income and other non-operating income, net primarily included: (1) interest income of $183 million earned from investments; (2) gains on derivatives of $164 million related to the return of warrants issued to the UST; (3) gains on foreign currency exchange derivatives of $91 million; (4) dividends on the investment in GMAC Preferred Membership Interests of $79 million; (5) net rental income of $78 million in GMNA; (6) royalty income of $59 million in GMNA; and (7) exclusivity fee income of $52 million in GMNA.</w:t>
      </w:r>
    </w:p>
    <w:p>
      <w:pPr>
        <w:spacing w:after="0" w:line="113"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Loss on Extinguishment of Debt</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8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20" w:type="dxa"/>
            <w:vAlign w:val="bottom"/>
            <w:gridSpan w:val="2"/>
          </w:tcPr>
          <w:p>
            <w:pPr>
              <w:jc w:val="center"/>
              <w:ind w:right="480"/>
              <w:spacing w:after="0"/>
              <w:rPr>
                <w:sz w:val="20"/>
                <w:szCs w:val="20"/>
                <w:color w:val="auto"/>
              </w:rPr>
            </w:pPr>
            <w:r>
              <w:rPr>
                <w:rFonts w:ascii="Arial" w:cs="Arial" w:eastAsia="Arial" w:hAnsi="Arial"/>
                <w:sz w:val="14"/>
                <w:szCs w:val="14"/>
                <w:b w:val="1"/>
                <w:bCs w:val="1"/>
                <w:color w:val="auto"/>
                <w:w w:val="79"/>
              </w:rPr>
              <w:t>Successor</w:t>
            </w:r>
          </w:p>
        </w:tc>
        <w:tc>
          <w:tcPr>
            <w:tcW w:w="2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680" w:type="dxa"/>
            <w:vAlign w:val="bottom"/>
            <w:tcBorders>
              <w:right w:val="single" w:sz="8" w:color="auto"/>
            </w:tcBorders>
          </w:tcPr>
          <w:p>
            <w:pPr>
              <w:spacing w:after="0"/>
              <w:rPr>
                <w:sz w:val="14"/>
                <w:szCs w:val="14"/>
                <w:color w:val="auto"/>
              </w:rPr>
            </w:pPr>
          </w:p>
        </w:tc>
        <w:tc>
          <w:tcPr>
            <w:tcW w:w="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360" w:type="dxa"/>
            <w:vAlign w:val="bottom"/>
            <w:gridSpan w:val="3"/>
          </w:tcPr>
          <w:p>
            <w:pPr>
              <w:jc w:val="right"/>
              <w:ind w:right="640"/>
              <w:spacing w:after="0"/>
              <w:rPr>
                <w:sz w:val="20"/>
                <w:szCs w:val="20"/>
                <w:color w:val="auto"/>
              </w:rPr>
            </w:pPr>
            <w:r>
              <w:rPr>
                <w:rFonts w:ascii="Arial" w:cs="Arial" w:eastAsia="Arial" w:hAnsi="Arial"/>
                <w:sz w:val="14"/>
                <w:szCs w:val="14"/>
                <w:b w:val="1"/>
                <w:bCs w:val="1"/>
                <w:color w:val="auto"/>
                <w:w w:val="83"/>
              </w:rPr>
              <w:t>Predecessor</w:t>
            </w:r>
          </w:p>
        </w:tc>
      </w:tr>
      <w:tr>
        <w:trPr>
          <w:trHeight w:val="129"/>
        </w:trPr>
        <w:tc>
          <w:tcPr>
            <w:tcW w:w="384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1020" w:type="dxa"/>
            <w:vAlign w:val="bottom"/>
            <w:tcBorders>
              <w:top w:val="single" w:sz="8" w:color="auto"/>
            </w:tcBorders>
          </w:tcPr>
          <w:p>
            <w:pPr>
              <w:spacing w:after="0"/>
              <w:rPr>
                <w:sz w:val="11"/>
                <w:szCs w:val="11"/>
                <w:color w:val="auto"/>
              </w:rPr>
            </w:pPr>
          </w:p>
        </w:tc>
        <w:tc>
          <w:tcPr>
            <w:tcW w:w="280" w:type="dxa"/>
            <w:vAlign w:val="bottom"/>
            <w:tcBorders>
              <w:top w:val="single" w:sz="8" w:color="auto"/>
            </w:tcBorders>
          </w:tcPr>
          <w:p>
            <w:pPr>
              <w:spacing w:after="0"/>
              <w:rPr>
                <w:sz w:val="11"/>
                <w:szCs w:val="11"/>
                <w:color w:val="auto"/>
              </w:rPr>
            </w:pPr>
          </w:p>
        </w:tc>
        <w:tc>
          <w:tcPr>
            <w:tcW w:w="300" w:type="dxa"/>
            <w:vAlign w:val="bottom"/>
            <w:tcBorders>
              <w:top w:val="single" w:sz="8" w:color="auto"/>
            </w:tcBorders>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1000" w:type="dxa"/>
            <w:vAlign w:val="bottom"/>
            <w:tcBorders>
              <w:top w:val="single" w:sz="8" w:color="auto"/>
            </w:tcBorders>
          </w:tcPr>
          <w:p>
            <w:pPr>
              <w:spacing w:after="0"/>
              <w:rPr>
                <w:sz w:val="11"/>
                <w:szCs w:val="11"/>
                <w:color w:val="auto"/>
              </w:rPr>
            </w:pPr>
          </w:p>
        </w:tc>
        <w:tc>
          <w:tcPr>
            <w:tcW w:w="320" w:type="dxa"/>
            <w:vAlign w:val="bottom"/>
            <w:tcBorders>
              <w:top w:val="single" w:sz="8" w:color="auto"/>
            </w:tcBorders>
          </w:tcPr>
          <w:p>
            <w:pPr>
              <w:spacing w:after="0"/>
              <w:rPr>
                <w:sz w:val="11"/>
                <w:szCs w:val="11"/>
                <w:color w:val="auto"/>
              </w:rPr>
            </w:pPr>
          </w:p>
        </w:tc>
        <w:tc>
          <w:tcPr>
            <w:tcW w:w="260" w:type="dxa"/>
            <w:vAlign w:val="bottom"/>
            <w:tcBorders>
              <w:top w:val="single" w:sz="8" w:color="auto"/>
            </w:tcBorders>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980" w:type="dxa"/>
            <w:vAlign w:val="bottom"/>
            <w:tcBorders>
              <w:top w:val="single" w:sz="8" w:color="auto"/>
            </w:tcBorders>
          </w:tcPr>
          <w:p>
            <w:pPr>
              <w:spacing w:after="0"/>
              <w:rPr>
                <w:sz w:val="11"/>
                <w:szCs w:val="11"/>
                <w:color w:val="auto"/>
              </w:rPr>
            </w:pPr>
          </w:p>
        </w:tc>
        <w:tc>
          <w:tcPr>
            <w:tcW w:w="680" w:type="dxa"/>
            <w:vAlign w:val="bottom"/>
            <w:tcBorders>
              <w:right w:val="single" w:sz="8" w:color="auto"/>
            </w:tcBorders>
          </w:tcPr>
          <w:p>
            <w:pPr>
              <w:spacing w:after="0"/>
              <w:rPr>
                <w:sz w:val="11"/>
                <w:szCs w:val="11"/>
                <w:color w:val="auto"/>
              </w:rPr>
            </w:pPr>
          </w:p>
        </w:tc>
        <w:tc>
          <w:tcPr>
            <w:tcW w:w="480" w:type="dxa"/>
            <w:vAlign w:val="bottom"/>
          </w:tcPr>
          <w:p>
            <w:pPr>
              <w:spacing w:after="0"/>
              <w:rPr>
                <w:sz w:val="11"/>
                <w:szCs w:val="11"/>
                <w:color w:val="auto"/>
              </w:rPr>
            </w:pPr>
          </w:p>
        </w:tc>
        <w:tc>
          <w:tcPr>
            <w:tcW w:w="500" w:type="dxa"/>
            <w:vAlign w:val="bottom"/>
            <w:tcBorders>
              <w:top w:val="single" w:sz="8" w:color="auto"/>
            </w:tcBorders>
            <w:gridSpan w:val="2"/>
          </w:tcPr>
          <w:p>
            <w:pPr>
              <w:jc w:val="center"/>
              <w:spacing w:after="0" w:line="129" w:lineRule="exact"/>
              <w:rPr>
                <w:sz w:val="20"/>
                <w:szCs w:val="20"/>
                <w:color w:val="auto"/>
              </w:rPr>
            </w:pPr>
            <w:r>
              <w:rPr>
                <w:rFonts w:ascii="Arial" w:cs="Arial" w:eastAsia="Arial" w:hAnsi="Arial"/>
                <w:sz w:val="14"/>
                <w:szCs w:val="14"/>
                <w:b w:val="1"/>
                <w:bCs w:val="1"/>
                <w:color w:val="auto"/>
                <w:w w:val="87"/>
              </w:rPr>
              <w:t>July 1,</w:t>
            </w:r>
          </w:p>
        </w:tc>
        <w:tc>
          <w:tcPr>
            <w:tcW w:w="600" w:type="dxa"/>
            <w:vAlign w:val="bottom"/>
            <w:tcBorders>
              <w:top w:val="single" w:sz="8" w:color="auto"/>
            </w:tcBorders>
          </w:tcPr>
          <w:p>
            <w:pPr>
              <w:spacing w:after="0"/>
              <w:rPr>
                <w:sz w:val="11"/>
                <w:szCs w:val="11"/>
                <w:color w:val="auto"/>
              </w:rPr>
            </w:pPr>
          </w:p>
        </w:tc>
        <w:tc>
          <w:tcPr>
            <w:tcW w:w="660" w:type="dxa"/>
            <w:vAlign w:val="bottom"/>
            <w:tcBorders>
              <w:top w:val="single" w:sz="8" w:color="auto"/>
            </w:tcBorders>
          </w:tcPr>
          <w:p>
            <w:pPr>
              <w:jc w:val="center"/>
              <w:spacing w:after="0" w:line="129" w:lineRule="exact"/>
              <w:rPr>
                <w:sz w:val="20"/>
                <w:szCs w:val="20"/>
                <w:color w:val="auto"/>
              </w:rPr>
            </w:pPr>
            <w:r>
              <w:rPr>
                <w:rFonts w:ascii="Arial" w:cs="Arial" w:eastAsia="Arial" w:hAnsi="Arial"/>
                <w:sz w:val="14"/>
                <w:szCs w:val="14"/>
                <w:b w:val="1"/>
                <w:bCs w:val="1"/>
                <w:color w:val="auto"/>
                <w:w w:val="89"/>
              </w:rPr>
              <w:t>January 1,</w:t>
            </w:r>
          </w:p>
        </w:tc>
        <w:tc>
          <w:tcPr>
            <w:tcW w:w="100" w:type="dxa"/>
            <w:vAlign w:val="bottom"/>
          </w:tcPr>
          <w:p>
            <w:pPr>
              <w:spacing w:after="0"/>
              <w:rPr>
                <w:sz w:val="11"/>
                <w:szCs w:val="11"/>
                <w:color w:val="auto"/>
              </w:rPr>
            </w:pPr>
          </w:p>
        </w:tc>
      </w:tr>
      <w:tr>
        <w:trPr>
          <w:trHeight w:val="149"/>
        </w:trPr>
        <w:tc>
          <w:tcPr>
            <w:tcW w:w="38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680" w:type="dxa"/>
            <w:vAlign w:val="bottom"/>
            <w:tcBorders>
              <w:right w:val="single" w:sz="8" w:color="auto"/>
            </w:tcBorders>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tcPr>
          <w:p>
            <w:pPr>
              <w:jc w:val="center"/>
              <w:ind w:right="26"/>
              <w:spacing w:after="0" w:line="149" w:lineRule="exact"/>
              <w:rPr>
                <w:sz w:val="20"/>
                <w:szCs w:val="20"/>
                <w:color w:val="auto"/>
              </w:rPr>
            </w:pPr>
            <w:r>
              <w:rPr>
                <w:rFonts w:ascii="Arial" w:cs="Arial" w:eastAsia="Arial" w:hAnsi="Arial"/>
                <w:sz w:val="14"/>
                <w:szCs w:val="14"/>
                <w:b w:val="1"/>
                <w:bCs w:val="1"/>
                <w:color w:val="auto"/>
                <w:w w:val="83"/>
              </w:rPr>
              <w:t>2009</w:t>
            </w:r>
          </w:p>
        </w:tc>
        <w:tc>
          <w:tcPr>
            <w:tcW w:w="1260" w:type="dxa"/>
            <w:vAlign w:val="bottom"/>
            <w:gridSpan w:val="2"/>
          </w:tcPr>
          <w:p>
            <w:pPr>
              <w:jc w:val="center"/>
              <w:ind w:left="506"/>
              <w:spacing w:after="0" w:line="149" w:lineRule="exact"/>
              <w:rPr>
                <w:sz w:val="20"/>
                <w:szCs w:val="20"/>
                <w:color w:val="auto"/>
              </w:rPr>
            </w:pPr>
            <w:r>
              <w:rPr>
                <w:rFonts w:ascii="Arial" w:cs="Arial" w:eastAsia="Arial" w:hAnsi="Arial"/>
                <w:sz w:val="14"/>
                <w:szCs w:val="14"/>
                <w:b w:val="1"/>
                <w:bCs w:val="1"/>
                <w:color w:val="auto"/>
                <w:w w:val="89"/>
              </w:rPr>
              <w:t>2009</w:t>
            </w:r>
          </w:p>
        </w:tc>
        <w:tc>
          <w:tcPr>
            <w:tcW w:w="100" w:type="dxa"/>
            <w:vAlign w:val="bottom"/>
          </w:tcPr>
          <w:p>
            <w:pPr>
              <w:spacing w:after="0"/>
              <w:rPr>
                <w:sz w:val="12"/>
                <w:szCs w:val="12"/>
                <w:color w:val="auto"/>
              </w:rPr>
            </w:pPr>
          </w:p>
        </w:tc>
      </w:tr>
      <w:tr>
        <w:trPr>
          <w:trHeight w:val="149"/>
        </w:trPr>
        <w:tc>
          <w:tcPr>
            <w:tcW w:w="38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00" w:type="dxa"/>
            <w:vAlign w:val="bottom"/>
            <w:gridSpan w:val="2"/>
          </w:tcPr>
          <w:p>
            <w:pPr>
              <w:jc w:val="center"/>
              <w:ind w:right="400"/>
              <w:spacing w:after="0" w:line="149" w:lineRule="exact"/>
              <w:rPr>
                <w:sz w:val="20"/>
                <w:szCs w:val="20"/>
                <w:color w:val="auto"/>
              </w:rPr>
            </w:pPr>
            <w:r>
              <w:rPr>
                <w:rFonts w:ascii="Arial" w:cs="Arial" w:eastAsia="Arial" w:hAnsi="Arial"/>
                <w:sz w:val="14"/>
                <w:szCs w:val="14"/>
                <w:b w:val="1"/>
                <w:bCs w:val="1"/>
                <w:color w:val="auto"/>
                <w:w w:val="89"/>
              </w:rPr>
              <w:t>Three Months</w:t>
            </w:r>
          </w:p>
        </w:tc>
        <w:tc>
          <w:tcPr>
            <w:tcW w:w="3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320" w:type="dxa"/>
            <w:vAlign w:val="bottom"/>
            <w:gridSpan w:val="2"/>
          </w:tcPr>
          <w:p>
            <w:pPr>
              <w:jc w:val="center"/>
              <w:ind w:right="460"/>
              <w:spacing w:after="0" w:line="149" w:lineRule="exact"/>
              <w:rPr>
                <w:sz w:val="20"/>
                <w:szCs w:val="20"/>
                <w:color w:val="auto"/>
              </w:rPr>
            </w:pPr>
            <w:r>
              <w:rPr>
                <w:rFonts w:ascii="Arial" w:cs="Arial" w:eastAsia="Arial" w:hAnsi="Arial"/>
                <w:sz w:val="14"/>
                <w:szCs w:val="14"/>
                <w:b w:val="1"/>
                <w:bCs w:val="1"/>
                <w:color w:val="auto"/>
                <w:w w:val="88"/>
              </w:rPr>
              <w:t>Nine Months</w:t>
            </w:r>
          </w:p>
        </w:tc>
        <w:tc>
          <w:tcPr>
            <w:tcW w:w="2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80" w:type="dxa"/>
            <w:vAlign w:val="bottom"/>
          </w:tcPr>
          <w:p>
            <w:pPr>
              <w:jc w:val="center"/>
              <w:ind w:right="66"/>
              <w:spacing w:after="0" w:line="149" w:lineRule="exact"/>
              <w:rPr>
                <w:sz w:val="20"/>
                <w:szCs w:val="20"/>
                <w:color w:val="auto"/>
              </w:rPr>
            </w:pPr>
            <w:r>
              <w:rPr>
                <w:rFonts w:ascii="Arial" w:cs="Arial" w:eastAsia="Arial" w:hAnsi="Arial"/>
                <w:sz w:val="14"/>
                <w:szCs w:val="14"/>
                <w:b w:val="1"/>
                <w:bCs w:val="1"/>
                <w:color w:val="auto"/>
                <w:w w:val="87"/>
              </w:rPr>
              <w:t>July 10, 2009</w:t>
            </w:r>
          </w:p>
        </w:tc>
        <w:tc>
          <w:tcPr>
            <w:tcW w:w="680" w:type="dxa"/>
            <w:vAlign w:val="bottom"/>
            <w:tcBorders>
              <w:right w:val="single" w:sz="8" w:color="auto"/>
            </w:tcBorders>
          </w:tcPr>
          <w:p>
            <w:pPr>
              <w:spacing w:after="0"/>
              <w:rPr>
                <w:sz w:val="12"/>
                <w:szCs w:val="12"/>
                <w:color w:val="auto"/>
              </w:rPr>
            </w:pPr>
          </w:p>
        </w:tc>
        <w:tc>
          <w:tcPr>
            <w:tcW w:w="480" w:type="dxa"/>
            <w:vAlign w:val="bottom"/>
          </w:tcPr>
          <w:p>
            <w:pPr>
              <w:spacing w:after="0"/>
              <w:rPr>
                <w:sz w:val="12"/>
                <w:szCs w:val="12"/>
                <w:color w:val="auto"/>
              </w:rPr>
            </w:pPr>
          </w:p>
        </w:tc>
        <w:tc>
          <w:tcPr>
            <w:tcW w:w="50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7"/>
              </w:rPr>
              <w:t>Through</w:t>
            </w:r>
          </w:p>
        </w:tc>
        <w:tc>
          <w:tcPr>
            <w:tcW w:w="600" w:type="dxa"/>
            <w:vAlign w:val="bottom"/>
          </w:tcPr>
          <w:p>
            <w:pPr>
              <w:spacing w:after="0"/>
              <w:rPr>
                <w:sz w:val="12"/>
                <w:szCs w:val="12"/>
                <w:color w:val="auto"/>
              </w:rPr>
            </w:pPr>
          </w:p>
        </w:tc>
        <w:tc>
          <w:tcPr>
            <w:tcW w:w="76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1"/>
              </w:rPr>
              <w:t>Through</w:t>
            </w:r>
          </w:p>
        </w:tc>
      </w:tr>
      <w:tr>
        <w:trPr>
          <w:trHeight w:val="149"/>
        </w:trPr>
        <w:tc>
          <w:tcPr>
            <w:tcW w:w="38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00" w:type="dxa"/>
            <w:vAlign w:val="bottom"/>
            <w:gridSpan w:val="2"/>
          </w:tcPr>
          <w:p>
            <w:pPr>
              <w:jc w:val="center"/>
              <w:ind w:right="400"/>
              <w:spacing w:after="0" w:line="149" w:lineRule="exact"/>
              <w:rPr>
                <w:sz w:val="20"/>
                <w:szCs w:val="20"/>
                <w:color w:val="auto"/>
              </w:rPr>
            </w:pPr>
            <w:r>
              <w:rPr>
                <w:rFonts w:ascii="Arial" w:cs="Arial" w:eastAsia="Arial" w:hAnsi="Arial"/>
                <w:sz w:val="14"/>
                <w:szCs w:val="14"/>
                <w:b w:val="1"/>
                <w:bCs w:val="1"/>
                <w:color w:val="auto"/>
                <w:w w:val="88"/>
              </w:rPr>
              <w:t>Ended</w:t>
            </w:r>
          </w:p>
        </w:tc>
        <w:tc>
          <w:tcPr>
            <w:tcW w:w="3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320" w:type="dxa"/>
            <w:vAlign w:val="bottom"/>
            <w:gridSpan w:val="2"/>
          </w:tcPr>
          <w:p>
            <w:pPr>
              <w:jc w:val="center"/>
              <w:ind w:right="460"/>
              <w:spacing w:after="0" w:line="149" w:lineRule="exact"/>
              <w:rPr>
                <w:sz w:val="20"/>
                <w:szCs w:val="20"/>
                <w:color w:val="auto"/>
              </w:rPr>
            </w:pPr>
            <w:r>
              <w:rPr>
                <w:rFonts w:ascii="Arial" w:cs="Arial" w:eastAsia="Arial" w:hAnsi="Arial"/>
                <w:sz w:val="14"/>
                <w:szCs w:val="14"/>
                <w:b w:val="1"/>
                <w:bCs w:val="1"/>
                <w:color w:val="auto"/>
                <w:w w:val="88"/>
              </w:rPr>
              <w:t>Ended</w:t>
            </w:r>
          </w:p>
        </w:tc>
        <w:tc>
          <w:tcPr>
            <w:tcW w:w="2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80" w:type="dxa"/>
            <w:vAlign w:val="bottom"/>
          </w:tcPr>
          <w:p>
            <w:pPr>
              <w:jc w:val="center"/>
              <w:ind w:right="66"/>
              <w:spacing w:after="0" w:line="149" w:lineRule="exact"/>
              <w:rPr>
                <w:sz w:val="20"/>
                <w:szCs w:val="20"/>
                <w:color w:val="auto"/>
              </w:rPr>
            </w:pPr>
            <w:r>
              <w:rPr>
                <w:rFonts w:ascii="Arial" w:cs="Arial" w:eastAsia="Arial" w:hAnsi="Arial"/>
                <w:sz w:val="14"/>
                <w:szCs w:val="14"/>
                <w:b w:val="1"/>
                <w:bCs w:val="1"/>
                <w:color w:val="auto"/>
                <w:w w:val="91"/>
              </w:rPr>
              <w:t>Through</w:t>
            </w:r>
          </w:p>
        </w:tc>
        <w:tc>
          <w:tcPr>
            <w:tcW w:w="680" w:type="dxa"/>
            <w:vAlign w:val="bottom"/>
            <w:tcBorders>
              <w:right w:val="single" w:sz="8" w:color="auto"/>
            </w:tcBorders>
          </w:tcPr>
          <w:p>
            <w:pPr>
              <w:spacing w:after="0"/>
              <w:rPr>
                <w:sz w:val="12"/>
                <w:szCs w:val="12"/>
                <w:color w:val="auto"/>
              </w:rPr>
            </w:pPr>
          </w:p>
        </w:tc>
        <w:tc>
          <w:tcPr>
            <w:tcW w:w="480" w:type="dxa"/>
            <w:vAlign w:val="bottom"/>
          </w:tcPr>
          <w:p>
            <w:pPr>
              <w:spacing w:after="0"/>
              <w:rPr>
                <w:sz w:val="12"/>
                <w:szCs w:val="12"/>
                <w:color w:val="auto"/>
              </w:rPr>
            </w:pPr>
          </w:p>
        </w:tc>
        <w:tc>
          <w:tcPr>
            <w:tcW w:w="50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7"/>
              </w:rPr>
              <w:t>July 9,</w:t>
            </w:r>
          </w:p>
        </w:tc>
        <w:tc>
          <w:tcPr>
            <w:tcW w:w="600" w:type="dxa"/>
            <w:vAlign w:val="bottom"/>
          </w:tcPr>
          <w:p>
            <w:pPr>
              <w:spacing w:after="0"/>
              <w:rPr>
                <w:sz w:val="12"/>
                <w:szCs w:val="12"/>
                <w:color w:val="auto"/>
              </w:rPr>
            </w:pPr>
          </w:p>
        </w:tc>
        <w:tc>
          <w:tcPr>
            <w:tcW w:w="76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1"/>
              </w:rPr>
              <w:t>July 9,</w:t>
            </w:r>
          </w:p>
        </w:tc>
      </w:tr>
      <w:tr>
        <w:trPr>
          <w:trHeight w:val="161"/>
        </w:trPr>
        <w:tc>
          <w:tcPr>
            <w:tcW w:w="3840" w:type="dxa"/>
            <w:vAlign w:val="bottom"/>
          </w:tcPr>
          <w:p>
            <w:pPr>
              <w:spacing w:after="0"/>
              <w:rPr>
                <w:sz w:val="14"/>
                <w:szCs w:val="14"/>
                <w:color w:val="auto"/>
              </w:rPr>
            </w:pPr>
          </w:p>
        </w:tc>
        <w:tc>
          <w:tcPr>
            <w:tcW w:w="114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87"/>
              </w:rPr>
              <w:t>September 30, 2010</w:t>
            </w:r>
          </w:p>
        </w:tc>
        <w:tc>
          <w:tcPr>
            <w:tcW w:w="2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4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85"/>
              </w:rPr>
              <w:t>September 30, 2010</w:t>
            </w:r>
          </w:p>
        </w:tc>
        <w:tc>
          <w:tcPr>
            <w:tcW w:w="3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2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85"/>
              </w:rPr>
              <w:t>September 30, 2009</w:t>
            </w:r>
          </w:p>
        </w:tc>
        <w:tc>
          <w:tcPr>
            <w:tcW w:w="680" w:type="dxa"/>
            <w:vAlign w:val="bottom"/>
            <w:tcBorders>
              <w:right w:val="single" w:sz="8" w:color="auto"/>
            </w:tcBorders>
          </w:tcPr>
          <w:p>
            <w:pPr>
              <w:spacing w:after="0"/>
              <w:rPr>
                <w:sz w:val="14"/>
                <w:szCs w:val="14"/>
                <w:color w:val="auto"/>
              </w:rPr>
            </w:pPr>
          </w:p>
        </w:tc>
        <w:tc>
          <w:tcPr>
            <w:tcW w:w="4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jc w:val="center"/>
              <w:ind w:right="26"/>
              <w:spacing w:after="0"/>
              <w:rPr>
                <w:sz w:val="20"/>
                <w:szCs w:val="20"/>
                <w:color w:val="auto"/>
              </w:rPr>
            </w:pPr>
            <w:r>
              <w:rPr>
                <w:rFonts w:ascii="Arial" w:cs="Arial" w:eastAsia="Arial" w:hAnsi="Arial"/>
                <w:sz w:val="14"/>
                <w:szCs w:val="14"/>
                <w:b w:val="1"/>
                <w:bCs w:val="1"/>
                <w:color w:val="auto"/>
                <w:w w:val="83"/>
              </w:rPr>
              <w:t>2009</w:t>
            </w:r>
          </w:p>
        </w:tc>
        <w:tc>
          <w:tcPr>
            <w:tcW w:w="600" w:type="dxa"/>
            <w:vAlign w:val="bottom"/>
          </w:tcPr>
          <w:p>
            <w:pPr>
              <w:spacing w:after="0"/>
              <w:rPr>
                <w:sz w:val="14"/>
                <w:szCs w:val="14"/>
                <w:color w:val="auto"/>
              </w:rPr>
            </w:pPr>
          </w:p>
        </w:tc>
        <w:tc>
          <w:tcPr>
            <w:tcW w:w="6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2009</w:t>
            </w:r>
          </w:p>
        </w:tc>
        <w:tc>
          <w:tcPr>
            <w:tcW w:w="100" w:type="dxa"/>
            <w:vAlign w:val="bottom"/>
          </w:tcPr>
          <w:p>
            <w:pPr>
              <w:spacing w:after="0"/>
              <w:rPr>
                <w:sz w:val="14"/>
                <w:szCs w:val="14"/>
                <w:color w:val="auto"/>
              </w:rPr>
            </w:pPr>
          </w:p>
        </w:tc>
      </w:tr>
      <w:tr>
        <w:trPr>
          <w:trHeight w:val="210"/>
        </w:trPr>
        <w:tc>
          <w:tcPr>
            <w:tcW w:w="3840" w:type="dxa"/>
            <w:vAlign w:val="bottom"/>
            <w:shd w:val="clear" w:color="auto" w:fill="CCEEFF"/>
          </w:tcPr>
          <w:p>
            <w:pPr>
              <w:spacing w:after="0"/>
              <w:rPr>
                <w:sz w:val="20"/>
                <w:szCs w:val="20"/>
                <w:color w:val="auto"/>
              </w:rPr>
            </w:pPr>
            <w:r>
              <w:rPr>
                <w:rFonts w:ascii="Arial" w:cs="Arial" w:eastAsia="Arial" w:hAnsi="Arial"/>
                <w:sz w:val="18"/>
                <w:szCs w:val="18"/>
                <w:color w:val="auto"/>
              </w:rPr>
              <w:t>Loss on extinguishment of debt</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gridSpan w:val="2"/>
            <w:shd w:val="clear" w:color="auto" w:fill="CCEEFF"/>
          </w:tcPr>
          <w:p>
            <w:pPr>
              <w:ind w:left="840"/>
              <w:spacing w:after="0"/>
              <w:rPr>
                <w:sz w:val="20"/>
                <w:szCs w:val="20"/>
                <w:color w:val="auto"/>
              </w:rPr>
            </w:pPr>
            <w:r>
              <w:rPr>
                <w:rFonts w:ascii="Arial" w:cs="Arial" w:eastAsia="Arial" w:hAnsi="Arial"/>
                <w:sz w:val="18"/>
                <w:szCs w:val="18"/>
                <w:color w:val="auto"/>
              </w:rPr>
              <w:t>—</w:t>
            </w: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w:t>
            </w: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ind w:left="820"/>
              <w:spacing w:after="0"/>
              <w:rPr>
                <w:sz w:val="20"/>
                <w:szCs w:val="20"/>
                <w:color w:val="auto"/>
              </w:rPr>
            </w:pPr>
            <w:r>
              <w:rPr>
                <w:rFonts w:ascii="Arial" w:cs="Arial" w:eastAsia="Arial" w:hAnsi="Arial"/>
                <w:sz w:val="18"/>
                <w:szCs w:val="18"/>
                <w:color w:val="auto"/>
                <w:w w:val="77"/>
              </w:rPr>
              <w:t>—</w:t>
            </w:r>
          </w:p>
        </w:tc>
        <w:tc>
          <w:tcPr>
            <w:tcW w:w="680" w:type="dxa"/>
            <w:vAlign w:val="bottom"/>
            <w:tcBorders>
              <w:right w:val="single" w:sz="8" w:color="auto"/>
            </w:tcBorders>
            <w:shd w:val="clear" w:color="auto" w:fill="CCEEFF"/>
          </w:tcPr>
          <w:p>
            <w:pPr>
              <w:spacing w:after="0"/>
              <w:rPr>
                <w:sz w:val="18"/>
                <w:szCs w:val="18"/>
                <w:color w:val="auto"/>
              </w:rPr>
            </w:pP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ind w:left="240"/>
              <w:spacing w:after="0"/>
              <w:rPr>
                <w:sz w:val="20"/>
                <w:szCs w:val="20"/>
                <w:color w:val="auto"/>
              </w:rPr>
            </w:pPr>
            <w:r>
              <w:rPr>
                <w:rFonts w:ascii="Arial" w:cs="Arial" w:eastAsia="Arial" w:hAnsi="Arial"/>
                <w:sz w:val="18"/>
                <w:szCs w:val="18"/>
                <w:color w:val="auto"/>
                <w:w w:val="77"/>
              </w:rPr>
              <w:t>—</w:t>
            </w:r>
          </w:p>
        </w:tc>
        <w:tc>
          <w:tcPr>
            <w:tcW w:w="136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  (1,088)</w:t>
            </w:r>
          </w:p>
        </w:tc>
      </w:tr>
    </w:tbl>
    <w:p>
      <w:pPr>
        <w:spacing w:after="0" w:line="154"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Old GM</w:t>
      </w:r>
    </w:p>
    <w:p>
      <w:pPr>
        <w:spacing w:after="0" w:line="171" w:lineRule="exact"/>
        <w:rPr>
          <w:sz w:val="20"/>
          <w:szCs w:val="20"/>
          <w:color w:val="auto"/>
        </w:rPr>
      </w:pPr>
    </w:p>
    <w:p>
      <w:pPr>
        <w:ind w:right="20" w:firstLine="228"/>
        <w:spacing w:after="0" w:line="256" w:lineRule="auto"/>
        <w:rPr>
          <w:sz w:val="20"/>
          <w:szCs w:val="20"/>
          <w:color w:val="auto"/>
        </w:rPr>
      </w:pPr>
      <w:r>
        <w:rPr>
          <w:rFonts w:ascii="Arial" w:cs="Arial" w:eastAsia="Arial" w:hAnsi="Arial"/>
          <w:sz w:val="18"/>
          <w:szCs w:val="18"/>
          <w:color w:val="auto"/>
        </w:rPr>
        <w:t>In the period January 1, 2009 through July 9, 2009 Old GM recorded a loss related to the extinguishment of the UST Ally Financial Loan (as defined in Note 7 to the condensed consolidated financial statements) of $2.0 billion, when the UST exercised its option to convert outstanding amounts into shares of Ally Financial’s Class B Common Membership Interests. This loss was partially offset by a gain on extinguishment of debt of $0.9 billion related to an amendment to Old GM’s $1.5 billion U.S. term loan in March 2009.</w:t>
      </w:r>
    </w:p>
    <w:p>
      <w:pPr>
        <w:spacing w:after="0" w:line="143"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Reorganization Gains, net</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680" w:type="dxa"/>
            <w:vAlign w:val="bottom"/>
          </w:tcPr>
          <w:p>
            <w:pPr>
              <w:spacing w:after="0"/>
              <w:rPr>
                <w:sz w:val="14"/>
                <w:szCs w:val="14"/>
                <w:color w:val="auto"/>
              </w:rPr>
            </w:pPr>
          </w:p>
        </w:tc>
        <w:tc>
          <w:tcPr>
            <w:tcW w:w="5760" w:type="dxa"/>
            <w:vAlign w:val="bottom"/>
          </w:tcPr>
          <w:p>
            <w:pPr>
              <w:spacing w:after="0"/>
              <w:rPr>
                <w:sz w:val="14"/>
                <w:szCs w:val="14"/>
                <w:color w:val="auto"/>
              </w:rPr>
            </w:pPr>
          </w:p>
        </w:tc>
        <w:tc>
          <w:tcPr>
            <w:tcW w:w="1980" w:type="dxa"/>
            <w:vAlign w:val="bottom"/>
            <w:gridSpan w:val="4"/>
          </w:tcPr>
          <w:p>
            <w:pPr>
              <w:ind w:left="600"/>
              <w:spacing w:after="0"/>
              <w:rPr>
                <w:sz w:val="20"/>
                <w:szCs w:val="20"/>
                <w:color w:val="auto"/>
              </w:rPr>
            </w:pPr>
            <w:r>
              <w:rPr>
                <w:rFonts w:ascii="Arial" w:cs="Arial" w:eastAsia="Arial" w:hAnsi="Arial"/>
                <w:sz w:val="14"/>
                <w:szCs w:val="14"/>
                <w:b w:val="1"/>
                <w:bCs w:val="1"/>
                <w:color w:val="auto"/>
              </w:rPr>
              <w:t>Predecessor</w:t>
            </w:r>
          </w:p>
        </w:tc>
      </w:tr>
      <w:tr>
        <w:trPr>
          <w:trHeight w:val="129"/>
        </w:trPr>
        <w:tc>
          <w:tcPr>
            <w:tcW w:w="3680" w:type="dxa"/>
            <w:vAlign w:val="bottom"/>
          </w:tcPr>
          <w:p>
            <w:pPr>
              <w:spacing w:after="0"/>
              <w:rPr>
                <w:sz w:val="11"/>
                <w:szCs w:val="11"/>
                <w:color w:val="auto"/>
              </w:rPr>
            </w:pPr>
          </w:p>
        </w:tc>
        <w:tc>
          <w:tcPr>
            <w:tcW w:w="5760" w:type="dxa"/>
            <w:vAlign w:val="bottom"/>
          </w:tcPr>
          <w:p>
            <w:pPr>
              <w:spacing w:after="0"/>
              <w:rPr>
                <w:sz w:val="11"/>
                <w:szCs w:val="11"/>
                <w:color w:val="auto"/>
              </w:rPr>
            </w:pPr>
          </w:p>
        </w:tc>
        <w:tc>
          <w:tcPr>
            <w:tcW w:w="1220" w:type="dxa"/>
            <w:vAlign w:val="bottom"/>
            <w:tcBorders>
              <w:top w:val="single" w:sz="8" w:color="auto"/>
            </w:tcBorders>
            <w:gridSpan w:val="2"/>
          </w:tcPr>
          <w:p>
            <w:pPr>
              <w:jc w:val="center"/>
              <w:ind w:right="600"/>
              <w:spacing w:after="0" w:line="129" w:lineRule="exact"/>
              <w:rPr>
                <w:sz w:val="20"/>
                <w:szCs w:val="20"/>
                <w:color w:val="auto"/>
              </w:rPr>
            </w:pPr>
            <w:r>
              <w:rPr>
                <w:rFonts w:ascii="Arial" w:cs="Arial" w:eastAsia="Arial" w:hAnsi="Arial"/>
                <w:sz w:val="14"/>
                <w:szCs w:val="14"/>
                <w:b w:val="1"/>
                <w:bCs w:val="1"/>
                <w:color w:val="auto"/>
                <w:w w:val="87"/>
              </w:rPr>
              <w:t>July 1,</w:t>
            </w:r>
          </w:p>
        </w:tc>
        <w:tc>
          <w:tcPr>
            <w:tcW w:w="660" w:type="dxa"/>
            <w:vAlign w:val="bottom"/>
            <w:tcBorders>
              <w:top w:val="single" w:sz="8" w:color="auto"/>
            </w:tcBorders>
          </w:tcPr>
          <w:p>
            <w:pPr>
              <w:jc w:val="center"/>
              <w:spacing w:after="0" w:line="129" w:lineRule="exact"/>
              <w:rPr>
                <w:sz w:val="20"/>
                <w:szCs w:val="20"/>
                <w:color w:val="auto"/>
              </w:rPr>
            </w:pPr>
            <w:r>
              <w:rPr>
                <w:rFonts w:ascii="Arial" w:cs="Arial" w:eastAsia="Arial" w:hAnsi="Arial"/>
                <w:sz w:val="14"/>
                <w:szCs w:val="14"/>
                <w:b w:val="1"/>
                <w:bCs w:val="1"/>
                <w:color w:val="auto"/>
                <w:w w:val="89"/>
              </w:rPr>
              <w:t>January 1,</w:t>
            </w:r>
          </w:p>
        </w:tc>
        <w:tc>
          <w:tcPr>
            <w:tcW w:w="100" w:type="dxa"/>
            <w:vAlign w:val="bottom"/>
          </w:tcPr>
          <w:p>
            <w:pPr>
              <w:spacing w:after="0"/>
              <w:rPr>
                <w:sz w:val="11"/>
                <w:szCs w:val="11"/>
                <w:color w:val="auto"/>
              </w:rPr>
            </w:pPr>
          </w:p>
        </w:tc>
      </w:tr>
      <w:tr>
        <w:trPr>
          <w:trHeight w:val="149"/>
        </w:trPr>
        <w:tc>
          <w:tcPr>
            <w:tcW w:w="3680" w:type="dxa"/>
            <w:vAlign w:val="bottom"/>
          </w:tcPr>
          <w:p>
            <w:pPr>
              <w:spacing w:after="0"/>
              <w:rPr>
                <w:sz w:val="12"/>
                <w:szCs w:val="12"/>
                <w:color w:val="auto"/>
              </w:rPr>
            </w:pPr>
          </w:p>
        </w:tc>
        <w:tc>
          <w:tcPr>
            <w:tcW w:w="6420" w:type="dxa"/>
            <w:vAlign w:val="bottom"/>
            <w:gridSpan w:val="2"/>
          </w:tcPr>
          <w:p>
            <w:pPr>
              <w:jc w:val="center"/>
              <w:ind w:left="5679"/>
              <w:spacing w:after="0" w:line="149" w:lineRule="exact"/>
              <w:rPr>
                <w:sz w:val="20"/>
                <w:szCs w:val="20"/>
                <w:color w:val="auto"/>
              </w:rPr>
            </w:pPr>
            <w:r>
              <w:rPr>
                <w:rFonts w:ascii="Arial" w:cs="Arial" w:eastAsia="Arial" w:hAnsi="Arial"/>
                <w:sz w:val="14"/>
                <w:szCs w:val="14"/>
                <w:b w:val="1"/>
                <w:bCs w:val="1"/>
                <w:color w:val="auto"/>
                <w:w w:val="83"/>
              </w:rPr>
              <w:t>2009</w:t>
            </w:r>
          </w:p>
        </w:tc>
        <w:tc>
          <w:tcPr>
            <w:tcW w:w="560" w:type="dxa"/>
            <w:vAlign w:val="bottom"/>
          </w:tcPr>
          <w:p>
            <w:pPr>
              <w:spacing w:after="0"/>
              <w:rPr>
                <w:sz w:val="12"/>
                <w:szCs w:val="12"/>
                <w:color w:val="auto"/>
              </w:rPr>
            </w:pPr>
          </w:p>
        </w:tc>
        <w:tc>
          <w:tcPr>
            <w:tcW w:w="6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3"/>
              </w:rPr>
              <w:t>2009</w:t>
            </w:r>
          </w:p>
        </w:tc>
        <w:tc>
          <w:tcPr>
            <w:tcW w:w="100" w:type="dxa"/>
            <w:vAlign w:val="bottom"/>
          </w:tcPr>
          <w:p>
            <w:pPr>
              <w:spacing w:after="0"/>
              <w:rPr>
                <w:sz w:val="12"/>
                <w:szCs w:val="12"/>
                <w:color w:val="auto"/>
              </w:rPr>
            </w:pPr>
          </w:p>
        </w:tc>
      </w:tr>
      <w:tr>
        <w:trPr>
          <w:trHeight w:val="149"/>
        </w:trPr>
        <w:tc>
          <w:tcPr>
            <w:tcW w:w="3680" w:type="dxa"/>
            <w:vAlign w:val="bottom"/>
          </w:tcPr>
          <w:p>
            <w:pPr>
              <w:spacing w:after="0"/>
              <w:rPr>
                <w:sz w:val="12"/>
                <w:szCs w:val="12"/>
                <w:color w:val="auto"/>
              </w:rPr>
            </w:pPr>
          </w:p>
        </w:tc>
        <w:tc>
          <w:tcPr>
            <w:tcW w:w="5760" w:type="dxa"/>
            <w:vAlign w:val="bottom"/>
          </w:tcPr>
          <w:p>
            <w:pPr>
              <w:spacing w:after="0"/>
              <w:rPr>
                <w:sz w:val="12"/>
                <w:szCs w:val="12"/>
                <w:color w:val="auto"/>
              </w:rPr>
            </w:pPr>
          </w:p>
        </w:tc>
        <w:tc>
          <w:tcPr>
            <w:tcW w:w="1220" w:type="dxa"/>
            <w:vAlign w:val="bottom"/>
            <w:gridSpan w:val="2"/>
          </w:tcPr>
          <w:p>
            <w:pPr>
              <w:jc w:val="center"/>
              <w:ind w:right="560"/>
              <w:spacing w:after="0" w:line="149" w:lineRule="exact"/>
              <w:rPr>
                <w:sz w:val="20"/>
                <w:szCs w:val="20"/>
                <w:color w:val="auto"/>
              </w:rPr>
            </w:pPr>
            <w:r>
              <w:rPr>
                <w:rFonts w:ascii="Arial" w:cs="Arial" w:eastAsia="Arial" w:hAnsi="Arial"/>
                <w:sz w:val="14"/>
                <w:szCs w:val="14"/>
                <w:b w:val="1"/>
                <w:bCs w:val="1"/>
                <w:color w:val="auto"/>
                <w:w w:val="87"/>
              </w:rPr>
              <w:t>Through</w:t>
            </w:r>
          </w:p>
        </w:tc>
        <w:tc>
          <w:tcPr>
            <w:tcW w:w="76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87"/>
              </w:rPr>
              <w:t>Through</w:t>
            </w:r>
          </w:p>
        </w:tc>
      </w:tr>
      <w:tr>
        <w:trPr>
          <w:trHeight w:val="149"/>
        </w:trPr>
        <w:tc>
          <w:tcPr>
            <w:tcW w:w="3680" w:type="dxa"/>
            <w:vAlign w:val="bottom"/>
          </w:tcPr>
          <w:p>
            <w:pPr>
              <w:spacing w:after="0"/>
              <w:rPr>
                <w:sz w:val="12"/>
                <w:szCs w:val="12"/>
                <w:color w:val="auto"/>
              </w:rPr>
            </w:pPr>
          </w:p>
        </w:tc>
        <w:tc>
          <w:tcPr>
            <w:tcW w:w="5760" w:type="dxa"/>
            <w:vAlign w:val="bottom"/>
          </w:tcPr>
          <w:p>
            <w:pPr>
              <w:spacing w:after="0"/>
              <w:rPr>
                <w:sz w:val="12"/>
                <w:szCs w:val="12"/>
                <w:color w:val="auto"/>
              </w:rPr>
            </w:pPr>
          </w:p>
        </w:tc>
        <w:tc>
          <w:tcPr>
            <w:tcW w:w="1220" w:type="dxa"/>
            <w:vAlign w:val="bottom"/>
            <w:gridSpan w:val="2"/>
          </w:tcPr>
          <w:p>
            <w:pPr>
              <w:jc w:val="center"/>
              <w:ind w:right="560"/>
              <w:spacing w:after="0" w:line="149" w:lineRule="exact"/>
              <w:rPr>
                <w:sz w:val="20"/>
                <w:szCs w:val="20"/>
                <w:color w:val="auto"/>
              </w:rPr>
            </w:pPr>
            <w:r>
              <w:rPr>
                <w:rFonts w:ascii="Arial" w:cs="Arial" w:eastAsia="Arial" w:hAnsi="Arial"/>
                <w:sz w:val="14"/>
                <w:szCs w:val="14"/>
                <w:b w:val="1"/>
                <w:bCs w:val="1"/>
                <w:color w:val="auto"/>
                <w:w w:val="87"/>
              </w:rPr>
              <w:t>July 9,</w:t>
            </w:r>
          </w:p>
        </w:tc>
        <w:tc>
          <w:tcPr>
            <w:tcW w:w="76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87"/>
              </w:rPr>
              <w:t>July 9,</w:t>
            </w:r>
          </w:p>
        </w:tc>
      </w:tr>
      <w:tr>
        <w:trPr>
          <w:trHeight w:val="161"/>
        </w:trPr>
        <w:tc>
          <w:tcPr>
            <w:tcW w:w="3680" w:type="dxa"/>
            <w:vAlign w:val="bottom"/>
          </w:tcPr>
          <w:p>
            <w:pPr>
              <w:spacing w:after="0"/>
              <w:rPr>
                <w:sz w:val="14"/>
                <w:szCs w:val="14"/>
                <w:color w:val="auto"/>
              </w:rPr>
            </w:pPr>
          </w:p>
        </w:tc>
        <w:tc>
          <w:tcPr>
            <w:tcW w:w="5760" w:type="dxa"/>
            <w:vAlign w:val="bottom"/>
          </w:tcPr>
          <w:p>
            <w:pPr>
              <w:spacing w:after="0"/>
              <w:rPr>
                <w:sz w:val="14"/>
                <w:szCs w:val="14"/>
                <w:color w:val="auto"/>
              </w:rPr>
            </w:pPr>
          </w:p>
        </w:tc>
        <w:tc>
          <w:tcPr>
            <w:tcW w:w="6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3"/>
              </w:rPr>
              <w:t>2009</w:t>
            </w:r>
          </w:p>
        </w:tc>
        <w:tc>
          <w:tcPr>
            <w:tcW w:w="560" w:type="dxa"/>
            <w:vAlign w:val="bottom"/>
          </w:tcPr>
          <w:p>
            <w:pPr>
              <w:spacing w:after="0"/>
              <w:rPr>
                <w:sz w:val="14"/>
                <w:szCs w:val="14"/>
                <w:color w:val="auto"/>
              </w:rPr>
            </w:pPr>
          </w:p>
        </w:tc>
        <w:tc>
          <w:tcPr>
            <w:tcW w:w="6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3"/>
              </w:rPr>
              <w:t>2009</w:t>
            </w:r>
          </w:p>
        </w:tc>
        <w:tc>
          <w:tcPr>
            <w:tcW w:w="100" w:type="dxa"/>
            <w:vAlign w:val="bottom"/>
          </w:tcPr>
          <w:p>
            <w:pPr>
              <w:spacing w:after="0"/>
              <w:rPr>
                <w:sz w:val="14"/>
                <w:szCs w:val="14"/>
                <w:color w:val="auto"/>
              </w:rPr>
            </w:pPr>
          </w:p>
        </w:tc>
      </w:tr>
      <w:tr>
        <w:trPr>
          <w:trHeight w:val="210"/>
        </w:trPr>
        <w:tc>
          <w:tcPr>
            <w:tcW w:w="3680" w:type="dxa"/>
            <w:vAlign w:val="bottom"/>
            <w:shd w:val="clear" w:color="auto" w:fill="CCEEFF"/>
          </w:tcPr>
          <w:p>
            <w:pPr>
              <w:spacing w:after="0"/>
              <w:rPr>
                <w:sz w:val="20"/>
                <w:szCs w:val="20"/>
                <w:color w:val="auto"/>
              </w:rPr>
            </w:pPr>
            <w:r>
              <w:rPr>
                <w:rFonts w:ascii="Arial" w:cs="Arial" w:eastAsia="Arial" w:hAnsi="Arial"/>
                <w:sz w:val="18"/>
                <w:szCs w:val="18"/>
                <w:color w:val="auto"/>
              </w:rPr>
              <w:t>Reorganization gains, net</w:t>
            </w:r>
          </w:p>
        </w:tc>
        <w:tc>
          <w:tcPr>
            <w:tcW w:w="6980" w:type="dxa"/>
            <w:vAlign w:val="bottom"/>
            <w:gridSpan w:val="3"/>
            <w:shd w:val="clear" w:color="auto" w:fill="CCEEFF"/>
          </w:tcPr>
          <w:p>
            <w:pPr>
              <w:jc w:val="center"/>
              <w:ind w:left="5139"/>
              <w:spacing w:after="0"/>
              <w:rPr>
                <w:sz w:val="20"/>
                <w:szCs w:val="20"/>
                <w:color w:val="auto"/>
              </w:rPr>
            </w:pPr>
            <w:r>
              <w:rPr>
                <w:rFonts w:ascii="Arial" w:cs="Arial" w:eastAsia="Arial" w:hAnsi="Arial"/>
                <w:sz w:val="18"/>
                <w:szCs w:val="18"/>
                <w:color w:val="auto"/>
                <w:w w:val="90"/>
              </w:rPr>
              <w:t>$129,312</w:t>
            </w:r>
          </w:p>
        </w:tc>
        <w:tc>
          <w:tcPr>
            <w:tcW w:w="6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$128,155</w:t>
            </w:r>
          </w:p>
        </w:tc>
        <w:tc>
          <w:tcPr>
            <w:tcW w:w="100" w:type="dxa"/>
            <w:vAlign w:val="bottom"/>
            <w:shd w:val="clear" w:color="auto" w:fill="CCEEFF"/>
          </w:tcPr>
          <w:p>
            <w:pPr>
              <w:spacing w:after="0"/>
              <w:rPr>
                <w:sz w:val="18"/>
                <w:szCs w:val="18"/>
                <w:color w:val="auto"/>
              </w:rPr>
            </w:pPr>
          </w:p>
        </w:tc>
      </w:tr>
      <w:tr>
        <w:trPr>
          <w:trHeight w:val="363"/>
        </w:trPr>
        <w:tc>
          <w:tcPr>
            <w:tcW w:w="3680" w:type="dxa"/>
            <w:vAlign w:val="bottom"/>
          </w:tcPr>
          <w:p>
            <w:pPr>
              <w:spacing w:after="0"/>
              <w:rPr>
                <w:sz w:val="24"/>
                <w:szCs w:val="24"/>
                <w:color w:val="auto"/>
              </w:rPr>
            </w:pPr>
          </w:p>
        </w:tc>
        <w:tc>
          <w:tcPr>
            <w:tcW w:w="5760" w:type="dxa"/>
            <w:vAlign w:val="bottom"/>
          </w:tcPr>
          <w:p>
            <w:pPr>
              <w:jc w:val="right"/>
              <w:ind w:right="3519"/>
              <w:spacing w:after="0"/>
              <w:rPr>
                <w:sz w:val="20"/>
                <w:szCs w:val="20"/>
                <w:color w:val="auto"/>
              </w:rPr>
            </w:pPr>
            <w:r>
              <w:rPr>
                <w:rFonts w:ascii="Arial" w:cs="Arial" w:eastAsia="Arial" w:hAnsi="Arial"/>
                <w:sz w:val="18"/>
                <w:szCs w:val="18"/>
                <w:color w:val="auto"/>
              </w:rPr>
              <w:t>107</w:t>
            </w:r>
          </w:p>
        </w:tc>
        <w:tc>
          <w:tcPr>
            <w:tcW w:w="6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r>
    </w:tbl>
    <w:p>
      <w:pPr>
        <w:sectPr>
          <w:pgSz w:w="11900" w:h="16838" w:orient="portrait"/>
          <w:cols w:equalWidth="0" w:num="1">
            <w:col w:w="11420"/>
          </w:cols>
          <w:pgMar w:left="240" w:top="459" w:right="239" w:bottom="1440" w:gutter="0" w:footer="0" w:header="0"/>
        </w:sectPr>
      </w:pPr>
    </w:p>
    <w:bookmarkStart w:id="109" w:name="page110"/>
    <w:bookmarkEnd w:id="10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339"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Old GM</w:t>
      </w:r>
    </w:p>
    <w:p>
      <w:pPr>
        <w:spacing w:after="0" w:line="171" w:lineRule="exact"/>
        <w:rPr>
          <w:sz w:val="20"/>
          <w:szCs w:val="20"/>
          <w:color w:val="auto"/>
        </w:rPr>
      </w:pPr>
    </w:p>
    <w:p>
      <w:pPr>
        <w:ind w:right="160" w:firstLine="228"/>
        <w:spacing w:after="0" w:line="259" w:lineRule="auto"/>
        <w:rPr>
          <w:sz w:val="20"/>
          <w:szCs w:val="20"/>
          <w:color w:val="auto"/>
        </w:rPr>
      </w:pPr>
      <w:r>
        <w:rPr>
          <w:rFonts w:ascii="Arial" w:cs="Arial" w:eastAsia="Arial" w:hAnsi="Arial"/>
          <w:sz w:val="18"/>
          <w:szCs w:val="18"/>
          <w:color w:val="auto"/>
        </w:rPr>
        <w:t>In the period January 1, 2009 through July 9, 2009 Reorganization gains, net included the change in net assets resulting from the application of fresh-start reporting of $33.8 billion, the fair value of Series A Preferred stock, common shares and warrants issued in the 363 Sale of $20.5 billion, the gain on conversion of debt of $37.5 billion, and the gain from the settlement of net liabilities retained by MLC.</w:t>
      </w:r>
    </w:p>
    <w:p>
      <w:pPr>
        <w:spacing w:after="0" w:line="140"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Income Tax Expense (Benefit)</w:t>
      </w:r>
    </w:p>
    <w:p>
      <w:pPr>
        <w:spacing w:after="0" w:line="171" w:lineRule="exact"/>
        <w:rPr>
          <w:sz w:val="20"/>
          <w:szCs w:val="20"/>
          <w:color w:val="auto"/>
        </w:rPr>
      </w:pPr>
    </w:p>
    <w:p>
      <w:pPr>
        <w:ind w:right="100" w:firstLine="228"/>
        <w:spacing w:after="0" w:line="306" w:lineRule="auto"/>
        <w:rPr>
          <w:sz w:val="20"/>
          <w:szCs w:val="20"/>
          <w:color w:val="auto"/>
        </w:rPr>
      </w:pPr>
      <w:r>
        <w:rPr>
          <w:rFonts w:ascii="Arial" w:cs="Arial" w:eastAsia="Arial" w:hAnsi="Arial"/>
          <w:sz w:val="16"/>
          <w:szCs w:val="16"/>
          <w:color w:val="auto"/>
        </w:rPr>
        <w:t>In interim periods, income tax expense is comprised of two key elements: (1) the amount necessary to appropriately state the year-to-date estimated tax expense of entities included in our effective tax rate calculation, which is calculated as the difference between the amount currently estimated for the year to date period and the amount previously recorded in prior interim periods; and (2) the tax effect of unusual or infrequent items that occur in the period.</w:t>
      </w:r>
    </w:p>
    <w:p>
      <w:pPr>
        <w:spacing w:after="0" w:line="13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72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580" w:type="dxa"/>
            <w:vAlign w:val="bottom"/>
            <w:gridSpan w:val="3"/>
          </w:tcPr>
          <w:p>
            <w:pPr>
              <w:jc w:val="center"/>
              <w:ind w:left="250"/>
              <w:spacing w:after="0"/>
              <w:rPr>
                <w:sz w:val="20"/>
                <w:szCs w:val="20"/>
                <w:color w:val="auto"/>
              </w:rPr>
            </w:pPr>
            <w:r>
              <w:rPr>
                <w:rFonts w:ascii="Arial" w:cs="Arial" w:eastAsia="Arial" w:hAnsi="Arial"/>
                <w:sz w:val="14"/>
                <w:szCs w:val="14"/>
                <w:b w:val="1"/>
                <w:bCs w:val="1"/>
                <w:color w:val="auto"/>
                <w:w w:val="90"/>
              </w:rPr>
              <w:t>Three Months Ended</w:t>
            </w:r>
          </w:p>
        </w:tc>
        <w:tc>
          <w:tcPr>
            <w:tcW w:w="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3720" w:type="dxa"/>
            <w:vAlign w:val="bottom"/>
          </w:tcPr>
          <w:p>
            <w:pPr>
              <w:spacing w:after="0"/>
              <w:rPr>
                <w:sz w:val="12"/>
                <w:szCs w:val="12"/>
                <w:color w:val="auto"/>
              </w:rPr>
            </w:pPr>
          </w:p>
        </w:tc>
        <w:tc>
          <w:tcPr>
            <w:tcW w:w="16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gridSpan w:val="2"/>
            <w:vMerge w:val="restart"/>
          </w:tcPr>
          <w:p>
            <w:pPr>
              <w:jc w:val="right"/>
              <w:ind w:right="152"/>
              <w:spacing w:after="0"/>
              <w:rPr>
                <w:sz w:val="20"/>
                <w:szCs w:val="20"/>
                <w:color w:val="auto"/>
              </w:rPr>
            </w:pPr>
            <w:r>
              <w:rPr>
                <w:rFonts w:ascii="Arial" w:cs="Arial" w:eastAsia="Arial" w:hAnsi="Arial"/>
                <w:sz w:val="14"/>
                <w:szCs w:val="14"/>
                <w:b w:val="1"/>
                <w:bCs w:val="1"/>
                <w:color w:val="auto"/>
                <w:w w:val="79"/>
              </w:rPr>
              <w:t>Successor</w:t>
            </w:r>
          </w:p>
        </w:tc>
        <w:tc>
          <w:tcPr>
            <w:tcW w:w="10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580" w:type="dxa"/>
            <w:vAlign w:val="bottom"/>
            <w:gridSpan w:val="3"/>
          </w:tcPr>
          <w:p>
            <w:pPr>
              <w:jc w:val="center"/>
              <w:ind w:left="250"/>
              <w:spacing w:after="0" w:line="149" w:lineRule="exact"/>
              <w:rPr>
                <w:sz w:val="20"/>
                <w:szCs w:val="20"/>
                <w:color w:val="auto"/>
              </w:rPr>
            </w:pPr>
            <w:r>
              <w:rPr>
                <w:rFonts w:ascii="Arial" w:cs="Arial" w:eastAsia="Arial" w:hAnsi="Arial"/>
                <w:sz w:val="14"/>
                <w:szCs w:val="14"/>
                <w:b w:val="1"/>
                <w:bCs w:val="1"/>
                <w:color w:val="auto"/>
                <w:w w:val="87"/>
              </w:rPr>
              <w:t>September 30, 2010</w:t>
            </w:r>
          </w:p>
        </w:tc>
        <w:tc>
          <w:tcPr>
            <w:tcW w:w="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94"/>
        </w:trPr>
        <w:tc>
          <w:tcPr>
            <w:tcW w:w="3720" w:type="dxa"/>
            <w:vAlign w:val="bottom"/>
          </w:tcPr>
          <w:p>
            <w:pPr>
              <w:spacing w:after="0"/>
              <w:rPr>
                <w:sz w:val="8"/>
                <w:szCs w:val="8"/>
                <w:color w:val="auto"/>
              </w:rPr>
            </w:pPr>
          </w:p>
        </w:tc>
        <w:tc>
          <w:tcPr>
            <w:tcW w:w="164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100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800" w:type="dxa"/>
            <w:vAlign w:val="bottom"/>
            <w:tcBorders>
              <w:bottom w:val="single" w:sz="8" w:color="auto"/>
            </w:tcBorders>
            <w:gridSpan w:val="2"/>
            <w:vMerge w:val="continue"/>
          </w:tcPr>
          <w:p>
            <w:pPr>
              <w:spacing w:after="0"/>
              <w:rPr>
                <w:sz w:val="8"/>
                <w:szCs w:val="8"/>
                <w:color w:val="auto"/>
              </w:rPr>
            </w:pPr>
          </w:p>
        </w:tc>
        <w:tc>
          <w:tcPr>
            <w:tcW w:w="1000" w:type="dxa"/>
            <w:vAlign w:val="bottom"/>
            <w:tcBorders>
              <w:bottom w:val="single" w:sz="8" w:color="auto"/>
            </w:tcBorders>
          </w:tcPr>
          <w:p>
            <w:pPr>
              <w:spacing w:after="0"/>
              <w:rPr>
                <w:sz w:val="8"/>
                <w:szCs w:val="8"/>
                <w:color w:val="auto"/>
              </w:rPr>
            </w:pPr>
          </w:p>
        </w:tc>
        <w:tc>
          <w:tcPr>
            <w:tcW w:w="760" w:type="dxa"/>
            <w:vAlign w:val="bottom"/>
          </w:tcPr>
          <w:p>
            <w:pPr>
              <w:spacing w:after="0"/>
              <w:rPr>
                <w:sz w:val="8"/>
                <w:szCs w:val="8"/>
                <w:color w:val="auto"/>
              </w:rPr>
            </w:pPr>
          </w:p>
        </w:tc>
        <w:tc>
          <w:tcPr>
            <w:tcW w:w="140" w:type="dxa"/>
            <w:vAlign w:val="bottom"/>
          </w:tcPr>
          <w:p>
            <w:pPr>
              <w:spacing w:after="0"/>
              <w:rPr>
                <w:sz w:val="8"/>
                <w:szCs w:val="8"/>
                <w:color w:val="auto"/>
              </w:rPr>
            </w:pPr>
          </w:p>
        </w:tc>
        <w:tc>
          <w:tcPr>
            <w:tcW w:w="2140" w:type="dxa"/>
            <w:vAlign w:val="bottom"/>
            <w:gridSpan w:val="5"/>
            <w:vMerge w:val="restart"/>
          </w:tcPr>
          <w:p>
            <w:pPr>
              <w:jc w:val="center"/>
              <w:ind w:right="220"/>
              <w:spacing w:after="0" w:line="149" w:lineRule="exact"/>
              <w:rPr>
                <w:sz w:val="20"/>
                <w:szCs w:val="20"/>
                <w:color w:val="auto"/>
              </w:rPr>
            </w:pPr>
            <w:r>
              <w:rPr>
                <w:rFonts w:ascii="Arial" w:cs="Arial" w:eastAsia="Arial" w:hAnsi="Arial"/>
                <w:sz w:val="14"/>
                <w:szCs w:val="14"/>
                <w:b w:val="1"/>
                <w:bCs w:val="1"/>
                <w:color w:val="auto"/>
                <w:w w:val="86"/>
              </w:rPr>
              <w:t>vs. Period July 10, 2009</w:t>
            </w:r>
          </w:p>
        </w:tc>
        <w:tc>
          <w:tcPr>
            <w:tcW w:w="0" w:type="dxa"/>
            <w:vAlign w:val="bottom"/>
          </w:tcPr>
          <w:p>
            <w:pPr>
              <w:spacing w:after="0"/>
              <w:rPr>
                <w:sz w:val="1"/>
                <w:szCs w:val="1"/>
                <w:color w:val="auto"/>
              </w:rPr>
            </w:pPr>
          </w:p>
        </w:tc>
      </w:tr>
      <w:tr>
        <w:trPr>
          <w:trHeight w:val="35"/>
        </w:trPr>
        <w:tc>
          <w:tcPr>
            <w:tcW w:w="3720" w:type="dxa"/>
            <w:vAlign w:val="bottom"/>
          </w:tcPr>
          <w:p>
            <w:pPr>
              <w:spacing w:after="0"/>
              <w:rPr>
                <w:sz w:val="3"/>
                <w:szCs w:val="3"/>
                <w:color w:val="auto"/>
              </w:rPr>
            </w:pPr>
          </w:p>
        </w:tc>
        <w:tc>
          <w:tcPr>
            <w:tcW w:w="16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0" w:type="dxa"/>
            <w:vAlign w:val="bottom"/>
          </w:tcPr>
          <w:p>
            <w:pPr>
              <w:spacing w:after="0"/>
              <w:rPr>
                <w:sz w:val="3"/>
                <w:szCs w:val="3"/>
                <w:color w:val="auto"/>
              </w:rPr>
            </w:pPr>
          </w:p>
        </w:tc>
        <w:tc>
          <w:tcPr>
            <w:tcW w:w="80" w:type="dxa"/>
            <w:vAlign w:val="bottom"/>
          </w:tcPr>
          <w:p>
            <w:pPr>
              <w:spacing w:after="0"/>
              <w:rPr>
                <w:sz w:val="3"/>
                <w:szCs w:val="3"/>
                <w:color w:val="auto"/>
              </w:rPr>
            </w:pPr>
          </w:p>
        </w:tc>
        <w:tc>
          <w:tcPr>
            <w:tcW w:w="66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0" w:type="dxa"/>
            <w:vAlign w:val="bottom"/>
          </w:tcPr>
          <w:p>
            <w:pPr>
              <w:spacing w:after="0"/>
              <w:rPr>
                <w:sz w:val="3"/>
                <w:szCs w:val="3"/>
                <w:color w:val="auto"/>
              </w:rPr>
            </w:pPr>
          </w:p>
        </w:tc>
        <w:tc>
          <w:tcPr>
            <w:tcW w:w="760" w:type="dxa"/>
            <w:vAlign w:val="bottom"/>
          </w:tcPr>
          <w:p>
            <w:pPr>
              <w:spacing w:after="0"/>
              <w:rPr>
                <w:sz w:val="3"/>
                <w:szCs w:val="3"/>
                <w:color w:val="auto"/>
              </w:rPr>
            </w:pPr>
          </w:p>
        </w:tc>
        <w:tc>
          <w:tcPr>
            <w:tcW w:w="140" w:type="dxa"/>
            <w:vAlign w:val="bottom"/>
          </w:tcPr>
          <w:p>
            <w:pPr>
              <w:spacing w:after="0"/>
              <w:rPr>
                <w:sz w:val="3"/>
                <w:szCs w:val="3"/>
                <w:color w:val="auto"/>
              </w:rPr>
            </w:pPr>
          </w:p>
        </w:tc>
        <w:tc>
          <w:tcPr>
            <w:tcW w:w="2140" w:type="dxa"/>
            <w:vAlign w:val="bottom"/>
            <w:gridSpan w:val="5"/>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49"/>
        </w:trPr>
        <w:tc>
          <w:tcPr>
            <w:tcW w:w="3720" w:type="dxa"/>
            <w:vAlign w:val="bottom"/>
          </w:tcPr>
          <w:p>
            <w:pPr>
              <w:spacing w:after="0"/>
              <w:rPr>
                <w:sz w:val="12"/>
                <w:szCs w:val="12"/>
                <w:color w:val="auto"/>
              </w:rPr>
            </w:pPr>
          </w:p>
        </w:tc>
        <w:tc>
          <w:tcPr>
            <w:tcW w:w="16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8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89"/>
              </w:rPr>
              <w:t>Three Months</w:t>
            </w:r>
          </w:p>
        </w:tc>
        <w:tc>
          <w:tcPr>
            <w:tcW w:w="6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760" w:type="dxa"/>
            <w:vAlign w:val="bottom"/>
            <w:gridSpan w:val="2"/>
          </w:tcPr>
          <w:p>
            <w:pPr>
              <w:jc w:val="center"/>
              <w:ind w:right="880"/>
              <w:spacing w:after="0" w:line="149" w:lineRule="exact"/>
              <w:rPr>
                <w:sz w:val="20"/>
                <w:szCs w:val="20"/>
                <w:color w:val="auto"/>
              </w:rPr>
            </w:pPr>
            <w:r>
              <w:rPr>
                <w:rFonts w:ascii="Arial" w:cs="Arial" w:eastAsia="Arial" w:hAnsi="Arial"/>
                <w:sz w:val="14"/>
                <w:szCs w:val="14"/>
                <w:b w:val="1"/>
                <w:bCs w:val="1"/>
                <w:color w:val="auto"/>
                <w:w w:val="87"/>
              </w:rPr>
              <w:t>July 10, 2009</w:t>
            </w:r>
          </w:p>
        </w:tc>
        <w:tc>
          <w:tcPr>
            <w:tcW w:w="140" w:type="dxa"/>
            <w:vAlign w:val="bottom"/>
          </w:tcPr>
          <w:p>
            <w:pPr>
              <w:spacing w:after="0"/>
              <w:rPr>
                <w:sz w:val="12"/>
                <w:szCs w:val="12"/>
                <w:color w:val="auto"/>
              </w:rPr>
            </w:pPr>
          </w:p>
        </w:tc>
        <w:tc>
          <w:tcPr>
            <w:tcW w:w="1580" w:type="dxa"/>
            <w:vAlign w:val="bottom"/>
            <w:gridSpan w:val="3"/>
          </w:tcPr>
          <w:p>
            <w:pPr>
              <w:jc w:val="center"/>
              <w:ind w:left="250"/>
              <w:spacing w:after="0" w:line="149" w:lineRule="exact"/>
              <w:rPr>
                <w:sz w:val="20"/>
                <w:szCs w:val="20"/>
                <w:color w:val="auto"/>
              </w:rPr>
            </w:pPr>
            <w:r>
              <w:rPr>
                <w:rFonts w:ascii="Arial" w:cs="Arial" w:eastAsia="Arial" w:hAnsi="Arial"/>
                <w:sz w:val="14"/>
                <w:szCs w:val="14"/>
                <w:b w:val="1"/>
                <w:bCs w:val="1"/>
                <w:color w:val="auto"/>
                <w:w w:val="87"/>
              </w:rPr>
              <w:t>Through</w:t>
            </w:r>
          </w:p>
        </w:tc>
        <w:tc>
          <w:tcPr>
            <w:tcW w:w="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372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8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8"/>
              </w:rPr>
              <w:t>Ended</w:t>
            </w:r>
          </w:p>
        </w:tc>
        <w:tc>
          <w:tcPr>
            <w:tcW w:w="6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760" w:type="dxa"/>
            <w:vAlign w:val="bottom"/>
            <w:gridSpan w:val="2"/>
          </w:tcPr>
          <w:p>
            <w:pPr>
              <w:jc w:val="center"/>
              <w:ind w:right="900"/>
              <w:spacing w:after="0"/>
              <w:rPr>
                <w:sz w:val="20"/>
                <w:szCs w:val="20"/>
                <w:color w:val="auto"/>
              </w:rPr>
            </w:pPr>
            <w:r>
              <w:rPr>
                <w:rFonts w:ascii="Arial" w:cs="Arial" w:eastAsia="Arial" w:hAnsi="Arial"/>
                <w:sz w:val="14"/>
                <w:szCs w:val="14"/>
                <w:b w:val="1"/>
                <w:bCs w:val="1"/>
                <w:color w:val="auto"/>
                <w:w w:val="87"/>
              </w:rPr>
              <w:t>Through</w:t>
            </w:r>
          </w:p>
        </w:tc>
        <w:tc>
          <w:tcPr>
            <w:tcW w:w="140" w:type="dxa"/>
            <w:vAlign w:val="bottom"/>
          </w:tcPr>
          <w:p>
            <w:pPr>
              <w:spacing w:after="0"/>
              <w:rPr>
                <w:sz w:val="14"/>
                <w:szCs w:val="14"/>
                <w:color w:val="auto"/>
              </w:rPr>
            </w:pPr>
          </w:p>
        </w:tc>
        <w:tc>
          <w:tcPr>
            <w:tcW w:w="2140" w:type="dxa"/>
            <w:vAlign w:val="bottom"/>
            <w:gridSpan w:val="5"/>
          </w:tcPr>
          <w:p>
            <w:pPr>
              <w:jc w:val="center"/>
              <w:ind w:right="220"/>
              <w:spacing w:after="0"/>
              <w:rPr>
                <w:sz w:val="20"/>
                <w:szCs w:val="20"/>
                <w:color w:val="auto"/>
              </w:rPr>
            </w:pPr>
            <w:r>
              <w:rPr>
                <w:rFonts w:ascii="Arial" w:cs="Arial" w:eastAsia="Arial" w:hAnsi="Arial"/>
                <w:sz w:val="14"/>
                <w:szCs w:val="14"/>
                <w:b w:val="1"/>
                <w:bCs w:val="1"/>
                <w:color w:val="auto"/>
                <w:w w:val="86"/>
              </w:rPr>
              <w:t>September 30, 2009 Change</w:t>
            </w:r>
          </w:p>
        </w:tc>
        <w:tc>
          <w:tcPr>
            <w:tcW w:w="0" w:type="dxa"/>
            <w:vAlign w:val="bottom"/>
          </w:tcPr>
          <w:p>
            <w:pPr>
              <w:spacing w:after="0"/>
              <w:rPr>
                <w:sz w:val="1"/>
                <w:szCs w:val="1"/>
                <w:color w:val="auto"/>
              </w:rPr>
            </w:pPr>
          </w:p>
        </w:tc>
      </w:tr>
      <w:tr>
        <w:trPr>
          <w:trHeight w:val="142"/>
        </w:trPr>
        <w:tc>
          <w:tcPr>
            <w:tcW w:w="3720" w:type="dxa"/>
            <w:vAlign w:val="bottom"/>
          </w:tcPr>
          <w:p>
            <w:pPr>
              <w:spacing w:after="0"/>
              <w:rPr>
                <w:sz w:val="12"/>
                <w:szCs w:val="12"/>
                <w:color w:val="auto"/>
              </w:rPr>
            </w:pPr>
          </w:p>
        </w:tc>
        <w:tc>
          <w:tcPr>
            <w:tcW w:w="1640" w:type="dxa"/>
            <w:vAlign w:val="bottom"/>
          </w:tcPr>
          <w:p>
            <w:pPr>
              <w:spacing w:after="0"/>
              <w:rPr>
                <w:sz w:val="12"/>
                <w:szCs w:val="12"/>
                <w:color w:val="auto"/>
              </w:rPr>
            </w:pPr>
          </w:p>
        </w:tc>
        <w:tc>
          <w:tcPr>
            <w:tcW w:w="1220" w:type="dxa"/>
            <w:vAlign w:val="bottom"/>
            <w:gridSpan w:val="3"/>
          </w:tcPr>
          <w:p>
            <w:pPr>
              <w:jc w:val="center"/>
              <w:ind w:right="60"/>
              <w:spacing w:after="0" w:line="142" w:lineRule="exact"/>
              <w:rPr>
                <w:sz w:val="20"/>
                <w:szCs w:val="20"/>
                <w:color w:val="auto"/>
              </w:rPr>
            </w:pPr>
            <w:r>
              <w:rPr>
                <w:rFonts w:ascii="Arial" w:cs="Arial" w:eastAsia="Arial" w:hAnsi="Arial"/>
                <w:sz w:val="14"/>
                <w:szCs w:val="14"/>
                <w:b w:val="1"/>
                <w:bCs w:val="1"/>
                <w:color w:val="auto"/>
                <w:w w:val="85"/>
              </w:rPr>
              <w:t>September 30, 2010</w:t>
            </w:r>
          </w:p>
        </w:tc>
        <w:tc>
          <w:tcPr>
            <w:tcW w:w="660" w:type="dxa"/>
            <w:vAlign w:val="bottom"/>
          </w:tcPr>
          <w:p>
            <w:pPr>
              <w:spacing w:after="0"/>
              <w:rPr>
                <w:sz w:val="12"/>
                <w:szCs w:val="12"/>
                <w:color w:val="auto"/>
              </w:rPr>
            </w:pPr>
          </w:p>
        </w:tc>
        <w:tc>
          <w:tcPr>
            <w:tcW w:w="1900" w:type="dxa"/>
            <w:vAlign w:val="bottom"/>
            <w:gridSpan w:val="3"/>
          </w:tcPr>
          <w:p>
            <w:pPr>
              <w:jc w:val="center"/>
              <w:ind w:right="740"/>
              <w:spacing w:after="0" w:line="142" w:lineRule="exact"/>
              <w:rPr>
                <w:sz w:val="20"/>
                <w:szCs w:val="20"/>
                <w:color w:val="auto"/>
              </w:rPr>
            </w:pPr>
            <w:r>
              <w:rPr>
                <w:rFonts w:ascii="Arial" w:cs="Arial" w:eastAsia="Arial" w:hAnsi="Arial"/>
                <w:sz w:val="14"/>
                <w:szCs w:val="14"/>
                <w:b w:val="1"/>
                <w:bCs w:val="1"/>
                <w:color w:val="auto"/>
                <w:w w:val="85"/>
              </w:rPr>
              <w:t>September 30, 2009</w:t>
            </w:r>
          </w:p>
        </w:tc>
        <w:tc>
          <w:tcPr>
            <w:tcW w:w="140" w:type="dxa"/>
            <w:vAlign w:val="bottom"/>
            <w:tcBorders>
              <w:top w:val="single" w:sz="8" w:color="auto"/>
            </w:tcBorders>
          </w:tcPr>
          <w:p>
            <w:pPr>
              <w:spacing w:after="0"/>
              <w:rPr>
                <w:sz w:val="12"/>
                <w:szCs w:val="12"/>
                <w:color w:val="auto"/>
              </w:rPr>
            </w:pPr>
          </w:p>
        </w:tc>
        <w:tc>
          <w:tcPr>
            <w:tcW w:w="1580" w:type="dxa"/>
            <w:vAlign w:val="bottom"/>
            <w:tcBorders>
              <w:top w:val="single" w:sz="8" w:color="auto"/>
            </w:tcBorders>
            <w:gridSpan w:val="3"/>
          </w:tcPr>
          <w:p>
            <w:pPr>
              <w:ind w:left="60"/>
              <w:spacing w:after="0" w:line="142" w:lineRule="exact"/>
              <w:rPr>
                <w:sz w:val="20"/>
                <w:szCs w:val="20"/>
                <w:color w:val="auto"/>
              </w:rPr>
            </w:pPr>
            <w:r>
              <w:rPr>
                <w:rFonts w:ascii="Arial" w:cs="Arial" w:eastAsia="Arial" w:hAnsi="Arial"/>
                <w:sz w:val="14"/>
                <w:szCs w:val="14"/>
                <w:b w:val="1"/>
                <w:bCs w:val="1"/>
                <w:color w:val="auto"/>
              </w:rPr>
              <w:t>Amount</w:t>
            </w:r>
          </w:p>
        </w:tc>
        <w:tc>
          <w:tcPr>
            <w:tcW w:w="460" w:type="dxa"/>
            <w:vAlign w:val="bottom"/>
            <w:tcBorders>
              <w:top w:val="single" w:sz="8" w:color="auto"/>
            </w:tcBorders>
          </w:tcPr>
          <w:p>
            <w:pPr>
              <w:jc w:val="right"/>
              <w:ind w:right="142"/>
              <w:spacing w:after="0" w:line="142" w:lineRule="exact"/>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372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720" w:type="dxa"/>
            <w:vAlign w:val="bottom"/>
            <w:shd w:val="clear" w:color="auto" w:fill="CCEEFF"/>
          </w:tcPr>
          <w:p>
            <w:pPr>
              <w:spacing w:after="0"/>
              <w:rPr>
                <w:sz w:val="20"/>
                <w:szCs w:val="20"/>
                <w:color w:val="auto"/>
              </w:rPr>
            </w:pPr>
            <w:r>
              <w:rPr>
                <w:rFonts w:ascii="Arial" w:cs="Arial" w:eastAsia="Arial" w:hAnsi="Arial"/>
                <w:sz w:val="18"/>
                <w:szCs w:val="18"/>
                <w:color w:val="auto"/>
              </w:rPr>
              <w:t>Income tax expense (benefit)</w:t>
            </w:r>
          </w:p>
        </w:tc>
        <w:tc>
          <w:tcPr>
            <w:tcW w:w="164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(25)</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76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rPr>
              <w:t>(139)</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114</w:t>
            </w: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82.0%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154" w:lineRule="exact"/>
        <w:rPr>
          <w:sz w:val="20"/>
          <w:szCs w:val="20"/>
          <w:color w:val="auto"/>
        </w:rPr>
      </w:pPr>
    </w:p>
    <w:p>
      <w:pPr>
        <w:ind w:right="40" w:firstLine="228"/>
        <w:spacing w:after="0" w:line="254" w:lineRule="auto"/>
        <w:rPr>
          <w:sz w:val="20"/>
          <w:szCs w:val="20"/>
          <w:color w:val="auto"/>
        </w:rPr>
      </w:pPr>
      <w:r>
        <w:rPr>
          <w:rFonts w:ascii="Arial" w:cs="Arial" w:eastAsia="Arial" w:hAnsi="Arial"/>
          <w:sz w:val="18"/>
          <w:szCs w:val="18"/>
          <w:color w:val="auto"/>
        </w:rPr>
        <w:t>In the three months ended September 30, 2010 income tax benefit decreased compared to the period July 10, 2009 through September 30, 2009 by $0.1 billion (or 82.0%) primarily due to: (1) income tax expense related to entities included in our effective tax rate calculation, including a reduction in the benefit from intra period income tax allocation relating to the remeasurement of our pension plans of $0.2 billion; partially offset by (2) net income tax benefit from changes in unusual or infrequent items of $0.1 billion, none of which had a significant effect on tax expense, either individually or in the aggregate. In the three months ended September 30, 2010 and the period July 10, 2009 through September 30, 2009, we recorded income tax expense to Other comprehensive income and allocated income tax benefit to operations.</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2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60" w:type="dxa"/>
            <w:vAlign w:val="bottom"/>
            <w:tcBorders>
              <w:right w:val="single" w:sz="8" w:color="auto"/>
            </w:tcBorders>
            <w:gridSpan w:val="2"/>
          </w:tcPr>
          <w:p>
            <w:pPr>
              <w:jc w:val="center"/>
              <w:ind w:right="820"/>
              <w:spacing w:after="0"/>
              <w:rPr>
                <w:sz w:val="20"/>
                <w:szCs w:val="20"/>
                <w:color w:val="auto"/>
              </w:rPr>
            </w:pPr>
            <w:r>
              <w:rPr>
                <w:rFonts w:ascii="Arial" w:cs="Arial" w:eastAsia="Arial" w:hAnsi="Arial"/>
                <w:sz w:val="14"/>
                <w:szCs w:val="14"/>
                <w:b w:val="1"/>
                <w:bCs w:val="1"/>
                <w:color w:val="auto"/>
                <w:w w:val="79"/>
              </w:rPr>
              <w:t>Successor</w:t>
            </w:r>
          </w:p>
        </w:tc>
        <w:tc>
          <w:tcPr>
            <w:tcW w:w="4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360" w:type="dxa"/>
            <w:vAlign w:val="bottom"/>
            <w:gridSpan w:val="3"/>
          </w:tcPr>
          <w:p>
            <w:pPr>
              <w:jc w:val="right"/>
              <w:ind w:right="640"/>
              <w:spacing w:after="0"/>
              <w:rPr>
                <w:sz w:val="20"/>
                <w:szCs w:val="20"/>
                <w:color w:val="auto"/>
              </w:rPr>
            </w:pPr>
            <w:r>
              <w:rPr>
                <w:rFonts w:ascii="Arial" w:cs="Arial" w:eastAsia="Arial" w:hAnsi="Arial"/>
                <w:sz w:val="14"/>
                <w:szCs w:val="14"/>
                <w:b w:val="1"/>
                <w:bCs w:val="1"/>
                <w:color w:val="auto"/>
                <w:w w:val="83"/>
              </w:rPr>
              <w:t>Predecessor</w:t>
            </w:r>
          </w:p>
        </w:tc>
      </w:tr>
      <w:tr>
        <w:trPr>
          <w:trHeight w:val="129"/>
        </w:trPr>
        <w:tc>
          <w:tcPr>
            <w:tcW w:w="7260" w:type="dxa"/>
            <w:vAlign w:val="bottom"/>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1000" w:type="dxa"/>
            <w:vAlign w:val="bottom"/>
            <w:tcBorders>
              <w:top w:val="single" w:sz="8" w:color="auto"/>
            </w:tcBorders>
          </w:tcPr>
          <w:p>
            <w:pPr>
              <w:spacing w:after="0"/>
              <w:rPr>
                <w:sz w:val="11"/>
                <w:szCs w:val="11"/>
                <w:color w:val="auto"/>
              </w:rPr>
            </w:pPr>
          </w:p>
        </w:tc>
        <w:tc>
          <w:tcPr>
            <w:tcW w:w="660" w:type="dxa"/>
            <w:vAlign w:val="bottom"/>
            <w:tcBorders>
              <w:right w:val="single" w:sz="8" w:color="auto"/>
            </w:tcBorders>
          </w:tcPr>
          <w:p>
            <w:pPr>
              <w:spacing w:after="0"/>
              <w:rPr>
                <w:sz w:val="11"/>
                <w:szCs w:val="11"/>
                <w:color w:val="auto"/>
              </w:rPr>
            </w:pPr>
          </w:p>
        </w:tc>
        <w:tc>
          <w:tcPr>
            <w:tcW w:w="480" w:type="dxa"/>
            <w:vAlign w:val="bottom"/>
          </w:tcPr>
          <w:p>
            <w:pPr>
              <w:spacing w:after="0"/>
              <w:rPr>
                <w:sz w:val="11"/>
                <w:szCs w:val="11"/>
                <w:color w:val="auto"/>
              </w:rPr>
            </w:pPr>
          </w:p>
        </w:tc>
        <w:tc>
          <w:tcPr>
            <w:tcW w:w="520" w:type="dxa"/>
            <w:vAlign w:val="bottom"/>
            <w:tcBorders>
              <w:top w:val="single" w:sz="8" w:color="auto"/>
            </w:tcBorders>
          </w:tcPr>
          <w:p>
            <w:pPr>
              <w:jc w:val="center"/>
              <w:spacing w:after="0" w:line="129" w:lineRule="exact"/>
              <w:rPr>
                <w:sz w:val="20"/>
                <w:szCs w:val="20"/>
                <w:color w:val="auto"/>
              </w:rPr>
            </w:pPr>
            <w:r>
              <w:rPr>
                <w:rFonts w:ascii="Arial" w:cs="Arial" w:eastAsia="Arial" w:hAnsi="Arial"/>
                <w:sz w:val="14"/>
                <w:szCs w:val="14"/>
                <w:b w:val="1"/>
                <w:bCs w:val="1"/>
                <w:color w:val="auto"/>
                <w:w w:val="87"/>
              </w:rPr>
              <w:t>July 1,</w:t>
            </w:r>
          </w:p>
        </w:tc>
        <w:tc>
          <w:tcPr>
            <w:tcW w:w="600" w:type="dxa"/>
            <w:vAlign w:val="bottom"/>
            <w:tcBorders>
              <w:top w:val="single" w:sz="8" w:color="auto"/>
            </w:tcBorders>
          </w:tcPr>
          <w:p>
            <w:pPr>
              <w:spacing w:after="0"/>
              <w:rPr>
                <w:sz w:val="11"/>
                <w:szCs w:val="11"/>
                <w:color w:val="auto"/>
              </w:rPr>
            </w:pPr>
          </w:p>
        </w:tc>
        <w:tc>
          <w:tcPr>
            <w:tcW w:w="660" w:type="dxa"/>
            <w:vAlign w:val="bottom"/>
            <w:tcBorders>
              <w:top w:val="single" w:sz="8" w:color="auto"/>
            </w:tcBorders>
          </w:tcPr>
          <w:p>
            <w:pPr>
              <w:jc w:val="center"/>
              <w:spacing w:after="0" w:line="129" w:lineRule="exact"/>
              <w:rPr>
                <w:sz w:val="20"/>
                <w:szCs w:val="20"/>
                <w:color w:val="auto"/>
              </w:rPr>
            </w:pPr>
            <w:r>
              <w:rPr>
                <w:rFonts w:ascii="Arial" w:cs="Arial" w:eastAsia="Arial" w:hAnsi="Arial"/>
                <w:sz w:val="14"/>
                <w:szCs w:val="14"/>
                <w:b w:val="1"/>
                <w:bCs w:val="1"/>
                <w:color w:val="auto"/>
                <w:w w:val="89"/>
              </w:rPr>
              <w:t>January 1,</w:t>
            </w:r>
          </w:p>
        </w:tc>
        <w:tc>
          <w:tcPr>
            <w:tcW w:w="100" w:type="dxa"/>
            <w:vAlign w:val="bottom"/>
          </w:tcPr>
          <w:p>
            <w:pPr>
              <w:spacing w:after="0"/>
              <w:rPr>
                <w:sz w:val="11"/>
                <w:szCs w:val="11"/>
                <w:color w:val="auto"/>
              </w:rPr>
            </w:pPr>
          </w:p>
        </w:tc>
      </w:tr>
      <w:tr>
        <w:trPr>
          <w:trHeight w:val="149"/>
        </w:trPr>
        <w:tc>
          <w:tcPr>
            <w:tcW w:w="72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660" w:type="dxa"/>
            <w:vAlign w:val="bottom"/>
            <w:tcBorders>
              <w:right w:val="single" w:sz="8" w:color="auto"/>
            </w:tcBorders>
          </w:tcPr>
          <w:p>
            <w:pPr>
              <w:spacing w:after="0"/>
              <w:rPr>
                <w:sz w:val="12"/>
                <w:szCs w:val="12"/>
                <w:color w:val="auto"/>
              </w:rPr>
            </w:pPr>
          </w:p>
        </w:tc>
        <w:tc>
          <w:tcPr>
            <w:tcW w:w="480" w:type="dxa"/>
            <w:vAlign w:val="bottom"/>
          </w:tcPr>
          <w:p>
            <w:pPr>
              <w:spacing w:after="0"/>
              <w:rPr>
                <w:sz w:val="12"/>
                <w:szCs w:val="12"/>
                <w:color w:val="auto"/>
              </w:rPr>
            </w:pPr>
          </w:p>
        </w:tc>
        <w:tc>
          <w:tcPr>
            <w:tcW w:w="5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2009</w:t>
            </w:r>
          </w:p>
        </w:tc>
        <w:tc>
          <w:tcPr>
            <w:tcW w:w="600" w:type="dxa"/>
            <w:vAlign w:val="bottom"/>
          </w:tcPr>
          <w:p>
            <w:pPr>
              <w:spacing w:after="0"/>
              <w:rPr>
                <w:sz w:val="12"/>
                <w:szCs w:val="12"/>
                <w:color w:val="auto"/>
              </w:rPr>
            </w:pPr>
          </w:p>
        </w:tc>
        <w:tc>
          <w:tcPr>
            <w:tcW w:w="6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2009</w:t>
            </w:r>
          </w:p>
        </w:tc>
        <w:tc>
          <w:tcPr>
            <w:tcW w:w="100" w:type="dxa"/>
            <w:vAlign w:val="bottom"/>
          </w:tcPr>
          <w:p>
            <w:pPr>
              <w:spacing w:after="0"/>
              <w:rPr>
                <w:sz w:val="12"/>
                <w:szCs w:val="12"/>
                <w:color w:val="auto"/>
              </w:rPr>
            </w:pPr>
          </w:p>
        </w:tc>
      </w:tr>
      <w:tr>
        <w:trPr>
          <w:trHeight w:val="149"/>
        </w:trPr>
        <w:tc>
          <w:tcPr>
            <w:tcW w:w="72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60" w:type="dxa"/>
            <w:vAlign w:val="bottom"/>
            <w:tcBorders>
              <w:right w:val="single" w:sz="8" w:color="auto"/>
            </w:tcBorders>
            <w:gridSpan w:val="2"/>
          </w:tcPr>
          <w:p>
            <w:pPr>
              <w:jc w:val="center"/>
              <w:ind w:right="800"/>
              <w:spacing w:after="0" w:line="149" w:lineRule="exact"/>
              <w:rPr>
                <w:sz w:val="20"/>
                <w:szCs w:val="20"/>
                <w:color w:val="auto"/>
              </w:rPr>
            </w:pPr>
            <w:r>
              <w:rPr>
                <w:rFonts w:ascii="Arial" w:cs="Arial" w:eastAsia="Arial" w:hAnsi="Arial"/>
                <w:sz w:val="14"/>
                <w:szCs w:val="14"/>
                <w:b w:val="1"/>
                <w:bCs w:val="1"/>
                <w:color w:val="auto"/>
                <w:w w:val="88"/>
              </w:rPr>
              <w:t>Nine Months</w:t>
            </w:r>
          </w:p>
        </w:tc>
        <w:tc>
          <w:tcPr>
            <w:tcW w:w="480" w:type="dxa"/>
            <w:vAlign w:val="bottom"/>
          </w:tcPr>
          <w:p>
            <w:pPr>
              <w:spacing w:after="0"/>
              <w:rPr>
                <w:sz w:val="12"/>
                <w:szCs w:val="12"/>
                <w:color w:val="auto"/>
              </w:rPr>
            </w:pPr>
          </w:p>
        </w:tc>
        <w:tc>
          <w:tcPr>
            <w:tcW w:w="5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1"/>
              </w:rPr>
              <w:t>Through</w:t>
            </w:r>
          </w:p>
        </w:tc>
        <w:tc>
          <w:tcPr>
            <w:tcW w:w="600" w:type="dxa"/>
            <w:vAlign w:val="bottom"/>
          </w:tcPr>
          <w:p>
            <w:pPr>
              <w:spacing w:after="0"/>
              <w:rPr>
                <w:sz w:val="12"/>
                <w:szCs w:val="12"/>
                <w:color w:val="auto"/>
              </w:rPr>
            </w:pPr>
          </w:p>
        </w:tc>
        <w:tc>
          <w:tcPr>
            <w:tcW w:w="76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1"/>
              </w:rPr>
              <w:t>Through</w:t>
            </w:r>
          </w:p>
        </w:tc>
      </w:tr>
      <w:tr>
        <w:trPr>
          <w:trHeight w:val="149"/>
        </w:trPr>
        <w:tc>
          <w:tcPr>
            <w:tcW w:w="72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60" w:type="dxa"/>
            <w:vAlign w:val="bottom"/>
            <w:tcBorders>
              <w:right w:val="single" w:sz="8" w:color="auto"/>
            </w:tcBorders>
            <w:gridSpan w:val="2"/>
          </w:tcPr>
          <w:p>
            <w:pPr>
              <w:jc w:val="center"/>
              <w:ind w:right="800"/>
              <w:spacing w:after="0" w:line="149" w:lineRule="exact"/>
              <w:rPr>
                <w:sz w:val="20"/>
                <w:szCs w:val="20"/>
                <w:color w:val="auto"/>
              </w:rPr>
            </w:pPr>
            <w:r>
              <w:rPr>
                <w:rFonts w:ascii="Arial" w:cs="Arial" w:eastAsia="Arial" w:hAnsi="Arial"/>
                <w:sz w:val="14"/>
                <w:szCs w:val="14"/>
                <w:b w:val="1"/>
                <w:bCs w:val="1"/>
                <w:color w:val="auto"/>
                <w:w w:val="88"/>
              </w:rPr>
              <w:t>Ended</w:t>
            </w:r>
          </w:p>
        </w:tc>
        <w:tc>
          <w:tcPr>
            <w:tcW w:w="480" w:type="dxa"/>
            <w:vAlign w:val="bottom"/>
          </w:tcPr>
          <w:p>
            <w:pPr>
              <w:spacing w:after="0"/>
              <w:rPr>
                <w:sz w:val="12"/>
                <w:szCs w:val="12"/>
                <w:color w:val="auto"/>
              </w:rPr>
            </w:pPr>
          </w:p>
        </w:tc>
        <w:tc>
          <w:tcPr>
            <w:tcW w:w="5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1"/>
              </w:rPr>
              <w:t>July 9,</w:t>
            </w:r>
          </w:p>
        </w:tc>
        <w:tc>
          <w:tcPr>
            <w:tcW w:w="600" w:type="dxa"/>
            <w:vAlign w:val="bottom"/>
          </w:tcPr>
          <w:p>
            <w:pPr>
              <w:spacing w:after="0"/>
              <w:rPr>
                <w:sz w:val="12"/>
                <w:szCs w:val="12"/>
                <w:color w:val="auto"/>
              </w:rPr>
            </w:pPr>
          </w:p>
        </w:tc>
        <w:tc>
          <w:tcPr>
            <w:tcW w:w="76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1"/>
              </w:rPr>
              <w:t>July 9,</w:t>
            </w:r>
          </w:p>
        </w:tc>
      </w:tr>
      <w:tr>
        <w:trPr>
          <w:trHeight w:val="161"/>
        </w:trPr>
        <w:tc>
          <w:tcPr>
            <w:tcW w:w="7260" w:type="dxa"/>
            <w:vAlign w:val="bottom"/>
          </w:tcPr>
          <w:p>
            <w:pPr>
              <w:spacing w:after="0"/>
              <w:rPr>
                <w:sz w:val="14"/>
                <w:szCs w:val="14"/>
                <w:color w:val="auto"/>
              </w:rPr>
            </w:pPr>
          </w:p>
        </w:tc>
        <w:tc>
          <w:tcPr>
            <w:tcW w:w="114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87"/>
              </w:rPr>
              <w:t>September 30, 2010</w:t>
            </w:r>
          </w:p>
        </w:tc>
        <w:tc>
          <w:tcPr>
            <w:tcW w:w="660" w:type="dxa"/>
            <w:vAlign w:val="bottom"/>
            <w:tcBorders>
              <w:right w:val="single" w:sz="8" w:color="auto"/>
            </w:tcBorders>
          </w:tcPr>
          <w:p>
            <w:pPr>
              <w:spacing w:after="0"/>
              <w:rPr>
                <w:sz w:val="14"/>
                <w:szCs w:val="14"/>
                <w:color w:val="auto"/>
              </w:rPr>
            </w:pPr>
          </w:p>
        </w:tc>
        <w:tc>
          <w:tcPr>
            <w:tcW w:w="480" w:type="dxa"/>
            <w:vAlign w:val="bottom"/>
          </w:tcPr>
          <w:p>
            <w:pPr>
              <w:spacing w:after="0"/>
              <w:rPr>
                <w:sz w:val="14"/>
                <w:szCs w:val="14"/>
                <w:color w:val="auto"/>
              </w:rPr>
            </w:pPr>
          </w:p>
        </w:tc>
        <w:tc>
          <w:tcPr>
            <w:tcW w:w="5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2009</w:t>
            </w:r>
          </w:p>
        </w:tc>
        <w:tc>
          <w:tcPr>
            <w:tcW w:w="600" w:type="dxa"/>
            <w:vAlign w:val="bottom"/>
          </w:tcPr>
          <w:p>
            <w:pPr>
              <w:spacing w:after="0"/>
              <w:rPr>
                <w:sz w:val="14"/>
                <w:szCs w:val="14"/>
                <w:color w:val="auto"/>
              </w:rPr>
            </w:pPr>
          </w:p>
        </w:tc>
        <w:tc>
          <w:tcPr>
            <w:tcW w:w="6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2009</w:t>
            </w:r>
          </w:p>
        </w:tc>
        <w:tc>
          <w:tcPr>
            <w:tcW w:w="100" w:type="dxa"/>
            <w:vAlign w:val="bottom"/>
          </w:tcPr>
          <w:p>
            <w:pPr>
              <w:spacing w:after="0"/>
              <w:rPr>
                <w:sz w:val="14"/>
                <w:szCs w:val="14"/>
                <w:color w:val="auto"/>
              </w:rPr>
            </w:pPr>
          </w:p>
        </w:tc>
      </w:tr>
      <w:tr>
        <w:trPr>
          <w:trHeight w:val="210"/>
        </w:trPr>
        <w:tc>
          <w:tcPr>
            <w:tcW w:w="7260" w:type="dxa"/>
            <w:vAlign w:val="bottom"/>
            <w:shd w:val="clear" w:color="auto" w:fill="CCEEFF"/>
          </w:tcPr>
          <w:p>
            <w:pPr>
              <w:spacing w:after="0"/>
              <w:rPr>
                <w:sz w:val="20"/>
                <w:szCs w:val="20"/>
                <w:color w:val="auto"/>
              </w:rPr>
            </w:pPr>
            <w:r>
              <w:rPr>
                <w:rFonts w:ascii="Arial" w:cs="Arial" w:eastAsia="Arial" w:hAnsi="Arial"/>
                <w:sz w:val="18"/>
                <w:szCs w:val="18"/>
                <w:color w:val="auto"/>
              </w:rPr>
              <w:t>Income tax expense (benefit)</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660" w:type="dxa"/>
            <w:vAlign w:val="bottom"/>
            <w:tcBorders>
              <w:right w:val="single" w:sz="8" w:color="auto"/>
            </w:tcBorders>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845</w:t>
            </w:r>
          </w:p>
        </w:tc>
        <w:tc>
          <w:tcPr>
            <w:tcW w:w="4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472"/>
              <w:spacing w:after="0"/>
              <w:rPr>
                <w:sz w:val="20"/>
                <w:szCs w:val="20"/>
                <w:color w:val="auto"/>
              </w:rPr>
            </w:pPr>
            <w:r>
              <w:rPr>
                <w:rFonts w:ascii="Arial" w:cs="Arial" w:eastAsia="Arial" w:hAnsi="Arial"/>
                <w:sz w:val="18"/>
                <w:szCs w:val="18"/>
                <w:color w:val="auto"/>
                <w:w w:val="98"/>
              </w:rPr>
              <w:t>$ (607)</w:t>
            </w: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0"/>
              </w:rPr>
              <w:t>$  (1,166)</w:t>
            </w:r>
          </w:p>
        </w:tc>
      </w:tr>
    </w:tbl>
    <w:p>
      <w:pPr>
        <w:spacing w:after="0" w:line="154"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GM</w:t>
      </w:r>
    </w:p>
    <w:p>
      <w:pPr>
        <w:spacing w:after="0" w:line="171" w:lineRule="exact"/>
        <w:rPr>
          <w:sz w:val="20"/>
          <w:szCs w:val="20"/>
          <w:color w:val="auto"/>
        </w:rPr>
      </w:pPr>
    </w:p>
    <w:p>
      <w:pPr>
        <w:ind w:right="260" w:firstLine="228"/>
        <w:spacing w:after="0" w:line="256" w:lineRule="auto"/>
        <w:rPr>
          <w:sz w:val="20"/>
          <w:szCs w:val="20"/>
          <w:color w:val="auto"/>
        </w:rPr>
      </w:pPr>
      <w:r>
        <w:rPr>
          <w:rFonts w:ascii="Arial" w:cs="Arial" w:eastAsia="Arial" w:hAnsi="Arial"/>
          <w:sz w:val="18"/>
          <w:szCs w:val="18"/>
          <w:color w:val="auto"/>
        </w:rPr>
        <w:t>In the nine months ended September 30, 2010 income tax expense of $0.8 billion resulted primarily from tax expense attributable to entities included in our effective tax rate calculation. Aside from a taxable foreign currency gain in Venezuela, unusual or infrequent items did not have a significant effect on tax expense, either individually or in the aggregate. The recorded effective tax rate is substantially below the applicable statutory tax rate, primarily due to income earned in jurisdictions for which a full valuation allowance is recorded.</w:t>
      </w:r>
    </w:p>
    <w:p>
      <w:pPr>
        <w:spacing w:after="0" w:line="143"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Old GM</w:t>
      </w:r>
    </w:p>
    <w:p>
      <w:pPr>
        <w:spacing w:after="0" w:line="171" w:lineRule="exact"/>
        <w:rPr>
          <w:sz w:val="20"/>
          <w:szCs w:val="20"/>
          <w:color w:val="auto"/>
        </w:rPr>
      </w:pPr>
    </w:p>
    <w:p>
      <w:pPr>
        <w:ind w:right="200" w:firstLine="228"/>
        <w:spacing w:after="0" w:line="268" w:lineRule="auto"/>
        <w:rPr>
          <w:sz w:val="20"/>
          <w:szCs w:val="20"/>
          <w:color w:val="auto"/>
        </w:rPr>
      </w:pPr>
      <w:r>
        <w:rPr>
          <w:rFonts w:ascii="Arial" w:cs="Arial" w:eastAsia="Arial" w:hAnsi="Arial"/>
          <w:sz w:val="18"/>
          <w:szCs w:val="18"/>
          <w:color w:val="auto"/>
        </w:rPr>
        <w:t>In the period July 1, 2009 through July 9, 2009 income tax benefit of $0.6 billion primarily resulted from the reversal of valuation allowances of $0.7 billion related to Reorganization gains, net.</w:t>
      </w:r>
    </w:p>
    <w:p>
      <w:pPr>
        <w:spacing w:after="0" w:line="132" w:lineRule="exact"/>
        <w:rPr>
          <w:sz w:val="20"/>
          <w:szCs w:val="20"/>
          <w:color w:val="auto"/>
        </w:rPr>
      </w:pPr>
    </w:p>
    <w:p>
      <w:pPr>
        <w:ind w:right="280" w:firstLine="228"/>
        <w:spacing w:after="0" w:line="259" w:lineRule="auto"/>
        <w:rPr>
          <w:sz w:val="20"/>
          <w:szCs w:val="20"/>
          <w:color w:val="auto"/>
        </w:rPr>
      </w:pPr>
      <w:r>
        <w:rPr>
          <w:rFonts w:ascii="Arial" w:cs="Arial" w:eastAsia="Arial" w:hAnsi="Arial"/>
          <w:sz w:val="18"/>
          <w:szCs w:val="18"/>
          <w:color w:val="auto"/>
        </w:rPr>
        <w:t>In the period January 1, 2009 through July 9, 2009 income tax benefit of $1.2 billion primarily resulted from the reversal of valuation allowances of $0.7 billion related to Reorganization gains, net and the resolution of a transfer pricing matter of $0.7 billion between the U.S. and Canadian governments, partially offset by income tax attributable to entities included in our effective tax rate calculation.</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108</w:t>
      </w:r>
    </w:p>
    <w:p>
      <w:pPr>
        <w:sectPr>
          <w:pgSz w:w="11900" w:h="16838" w:orient="portrait"/>
          <w:cols w:equalWidth="0" w:num="1">
            <w:col w:w="11420"/>
          </w:cols>
          <w:pgMar w:left="240" w:top="459" w:right="239" w:bottom="1440" w:gutter="0" w:footer="0" w:header="0"/>
        </w:sectPr>
      </w:pPr>
    </w:p>
    <w:bookmarkStart w:id="110" w:name="page111"/>
    <w:bookmarkEnd w:id="1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339"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Equity Income, net of tax</w:t>
      </w:r>
    </w:p>
    <w:p>
      <w:pPr>
        <w:spacing w:after="0" w:line="24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8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940" w:type="dxa"/>
            <w:vAlign w:val="bottom"/>
            <w:gridSpan w:val="4"/>
          </w:tcPr>
          <w:p>
            <w:pPr>
              <w:jc w:val="center"/>
              <w:ind w:right="220"/>
              <w:spacing w:after="0"/>
              <w:rPr>
                <w:sz w:val="20"/>
                <w:szCs w:val="20"/>
                <w:color w:val="auto"/>
              </w:rPr>
            </w:pPr>
            <w:r>
              <w:rPr>
                <w:rFonts w:ascii="Arial" w:cs="Arial" w:eastAsia="Arial" w:hAnsi="Arial"/>
                <w:sz w:val="14"/>
                <w:szCs w:val="14"/>
                <w:b w:val="1"/>
                <w:bCs w:val="1"/>
                <w:color w:val="auto"/>
                <w:w w:val="92"/>
              </w:rPr>
              <w:t>Three Months Ended</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28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400" w:type="dxa"/>
            <w:vAlign w:val="bottom"/>
            <w:gridSpan w:val="3"/>
          </w:tcPr>
          <w:p>
            <w:pPr>
              <w:ind w:left="740"/>
              <w:spacing w:after="0"/>
              <w:rPr>
                <w:sz w:val="20"/>
                <w:szCs w:val="20"/>
                <w:color w:val="auto"/>
              </w:rPr>
            </w:pPr>
            <w:r>
              <w:rPr>
                <w:rFonts w:ascii="Arial" w:cs="Arial" w:eastAsia="Arial" w:hAnsi="Arial"/>
                <w:sz w:val="14"/>
                <w:szCs w:val="14"/>
                <w:b w:val="1"/>
                <w:bCs w:val="1"/>
                <w:color w:val="auto"/>
                <w:w w:val="90"/>
              </w:rPr>
              <w:t>Successor</w:t>
            </w:r>
          </w:p>
        </w:tc>
        <w:tc>
          <w:tcPr>
            <w:tcW w:w="10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940" w:type="dxa"/>
            <w:vAlign w:val="bottom"/>
            <w:gridSpan w:val="4"/>
          </w:tcPr>
          <w:p>
            <w:pPr>
              <w:jc w:val="center"/>
              <w:ind w:right="220"/>
              <w:spacing w:after="0"/>
              <w:rPr>
                <w:sz w:val="20"/>
                <w:szCs w:val="20"/>
                <w:color w:val="auto"/>
              </w:rPr>
            </w:pPr>
            <w:r>
              <w:rPr>
                <w:rFonts w:ascii="Arial" w:cs="Arial" w:eastAsia="Arial" w:hAnsi="Arial"/>
                <w:sz w:val="14"/>
                <w:szCs w:val="14"/>
                <w:b w:val="1"/>
                <w:bCs w:val="1"/>
                <w:color w:val="auto"/>
                <w:w w:val="85"/>
              </w:rPr>
              <w:t>September 30, 2010</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28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500" w:type="dxa"/>
            <w:vAlign w:val="bottom"/>
          </w:tcPr>
          <w:p>
            <w:pPr>
              <w:spacing w:after="0"/>
              <w:rPr>
                <w:sz w:val="2"/>
                <w:szCs w:val="2"/>
                <w:color w:val="auto"/>
              </w:rPr>
            </w:pPr>
          </w:p>
        </w:tc>
        <w:tc>
          <w:tcPr>
            <w:tcW w:w="740" w:type="dxa"/>
            <w:vAlign w:val="bottom"/>
          </w:tcPr>
          <w:p>
            <w:pPr>
              <w:spacing w:after="0"/>
              <w:rPr>
                <w:sz w:val="2"/>
                <w:szCs w:val="2"/>
                <w:color w:val="auto"/>
              </w:rPr>
            </w:pPr>
          </w:p>
        </w:tc>
        <w:tc>
          <w:tcPr>
            <w:tcW w:w="5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20" w:type="dxa"/>
            <w:vAlign w:val="bottom"/>
            <w:gridSpan w:val="2"/>
          </w:tcPr>
          <w:p>
            <w:pPr>
              <w:spacing w:after="0"/>
              <w:rPr>
                <w:sz w:val="2"/>
                <w:szCs w:val="2"/>
                <w:color w:val="auto"/>
              </w:rPr>
            </w:pPr>
          </w:p>
        </w:tc>
        <w:tc>
          <w:tcPr>
            <w:tcW w:w="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940" w:type="dxa"/>
            <w:vAlign w:val="bottom"/>
            <w:gridSpan w:val="4"/>
            <w:vMerge w:val="restart"/>
          </w:tcPr>
          <w:p>
            <w:pPr>
              <w:jc w:val="center"/>
              <w:ind w:right="220"/>
              <w:spacing w:after="0"/>
              <w:rPr>
                <w:sz w:val="20"/>
                <w:szCs w:val="20"/>
                <w:color w:val="auto"/>
              </w:rPr>
            </w:pPr>
            <w:r>
              <w:rPr>
                <w:rFonts w:ascii="Arial" w:cs="Arial" w:eastAsia="Arial" w:hAnsi="Arial"/>
                <w:sz w:val="14"/>
                <w:szCs w:val="14"/>
                <w:b w:val="1"/>
                <w:bCs w:val="1"/>
                <w:color w:val="auto"/>
                <w:w w:val="86"/>
              </w:rPr>
              <w:t>vs. Period July 10, 2009</w:t>
            </w:r>
          </w:p>
        </w:tc>
        <w:tc>
          <w:tcPr>
            <w:tcW w:w="0" w:type="dxa"/>
            <w:vAlign w:val="bottom"/>
          </w:tcPr>
          <w:p>
            <w:pPr>
              <w:spacing w:after="0"/>
              <w:rPr>
                <w:sz w:val="1"/>
                <w:szCs w:val="1"/>
                <w:color w:val="auto"/>
              </w:rPr>
            </w:pPr>
          </w:p>
        </w:tc>
      </w:tr>
      <w:tr>
        <w:trPr>
          <w:trHeight w:val="115"/>
        </w:trPr>
        <w:tc>
          <w:tcPr>
            <w:tcW w:w="20" w:type="dxa"/>
            <w:vAlign w:val="bottom"/>
          </w:tcPr>
          <w:p>
            <w:pPr>
              <w:spacing w:after="0"/>
              <w:rPr>
                <w:sz w:val="10"/>
                <w:szCs w:val="10"/>
                <w:color w:val="auto"/>
              </w:rPr>
            </w:pPr>
          </w:p>
        </w:tc>
        <w:tc>
          <w:tcPr>
            <w:tcW w:w="28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1020" w:type="dxa"/>
            <w:vAlign w:val="bottom"/>
            <w:tcBorders>
              <w:top w:val="single" w:sz="8" w:color="auto"/>
            </w:tcBorders>
          </w:tcPr>
          <w:p>
            <w:pPr>
              <w:spacing w:after="0"/>
              <w:rPr>
                <w:sz w:val="10"/>
                <w:szCs w:val="10"/>
                <w:color w:val="auto"/>
              </w:rPr>
            </w:pPr>
          </w:p>
        </w:tc>
        <w:tc>
          <w:tcPr>
            <w:tcW w:w="500" w:type="dxa"/>
            <w:vAlign w:val="bottom"/>
            <w:tcBorders>
              <w:top w:val="single" w:sz="8" w:color="auto"/>
            </w:tcBorders>
          </w:tcPr>
          <w:p>
            <w:pPr>
              <w:spacing w:after="0"/>
              <w:rPr>
                <w:sz w:val="10"/>
                <w:szCs w:val="10"/>
                <w:color w:val="auto"/>
              </w:rPr>
            </w:pPr>
          </w:p>
        </w:tc>
        <w:tc>
          <w:tcPr>
            <w:tcW w:w="740" w:type="dxa"/>
            <w:vAlign w:val="bottom"/>
            <w:tcBorders>
              <w:top w:val="single" w:sz="8" w:color="auto"/>
            </w:tcBorders>
          </w:tcPr>
          <w:p>
            <w:pPr>
              <w:jc w:val="center"/>
              <w:spacing w:after="0" w:line="115" w:lineRule="exact"/>
              <w:rPr>
                <w:sz w:val="20"/>
                <w:szCs w:val="20"/>
                <w:color w:val="auto"/>
              </w:rPr>
            </w:pPr>
            <w:r>
              <w:rPr>
                <w:rFonts w:ascii="Arial" w:cs="Arial" w:eastAsia="Arial" w:hAnsi="Arial"/>
                <w:sz w:val="12"/>
                <w:szCs w:val="12"/>
                <w:b w:val="1"/>
                <w:bCs w:val="1"/>
                <w:color w:val="auto"/>
                <w:w w:val="98"/>
              </w:rPr>
              <w:t>Percentage</w:t>
            </w:r>
          </w:p>
        </w:tc>
        <w:tc>
          <w:tcPr>
            <w:tcW w:w="520" w:type="dxa"/>
            <w:vAlign w:val="bottom"/>
            <w:tcBorders>
              <w:top w:val="single" w:sz="8" w:color="auto"/>
            </w:tcBorders>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1000" w:type="dxa"/>
            <w:vAlign w:val="bottom"/>
            <w:tcBorders>
              <w:top w:val="single" w:sz="8" w:color="auto"/>
            </w:tcBorders>
          </w:tcPr>
          <w:p>
            <w:pPr>
              <w:spacing w:after="0"/>
              <w:rPr>
                <w:sz w:val="10"/>
                <w:szCs w:val="10"/>
                <w:color w:val="auto"/>
              </w:rPr>
            </w:pPr>
          </w:p>
        </w:tc>
        <w:tc>
          <w:tcPr>
            <w:tcW w:w="520" w:type="dxa"/>
            <w:vAlign w:val="bottom"/>
            <w:tcBorders>
              <w:top w:val="single" w:sz="8" w:color="auto"/>
            </w:tcBorders>
          </w:tcPr>
          <w:p>
            <w:pPr>
              <w:spacing w:after="0"/>
              <w:rPr>
                <w:sz w:val="10"/>
                <w:szCs w:val="10"/>
                <w:color w:val="auto"/>
              </w:rPr>
            </w:pPr>
          </w:p>
        </w:tc>
        <w:tc>
          <w:tcPr>
            <w:tcW w:w="740" w:type="dxa"/>
            <w:vAlign w:val="bottom"/>
            <w:tcBorders>
              <w:top w:val="single" w:sz="8" w:color="auto"/>
            </w:tcBorders>
          </w:tcPr>
          <w:p>
            <w:pPr>
              <w:jc w:val="center"/>
              <w:spacing w:after="0" w:line="115" w:lineRule="exact"/>
              <w:rPr>
                <w:sz w:val="20"/>
                <w:szCs w:val="20"/>
                <w:color w:val="auto"/>
              </w:rPr>
            </w:pPr>
            <w:r>
              <w:rPr>
                <w:rFonts w:ascii="Arial" w:cs="Arial" w:eastAsia="Arial" w:hAnsi="Arial"/>
                <w:sz w:val="12"/>
                <w:szCs w:val="12"/>
                <w:b w:val="1"/>
                <w:bCs w:val="1"/>
                <w:color w:val="auto"/>
                <w:w w:val="98"/>
              </w:rPr>
              <w:t>Percentage</w:t>
            </w:r>
          </w:p>
        </w:tc>
        <w:tc>
          <w:tcPr>
            <w:tcW w:w="2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940" w:type="dxa"/>
            <w:vAlign w:val="bottom"/>
            <w:gridSpan w:val="4"/>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tcPr>
          <w:p>
            <w:pPr>
              <w:jc w:val="right"/>
              <w:ind w:right="80"/>
              <w:spacing w:after="0" w:line="149" w:lineRule="exact"/>
              <w:rPr>
                <w:sz w:val="20"/>
                <w:szCs w:val="20"/>
                <w:color w:val="auto"/>
              </w:rPr>
            </w:pPr>
            <w:r>
              <w:rPr>
                <w:rFonts w:ascii="Arial" w:cs="Arial" w:eastAsia="Arial" w:hAnsi="Arial"/>
                <w:sz w:val="14"/>
                <w:szCs w:val="14"/>
                <w:b w:val="1"/>
                <w:bCs w:val="1"/>
                <w:color w:val="auto"/>
                <w:w w:val="91"/>
              </w:rPr>
              <w:t>Three Months</w:t>
            </w:r>
          </w:p>
        </w:tc>
        <w:tc>
          <w:tcPr>
            <w:tcW w:w="500" w:type="dxa"/>
            <w:vAlign w:val="bottom"/>
          </w:tcPr>
          <w:p>
            <w:pPr>
              <w:spacing w:after="0"/>
              <w:rPr>
                <w:sz w:val="12"/>
                <w:szCs w:val="12"/>
                <w:color w:val="auto"/>
              </w:rPr>
            </w:pPr>
          </w:p>
        </w:tc>
        <w:tc>
          <w:tcPr>
            <w:tcW w:w="7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4"/>
              </w:rPr>
              <w:t>of Total</w:t>
            </w:r>
          </w:p>
        </w:tc>
        <w:tc>
          <w:tcPr>
            <w:tcW w:w="5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0" w:type="dxa"/>
            <w:vAlign w:val="bottom"/>
          </w:tcPr>
          <w:p>
            <w:pPr>
              <w:jc w:val="right"/>
              <w:ind w:right="120"/>
              <w:spacing w:after="0" w:line="149" w:lineRule="exact"/>
              <w:rPr>
                <w:sz w:val="20"/>
                <w:szCs w:val="20"/>
                <w:color w:val="auto"/>
              </w:rPr>
            </w:pPr>
            <w:r>
              <w:rPr>
                <w:rFonts w:ascii="Arial" w:cs="Arial" w:eastAsia="Arial" w:hAnsi="Arial"/>
                <w:sz w:val="14"/>
                <w:szCs w:val="14"/>
                <w:b w:val="1"/>
                <w:bCs w:val="1"/>
                <w:color w:val="auto"/>
                <w:w w:val="90"/>
              </w:rPr>
              <w:t>July 10, 2009</w:t>
            </w:r>
          </w:p>
        </w:tc>
        <w:tc>
          <w:tcPr>
            <w:tcW w:w="520" w:type="dxa"/>
            <w:vAlign w:val="bottom"/>
          </w:tcPr>
          <w:p>
            <w:pPr>
              <w:spacing w:after="0"/>
              <w:rPr>
                <w:sz w:val="12"/>
                <w:szCs w:val="12"/>
                <w:color w:val="auto"/>
              </w:rPr>
            </w:pPr>
          </w:p>
        </w:tc>
        <w:tc>
          <w:tcPr>
            <w:tcW w:w="102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4"/>
              </w:rPr>
              <w:t>of Total</w:t>
            </w:r>
          </w:p>
        </w:tc>
        <w:tc>
          <w:tcPr>
            <w:tcW w:w="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80" w:type="dxa"/>
            <w:vAlign w:val="bottom"/>
            <w:gridSpan w:val="2"/>
          </w:tcPr>
          <w:p>
            <w:pPr>
              <w:jc w:val="center"/>
              <w:ind w:left="366"/>
              <w:spacing w:after="0" w:line="149" w:lineRule="exact"/>
              <w:rPr>
                <w:sz w:val="20"/>
                <w:szCs w:val="20"/>
                <w:color w:val="auto"/>
              </w:rPr>
            </w:pPr>
            <w:r>
              <w:rPr>
                <w:rFonts w:ascii="Arial" w:cs="Arial" w:eastAsia="Arial" w:hAnsi="Arial"/>
                <w:sz w:val="14"/>
                <w:szCs w:val="14"/>
                <w:b w:val="1"/>
                <w:bCs w:val="1"/>
                <w:color w:val="auto"/>
                <w:w w:val="91"/>
              </w:rPr>
              <w:t>Through</w:t>
            </w: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8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20" w:type="dxa"/>
            <w:vAlign w:val="bottom"/>
          </w:tcPr>
          <w:p>
            <w:pPr>
              <w:jc w:val="right"/>
              <w:ind w:right="300"/>
              <w:spacing w:after="0" w:line="129" w:lineRule="exact"/>
              <w:rPr>
                <w:sz w:val="20"/>
                <w:szCs w:val="20"/>
                <w:color w:val="auto"/>
              </w:rPr>
            </w:pPr>
            <w:r>
              <w:rPr>
                <w:rFonts w:ascii="Arial" w:cs="Arial" w:eastAsia="Arial" w:hAnsi="Arial"/>
                <w:sz w:val="14"/>
                <w:szCs w:val="14"/>
                <w:b w:val="1"/>
                <w:bCs w:val="1"/>
                <w:color w:val="auto"/>
              </w:rPr>
              <w:t>Ended</w:t>
            </w:r>
          </w:p>
        </w:tc>
        <w:tc>
          <w:tcPr>
            <w:tcW w:w="500" w:type="dxa"/>
            <w:vAlign w:val="bottom"/>
          </w:tcPr>
          <w:p>
            <w:pPr>
              <w:spacing w:after="0"/>
              <w:rPr>
                <w:sz w:val="11"/>
                <w:szCs w:val="11"/>
                <w:color w:val="auto"/>
              </w:rPr>
            </w:pPr>
          </w:p>
        </w:tc>
        <w:tc>
          <w:tcPr>
            <w:tcW w:w="740" w:type="dxa"/>
            <w:vAlign w:val="bottom"/>
          </w:tcPr>
          <w:p>
            <w:pPr>
              <w:jc w:val="center"/>
              <w:spacing w:after="0" w:line="129" w:lineRule="exact"/>
              <w:rPr>
                <w:sz w:val="20"/>
                <w:szCs w:val="20"/>
                <w:color w:val="auto"/>
              </w:rPr>
            </w:pPr>
            <w:r>
              <w:rPr>
                <w:rFonts w:ascii="Arial" w:cs="Arial" w:eastAsia="Arial" w:hAnsi="Arial"/>
                <w:sz w:val="14"/>
                <w:szCs w:val="14"/>
                <w:b w:val="1"/>
                <w:bCs w:val="1"/>
                <w:color w:val="auto"/>
                <w:w w:val="81"/>
              </w:rPr>
              <w:t>net sales and</w:t>
            </w:r>
          </w:p>
        </w:tc>
        <w:tc>
          <w:tcPr>
            <w:tcW w:w="5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0" w:type="dxa"/>
            <w:vAlign w:val="bottom"/>
          </w:tcPr>
          <w:p>
            <w:pPr>
              <w:jc w:val="right"/>
              <w:ind w:right="240"/>
              <w:spacing w:after="0" w:line="129" w:lineRule="exact"/>
              <w:rPr>
                <w:sz w:val="20"/>
                <w:szCs w:val="20"/>
                <w:color w:val="auto"/>
              </w:rPr>
            </w:pPr>
            <w:r>
              <w:rPr>
                <w:rFonts w:ascii="Arial" w:cs="Arial" w:eastAsia="Arial" w:hAnsi="Arial"/>
                <w:sz w:val="14"/>
                <w:szCs w:val="14"/>
                <w:b w:val="1"/>
                <w:bCs w:val="1"/>
                <w:color w:val="auto"/>
              </w:rPr>
              <w:t>Through</w:t>
            </w:r>
          </w:p>
        </w:tc>
        <w:tc>
          <w:tcPr>
            <w:tcW w:w="520" w:type="dxa"/>
            <w:vAlign w:val="bottom"/>
          </w:tcPr>
          <w:p>
            <w:pPr>
              <w:spacing w:after="0"/>
              <w:rPr>
                <w:sz w:val="11"/>
                <w:szCs w:val="11"/>
                <w:color w:val="auto"/>
              </w:rPr>
            </w:pPr>
          </w:p>
        </w:tc>
        <w:tc>
          <w:tcPr>
            <w:tcW w:w="1020" w:type="dxa"/>
            <w:vAlign w:val="bottom"/>
            <w:gridSpan w:val="2"/>
          </w:tcPr>
          <w:p>
            <w:pPr>
              <w:jc w:val="center"/>
              <w:ind w:right="280"/>
              <w:spacing w:after="0" w:line="129" w:lineRule="exact"/>
              <w:rPr>
                <w:sz w:val="20"/>
                <w:szCs w:val="20"/>
                <w:color w:val="auto"/>
              </w:rPr>
            </w:pPr>
            <w:r>
              <w:rPr>
                <w:rFonts w:ascii="Arial" w:cs="Arial" w:eastAsia="Arial" w:hAnsi="Arial"/>
                <w:sz w:val="14"/>
                <w:szCs w:val="14"/>
                <w:b w:val="1"/>
                <w:bCs w:val="1"/>
                <w:color w:val="auto"/>
                <w:w w:val="83"/>
              </w:rPr>
              <w:t>net sales and</w:t>
            </w:r>
          </w:p>
        </w:tc>
        <w:tc>
          <w:tcPr>
            <w:tcW w:w="26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1840" w:type="dxa"/>
            <w:vAlign w:val="bottom"/>
            <w:tcBorders>
              <w:bottom w:val="single" w:sz="8" w:color="auto"/>
            </w:tcBorders>
            <w:gridSpan w:val="3"/>
          </w:tcPr>
          <w:p>
            <w:pPr>
              <w:jc w:val="center"/>
              <w:ind w:right="37"/>
              <w:spacing w:after="0" w:line="115" w:lineRule="exact"/>
              <w:rPr>
                <w:sz w:val="20"/>
                <w:szCs w:val="20"/>
                <w:color w:val="auto"/>
              </w:rPr>
            </w:pPr>
            <w:r>
              <w:rPr>
                <w:rFonts w:ascii="Arial" w:cs="Arial" w:eastAsia="Arial" w:hAnsi="Arial"/>
                <w:sz w:val="12"/>
                <w:szCs w:val="12"/>
                <w:b w:val="1"/>
                <w:bCs w:val="1"/>
                <w:color w:val="auto"/>
              </w:rPr>
              <w:t>September 30, 2009 Change</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28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140" w:type="dxa"/>
            <w:vAlign w:val="bottom"/>
            <w:tcBorders>
              <w:bottom w:val="single" w:sz="8" w:color="auto"/>
            </w:tcBorders>
            <w:gridSpan w:val="2"/>
          </w:tcPr>
          <w:p>
            <w:pPr>
              <w:spacing w:after="0"/>
              <w:rPr>
                <w:sz w:val="20"/>
                <w:szCs w:val="20"/>
                <w:color w:val="auto"/>
              </w:rPr>
            </w:pPr>
            <w:r>
              <w:rPr>
                <w:rFonts w:ascii="Arial" w:cs="Arial" w:eastAsia="Arial" w:hAnsi="Arial"/>
                <w:sz w:val="14"/>
                <w:szCs w:val="14"/>
                <w:b w:val="1"/>
                <w:bCs w:val="1"/>
                <w:color w:val="auto"/>
                <w:w w:val="85"/>
              </w:rPr>
              <w:t>September 30, 2010</w:t>
            </w:r>
          </w:p>
        </w:tc>
        <w:tc>
          <w:tcPr>
            <w:tcW w:w="500" w:type="dxa"/>
            <w:vAlign w:val="bottom"/>
          </w:tcPr>
          <w:p>
            <w:pPr>
              <w:spacing w:after="0"/>
              <w:rPr>
                <w:sz w:val="14"/>
                <w:szCs w:val="14"/>
                <w:color w:val="auto"/>
              </w:rPr>
            </w:pPr>
          </w:p>
        </w:tc>
        <w:tc>
          <w:tcPr>
            <w:tcW w:w="7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1"/>
              </w:rPr>
              <w:t>revenue</w:t>
            </w:r>
          </w:p>
        </w:tc>
        <w:tc>
          <w:tcPr>
            <w:tcW w:w="520" w:type="dxa"/>
            <w:vAlign w:val="bottom"/>
          </w:tcPr>
          <w:p>
            <w:pPr>
              <w:spacing w:after="0"/>
              <w:rPr>
                <w:sz w:val="14"/>
                <w:szCs w:val="14"/>
                <w:color w:val="auto"/>
              </w:rPr>
            </w:pPr>
          </w:p>
        </w:tc>
        <w:tc>
          <w:tcPr>
            <w:tcW w:w="1140" w:type="dxa"/>
            <w:vAlign w:val="bottom"/>
            <w:tcBorders>
              <w:bottom w:val="single" w:sz="8" w:color="auto"/>
            </w:tcBorders>
            <w:gridSpan w:val="2"/>
          </w:tcPr>
          <w:p>
            <w:pPr>
              <w:spacing w:after="0"/>
              <w:rPr>
                <w:sz w:val="20"/>
                <w:szCs w:val="20"/>
                <w:color w:val="auto"/>
              </w:rPr>
            </w:pPr>
            <w:r>
              <w:rPr>
                <w:rFonts w:ascii="Arial" w:cs="Arial" w:eastAsia="Arial" w:hAnsi="Arial"/>
                <w:sz w:val="14"/>
                <w:szCs w:val="14"/>
                <w:b w:val="1"/>
                <w:bCs w:val="1"/>
                <w:color w:val="auto"/>
                <w:w w:val="85"/>
              </w:rPr>
              <w:t>September 30, 2009</w:t>
            </w:r>
          </w:p>
        </w:tc>
        <w:tc>
          <w:tcPr>
            <w:tcW w:w="520" w:type="dxa"/>
            <w:vAlign w:val="bottom"/>
          </w:tcPr>
          <w:p>
            <w:pPr>
              <w:spacing w:after="0"/>
              <w:rPr>
                <w:sz w:val="14"/>
                <w:szCs w:val="14"/>
                <w:color w:val="auto"/>
              </w:rPr>
            </w:pPr>
          </w:p>
        </w:tc>
        <w:tc>
          <w:tcPr>
            <w:tcW w:w="7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5"/>
              </w:rPr>
              <w:t>revenue</w:t>
            </w:r>
          </w:p>
        </w:tc>
        <w:tc>
          <w:tcPr>
            <w:tcW w:w="2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ind w:right="146"/>
              <w:spacing w:after="0"/>
              <w:rPr>
                <w:sz w:val="20"/>
                <w:szCs w:val="20"/>
                <w:color w:val="auto"/>
              </w:rPr>
            </w:pPr>
            <w:r>
              <w:rPr>
                <w:rFonts w:ascii="Arial" w:cs="Arial" w:eastAsia="Arial" w:hAnsi="Arial"/>
                <w:sz w:val="14"/>
                <w:szCs w:val="14"/>
                <w:b w:val="1"/>
                <w:bCs w:val="1"/>
                <w:color w:val="auto"/>
                <w:w w:val="98"/>
              </w:rPr>
              <w:t>Amount</w:t>
            </w:r>
          </w:p>
        </w:tc>
        <w:tc>
          <w:tcPr>
            <w:tcW w:w="520" w:type="dxa"/>
            <w:vAlign w:val="bottom"/>
          </w:tcPr>
          <w:p>
            <w:pPr>
              <w:spacing w:after="0"/>
              <w:rPr>
                <w:sz w:val="14"/>
                <w:szCs w:val="14"/>
                <w:color w:val="auto"/>
              </w:rPr>
            </w:pPr>
          </w:p>
        </w:tc>
        <w:tc>
          <w:tcPr>
            <w:tcW w:w="560" w:type="dxa"/>
            <w:vAlign w:val="bottom"/>
            <w:tcBorders>
              <w:bottom w:val="single" w:sz="8" w:color="auto"/>
            </w:tcBorders>
          </w:tcPr>
          <w:p>
            <w:pPr>
              <w:jc w:val="right"/>
              <w:ind w:right="137"/>
              <w:spacing w:after="0"/>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820" w:type="dxa"/>
            <w:vAlign w:val="bottom"/>
            <w:shd w:val="clear" w:color="auto" w:fill="CCEEFF"/>
          </w:tcPr>
          <w:p>
            <w:pPr>
              <w:spacing w:after="0"/>
              <w:rPr>
                <w:sz w:val="20"/>
                <w:szCs w:val="20"/>
                <w:color w:val="auto"/>
              </w:rPr>
            </w:pPr>
            <w:r>
              <w:rPr>
                <w:rFonts w:ascii="Arial" w:cs="Arial" w:eastAsia="Arial" w:hAnsi="Arial"/>
                <w:sz w:val="18"/>
                <w:szCs w:val="18"/>
                <w:color w:val="auto"/>
              </w:rPr>
              <w:t>SGM and SGMW</w:t>
            </w:r>
          </w:p>
        </w:tc>
        <w:tc>
          <w:tcPr>
            <w:tcW w:w="800" w:type="dxa"/>
            <w:vAlign w:val="bottom"/>
            <w:gridSpan w:val="2"/>
            <w:shd w:val="clear" w:color="auto" w:fill="CCEEFF"/>
          </w:tcPr>
          <w:p>
            <w:pPr>
              <w:ind w:left="680"/>
              <w:spacing w:after="0"/>
              <w:rPr>
                <w:sz w:val="20"/>
                <w:szCs w:val="20"/>
                <w:color w:val="auto"/>
              </w:rPr>
            </w:pPr>
            <w:r>
              <w:rPr>
                <w:rFonts w:ascii="Arial" w:cs="Arial" w:eastAsia="Arial" w:hAnsi="Arial"/>
                <w:sz w:val="18"/>
                <w:szCs w:val="18"/>
                <w:color w:val="auto"/>
                <w:w w:val="9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336</w:t>
            </w:r>
          </w:p>
        </w:tc>
        <w:tc>
          <w:tcPr>
            <w:tcW w:w="1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660" w:type="dxa"/>
            <w:vAlign w:val="bottom"/>
            <w:gridSpan w:val="2"/>
            <w:shd w:val="clear" w:color="auto" w:fill="CCEEFF"/>
          </w:tcPr>
          <w:p>
            <w:pPr>
              <w:ind w:left="52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195</w:t>
            </w:r>
          </w:p>
        </w:tc>
        <w:tc>
          <w:tcPr>
            <w:tcW w:w="154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0.8%</w:t>
            </w:r>
          </w:p>
        </w:tc>
        <w:tc>
          <w:tcPr>
            <w:tcW w:w="3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141</w:t>
            </w:r>
          </w:p>
        </w:tc>
        <w:tc>
          <w:tcPr>
            <w:tcW w:w="52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2820" w:type="dxa"/>
            <w:vAlign w:val="bottom"/>
          </w:tcPr>
          <w:p>
            <w:pPr>
              <w:spacing w:after="0"/>
              <w:rPr>
                <w:sz w:val="20"/>
                <w:szCs w:val="20"/>
                <w:color w:val="auto"/>
              </w:rPr>
            </w:pPr>
            <w:r>
              <w:rPr>
                <w:rFonts w:ascii="Arial" w:cs="Arial" w:eastAsia="Arial" w:hAnsi="Arial"/>
                <w:sz w:val="18"/>
                <w:szCs w:val="18"/>
                <w:color w:val="auto"/>
              </w:rPr>
              <w:t>Other equity interests</w:t>
            </w:r>
          </w:p>
        </w:tc>
        <w:tc>
          <w:tcPr>
            <w:tcW w:w="68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w:t>
            </w:r>
          </w:p>
        </w:tc>
        <w:tc>
          <w:tcPr>
            <w:tcW w:w="5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w:t>
            </w:r>
          </w:p>
        </w:tc>
        <w:tc>
          <w:tcPr>
            <w:tcW w:w="52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w:t>
            </w:r>
          </w:p>
        </w:tc>
        <w:tc>
          <w:tcPr>
            <w:tcW w:w="520" w:type="dxa"/>
            <w:vAlign w:val="bottom"/>
          </w:tcPr>
          <w:p>
            <w:pPr>
              <w:spacing w:after="0"/>
              <w:rPr>
                <w:sz w:val="19"/>
                <w:szCs w:val="19"/>
                <w:color w:val="auto"/>
              </w:rPr>
            </w:pPr>
          </w:p>
        </w:tc>
        <w:tc>
          <w:tcPr>
            <w:tcW w:w="102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w:t>
            </w:r>
          </w:p>
        </w:tc>
        <w:tc>
          <w:tcPr>
            <w:tcW w:w="52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66.7%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20" w:type="dxa"/>
            <w:vAlign w:val="bottom"/>
            <w:shd w:val="clear" w:color="auto" w:fill="CCEEFF"/>
          </w:tcPr>
          <w:p>
            <w:pPr>
              <w:spacing w:after="0"/>
              <w:rPr>
                <w:sz w:val="20"/>
                <w:szCs w:val="20"/>
                <w:color w:val="auto"/>
              </w:rPr>
            </w:pPr>
            <w:r>
              <w:rPr>
                <w:rFonts w:ascii="Arial" w:cs="Arial" w:eastAsia="Arial" w:hAnsi="Arial"/>
                <w:sz w:val="18"/>
                <w:szCs w:val="18"/>
                <w:color w:val="auto"/>
              </w:rPr>
              <w:t>Total equity income, net of tax</w:t>
            </w:r>
          </w:p>
        </w:tc>
        <w:tc>
          <w:tcPr>
            <w:tcW w:w="800" w:type="dxa"/>
            <w:vAlign w:val="bottom"/>
            <w:gridSpan w:val="2"/>
            <w:shd w:val="clear" w:color="auto" w:fill="CCEEFF"/>
          </w:tcPr>
          <w:p>
            <w:pPr>
              <w:ind w:left="680"/>
              <w:spacing w:after="0"/>
              <w:rPr>
                <w:sz w:val="20"/>
                <w:szCs w:val="20"/>
                <w:color w:val="auto"/>
              </w:rPr>
            </w:pPr>
            <w:r>
              <w:rPr>
                <w:rFonts w:ascii="Arial" w:cs="Arial" w:eastAsia="Arial" w:hAnsi="Arial"/>
                <w:sz w:val="18"/>
                <w:szCs w:val="18"/>
                <w:color w:val="auto"/>
                <w:w w:val="9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351</w:t>
            </w:r>
          </w:p>
        </w:tc>
        <w:tc>
          <w:tcPr>
            <w:tcW w:w="1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660" w:type="dxa"/>
            <w:vAlign w:val="bottom"/>
            <w:gridSpan w:val="2"/>
            <w:shd w:val="clear" w:color="auto" w:fill="CCEEFF"/>
          </w:tcPr>
          <w:p>
            <w:pPr>
              <w:ind w:left="52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204</w:t>
            </w:r>
          </w:p>
        </w:tc>
        <w:tc>
          <w:tcPr>
            <w:tcW w:w="154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0.8%</w:t>
            </w:r>
          </w:p>
        </w:tc>
        <w:tc>
          <w:tcPr>
            <w:tcW w:w="3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147</w:t>
            </w:r>
          </w:p>
        </w:tc>
        <w:tc>
          <w:tcPr>
            <w:tcW w:w="52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8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right="100" w:firstLine="228"/>
        <w:spacing w:after="0" w:line="268" w:lineRule="auto"/>
        <w:rPr>
          <w:sz w:val="20"/>
          <w:szCs w:val="20"/>
          <w:color w:val="auto"/>
        </w:rPr>
      </w:pPr>
      <w:r>
        <w:rPr>
          <w:rFonts w:ascii="Arial" w:cs="Arial" w:eastAsia="Arial" w:hAnsi="Arial"/>
          <w:sz w:val="18"/>
          <w:szCs w:val="18"/>
          <w:color w:val="auto"/>
        </w:rPr>
        <w:t>In the three months ended September 30, 2010 Equity income, net of tax increased compared to the period July 10, 2009 through September 30, 2009 by $0.1 billion or (72.1%), primarily due to higher income at SGM of $0.1 billion.</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8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520" w:type="dxa"/>
            <w:vAlign w:val="bottom"/>
            <w:tcBorders>
              <w:bottom w:val="single" w:sz="8" w:color="auto"/>
            </w:tcBorders>
            <w:gridSpan w:val="2"/>
          </w:tcPr>
          <w:p>
            <w:pPr>
              <w:ind w:left="740"/>
              <w:spacing w:after="0"/>
              <w:rPr>
                <w:sz w:val="20"/>
                <w:szCs w:val="20"/>
                <w:color w:val="auto"/>
              </w:rPr>
            </w:pPr>
            <w:r>
              <w:rPr>
                <w:rFonts w:ascii="Arial" w:cs="Arial" w:eastAsia="Arial" w:hAnsi="Arial"/>
                <w:sz w:val="14"/>
                <w:szCs w:val="14"/>
                <w:b w:val="1"/>
                <w:bCs w:val="1"/>
                <w:color w:val="auto"/>
              </w:rPr>
              <w:t>Successor</w:t>
            </w:r>
          </w:p>
        </w:tc>
        <w:tc>
          <w:tcPr>
            <w:tcW w:w="660" w:type="dxa"/>
            <w:vAlign w:val="bottom"/>
            <w:tcBorders>
              <w:bottom w:val="single" w:sz="8" w:color="auto"/>
            </w:tcBorders>
          </w:tcPr>
          <w:p>
            <w:pPr>
              <w:spacing w:after="0"/>
              <w:rPr>
                <w:sz w:val="14"/>
                <w:szCs w:val="14"/>
                <w:color w:val="auto"/>
              </w:rPr>
            </w:pPr>
          </w:p>
        </w:tc>
        <w:tc>
          <w:tcPr>
            <w:tcW w:w="720" w:type="dxa"/>
            <w:vAlign w:val="bottom"/>
            <w:tcBorders>
              <w:right w:val="single" w:sz="8" w:color="auto"/>
            </w:tcBorders>
          </w:tcPr>
          <w:p>
            <w:pPr>
              <w:spacing w:after="0"/>
              <w:rPr>
                <w:sz w:val="14"/>
                <w:szCs w:val="14"/>
                <w:color w:val="auto"/>
              </w:rPr>
            </w:pPr>
          </w:p>
        </w:tc>
        <w:tc>
          <w:tcPr>
            <w:tcW w:w="4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w w:val="85"/>
              </w:rPr>
              <w:t>Predecessor</w:t>
            </w:r>
          </w:p>
        </w:tc>
        <w:tc>
          <w:tcPr>
            <w:tcW w:w="54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28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60" w:type="dxa"/>
            <w:vAlign w:val="bottom"/>
          </w:tcPr>
          <w:p>
            <w:pPr>
              <w:jc w:val="center"/>
              <w:spacing w:after="0" w:line="129" w:lineRule="exact"/>
              <w:rPr>
                <w:sz w:val="20"/>
                <w:szCs w:val="20"/>
                <w:color w:val="auto"/>
              </w:rPr>
            </w:pPr>
            <w:r>
              <w:rPr>
                <w:rFonts w:ascii="Arial" w:cs="Arial" w:eastAsia="Arial" w:hAnsi="Arial"/>
                <w:sz w:val="14"/>
                <w:szCs w:val="14"/>
                <w:b w:val="1"/>
                <w:bCs w:val="1"/>
                <w:color w:val="auto"/>
                <w:w w:val="82"/>
              </w:rPr>
              <w:t>Percentage</w:t>
            </w:r>
          </w:p>
        </w:tc>
        <w:tc>
          <w:tcPr>
            <w:tcW w:w="720" w:type="dxa"/>
            <w:vAlign w:val="bottom"/>
            <w:tcBorders>
              <w:right w:val="single" w:sz="8" w:color="auto"/>
            </w:tcBorders>
          </w:tcPr>
          <w:p>
            <w:pPr>
              <w:spacing w:after="0"/>
              <w:rPr>
                <w:sz w:val="11"/>
                <w:szCs w:val="11"/>
                <w:color w:val="auto"/>
              </w:rPr>
            </w:pPr>
          </w:p>
        </w:tc>
        <w:tc>
          <w:tcPr>
            <w:tcW w:w="420" w:type="dxa"/>
            <w:vAlign w:val="bottom"/>
          </w:tcPr>
          <w:p>
            <w:pPr>
              <w:spacing w:after="0"/>
              <w:rPr>
                <w:sz w:val="11"/>
                <w:szCs w:val="11"/>
                <w:color w:val="auto"/>
              </w:rPr>
            </w:pPr>
          </w:p>
        </w:tc>
        <w:tc>
          <w:tcPr>
            <w:tcW w:w="500" w:type="dxa"/>
            <w:vAlign w:val="bottom"/>
            <w:gridSpan w:val="2"/>
          </w:tcPr>
          <w:p>
            <w:pPr>
              <w:jc w:val="center"/>
              <w:spacing w:after="0" w:line="129" w:lineRule="exact"/>
              <w:rPr>
                <w:sz w:val="20"/>
                <w:szCs w:val="20"/>
                <w:color w:val="auto"/>
              </w:rPr>
            </w:pPr>
            <w:r>
              <w:rPr>
                <w:rFonts w:ascii="Arial" w:cs="Arial" w:eastAsia="Arial" w:hAnsi="Arial"/>
                <w:sz w:val="14"/>
                <w:szCs w:val="14"/>
                <w:b w:val="1"/>
                <w:bCs w:val="1"/>
                <w:color w:val="auto"/>
                <w:w w:val="87"/>
              </w:rPr>
              <w:t>July 1,</w:t>
            </w:r>
          </w:p>
        </w:tc>
        <w:tc>
          <w:tcPr>
            <w:tcW w:w="540" w:type="dxa"/>
            <w:vAlign w:val="bottom"/>
          </w:tcPr>
          <w:p>
            <w:pPr>
              <w:spacing w:after="0"/>
              <w:rPr>
                <w:sz w:val="11"/>
                <w:szCs w:val="11"/>
                <w:color w:val="auto"/>
              </w:rPr>
            </w:pPr>
          </w:p>
        </w:tc>
        <w:tc>
          <w:tcPr>
            <w:tcW w:w="1280" w:type="dxa"/>
            <w:vAlign w:val="bottom"/>
            <w:gridSpan w:val="2"/>
          </w:tcPr>
          <w:p>
            <w:pPr>
              <w:jc w:val="center"/>
              <w:ind w:right="572"/>
              <w:spacing w:after="0" w:line="129" w:lineRule="exact"/>
              <w:rPr>
                <w:sz w:val="20"/>
                <w:szCs w:val="20"/>
                <w:color w:val="auto"/>
              </w:rPr>
            </w:pPr>
            <w:r>
              <w:rPr>
                <w:rFonts w:ascii="Arial" w:cs="Arial" w:eastAsia="Arial" w:hAnsi="Arial"/>
                <w:sz w:val="14"/>
                <w:szCs w:val="14"/>
                <w:b w:val="1"/>
                <w:bCs w:val="1"/>
                <w:color w:val="auto"/>
                <w:w w:val="84"/>
              </w:rPr>
              <w:t>Percentage</w:t>
            </w:r>
          </w:p>
        </w:tc>
        <w:tc>
          <w:tcPr>
            <w:tcW w:w="1200" w:type="dxa"/>
            <w:vAlign w:val="bottom"/>
            <w:gridSpan w:val="3"/>
          </w:tcPr>
          <w:p>
            <w:pPr>
              <w:jc w:val="center"/>
              <w:ind w:right="580"/>
              <w:spacing w:after="0" w:line="129" w:lineRule="exact"/>
              <w:rPr>
                <w:sz w:val="20"/>
                <w:szCs w:val="20"/>
                <w:color w:val="auto"/>
              </w:rPr>
            </w:pPr>
            <w:r>
              <w:rPr>
                <w:rFonts w:ascii="Arial" w:cs="Arial" w:eastAsia="Arial" w:hAnsi="Arial"/>
                <w:sz w:val="14"/>
                <w:szCs w:val="14"/>
                <w:b w:val="1"/>
                <w:bCs w:val="1"/>
                <w:color w:val="auto"/>
                <w:w w:val="89"/>
              </w:rPr>
              <w:t>January 1,</w:t>
            </w:r>
          </w:p>
        </w:tc>
        <w:tc>
          <w:tcPr>
            <w:tcW w:w="640" w:type="dxa"/>
            <w:vAlign w:val="bottom"/>
          </w:tcPr>
          <w:p>
            <w:pPr>
              <w:jc w:val="center"/>
              <w:spacing w:after="0" w:line="129" w:lineRule="exact"/>
              <w:rPr>
                <w:sz w:val="20"/>
                <w:szCs w:val="20"/>
                <w:color w:val="auto"/>
              </w:rPr>
            </w:pPr>
            <w:r>
              <w:rPr>
                <w:rFonts w:ascii="Arial" w:cs="Arial" w:eastAsia="Arial" w:hAnsi="Arial"/>
                <w:sz w:val="14"/>
                <w:szCs w:val="14"/>
                <w:b w:val="1"/>
                <w:bCs w:val="1"/>
                <w:color w:val="auto"/>
                <w:w w:val="84"/>
              </w:rPr>
              <w:t>Percentage</w:t>
            </w:r>
          </w:p>
        </w:tc>
        <w:tc>
          <w:tcPr>
            <w:tcW w:w="2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380" w:type="dxa"/>
            <w:vAlign w:val="bottom"/>
            <w:tcBorders>
              <w:right w:val="single" w:sz="8" w:color="auto"/>
            </w:tcBorders>
            <w:gridSpan w:val="2"/>
          </w:tcPr>
          <w:p>
            <w:pPr>
              <w:jc w:val="center"/>
              <w:ind w:right="700"/>
              <w:spacing w:after="0" w:line="149" w:lineRule="exact"/>
              <w:rPr>
                <w:sz w:val="20"/>
                <w:szCs w:val="20"/>
                <w:color w:val="auto"/>
              </w:rPr>
            </w:pPr>
            <w:r>
              <w:rPr>
                <w:rFonts w:ascii="Arial" w:cs="Arial" w:eastAsia="Arial" w:hAnsi="Arial"/>
                <w:sz w:val="14"/>
                <w:szCs w:val="14"/>
                <w:b w:val="1"/>
                <w:bCs w:val="1"/>
                <w:color w:val="auto"/>
                <w:w w:val="86"/>
              </w:rPr>
              <w:t>of Total</w:t>
            </w:r>
          </w:p>
        </w:tc>
        <w:tc>
          <w:tcPr>
            <w:tcW w:w="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tcPr>
          <w:p>
            <w:pPr>
              <w:jc w:val="center"/>
              <w:ind w:right="20"/>
              <w:spacing w:after="0" w:line="149" w:lineRule="exact"/>
              <w:rPr>
                <w:sz w:val="20"/>
                <w:szCs w:val="20"/>
                <w:color w:val="auto"/>
              </w:rPr>
            </w:pPr>
            <w:r>
              <w:rPr>
                <w:rFonts w:ascii="Arial" w:cs="Arial" w:eastAsia="Arial" w:hAnsi="Arial"/>
                <w:sz w:val="14"/>
                <w:szCs w:val="14"/>
                <w:b w:val="1"/>
                <w:bCs w:val="1"/>
                <w:color w:val="auto"/>
                <w:w w:val="83"/>
              </w:rPr>
              <w:t>2009</w:t>
            </w:r>
          </w:p>
        </w:tc>
        <w:tc>
          <w:tcPr>
            <w:tcW w:w="540" w:type="dxa"/>
            <w:vAlign w:val="bottom"/>
          </w:tcPr>
          <w:p>
            <w:pPr>
              <w:spacing w:after="0"/>
              <w:rPr>
                <w:sz w:val="12"/>
                <w:szCs w:val="12"/>
                <w:color w:val="auto"/>
              </w:rPr>
            </w:pPr>
          </w:p>
        </w:tc>
        <w:tc>
          <w:tcPr>
            <w:tcW w:w="1280" w:type="dxa"/>
            <w:vAlign w:val="bottom"/>
            <w:gridSpan w:val="2"/>
          </w:tcPr>
          <w:p>
            <w:pPr>
              <w:jc w:val="center"/>
              <w:ind w:right="572"/>
              <w:spacing w:after="0" w:line="149" w:lineRule="exact"/>
              <w:rPr>
                <w:sz w:val="20"/>
                <w:szCs w:val="20"/>
                <w:color w:val="auto"/>
              </w:rPr>
            </w:pPr>
            <w:r>
              <w:rPr>
                <w:rFonts w:ascii="Arial" w:cs="Arial" w:eastAsia="Arial" w:hAnsi="Arial"/>
                <w:sz w:val="14"/>
                <w:szCs w:val="14"/>
                <w:b w:val="1"/>
                <w:bCs w:val="1"/>
                <w:color w:val="auto"/>
                <w:w w:val="86"/>
              </w:rPr>
              <w:t>of Total</w:t>
            </w:r>
          </w:p>
        </w:tc>
        <w:tc>
          <w:tcPr>
            <w:tcW w:w="120" w:type="dxa"/>
            <w:vAlign w:val="bottom"/>
          </w:tcPr>
          <w:p>
            <w:pPr>
              <w:spacing w:after="0"/>
              <w:rPr>
                <w:sz w:val="12"/>
                <w:szCs w:val="12"/>
                <w:color w:val="auto"/>
              </w:rPr>
            </w:pPr>
          </w:p>
        </w:tc>
        <w:tc>
          <w:tcPr>
            <w:tcW w:w="540" w:type="dxa"/>
            <w:vAlign w:val="bottom"/>
          </w:tcPr>
          <w:p>
            <w:pPr>
              <w:jc w:val="center"/>
              <w:ind w:right="62"/>
              <w:spacing w:after="0" w:line="149" w:lineRule="exact"/>
              <w:rPr>
                <w:sz w:val="20"/>
                <w:szCs w:val="20"/>
                <w:color w:val="auto"/>
              </w:rPr>
            </w:pPr>
            <w:r>
              <w:rPr>
                <w:rFonts w:ascii="Arial" w:cs="Arial" w:eastAsia="Arial" w:hAnsi="Arial"/>
                <w:sz w:val="14"/>
                <w:szCs w:val="14"/>
                <w:b w:val="1"/>
                <w:bCs w:val="1"/>
                <w:color w:val="auto"/>
                <w:w w:val="89"/>
              </w:rPr>
              <w:t>2009</w:t>
            </w:r>
          </w:p>
        </w:tc>
        <w:tc>
          <w:tcPr>
            <w:tcW w:w="540" w:type="dxa"/>
            <w:vAlign w:val="bottom"/>
          </w:tcPr>
          <w:p>
            <w:pPr>
              <w:spacing w:after="0"/>
              <w:rPr>
                <w:sz w:val="12"/>
                <w:szCs w:val="12"/>
                <w:color w:val="auto"/>
              </w:rPr>
            </w:pPr>
          </w:p>
        </w:tc>
        <w:tc>
          <w:tcPr>
            <w:tcW w:w="90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86"/>
              </w:rPr>
              <w:t>of Total</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520" w:type="dxa"/>
            <w:vAlign w:val="bottom"/>
            <w:gridSpan w:val="2"/>
          </w:tcPr>
          <w:p>
            <w:pPr>
              <w:jc w:val="center"/>
              <w:ind w:right="660"/>
              <w:spacing w:after="0" w:line="149" w:lineRule="exact"/>
              <w:rPr>
                <w:sz w:val="20"/>
                <w:szCs w:val="20"/>
                <w:color w:val="auto"/>
              </w:rPr>
            </w:pPr>
            <w:r>
              <w:rPr>
                <w:rFonts w:ascii="Arial" w:cs="Arial" w:eastAsia="Arial" w:hAnsi="Arial"/>
                <w:sz w:val="14"/>
                <w:szCs w:val="14"/>
                <w:b w:val="1"/>
                <w:bCs w:val="1"/>
                <w:color w:val="auto"/>
                <w:w w:val="88"/>
              </w:rPr>
              <w:t>Nine Months</w:t>
            </w:r>
          </w:p>
        </w:tc>
        <w:tc>
          <w:tcPr>
            <w:tcW w:w="1380" w:type="dxa"/>
            <w:vAlign w:val="bottom"/>
            <w:tcBorders>
              <w:right w:val="single" w:sz="8" w:color="auto"/>
            </w:tcBorders>
            <w:gridSpan w:val="2"/>
          </w:tcPr>
          <w:p>
            <w:pPr>
              <w:jc w:val="center"/>
              <w:ind w:right="760"/>
              <w:spacing w:after="0" w:line="149" w:lineRule="exact"/>
              <w:rPr>
                <w:sz w:val="20"/>
                <w:szCs w:val="20"/>
                <w:color w:val="auto"/>
              </w:rPr>
            </w:pPr>
            <w:r>
              <w:rPr>
                <w:rFonts w:ascii="Arial" w:cs="Arial" w:eastAsia="Arial" w:hAnsi="Arial"/>
                <w:sz w:val="14"/>
                <w:szCs w:val="14"/>
                <w:b w:val="1"/>
                <w:bCs w:val="1"/>
                <w:color w:val="auto"/>
                <w:w w:val="85"/>
              </w:rPr>
              <w:t>net</w:t>
            </w:r>
          </w:p>
        </w:tc>
        <w:tc>
          <w:tcPr>
            <w:tcW w:w="420" w:type="dxa"/>
            <w:vAlign w:val="bottom"/>
          </w:tcPr>
          <w:p>
            <w:pPr>
              <w:spacing w:after="0"/>
              <w:rPr>
                <w:sz w:val="12"/>
                <w:szCs w:val="12"/>
                <w:color w:val="auto"/>
              </w:rPr>
            </w:pPr>
          </w:p>
        </w:tc>
        <w:tc>
          <w:tcPr>
            <w:tcW w:w="50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7"/>
              </w:rPr>
              <w:t>Through</w:t>
            </w:r>
          </w:p>
        </w:tc>
        <w:tc>
          <w:tcPr>
            <w:tcW w:w="540" w:type="dxa"/>
            <w:vAlign w:val="bottom"/>
          </w:tcPr>
          <w:p>
            <w:pPr>
              <w:spacing w:after="0"/>
              <w:rPr>
                <w:sz w:val="12"/>
                <w:szCs w:val="12"/>
                <w:color w:val="auto"/>
              </w:rPr>
            </w:pPr>
          </w:p>
        </w:tc>
        <w:tc>
          <w:tcPr>
            <w:tcW w:w="1280" w:type="dxa"/>
            <w:vAlign w:val="bottom"/>
            <w:gridSpan w:val="2"/>
          </w:tcPr>
          <w:p>
            <w:pPr>
              <w:jc w:val="center"/>
              <w:ind w:right="632"/>
              <w:spacing w:after="0" w:line="149" w:lineRule="exact"/>
              <w:rPr>
                <w:sz w:val="20"/>
                <w:szCs w:val="20"/>
                <w:color w:val="auto"/>
              </w:rPr>
            </w:pPr>
            <w:r>
              <w:rPr>
                <w:rFonts w:ascii="Arial" w:cs="Arial" w:eastAsia="Arial" w:hAnsi="Arial"/>
                <w:sz w:val="14"/>
                <w:szCs w:val="14"/>
                <w:b w:val="1"/>
                <w:bCs w:val="1"/>
                <w:color w:val="auto"/>
                <w:w w:val="85"/>
              </w:rPr>
              <w:t>net</w:t>
            </w:r>
          </w:p>
        </w:tc>
        <w:tc>
          <w:tcPr>
            <w:tcW w:w="1200" w:type="dxa"/>
            <w:vAlign w:val="bottom"/>
            <w:gridSpan w:val="3"/>
          </w:tcPr>
          <w:p>
            <w:pPr>
              <w:jc w:val="center"/>
              <w:ind w:right="540"/>
              <w:spacing w:after="0" w:line="149" w:lineRule="exact"/>
              <w:rPr>
                <w:sz w:val="20"/>
                <w:szCs w:val="20"/>
                <w:color w:val="auto"/>
              </w:rPr>
            </w:pPr>
            <w:r>
              <w:rPr>
                <w:rFonts w:ascii="Arial" w:cs="Arial" w:eastAsia="Arial" w:hAnsi="Arial"/>
                <w:sz w:val="14"/>
                <w:szCs w:val="14"/>
                <w:b w:val="1"/>
                <w:bCs w:val="1"/>
                <w:color w:val="auto"/>
                <w:w w:val="87"/>
              </w:rPr>
              <w:t>Through</w:t>
            </w:r>
          </w:p>
        </w:tc>
        <w:tc>
          <w:tcPr>
            <w:tcW w:w="90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85"/>
              </w:rPr>
              <w:t>net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520" w:type="dxa"/>
            <w:vAlign w:val="bottom"/>
            <w:gridSpan w:val="2"/>
          </w:tcPr>
          <w:p>
            <w:pPr>
              <w:jc w:val="center"/>
              <w:ind w:right="660"/>
              <w:spacing w:after="0" w:line="149" w:lineRule="exact"/>
              <w:rPr>
                <w:sz w:val="20"/>
                <w:szCs w:val="20"/>
                <w:color w:val="auto"/>
              </w:rPr>
            </w:pPr>
            <w:r>
              <w:rPr>
                <w:rFonts w:ascii="Arial" w:cs="Arial" w:eastAsia="Arial" w:hAnsi="Arial"/>
                <w:sz w:val="14"/>
                <w:szCs w:val="14"/>
                <w:b w:val="1"/>
                <w:bCs w:val="1"/>
                <w:color w:val="auto"/>
                <w:w w:val="88"/>
              </w:rPr>
              <w:t>Ended</w:t>
            </w:r>
          </w:p>
        </w:tc>
        <w:tc>
          <w:tcPr>
            <w:tcW w:w="1380" w:type="dxa"/>
            <w:vAlign w:val="bottom"/>
            <w:tcBorders>
              <w:right w:val="single" w:sz="8" w:color="auto"/>
            </w:tcBorders>
            <w:gridSpan w:val="2"/>
          </w:tcPr>
          <w:p>
            <w:pPr>
              <w:jc w:val="center"/>
              <w:ind w:right="700"/>
              <w:spacing w:after="0" w:line="149" w:lineRule="exact"/>
              <w:rPr>
                <w:sz w:val="20"/>
                <w:szCs w:val="20"/>
                <w:color w:val="auto"/>
              </w:rPr>
            </w:pPr>
            <w:r>
              <w:rPr>
                <w:rFonts w:ascii="Arial" w:cs="Arial" w:eastAsia="Arial" w:hAnsi="Arial"/>
                <w:sz w:val="14"/>
                <w:szCs w:val="14"/>
                <w:b w:val="1"/>
                <w:bCs w:val="1"/>
                <w:color w:val="auto"/>
                <w:w w:val="81"/>
              </w:rPr>
              <w:t>sales and</w:t>
            </w:r>
          </w:p>
        </w:tc>
        <w:tc>
          <w:tcPr>
            <w:tcW w:w="420" w:type="dxa"/>
            <w:vAlign w:val="bottom"/>
          </w:tcPr>
          <w:p>
            <w:pPr>
              <w:spacing w:after="0"/>
              <w:rPr>
                <w:sz w:val="12"/>
                <w:szCs w:val="12"/>
                <w:color w:val="auto"/>
              </w:rPr>
            </w:pPr>
          </w:p>
        </w:tc>
        <w:tc>
          <w:tcPr>
            <w:tcW w:w="50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7"/>
              </w:rPr>
              <w:t>July 9,</w:t>
            </w:r>
          </w:p>
        </w:tc>
        <w:tc>
          <w:tcPr>
            <w:tcW w:w="540" w:type="dxa"/>
            <w:vAlign w:val="bottom"/>
          </w:tcPr>
          <w:p>
            <w:pPr>
              <w:spacing w:after="0"/>
              <w:rPr>
                <w:sz w:val="12"/>
                <w:szCs w:val="12"/>
                <w:color w:val="auto"/>
              </w:rPr>
            </w:pPr>
          </w:p>
        </w:tc>
        <w:tc>
          <w:tcPr>
            <w:tcW w:w="1280" w:type="dxa"/>
            <w:vAlign w:val="bottom"/>
            <w:gridSpan w:val="2"/>
          </w:tcPr>
          <w:p>
            <w:pPr>
              <w:jc w:val="center"/>
              <w:ind w:right="572"/>
              <w:spacing w:after="0" w:line="149" w:lineRule="exact"/>
              <w:rPr>
                <w:sz w:val="20"/>
                <w:szCs w:val="20"/>
                <w:color w:val="auto"/>
              </w:rPr>
            </w:pPr>
            <w:r>
              <w:rPr>
                <w:rFonts w:ascii="Arial" w:cs="Arial" w:eastAsia="Arial" w:hAnsi="Arial"/>
                <w:sz w:val="14"/>
                <w:szCs w:val="14"/>
                <w:b w:val="1"/>
                <w:bCs w:val="1"/>
                <w:color w:val="auto"/>
                <w:w w:val="81"/>
              </w:rPr>
              <w:t>sales and</w:t>
            </w:r>
          </w:p>
        </w:tc>
        <w:tc>
          <w:tcPr>
            <w:tcW w:w="120" w:type="dxa"/>
            <w:vAlign w:val="bottom"/>
          </w:tcPr>
          <w:p>
            <w:pPr>
              <w:spacing w:after="0"/>
              <w:rPr>
                <w:sz w:val="12"/>
                <w:szCs w:val="12"/>
                <w:color w:val="auto"/>
              </w:rPr>
            </w:pPr>
          </w:p>
        </w:tc>
        <w:tc>
          <w:tcPr>
            <w:tcW w:w="1080" w:type="dxa"/>
            <w:vAlign w:val="bottom"/>
            <w:gridSpan w:val="2"/>
          </w:tcPr>
          <w:p>
            <w:pPr>
              <w:jc w:val="center"/>
              <w:ind w:right="660"/>
              <w:spacing w:after="0" w:line="149" w:lineRule="exact"/>
              <w:rPr>
                <w:sz w:val="20"/>
                <w:szCs w:val="20"/>
                <w:color w:val="auto"/>
              </w:rPr>
            </w:pPr>
            <w:r>
              <w:rPr>
                <w:rFonts w:ascii="Arial" w:cs="Arial" w:eastAsia="Arial" w:hAnsi="Arial"/>
                <w:sz w:val="14"/>
                <w:szCs w:val="14"/>
                <w:b w:val="1"/>
                <w:bCs w:val="1"/>
                <w:color w:val="auto"/>
                <w:w w:val="87"/>
              </w:rPr>
              <w:t>July 9,</w:t>
            </w:r>
          </w:p>
        </w:tc>
        <w:tc>
          <w:tcPr>
            <w:tcW w:w="90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81"/>
              </w:rPr>
              <w:t>sales and</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28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14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b w:val="1"/>
                <w:bCs w:val="1"/>
                <w:color w:val="auto"/>
                <w:w w:val="84"/>
              </w:rPr>
              <w:t>September 30, 2010</w:t>
            </w:r>
          </w:p>
        </w:tc>
        <w:tc>
          <w:tcPr>
            <w:tcW w:w="520" w:type="dxa"/>
            <w:vAlign w:val="bottom"/>
          </w:tcPr>
          <w:p>
            <w:pPr>
              <w:spacing w:after="0"/>
              <w:rPr>
                <w:sz w:val="14"/>
                <w:szCs w:val="14"/>
                <w:color w:val="auto"/>
              </w:rPr>
            </w:pPr>
          </w:p>
        </w:tc>
        <w:tc>
          <w:tcPr>
            <w:tcW w:w="6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5"/>
              </w:rPr>
              <w:t>revenue</w:t>
            </w:r>
          </w:p>
        </w:tc>
        <w:tc>
          <w:tcPr>
            <w:tcW w:w="720" w:type="dxa"/>
            <w:vAlign w:val="bottom"/>
            <w:tcBorders>
              <w:right w:val="single" w:sz="8" w:color="auto"/>
            </w:tcBorders>
          </w:tcPr>
          <w:p>
            <w:pPr>
              <w:spacing w:after="0"/>
              <w:rPr>
                <w:sz w:val="14"/>
                <w:szCs w:val="14"/>
                <w:color w:val="auto"/>
              </w:rPr>
            </w:pPr>
          </w:p>
        </w:tc>
        <w:tc>
          <w:tcPr>
            <w:tcW w:w="4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jc w:val="center"/>
              <w:ind w:right="20"/>
              <w:spacing w:after="0"/>
              <w:rPr>
                <w:sz w:val="20"/>
                <w:szCs w:val="20"/>
                <w:color w:val="auto"/>
              </w:rPr>
            </w:pPr>
            <w:r>
              <w:rPr>
                <w:rFonts w:ascii="Arial" w:cs="Arial" w:eastAsia="Arial" w:hAnsi="Arial"/>
                <w:sz w:val="14"/>
                <w:szCs w:val="14"/>
                <w:b w:val="1"/>
                <w:bCs w:val="1"/>
                <w:color w:val="auto"/>
                <w:w w:val="83"/>
              </w:rPr>
              <w:t>2009</w:t>
            </w:r>
          </w:p>
        </w:tc>
        <w:tc>
          <w:tcPr>
            <w:tcW w:w="540" w:type="dxa"/>
            <w:vAlign w:val="bottom"/>
          </w:tcPr>
          <w:p>
            <w:pPr>
              <w:spacing w:after="0"/>
              <w:rPr>
                <w:sz w:val="14"/>
                <w:szCs w:val="14"/>
                <w:color w:val="auto"/>
              </w:rPr>
            </w:pPr>
          </w:p>
        </w:tc>
        <w:tc>
          <w:tcPr>
            <w:tcW w:w="6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5"/>
              </w:rPr>
              <w:t>revenue</w:t>
            </w:r>
          </w:p>
        </w:tc>
        <w:tc>
          <w:tcPr>
            <w:tcW w:w="64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center"/>
              <w:ind w:right="62"/>
              <w:spacing w:after="0"/>
              <w:rPr>
                <w:sz w:val="20"/>
                <w:szCs w:val="20"/>
                <w:color w:val="auto"/>
              </w:rPr>
            </w:pPr>
            <w:r>
              <w:rPr>
                <w:rFonts w:ascii="Arial" w:cs="Arial" w:eastAsia="Arial" w:hAnsi="Arial"/>
                <w:sz w:val="14"/>
                <w:szCs w:val="14"/>
                <w:b w:val="1"/>
                <w:bCs w:val="1"/>
                <w:color w:val="auto"/>
                <w:w w:val="89"/>
              </w:rPr>
              <w:t>2009</w:t>
            </w:r>
          </w:p>
        </w:tc>
        <w:tc>
          <w:tcPr>
            <w:tcW w:w="540" w:type="dxa"/>
            <w:vAlign w:val="bottom"/>
          </w:tcPr>
          <w:p>
            <w:pPr>
              <w:spacing w:after="0"/>
              <w:rPr>
                <w:sz w:val="14"/>
                <w:szCs w:val="14"/>
                <w:color w:val="auto"/>
              </w:rPr>
            </w:pPr>
          </w:p>
        </w:tc>
        <w:tc>
          <w:tcPr>
            <w:tcW w:w="6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1"/>
              </w:rPr>
              <w:t>revenue</w:t>
            </w:r>
          </w:p>
        </w:tc>
        <w:tc>
          <w:tcPr>
            <w:tcW w:w="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840" w:type="dxa"/>
            <w:vAlign w:val="bottom"/>
            <w:shd w:val="clear" w:color="auto" w:fill="CCEEFF"/>
          </w:tcPr>
          <w:p>
            <w:pPr>
              <w:spacing w:after="0"/>
              <w:rPr>
                <w:sz w:val="20"/>
                <w:szCs w:val="20"/>
                <w:color w:val="auto"/>
              </w:rPr>
            </w:pPr>
            <w:r>
              <w:rPr>
                <w:rFonts w:ascii="Arial" w:cs="Arial" w:eastAsia="Arial" w:hAnsi="Arial"/>
                <w:sz w:val="18"/>
                <w:szCs w:val="18"/>
                <w:color w:val="auto"/>
              </w:rPr>
              <w:t>SGM and SGMW</w:t>
            </w:r>
          </w:p>
        </w:tc>
        <w:tc>
          <w:tcPr>
            <w:tcW w:w="820" w:type="dxa"/>
            <w:vAlign w:val="bottom"/>
            <w:gridSpan w:val="2"/>
            <w:shd w:val="clear" w:color="auto" w:fill="CCEEFF"/>
          </w:tcPr>
          <w:p>
            <w:pPr>
              <w:ind w:left="68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1,071</w:t>
            </w:r>
          </w:p>
        </w:tc>
        <w:tc>
          <w:tcPr>
            <w:tcW w:w="520" w:type="dxa"/>
            <w:vAlign w:val="bottom"/>
            <w:shd w:val="clear" w:color="auto" w:fill="CCEEFF"/>
          </w:tcPr>
          <w:p>
            <w:pPr>
              <w:spacing w:after="0"/>
              <w:rPr>
                <w:sz w:val="18"/>
                <w:szCs w:val="18"/>
                <w:color w:val="auto"/>
              </w:rPr>
            </w:pPr>
          </w:p>
        </w:tc>
        <w:tc>
          <w:tcPr>
            <w:tcW w:w="1380" w:type="dxa"/>
            <w:vAlign w:val="bottom"/>
            <w:tcBorders>
              <w:right w:val="single" w:sz="8" w:color="auto"/>
            </w:tcBorders>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1.1%</w:t>
            </w: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1820" w:type="dxa"/>
            <w:vAlign w:val="bottom"/>
            <w:gridSpan w:val="3"/>
            <w:shd w:val="clear" w:color="auto" w:fill="CCEEFF"/>
          </w:tcPr>
          <w:p>
            <w:pPr>
              <w:jc w:val="right"/>
              <w:ind w:right="432"/>
              <w:spacing w:after="0"/>
              <w:rPr>
                <w:sz w:val="20"/>
                <w:szCs w:val="20"/>
                <w:color w:val="auto"/>
              </w:rPr>
            </w:pPr>
            <w:r>
              <w:rPr>
                <w:rFonts w:ascii="Arial" w:cs="Arial" w:eastAsia="Arial" w:hAnsi="Arial"/>
                <w:sz w:val="18"/>
                <w:szCs w:val="18"/>
                <w:color w:val="auto"/>
              </w:rPr>
              <w:t>0.5%</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298</w:t>
            </w:r>
          </w:p>
        </w:tc>
        <w:tc>
          <w:tcPr>
            <w:tcW w:w="5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0.6%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40" w:type="dxa"/>
            <w:vAlign w:val="bottom"/>
          </w:tcPr>
          <w:p>
            <w:pPr>
              <w:spacing w:after="0"/>
              <w:rPr>
                <w:sz w:val="20"/>
                <w:szCs w:val="20"/>
                <w:color w:val="auto"/>
              </w:rPr>
            </w:pPr>
            <w:r>
              <w:rPr>
                <w:rFonts w:ascii="Arial" w:cs="Arial" w:eastAsia="Arial" w:hAnsi="Arial"/>
                <w:sz w:val="18"/>
                <w:szCs w:val="18"/>
                <w:color w:val="auto"/>
              </w:rPr>
              <w:t>Other equity interests</w:t>
            </w:r>
          </w:p>
        </w:tc>
        <w:tc>
          <w:tcPr>
            <w:tcW w:w="6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94</w:t>
            </w:r>
          </w:p>
        </w:tc>
        <w:tc>
          <w:tcPr>
            <w:tcW w:w="520" w:type="dxa"/>
            <w:vAlign w:val="bottom"/>
          </w:tcPr>
          <w:p>
            <w:pPr>
              <w:spacing w:after="0"/>
              <w:rPr>
                <w:sz w:val="18"/>
                <w:szCs w:val="18"/>
                <w:color w:val="auto"/>
              </w:rPr>
            </w:pPr>
          </w:p>
        </w:tc>
        <w:tc>
          <w:tcPr>
            <w:tcW w:w="1380" w:type="dxa"/>
            <w:vAlign w:val="bottom"/>
            <w:tcBorders>
              <w:right w:val="single" w:sz="8" w:color="auto"/>
            </w:tcBorders>
            <w:gridSpan w:val="2"/>
          </w:tcPr>
          <w:p>
            <w:pPr>
              <w:jc w:val="right"/>
              <w:ind w:right="580"/>
              <w:spacing w:after="0"/>
              <w:rPr>
                <w:sz w:val="20"/>
                <w:szCs w:val="20"/>
                <w:color w:val="auto"/>
              </w:rPr>
            </w:pPr>
            <w:r>
              <w:rPr>
                <w:rFonts w:ascii="Arial" w:cs="Arial" w:eastAsia="Arial" w:hAnsi="Arial"/>
                <w:sz w:val="18"/>
                <w:szCs w:val="18"/>
                <w:color w:val="auto"/>
              </w:rPr>
              <w:t>0.1%</w:t>
            </w: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7</w:t>
            </w:r>
          </w:p>
        </w:tc>
        <w:tc>
          <w:tcPr>
            <w:tcW w:w="1820" w:type="dxa"/>
            <w:vAlign w:val="bottom"/>
            <w:gridSpan w:val="3"/>
          </w:tcPr>
          <w:p>
            <w:pPr>
              <w:jc w:val="right"/>
              <w:ind w:right="432"/>
              <w:spacing w:after="0"/>
              <w:rPr>
                <w:sz w:val="20"/>
                <w:szCs w:val="20"/>
                <w:color w:val="auto"/>
              </w:rPr>
            </w:pPr>
            <w:r>
              <w:rPr>
                <w:rFonts w:ascii="Arial" w:cs="Arial" w:eastAsia="Arial" w:hAnsi="Arial"/>
                <w:sz w:val="18"/>
                <w:szCs w:val="18"/>
                <w:color w:val="auto"/>
              </w:rPr>
              <w:t>0.4%</w:t>
            </w:r>
          </w:p>
        </w:tc>
        <w:tc>
          <w:tcPr>
            <w:tcW w:w="120" w:type="dxa"/>
            <w:vAlign w:val="bottom"/>
          </w:tcPr>
          <w:p>
            <w:pPr>
              <w:spacing w:after="0"/>
              <w:rPr>
                <w:sz w:val="18"/>
                <w:szCs w:val="18"/>
                <w:color w:val="auto"/>
              </w:rPr>
            </w:pPr>
          </w:p>
        </w:tc>
        <w:tc>
          <w:tcPr>
            <w:tcW w:w="1080" w:type="dxa"/>
            <w:vAlign w:val="bottom"/>
            <w:gridSpan w:val="2"/>
          </w:tcPr>
          <w:p>
            <w:pPr>
              <w:jc w:val="right"/>
              <w:ind w:right="480"/>
              <w:spacing w:after="0"/>
              <w:rPr>
                <w:sz w:val="20"/>
                <w:szCs w:val="20"/>
                <w:color w:val="auto"/>
              </w:rPr>
            </w:pPr>
            <w:r>
              <w:rPr>
                <w:rFonts w:ascii="Arial" w:cs="Arial" w:eastAsia="Arial" w:hAnsi="Arial"/>
                <w:sz w:val="18"/>
                <w:szCs w:val="18"/>
                <w:color w:val="auto"/>
              </w:rPr>
              <w:t>(237)</w:t>
            </w:r>
          </w:p>
        </w:tc>
        <w:tc>
          <w:tcPr>
            <w:tcW w:w="900" w:type="dxa"/>
            <w:vAlign w:val="bottom"/>
            <w:gridSpan w:val="2"/>
          </w:tcPr>
          <w:p>
            <w:pPr>
              <w:jc w:val="right"/>
              <w:ind w:right="60"/>
              <w:spacing w:after="0"/>
              <w:rPr>
                <w:sz w:val="20"/>
                <w:szCs w:val="20"/>
                <w:color w:val="auto"/>
              </w:rPr>
            </w:pPr>
            <w:r>
              <w:rPr>
                <w:rFonts w:ascii="Arial" w:cs="Arial" w:eastAsia="Arial" w:hAnsi="Arial"/>
                <w:sz w:val="18"/>
                <w:szCs w:val="18"/>
                <w:color w:val="auto"/>
              </w:rPr>
              <w:t>(0.5)%</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2840" w:type="dxa"/>
            <w:vAlign w:val="bottom"/>
          </w:tcPr>
          <w:p>
            <w:pPr>
              <w:spacing w:after="0"/>
              <w:rPr>
                <w:sz w:val="2"/>
                <w:szCs w:val="2"/>
                <w:color w:val="auto"/>
              </w:rPr>
            </w:pPr>
          </w:p>
        </w:tc>
        <w:tc>
          <w:tcPr>
            <w:tcW w:w="6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520" w:type="dxa"/>
            <w:vAlign w:val="bottom"/>
          </w:tcPr>
          <w:p>
            <w:pPr>
              <w:spacing w:after="0"/>
              <w:rPr>
                <w:sz w:val="2"/>
                <w:szCs w:val="2"/>
                <w:color w:val="auto"/>
              </w:rPr>
            </w:pPr>
          </w:p>
        </w:tc>
        <w:tc>
          <w:tcPr>
            <w:tcW w:w="660" w:type="dxa"/>
            <w:vAlign w:val="bottom"/>
          </w:tcPr>
          <w:p>
            <w:pPr>
              <w:spacing w:after="0"/>
              <w:rPr>
                <w:sz w:val="2"/>
                <w:szCs w:val="2"/>
                <w:color w:val="auto"/>
              </w:rPr>
            </w:pPr>
          </w:p>
        </w:tc>
        <w:tc>
          <w:tcPr>
            <w:tcW w:w="720" w:type="dxa"/>
            <w:vAlign w:val="bottom"/>
            <w:tcBorders>
              <w:right w:val="single" w:sz="8" w:color="auto"/>
            </w:tcBorders>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540" w:type="dxa"/>
            <w:vAlign w:val="bottom"/>
          </w:tcPr>
          <w:p>
            <w:pPr>
              <w:spacing w:after="0"/>
              <w:rPr>
                <w:sz w:val="2"/>
                <w:szCs w:val="2"/>
                <w:color w:val="auto"/>
              </w:rPr>
            </w:pPr>
          </w:p>
        </w:tc>
        <w:tc>
          <w:tcPr>
            <w:tcW w:w="64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540" w:type="dxa"/>
            <w:vAlign w:val="bottom"/>
          </w:tcPr>
          <w:p>
            <w:pPr>
              <w:spacing w:after="0"/>
              <w:rPr>
                <w:sz w:val="2"/>
                <w:szCs w:val="2"/>
                <w:color w:val="auto"/>
              </w:rPr>
            </w:pPr>
          </w:p>
        </w:tc>
        <w:tc>
          <w:tcPr>
            <w:tcW w:w="640" w:type="dxa"/>
            <w:vAlign w:val="bottom"/>
          </w:tcPr>
          <w:p>
            <w:pPr>
              <w:spacing w:after="0"/>
              <w:rPr>
                <w:sz w:val="2"/>
                <w:szCs w:val="2"/>
                <w:color w:val="auto"/>
              </w:rPr>
            </w:pPr>
          </w:p>
        </w:tc>
        <w:tc>
          <w:tcPr>
            <w:tcW w:w="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2840" w:type="dxa"/>
            <w:vAlign w:val="bottom"/>
            <w:shd w:val="clear" w:color="auto" w:fill="CCEEFF"/>
          </w:tcPr>
          <w:p>
            <w:pPr>
              <w:spacing w:after="0"/>
              <w:rPr>
                <w:sz w:val="20"/>
                <w:szCs w:val="20"/>
                <w:color w:val="auto"/>
              </w:rPr>
            </w:pPr>
            <w:r>
              <w:rPr>
                <w:rFonts w:ascii="Arial" w:cs="Arial" w:eastAsia="Arial" w:hAnsi="Arial"/>
                <w:sz w:val="18"/>
                <w:szCs w:val="18"/>
                <w:color w:val="auto"/>
              </w:rPr>
              <w:t>Total equity income, net of tax</w:t>
            </w:r>
          </w:p>
        </w:tc>
        <w:tc>
          <w:tcPr>
            <w:tcW w:w="6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1,165</w:t>
            </w:r>
          </w:p>
        </w:tc>
        <w:tc>
          <w:tcPr>
            <w:tcW w:w="520" w:type="dxa"/>
            <w:vAlign w:val="bottom"/>
            <w:shd w:val="clear" w:color="auto" w:fill="CCEEFF"/>
          </w:tcPr>
          <w:p>
            <w:pPr>
              <w:spacing w:after="0"/>
              <w:rPr>
                <w:sz w:val="18"/>
                <w:szCs w:val="18"/>
                <w:color w:val="auto"/>
              </w:rPr>
            </w:pPr>
          </w:p>
        </w:tc>
        <w:tc>
          <w:tcPr>
            <w:tcW w:w="1380" w:type="dxa"/>
            <w:vAlign w:val="bottom"/>
            <w:tcBorders>
              <w:right w:val="single" w:sz="8" w:color="auto"/>
            </w:tcBorders>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1.2%</w:t>
            </w: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1820" w:type="dxa"/>
            <w:vAlign w:val="bottom"/>
            <w:gridSpan w:val="3"/>
            <w:shd w:val="clear" w:color="auto" w:fill="CCEEFF"/>
          </w:tcPr>
          <w:p>
            <w:pPr>
              <w:jc w:val="right"/>
              <w:ind w:right="432"/>
              <w:spacing w:after="0"/>
              <w:rPr>
                <w:sz w:val="20"/>
                <w:szCs w:val="20"/>
                <w:color w:val="auto"/>
              </w:rPr>
            </w:pPr>
            <w:r>
              <w:rPr>
                <w:rFonts w:ascii="Arial" w:cs="Arial" w:eastAsia="Arial" w:hAnsi="Arial"/>
                <w:sz w:val="18"/>
                <w:szCs w:val="18"/>
                <w:color w:val="auto"/>
              </w:rPr>
              <w:t>0.9%</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w:t>
            </w:r>
          </w:p>
        </w:tc>
        <w:tc>
          <w:tcPr>
            <w:tcW w:w="5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720" w:type="dxa"/>
            <w:vAlign w:val="bottom"/>
            <w:tcBorders>
              <w:right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4"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GM</w:t>
      </w:r>
    </w:p>
    <w:p>
      <w:pPr>
        <w:spacing w:after="0" w:line="171" w:lineRule="exact"/>
        <w:rPr>
          <w:sz w:val="20"/>
          <w:szCs w:val="20"/>
          <w:color w:val="auto"/>
        </w:rPr>
      </w:pPr>
    </w:p>
    <w:p>
      <w:pPr>
        <w:ind w:right="600" w:firstLine="228"/>
        <w:spacing w:after="0" w:line="259" w:lineRule="auto"/>
        <w:rPr>
          <w:sz w:val="20"/>
          <w:szCs w:val="20"/>
          <w:color w:val="auto"/>
        </w:rPr>
      </w:pPr>
      <w:r>
        <w:rPr>
          <w:rFonts w:ascii="Arial" w:cs="Arial" w:eastAsia="Arial" w:hAnsi="Arial"/>
          <w:sz w:val="18"/>
          <w:szCs w:val="18"/>
          <w:color w:val="auto"/>
        </w:rPr>
        <w:t>In the nine months ended September 30, 2010 Equity income, net of tax included: (1) equity income of $1.1 billion related to our China joint ventures, primarily SGM and SGMW; and (2) equity income of $0.1 billion related to New Delphi (as defined in Note 4 to the condensed consolidated financial statements).</w:t>
      </w:r>
    </w:p>
    <w:p>
      <w:pPr>
        <w:spacing w:after="0" w:line="140"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Old GM</w:t>
      </w:r>
    </w:p>
    <w:p>
      <w:pPr>
        <w:spacing w:after="0" w:line="171" w:lineRule="exact"/>
        <w:rPr>
          <w:sz w:val="20"/>
          <w:szCs w:val="20"/>
          <w:color w:val="auto"/>
        </w:rPr>
      </w:pPr>
    </w:p>
    <w:p>
      <w:pPr>
        <w:ind w:firstLine="228"/>
        <w:spacing w:after="0" w:line="259" w:lineRule="auto"/>
        <w:rPr>
          <w:sz w:val="20"/>
          <w:szCs w:val="20"/>
          <w:color w:val="auto"/>
        </w:rPr>
      </w:pPr>
      <w:r>
        <w:rPr>
          <w:rFonts w:ascii="Arial" w:cs="Arial" w:eastAsia="Arial" w:hAnsi="Arial"/>
          <w:sz w:val="18"/>
          <w:szCs w:val="18"/>
          <w:color w:val="auto"/>
        </w:rPr>
        <w:t>In the period January 1, 2009 through July 9, 2009 Equity income, net of tax included: (1) increased sales volume at SGM; (2) charges of $0.2 billion related to Old GM’s investment in New United Motor Manufacturing, Inc. (NUMMI); and (3) equity losses of $65 million and $38 million related to NUMMI and CAMI Automotive, Inc. (CAMI), primarily due to lower volumes.</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109</w:t>
      </w:r>
    </w:p>
    <w:p>
      <w:pPr>
        <w:sectPr>
          <w:pgSz w:w="11900" w:h="16838" w:orient="portrait"/>
          <w:cols w:equalWidth="0" w:num="1">
            <w:col w:w="11420"/>
          </w:cols>
          <w:pgMar w:left="240" w:top="459" w:right="239" w:bottom="1440" w:gutter="0" w:footer="0" w:header="0"/>
        </w:sectPr>
      </w:pPr>
    </w:p>
    <w:bookmarkStart w:id="111" w:name="page112"/>
    <w:bookmarkEnd w:id="1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Consolidated Financial Condition</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(Dollars in millions, except share amounts)</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7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gridSpan w:val="2"/>
          </w:tcPr>
          <w:p>
            <w:pPr>
              <w:ind w:left="60"/>
              <w:spacing w:after="0"/>
              <w:rPr>
                <w:sz w:val="20"/>
                <w:szCs w:val="20"/>
                <w:color w:val="auto"/>
              </w:rPr>
            </w:pPr>
            <w:r>
              <w:rPr>
                <w:rFonts w:ascii="Arial" w:cs="Arial" w:eastAsia="Arial" w:hAnsi="Arial"/>
                <w:sz w:val="14"/>
                <w:szCs w:val="14"/>
                <w:b w:val="1"/>
                <w:bCs w:val="1"/>
                <w:color w:val="auto"/>
              </w:rPr>
              <w:t>Successor</w:t>
            </w:r>
          </w:p>
        </w:tc>
        <w:tc>
          <w:tcPr>
            <w:tcW w:w="8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77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220" w:type="dxa"/>
            <w:vAlign w:val="bottom"/>
            <w:gridSpan w:val="3"/>
          </w:tcPr>
          <w:p>
            <w:pPr>
              <w:spacing w:after="0" w:line="142" w:lineRule="exact"/>
              <w:rPr>
                <w:sz w:val="20"/>
                <w:szCs w:val="20"/>
                <w:color w:val="auto"/>
              </w:rPr>
            </w:pPr>
            <w:r>
              <w:rPr>
                <w:rFonts w:ascii="Arial" w:cs="Arial" w:eastAsia="Arial" w:hAnsi="Arial"/>
                <w:sz w:val="14"/>
                <w:szCs w:val="14"/>
                <w:b w:val="1"/>
                <w:bCs w:val="1"/>
                <w:color w:val="auto"/>
                <w:w w:val="91"/>
              </w:rPr>
              <w:t>September 30, 2010</w:t>
            </w:r>
          </w:p>
        </w:tc>
        <w:tc>
          <w:tcPr>
            <w:tcW w:w="800" w:type="dxa"/>
            <w:vAlign w:val="bottom"/>
          </w:tcPr>
          <w:p>
            <w:pPr>
              <w:spacing w:after="0"/>
              <w:rPr>
                <w:sz w:val="12"/>
                <w:szCs w:val="12"/>
                <w:color w:val="auto"/>
              </w:rPr>
            </w:pPr>
          </w:p>
        </w:tc>
        <w:tc>
          <w:tcPr>
            <w:tcW w:w="1100" w:type="dxa"/>
            <w:vAlign w:val="bottom"/>
            <w:gridSpan w:val="2"/>
          </w:tcPr>
          <w:p>
            <w:pPr>
              <w:spacing w:after="0" w:line="142" w:lineRule="exact"/>
              <w:rPr>
                <w:sz w:val="20"/>
                <w:szCs w:val="20"/>
                <w:color w:val="auto"/>
              </w:rPr>
            </w:pPr>
            <w:r>
              <w:rPr>
                <w:rFonts w:ascii="Arial" w:cs="Arial" w:eastAsia="Arial" w:hAnsi="Arial"/>
                <w:sz w:val="14"/>
                <w:szCs w:val="14"/>
                <w:b w:val="1"/>
                <w:bCs w:val="1"/>
                <w:color w:val="auto"/>
                <w:w w:val="85"/>
              </w:rPr>
              <w:t>December 31, 2009</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700" w:type="dxa"/>
            <w:vAlign w:val="bottom"/>
            <w:shd w:val="clear" w:color="auto" w:fill="CCEEFF"/>
          </w:tcPr>
          <w:p>
            <w:pPr>
              <w:ind w:left="3360"/>
              <w:spacing w:after="0"/>
              <w:rPr>
                <w:sz w:val="20"/>
                <w:szCs w:val="20"/>
                <w:color w:val="auto"/>
              </w:rPr>
            </w:pPr>
            <w:r>
              <w:rPr>
                <w:rFonts w:ascii="Arial" w:cs="Arial" w:eastAsia="Arial" w:hAnsi="Arial"/>
                <w:sz w:val="18"/>
                <w:szCs w:val="18"/>
                <w:b w:val="1"/>
                <w:bCs w:val="1"/>
                <w:color w:val="auto"/>
              </w:rPr>
              <w:t>ASSETS</w:t>
            </w:r>
          </w:p>
        </w:tc>
        <w:tc>
          <w:tcPr>
            <w:tcW w:w="480" w:type="dxa"/>
            <w:vAlign w:val="bottom"/>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00" w:type="dxa"/>
            <w:vAlign w:val="bottom"/>
          </w:tcPr>
          <w:p>
            <w:pPr>
              <w:spacing w:after="0"/>
              <w:rPr>
                <w:sz w:val="20"/>
                <w:szCs w:val="20"/>
                <w:color w:val="auto"/>
              </w:rPr>
            </w:pPr>
            <w:r>
              <w:rPr>
                <w:rFonts w:ascii="Arial" w:cs="Arial" w:eastAsia="Arial" w:hAnsi="Arial"/>
                <w:sz w:val="18"/>
                <w:szCs w:val="18"/>
                <w:b w:val="1"/>
                <w:bCs w:val="1"/>
                <w:color w:val="auto"/>
              </w:rPr>
              <w:t>Current Assets</w:t>
            </w:r>
          </w:p>
        </w:tc>
        <w:tc>
          <w:tcPr>
            <w:tcW w:w="4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Cash and cash equivalents</w:t>
            </w:r>
          </w:p>
        </w:tc>
        <w:tc>
          <w:tcPr>
            <w:tcW w:w="800" w:type="dxa"/>
            <w:vAlign w:val="bottom"/>
            <w:gridSpan w:val="2"/>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27,466</w:t>
            </w: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ind w:left="800"/>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22,679</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700" w:type="dxa"/>
            <w:vAlign w:val="bottom"/>
          </w:tcPr>
          <w:p>
            <w:pPr>
              <w:ind w:left="200"/>
              <w:spacing w:after="0"/>
              <w:rPr>
                <w:sz w:val="20"/>
                <w:szCs w:val="20"/>
                <w:color w:val="auto"/>
              </w:rPr>
            </w:pPr>
            <w:r>
              <w:rPr>
                <w:rFonts w:ascii="Arial" w:cs="Arial" w:eastAsia="Arial" w:hAnsi="Arial"/>
                <w:sz w:val="18"/>
                <w:szCs w:val="18"/>
                <w:color w:val="auto"/>
              </w:rPr>
              <w:t>Marketable securities</w:t>
            </w:r>
          </w:p>
        </w:tc>
        <w:tc>
          <w:tcPr>
            <w:tcW w:w="48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6,010</w:t>
            </w:r>
          </w:p>
        </w:tc>
        <w:tc>
          <w:tcPr>
            <w:tcW w:w="1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Total cash, cash equivalents and marketable securities</w:t>
            </w:r>
          </w:p>
        </w:tc>
        <w:tc>
          <w:tcPr>
            <w:tcW w:w="4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33,476</w:t>
            </w: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22,813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00" w:type="dxa"/>
            <w:vAlign w:val="bottom"/>
          </w:tcPr>
          <w:p>
            <w:pPr>
              <w:ind w:left="200"/>
              <w:spacing w:after="0"/>
              <w:rPr>
                <w:sz w:val="20"/>
                <w:szCs w:val="20"/>
                <w:color w:val="auto"/>
              </w:rPr>
            </w:pPr>
            <w:r>
              <w:rPr>
                <w:rFonts w:ascii="Arial" w:cs="Arial" w:eastAsia="Arial" w:hAnsi="Arial"/>
                <w:sz w:val="18"/>
                <w:szCs w:val="18"/>
                <w:color w:val="auto"/>
              </w:rPr>
              <w:t>Restricted cash and marketable securities</w:t>
            </w:r>
          </w:p>
        </w:tc>
        <w:tc>
          <w:tcPr>
            <w:tcW w:w="4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1,323</w:t>
            </w: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13,917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Accounts and notes receivable (net of allowance of $279 and $250)</w:t>
            </w:r>
          </w:p>
        </w:tc>
        <w:tc>
          <w:tcPr>
            <w:tcW w:w="4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8,725</w:t>
            </w: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7,518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00" w:type="dxa"/>
            <w:vAlign w:val="bottom"/>
          </w:tcPr>
          <w:p>
            <w:pPr>
              <w:ind w:left="200"/>
              <w:spacing w:after="0"/>
              <w:rPr>
                <w:sz w:val="20"/>
                <w:szCs w:val="20"/>
                <w:color w:val="auto"/>
              </w:rPr>
            </w:pPr>
            <w:r>
              <w:rPr>
                <w:rFonts w:ascii="Arial" w:cs="Arial" w:eastAsia="Arial" w:hAnsi="Arial"/>
                <w:sz w:val="18"/>
                <w:szCs w:val="18"/>
                <w:color w:val="auto"/>
              </w:rPr>
              <w:t>Inventories</w:t>
            </w:r>
          </w:p>
        </w:tc>
        <w:tc>
          <w:tcPr>
            <w:tcW w:w="4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13,044</w:t>
            </w: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10,107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Assets held for sale</w:t>
            </w:r>
          </w:p>
        </w:tc>
        <w:tc>
          <w:tcPr>
            <w:tcW w:w="4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388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00" w:type="dxa"/>
            <w:vAlign w:val="bottom"/>
          </w:tcPr>
          <w:p>
            <w:pPr>
              <w:ind w:left="200"/>
              <w:spacing w:after="0"/>
              <w:rPr>
                <w:sz w:val="20"/>
                <w:szCs w:val="20"/>
                <w:color w:val="auto"/>
              </w:rPr>
            </w:pPr>
            <w:r>
              <w:rPr>
                <w:rFonts w:ascii="Arial" w:cs="Arial" w:eastAsia="Arial" w:hAnsi="Arial"/>
                <w:sz w:val="18"/>
                <w:szCs w:val="18"/>
                <w:color w:val="auto"/>
              </w:rPr>
              <w:t>Equipment on operating leases, net</w:t>
            </w:r>
          </w:p>
        </w:tc>
        <w:tc>
          <w:tcPr>
            <w:tcW w:w="4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2,942</w:t>
            </w: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2,727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Other current assets and deferred income taxes</w:t>
            </w:r>
          </w:p>
        </w:tc>
        <w:tc>
          <w:tcPr>
            <w:tcW w:w="48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2,074</w:t>
            </w: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1,777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7700" w:type="dxa"/>
            <w:vAlign w:val="bottom"/>
          </w:tcPr>
          <w:p>
            <w:pPr>
              <w:ind w:left="200"/>
              <w:spacing w:after="0"/>
              <w:rPr>
                <w:sz w:val="20"/>
                <w:szCs w:val="20"/>
                <w:color w:val="auto"/>
              </w:rPr>
            </w:pPr>
            <w:r>
              <w:rPr>
                <w:rFonts w:ascii="Arial" w:cs="Arial" w:eastAsia="Arial" w:hAnsi="Arial"/>
                <w:sz w:val="18"/>
                <w:szCs w:val="18"/>
                <w:color w:val="auto"/>
              </w:rPr>
              <w:t>Total current assets</w:t>
            </w:r>
          </w:p>
        </w:tc>
        <w:tc>
          <w:tcPr>
            <w:tcW w:w="4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61,584</w:t>
            </w:r>
          </w:p>
        </w:tc>
        <w:tc>
          <w:tcPr>
            <w:tcW w:w="1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59,247</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77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Non-Current Assets</w:t>
            </w:r>
          </w:p>
        </w:tc>
        <w:tc>
          <w:tcPr>
            <w:tcW w:w="4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00" w:type="dxa"/>
            <w:vAlign w:val="bottom"/>
          </w:tcPr>
          <w:p>
            <w:pPr>
              <w:ind w:left="200"/>
              <w:spacing w:after="0"/>
              <w:rPr>
                <w:sz w:val="20"/>
                <w:szCs w:val="20"/>
                <w:color w:val="auto"/>
              </w:rPr>
            </w:pPr>
            <w:r>
              <w:rPr>
                <w:rFonts w:ascii="Arial" w:cs="Arial" w:eastAsia="Arial" w:hAnsi="Arial"/>
                <w:sz w:val="18"/>
                <w:szCs w:val="18"/>
                <w:color w:val="auto"/>
              </w:rPr>
              <w:t>Equity in net assets of nonconsolidated affiliates</w:t>
            </w:r>
          </w:p>
        </w:tc>
        <w:tc>
          <w:tcPr>
            <w:tcW w:w="4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8,691</w:t>
            </w: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7,936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Assets held for sale</w:t>
            </w:r>
          </w:p>
        </w:tc>
        <w:tc>
          <w:tcPr>
            <w:tcW w:w="4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530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00" w:type="dxa"/>
            <w:vAlign w:val="bottom"/>
          </w:tcPr>
          <w:p>
            <w:pPr>
              <w:ind w:left="200"/>
              <w:spacing w:after="0"/>
              <w:rPr>
                <w:sz w:val="20"/>
                <w:szCs w:val="20"/>
                <w:color w:val="auto"/>
              </w:rPr>
            </w:pPr>
            <w:r>
              <w:rPr>
                <w:rFonts w:ascii="Arial" w:cs="Arial" w:eastAsia="Arial" w:hAnsi="Arial"/>
                <w:sz w:val="18"/>
                <w:szCs w:val="18"/>
                <w:color w:val="auto"/>
              </w:rPr>
              <w:t>Property, net</w:t>
            </w:r>
          </w:p>
        </w:tc>
        <w:tc>
          <w:tcPr>
            <w:tcW w:w="4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19,116</w:t>
            </w: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18,687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Goodwill</w:t>
            </w:r>
          </w:p>
        </w:tc>
        <w:tc>
          <w:tcPr>
            <w:tcW w:w="4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30,556</w:t>
            </w: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30,672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00" w:type="dxa"/>
            <w:vAlign w:val="bottom"/>
          </w:tcPr>
          <w:p>
            <w:pPr>
              <w:ind w:left="200"/>
              <w:spacing w:after="0"/>
              <w:rPr>
                <w:sz w:val="20"/>
                <w:szCs w:val="20"/>
                <w:color w:val="auto"/>
              </w:rPr>
            </w:pPr>
            <w:r>
              <w:rPr>
                <w:rFonts w:ascii="Arial" w:cs="Arial" w:eastAsia="Arial" w:hAnsi="Arial"/>
                <w:sz w:val="18"/>
                <w:szCs w:val="18"/>
                <w:color w:val="auto"/>
              </w:rPr>
              <w:t>Intangible assets, net</w:t>
            </w:r>
          </w:p>
        </w:tc>
        <w:tc>
          <w:tcPr>
            <w:tcW w:w="4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12,454</w:t>
            </w: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14,547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Other assets</w:t>
            </w:r>
          </w:p>
        </w:tc>
        <w:tc>
          <w:tcPr>
            <w:tcW w:w="48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4,837</w:t>
            </w: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4,676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700" w:type="dxa"/>
            <w:vAlign w:val="bottom"/>
          </w:tcPr>
          <w:p>
            <w:pPr>
              <w:ind w:left="200"/>
              <w:spacing w:after="0"/>
              <w:rPr>
                <w:sz w:val="20"/>
                <w:szCs w:val="20"/>
                <w:color w:val="auto"/>
              </w:rPr>
            </w:pPr>
            <w:r>
              <w:rPr>
                <w:rFonts w:ascii="Arial" w:cs="Arial" w:eastAsia="Arial" w:hAnsi="Arial"/>
                <w:sz w:val="18"/>
                <w:szCs w:val="18"/>
                <w:color w:val="auto"/>
              </w:rPr>
              <w:t>Total non-current assets</w:t>
            </w:r>
          </w:p>
        </w:tc>
        <w:tc>
          <w:tcPr>
            <w:tcW w:w="48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75,654</w:t>
            </w:r>
          </w:p>
        </w:tc>
        <w:tc>
          <w:tcPr>
            <w:tcW w:w="1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77,048</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Assets</w:t>
            </w:r>
          </w:p>
        </w:tc>
        <w:tc>
          <w:tcPr>
            <w:tcW w:w="800" w:type="dxa"/>
            <w:vAlign w:val="bottom"/>
            <w:gridSpan w:val="2"/>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137,238</w:t>
            </w: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ind w:left="800"/>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136,295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700" w:type="dxa"/>
            <w:vAlign w:val="bottom"/>
            <w:vMerge w:val="restart"/>
          </w:tcPr>
          <w:p>
            <w:pPr>
              <w:ind w:left="2560"/>
              <w:spacing w:after="0"/>
              <w:rPr>
                <w:sz w:val="20"/>
                <w:szCs w:val="20"/>
                <w:color w:val="auto"/>
              </w:rPr>
            </w:pPr>
            <w:r>
              <w:rPr>
                <w:rFonts w:ascii="Arial" w:cs="Arial" w:eastAsia="Arial" w:hAnsi="Arial"/>
                <w:sz w:val="18"/>
                <w:szCs w:val="18"/>
                <w:b w:val="1"/>
                <w:bCs w:val="1"/>
                <w:color w:val="auto"/>
              </w:rPr>
              <w:t>LIABILITIES AND EQUITY</w:t>
            </w:r>
          </w:p>
        </w:tc>
        <w:tc>
          <w:tcPr>
            <w:tcW w:w="48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20" w:type="dxa"/>
            <w:vAlign w:val="bottom"/>
          </w:tcPr>
          <w:p>
            <w:pPr>
              <w:spacing w:after="0"/>
              <w:rPr>
                <w:sz w:val="18"/>
                <w:szCs w:val="18"/>
                <w:color w:val="auto"/>
              </w:rPr>
            </w:pPr>
          </w:p>
        </w:tc>
        <w:tc>
          <w:tcPr>
            <w:tcW w:w="7700" w:type="dxa"/>
            <w:vAlign w:val="bottom"/>
            <w:vMerge w:val="continue"/>
          </w:tcPr>
          <w:p>
            <w:pPr>
              <w:spacing w:after="0"/>
              <w:rPr>
                <w:sz w:val="18"/>
                <w:szCs w:val="18"/>
                <w:color w:val="auto"/>
              </w:rPr>
            </w:pPr>
          </w:p>
        </w:tc>
        <w:tc>
          <w:tcPr>
            <w:tcW w:w="4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77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Current Liabilities</w:t>
            </w:r>
          </w:p>
        </w:tc>
        <w:tc>
          <w:tcPr>
            <w:tcW w:w="4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00" w:type="dxa"/>
            <w:vAlign w:val="bottom"/>
          </w:tcPr>
          <w:p>
            <w:pPr>
              <w:ind w:left="200"/>
              <w:spacing w:after="0"/>
              <w:rPr>
                <w:sz w:val="20"/>
                <w:szCs w:val="20"/>
                <w:color w:val="auto"/>
              </w:rPr>
            </w:pPr>
            <w:r>
              <w:rPr>
                <w:rFonts w:ascii="Arial" w:cs="Arial" w:eastAsia="Arial" w:hAnsi="Arial"/>
                <w:sz w:val="18"/>
                <w:szCs w:val="18"/>
                <w:color w:val="auto"/>
              </w:rPr>
              <w:t>Accounts payable (principally trade)</w:t>
            </w:r>
          </w:p>
        </w:tc>
        <w:tc>
          <w:tcPr>
            <w:tcW w:w="800" w:type="dxa"/>
            <w:vAlign w:val="bottom"/>
            <w:gridSpan w:val="2"/>
          </w:tcPr>
          <w:p>
            <w:pPr>
              <w:ind w:left="480"/>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22,137</w:t>
            </w:r>
          </w:p>
        </w:tc>
        <w:tc>
          <w:tcPr>
            <w:tcW w:w="100" w:type="dxa"/>
            <w:vAlign w:val="bottom"/>
          </w:tcPr>
          <w:p>
            <w:pPr>
              <w:spacing w:after="0"/>
              <w:rPr>
                <w:sz w:val="18"/>
                <w:szCs w:val="18"/>
                <w:color w:val="auto"/>
              </w:rPr>
            </w:pPr>
          </w:p>
        </w:tc>
        <w:tc>
          <w:tcPr>
            <w:tcW w:w="1100" w:type="dxa"/>
            <w:vAlign w:val="bottom"/>
            <w:gridSpan w:val="2"/>
          </w:tcPr>
          <w:p>
            <w:pPr>
              <w:ind w:left="800"/>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18,725</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7700" w:type="dxa"/>
            <w:vAlign w:val="bottom"/>
            <w:shd w:val="clear" w:color="auto" w:fill="CCEEFF"/>
          </w:tcPr>
          <w:p>
            <w:pPr>
              <w:ind w:left="200"/>
              <w:spacing w:after="0"/>
              <w:rPr>
                <w:sz w:val="20"/>
                <w:szCs w:val="20"/>
                <w:color w:val="auto"/>
              </w:rPr>
            </w:pPr>
            <w:r>
              <w:rPr>
                <w:rFonts w:ascii="Arial" w:cs="Arial" w:eastAsia="Arial" w:hAnsi="Arial"/>
                <w:sz w:val="18"/>
                <w:szCs w:val="18"/>
                <w:color w:val="auto"/>
                <w:w w:val="97"/>
              </w:rPr>
              <w:t>Short-term debt and current portion of long-term debt (including debt at GM Daewoo of $1,072 at</w:t>
            </w:r>
          </w:p>
        </w:tc>
        <w:tc>
          <w:tcPr>
            <w:tcW w:w="4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77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September 30, 2010)</w:t>
            </w:r>
          </w:p>
        </w:tc>
        <w:tc>
          <w:tcPr>
            <w:tcW w:w="4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5,621</w:t>
            </w:r>
          </w:p>
        </w:tc>
        <w:tc>
          <w:tcPr>
            <w:tcW w:w="10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10,221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00" w:type="dxa"/>
            <w:vAlign w:val="bottom"/>
          </w:tcPr>
          <w:p>
            <w:pPr>
              <w:ind w:left="200"/>
              <w:spacing w:after="0"/>
              <w:rPr>
                <w:sz w:val="20"/>
                <w:szCs w:val="20"/>
                <w:color w:val="auto"/>
              </w:rPr>
            </w:pPr>
            <w:r>
              <w:rPr>
                <w:rFonts w:ascii="Arial" w:cs="Arial" w:eastAsia="Arial" w:hAnsi="Arial"/>
                <w:sz w:val="18"/>
                <w:szCs w:val="18"/>
                <w:color w:val="auto"/>
              </w:rPr>
              <w:t>Liabilities held for sale</w:t>
            </w:r>
          </w:p>
        </w:tc>
        <w:tc>
          <w:tcPr>
            <w:tcW w:w="4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8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355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00" w:type="dxa"/>
            <w:vAlign w:val="bottom"/>
            <w:shd w:val="clear" w:color="auto" w:fill="CCEEFF"/>
          </w:tcPr>
          <w:p>
            <w:pPr>
              <w:ind w:left="200"/>
              <w:spacing w:after="0"/>
              <w:rPr>
                <w:sz w:val="20"/>
                <w:szCs w:val="20"/>
                <w:color w:val="auto"/>
              </w:rPr>
            </w:pPr>
            <w:r>
              <w:rPr>
                <w:rFonts w:ascii="Arial" w:cs="Arial" w:eastAsia="Arial" w:hAnsi="Arial"/>
                <w:sz w:val="18"/>
                <w:szCs w:val="18"/>
                <w:color w:val="auto"/>
                <w:w w:val="97"/>
              </w:rPr>
              <w:t>Accrued expenses (including derivative liabilities at GM Daewoo of $217 at September 30, 2010)</w:t>
            </w:r>
          </w:p>
        </w:tc>
        <w:tc>
          <w:tcPr>
            <w:tcW w:w="48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24,811</w:t>
            </w: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23,134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7700" w:type="dxa"/>
            <w:vAlign w:val="bottom"/>
          </w:tcPr>
          <w:p>
            <w:pPr>
              <w:ind w:left="200"/>
              <w:spacing w:after="0"/>
              <w:rPr>
                <w:sz w:val="20"/>
                <w:szCs w:val="20"/>
                <w:color w:val="auto"/>
              </w:rPr>
            </w:pPr>
            <w:r>
              <w:rPr>
                <w:rFonts w:ascii="Arial" w:cs="Arial" w:eastAsia="Arial" w:hAnsi="Arial"/>
                <w:sz w:val="18"/>
                <w:szCs w:val="18"/>
                <w:color w:val="auto"/>
              </w:rPr>
              <w:t>Total current liabilities</w:t>
            </w:r>
          </w:p>
        </w:tc>
        <w:tc>
          <w:tcPr>
            <w:tcW w:w="4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52,569</w:t>
            </w:r>
          </w:p>
        </w:tc>
        <w:tc>
          <w:tcPr>
            <w:tcW w:w="1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52,435</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77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Non-Current Liabilities</w:t>
            </w:r>
          </w:p>
        </w:tc>
        <w:tc>
          <w:tcPr>
            <w:tcW w:w="4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00" w:type="dxa"/>
            <w:vAlign w:val="bottom"/>
          </w:tcPr>
          <w:p>
            <w:pPr>
              <w:ind w:left="200"/>
              <w:spacing w:after="0"/>
              <w:rPr>
                <w:sz w:val="20"/>
                <w:szCs w:val="20"/>
                <w:color w:val="auto"/>
              </w:rPr>
            </w:pPr>
            <w:r>
              <w:rPr>
                <w:rFonts w:ascii="Arial" w:cs="Arial" w:eastAsia="Arial" w:hAnsi="Arial"/>
                <w:sz w:val="18"/>
                <w:szCs w:val="18"/>
                <w:color w:val="auto"/>
              </w:rPr>
              <w:t>Long-term debt (including debt at GM Daewoo of $798 at September 30, 2010)</w:t>
            </w:r>
          </w:p>
        </w:tc>
        <w:tc>
          <w:tcPr>
            <w:tcW w:w="4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2,945</w:t>
            </w: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5,562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Liabilities held for sale</w:t>
            </w:r>
          </w:p>
        </w:tc>
        <w:tc>
          <w:tcPr>
            <w:tcW w:w="4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270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00" w:type="dxa"/>
            <w:vAlign w:val="bottom"/>
          </w:tcPr>
          <w:p>
            <w:pPr>
              <w:ind w:left="200"/>
              <w:spacing w:after="0"/>
              <w:rPr>
                <w:sz w:val="20"/>
                <w:szCs w:val="20"/>
                <w:color w:val="auto"/>
              </w:rPr>
            </w:pPr>
            <w:r>
              <w:rPr>
                <w:rFonts w:ascii="Arial" w:cs="Arial" w:eastAsia="Arial" w:hAnsi="Arial"/>
                <w:sz w:val="18"/>
                <w:szCs w:val="18"/>
                <w:color w:val="auto"/>
              </w:rPr>
              <w:t>Postretirement benefits other than pensions</w:t>
            </w:r>
          </w:p>
        </w:tc>
        <w:tc>
          <w:tcPr>
            <w:tcW w:w="4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8,721</w:t>
            </w: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8,708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Pensions</w:t>
            </w:r>
          </w:p>
        </w:tc>
        <w:tc>
          <w:tcPr>
            <w:tcW w:w="4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28,965</w:t>
            </w: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27,086</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700" w:type="dxa"/>
            <w:vAlign w:val="bottom"/>
          </w:tcPr>
          <w:p>
            <w:pPr>
              <w:ind w:left="200"/>
              <w:spacing w:after="0"/>
              <w:rPr>
                <w:sz w:val="20"/>
                <w:szCs w:val="20"/>
                <w:color w:val="auto"/>
              </w:rPr>
            </w:pPr>
            <w:r>
              <w:rPr>
                <w:rFonts w:ascii="Arial" w:cs="Arial" w:eastAsia="Arial" w:hAnsi="Arial"/>
                <w:sz w:val="18"/>
                <w:szCs w:val="18"/>
                <w:color w:val="auto"/>
              </w:rPr>
              <w:t>Other liabilities and deferred income taxes</w:t>
            </w:r>
          </w:p>
        </w:tc>
        <w:tc>
          <w:tcPr>
            <w:tcW w:w="48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13,322</w:t>
            </w:r>
          </w:p>
        </w:tc>
        <w:tc>
          <w:tcPr>
            <w:tcW w:w="1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13,279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Total non-current liabilities</w:t>
            </w:r>
          </w:p>
        </w:tc>
        <w:tc>
          <w:tcPr>
            <w:tcW w:w="48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53,953</w:t>
            </w: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54,905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7720" w:type="dxa"/>
            <w:vAlign w:val="bottom"/>
            <w:gridSpan w:val="2"/>
          </w:tcPr>
          <w:p>
            <w:pPr>
              <w:spacing w:after="0"/>
              <w:rPr>
                <w:sz w:val="20"/>
                <w:szCs w:val="20"/>
                <w:color w:val="auto"/>
              </w:rPr>
            </w:pPr>
            <w:r>
              <w:rPr>
                <w:rFonts w:ascii="Arial" w:cs="Arial" w:eastAsia="Arial" w:hAnsi="Arial"/>
                <w:sz w:val="18"/>
                <w:szCs w:val="18"/>
                <w:b w:val="1"/>
                <w:bCs w:val="1"/>
                <w:color w:val="auto"/>
              </w:rPr>
              <w:t>Total Liabilities</w:t>
            </w:r>
          </w:p>
        </w:tc>
        <w:tc>
          <w:tcPr>
            <w:tcW w:w="4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106,522</w:t>
            </w:r>
          </w:p>
        </w:tc>
        <w:tc>
          <w:tcPr>
            <w:tcW w:w="1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107,340</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7700" w:type="dxa"/>
            <w:vAlign w:val="bottom"/>
            <w:shd w:val="clear" w:color="auto" w:fill="CCEEFF"/>
          </w:tcPr>
          <w:p>
            <w:pPr>
              <w:spacing w:after="0"/>
              <w:rPr>
                <w:sz w:val="20"/>
                <w:szCs w:val="20"/>
                <w:color w:val="auto"/>
              </w:rPr>
            </w:pPr>
            <w:r>
              <w:rPr>
                <w:rFonts w:ascii="Arial" w:cs="Arial" w:eastAsia="Arial" w:hAnsi="Arial"/>
                <w:sz w:val="18"/>
                <w:szCs w:val="18"/>
                <w:color w:val="auto"/>
              </w:rPr>
              <w:t>Commitments and contingencies</w:t>
            </w:r>
          </w:p>
        </w:tc>
        <w:tc>
          <w:tcPr>
            <w:tcW w:w="4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7700" w:type="dxa"/>
            <w:vAlign w:val="bottom"/>
          </w:tcPr>
          <w:p>
            <w:pPr>
              <w:spacing w:after="0"/>
              <w:rPr>
                <w:sz w:val="20"/>
                <w:szCs w:val="20"/>
                <w:color w:val="auto"/>
              </w:rPr>
            </w:pPr>
            <w:r>
              <w:rPr>
                <w:rFonts w:ascii="Arial" w:cs="Arial" w:eastAsia="Arial" w:hAnsi="Arial"/>
                <w:sz w:val="18"/>
                <w:szCs w:val="18"/>
                <w:color w:val="auto"/>
                <w:w w:val="96"/>
              </w:rPr>
              <w:t>Preferred stock, $0.01 par value, (2,000,000,000 shares authorized, 360,000,000 shares issued and</w:t>
            </w:r>
          </w:p>
        </w:tc>
        <w:tc>
          <w:tcPr>
            <w:tcW w:w="4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00" w:type="dxa"/>
            <w:vAlign w:val="bottom"/>
          </w:tcPr>
          <w:p>
            <w:pPr>
              <w:ind w:left="200"/>
              <w:spacing w:after="0"/>
              <w:rPr>
                <w:sz w:val="20"/>
                <w:szCs w:val="20"/>
                <w:color w:val="auto"/>
              </w:rPr>
            </w:pPr>
            <w:r>
              <w:rPr>
                <w:rFonts w:ascii="Arial" w:cs="Arial" w:eastAsia="Arial" w:hAnsi="Arial"/>
                <w:sz w:val="18"/>
                <w:szCs w:val="18"/>
                <w:color w:val="auto"/>
                <w:w w:val="95"/>
              </w:rPr>
              <w:t>outstanding (each with a $25.00 liquidation preference) at September 30, 2010 and December 31,</w:t>
            </w:r>
          </w:p>
        </w:tc>
        <w:tc>
          <w:tcPr>
            <w:tcW w:w="4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7720" w:type="dxa"/>
            <w:vAlign w:val="bottom"/>
            <w:gridSpan w:val="2"/>
          </w:tcPr>
          <w:p>
            <w:pPr>
              <w:ind w:left="220"/>
              <w:spacing w:after="0"/>
              <w:rPr>
                <w:sz w:val="20"/>
                <w:szCs w:val="20"/>
                <w:color w:val="auto"/>
              </w:rPr>
            </w:pPr>
            <w:r>
              <w:rPr>
                <w:rFonts w:ascii="Arial" w:cs="Arial" w:eastAsia="Arial" w:hAnsi="Arial"/>
                <w:sz w:val="18"/>
                <w:szCs w:val="18"/>
                <w:color w:val="auto"/>
              </w:rPr>
              <w:t>2009)</w:t>
            </w:r>
          </w:p>
        </w:tc>
        <w:tc>
          <w:tcPr>
            <w:tcW w:w="4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6,998</w:t>
            </w:r>
          </w:p>
        </w:tc>
        <w:tc>
          <w:tcPr>
            <w:tcW w:w="1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6,998</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77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Equity</w:t>
            </w:r>
          </w:p>
        </w:tc>
        <w:tc>
          <w:tcPr>
            <w:tcW w:w="4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7700" w:type="dxa"/>
            <w:vAlign w:val="bottom"/>
          </w:tcPr>
          <w:p>
            <w:pPr>
              <w:ind w:left="200"/>
              <w:spacing w:after="0"/>
              <w:rPr>
                <w:sz w:val="20"/>
                <w:szCs w:val="20"/>
                <w:color w:val="auto"/>
              </w:rPr>
            </w:pPr>
            <w:r>
              <w:rPr>
                <w:rFonts w:ascii="Arial" w:cs="Arial" w:eastAsia="Arial" w:hAnsi="Arial"/>
                <w:sz w:val="18"/>
                <w:szCs w:val="18"/>
                <w:color w:val="auto"/>
                <w:w w:val="92"/>
              </w:rPr>
              <w:t>Common stock, $0.01 par value, (5,000,000,000 shares authorized, 1,500,000,000 shares issued and</w:t>
            </w:r>
          </w:p>
        </w:tc>
        <w:tc>
          <w:tcPr>
            <w:tcW w:w="4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700" w:type="dxa"/>
            <w:vAlign w:val="bottom"/>
          </w:tcPr>
          <w:p>
            <w:pPr>
              <w:ind w:left="420"/>
              <w:spacing w:after="0"/>
              <w:rPr>
                <w:sz w:val="20"/>
                <w:szCs w:val="20"/>
                <w:color w:val="auto"/>
              </w:rPr>
            </w:pPr>
            <w:r>
              <w:rPr>
                <w:rFonts w:ascii="Arial" w:cs="Arial" w:eastAsia="Arial" w:hAnsi="Arial"/>
                <w:sz w:val="18"/>
                <w:szCs w:val="18"/>
                <w:color w:val="auto"/>
              </w:rPr>
              <w:t>outstanding at September 30, 2010 and December 31, 2009)</w:t>
            </w:r>
          </w:p>
        </w:tc>
        <w:tc>
          <w:tcPr>
            <w:tcW w:w="4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15</w:t>
            </w:r>
          </w:p>
        </w:tc>
        <w:tc>
          <w:tcPr>
            <w:tcW w:w="1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77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Capital surplus (principally additional paid-in capital)</w:t>
            </w:r>
          </w:p>
        </w:tc>
        <w:tc>
          <w:tcPr>
            <w:tcW w:w="4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24,041</w:t>
            </w: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24,040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00" w:type="dxa"/>
            <w:vAlign w:val="bottom"/>
          </w:tcPr>
          <w:p>
            <w:pPr>
              <w:ind w:left="200"/>
              <w:spacing w:after="0"/>
              <w:rPr>
                <w:sz w:val="20"/>
                <w:szCs w:val="20"/>
                <w:color w:val="auto"/>
              </w:rPr>
            </w:pPr>
            <w:r>
              <w:rPr>
                <w:rFonts w:ascii="Arial" w:cs="Arial" w:eastAsia="Arial" w:hAnsi="Arial"/>
                <w:sz w:val="18"/>
                <w:szCs w:val="18"/>
                <w:color w:val="auto"/>
              </w:rPr>
              <w:t>Accumulated deficit</w:t>
            </w:r>
          </w:p>
        </w:tc>
        <w:tc>
          <w:tcPr>
            <w:tcW w:w="4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00" w:type="dxa"/>
            <w:vAlign w:val="bottom"/>
            <w:gridSpan w:val="2"/>
          </w:tcPr>
          <w:p>
            <w:pPr>
              <w:jc w:val="right"/>
              <w:ind w:right="40"/>
              <w:spacing w:after="0"/>
              <w:rPr>
                <w:sz w:val="20"/>
                <w:szCs w:val="20"/>
                <w:color w:val="auto"/>
              </w:rPr>
            </w:pPr>
            <w:r>
              <w:rPr>
                <w:rFonts w:ascii="Arial" w:cs="Arial" w:eastAsia="Arial" w:hAnsi="Arial"/>
                <w:sz w:val="18"/>
                <w:szCs w:val="18"/>
                <w:color w:val="auto"/>
              </w:rPr>
              <w:t>(236)</w:t>
            </w:r>
          </w:p>
        </w:tc>
        <w:tc>
          <w:tcPr>
            <w:tcW w:w="8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00" w:type="dxa"/>
            <w:vAlign w:val="bottom"/>
            <w:gridSpan w:val="2"/>
          </w:tcPr>
          <w:p>
            <w:pPr>
              <w:jc w:val="right"/>
              <w:ind w:right="40"/>
              <w:spacing w:after="0"/>
              <w:rPr>
                <w:sz w:val="20"/>
                <w:szCs w:val="20"/>
                <w:color w:val="auto"/>
              </w:rPr>
            </w:pPr>
            <w:r>
              <w:rPr>
                <w:rFonts w:ascii="Arial" w:cs="Arial" w:eastAsia="Arial" w:hAnsi="Arial"/>
                <w:sz w:val="18"/>
                <w:szCs w:val="18"/>
                <w:color w:val="auto"/>
              </w:rPr>
              <w:t>(4,394)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Accumulated other comprehensive income (loss)</w:t>
            </w:r>
          </w:p>
        </w:tc>
        <w:tc>
          <w:tcPr>
            <w:tcW w:w="4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(1,073)</w:t>
            </w:r>
          </w:p>
        </w:tc>
        <w:tc>
          <w:tcPr>
            <w:tcW w:w="8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1,588</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7700" w:type="dxa"/>
            <w:vAlign w:val="bottom"/>
          </w:tcPr>
          <w:p>
            <w:pPr>
              <w:ind w:left="200"/>
              <w:spacing w:after="0"/>
              <w:rPr>
                <w:sz w:val="20"/>
                <w:szCs w:val="20"/>
                <w:color w:val="auto"/>
              </w:rPr>
            </w:pPr>
            <w:r>
              <w:rPr>
                <w:rFonts w:ascii="Arial" w:cs="Arial" w:eastAsia="Arial" w:hAnsi="Arial"/>
                <w:sz w:val="18"/>
                <w:szCs w:val="18"/>
                <w:color w:val="auto"/>
              </w:rPr>
              <w:t>Total stockholders’ equity</w:t>
            </w:r>
          </w:p>
        </w:tc>
        <w:tc>
          <w:tcPr>
            <w:tcW w:w="480" w:type="dxa"/>
            <w:vAlign w:val="bottom"/>
          </w:tcPr>
          <w:p>
            <w:pPr>
              <w:spacing w:after="0"/>
              <w:rPr>
                <w:sz w:val="19"/>
                <w:szCs w:val="19"/>
                <w:color w:val="auto"/>
              </w:rPr>
            </w:pPr>
          </w:p>
        </w:tc>
        <w:tc>
          <w:tcPr>
            <w:tcW w:w="32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22,747</w:t>
            </w:r>
          </w:p>
        </w:tc>
        <w:tc>
          <w:tcPr>
            <w:tcW w:w="1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30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21,249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77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Noncontrolling interests</w:t>
            </w:r>
          </w:p>
        </w:tc>
        <w:tc>
          <w:tcPr>
            <w:tcW w:w="48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971</w:t>
            </w: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700" w:type="dxa"/>
            <w:vAlign w:val="bottom"/>
          </w:tcPr>
          <w:p>
            <w:pPr>
              <w:ind w:left="200"/>
              <w:spacing w:after="0"/>
              <w:rPr>
                <w:sz w:val="20"/>
                <w:szCs w:val="20"/>
                <w:color w:val="auto"/>
              </w:rPr>
            </w:pPr>
            <w:r>
              <w:rPr>
                <w:rFonts w:ascii="Arial" w:cs="Arial" w:eastAsia="Arial" w:hAnsi="Arial"/>
                <w:sz w:val="18"/>
                <w:szCs w:val="18"/>
                <w:color w:val="auto"/>
              </w:rPr>
              <w:t>Total equity</w:t>
            </w:r>
          </w:p>
        </w:tc>
        <w:tc>
          <w:tcPr>
            <w:tcW w:w="48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23,718</w:t>
            </w:r>
          </w:p>
        </w:tc>
        <w:tc>
          <w:tcPr>
            <w:tcW w:w="1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21,957</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Liabilities and Equity</w:t>
            </w:r>
          </w:p>
        </w:tc>
        <w:tc>
          <w:tcPr>
            <w:tcW w:w="800" w:type="dxa"/>
            <w:vAlign w:val="bottom"/>
            <w:gridSpan w:val="2"/>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137,238</w:t>
            </w: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ind w:left="800"/>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136,295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7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4" w:lineRule="exact"/>
        <w:rPr>
          <w:sz w:val="20"/>
          <w:szCs w:val="20"/>
          <w:color w:val="auto"/>
        </w:rPr>
      </w:pPr>
    </w:p>
    <w:p>
      <w:pPr>
        <w:sectPr>
          <w:pgSz w:w="11900" w:h="16838" w:orient="portrait"/>
          <w:cols w:equalWidth="0" w:num="1">
            <w:col w:w="11420"/>
          </w:cols>
          <w:pgMar w:left="240" w:top="459" w:right="239" w:bottom="1440" w:gutter="0" w:footer="0" w:header="0"/>
        </w:sectPr>
      </w:pPr>
    </w:p>
    <w:p>
      <w:pPr>
        <w:jc w:val="center"/>
        <w:spacing w:after="0"/>
        <w:rPr>
          <w:sz w:val="20"/>
          <w:szCs w:val="20"/>
          <w:color w:val="auto"/>
        </w:rPr>
      </w:pPr>
      <w:r>
        <w:rPr>
          <w:rFonts w:ascii="Arial" w:cs="Arial" w:eastAsia="Arial" w:hAnsi="Arial"/>
          <w:sz w:val="15"/>
          <w:szCs w:val="15"/>
          <w:color w:val="auto"/>
        </w:rPr>
        <w:t>110</w:t>
      </w:r>
    </w:p>
    <w:p>
      <w:pPr>
        <w:sectPr>
          <w:pgSz w:w="11900" w:h="16838" w:orient="portrait"/>
          <w:cols w:equalWidth="0" w:num="1">
            <w:col w:w="11420"/>
          </w:cols>
          <w:pgMar w:left="240" w:top="459" w:right="239" w:bottom="1440" w:gutter="0" w:footer="0" w:header="0"/>
          <w:type w:val="continuous"/>
        </w:sectPr>
      </w:pPr>
    </w:p>
    <w:bookmarkStart w:id="112" w:name="page113"/>
    <w:bookmarkEnd w:id="1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339"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Current Assets</w:t>
      </w:r>
    </w:p>
    <w:p>
      <w:pPr>
        <w:spacing w:after="0" w:line="171" w:lineRule="exact"/>
        <w:rPr>
          <w:sz w:val="20"/>
          <w:szCs w:val="20"/>
          <w:color w:val="auto"/>
        </w:rPr>
      </w:pPr>
    </w:p>
    <w:p>
      <w:pPr>
        <w:ind w:left="240"/>
        <w:spacing w:after="0"/>
        <w:rPr>
          <w:sz w:val="20"/>
          <w:szCs w:val="20"/>
          <w:color w:val="auto"/>
        </w:rPr>
      </w:pPr>
      <w:r>
        <w:rPr>
          <w:rFonts w:ascii="Arial" w:cs="Arial" w:eastAsia="Arial" w:hAnsi="Arial"/>
          <w:sz w:val="16"/>
          <w:szCs w:val="16"/>
          <w:color w:val="auto"/>
        </w:rPr>
        <w:t>At September 30, 2010 Marketable securities of $6.0 billion increased by $5.9 billion due to investments in securities with maturities exceeding 90 days.</w:t>
      </w:r>
    </w:p>
    <w:p>
      <w:pPr>
        <w:spacing w:after="0" w:line="194" w:lineRule="exact"/>
        <w:rPr>
          <w:sz w:val="20"/>
          <w:szCs w:val="20"/>
          <w:color w:val="auto"/>
        </w:rPr>
      </w:pPr>
    </w:p>
    <w:p>
      <w:pPr>
        <w:ind w:firstLine="228"/>
        <w:spacing w:after="0" w:line="256" w:lineRule="auto"/>
        <w:rPr>
          <w:sz w:val="20"/>
          <w:szCs w:val="20"/>
          <w:color w:val="auto"/>
        </w:rPr>
      </w:pPr>
      <w:r>
        <w:rPr>
          <w:rFonts w:ascii="Arial" w:cs="Arial" w:eastAsia="Arial" w:hAnsi="Arial"/>
          <w:sz w:val="18"/>
          <w:szCs w:val="18"/>
          <w:color w:val="auto"/>
        </w:rPr>
        <w:t>At September 30, 2010 Restricted cash and marketable securities of $1.3 billion decreased by $12.6 billion (or 90.5%), primarily due to: (1) our payments of $1.2 billion on the UST Loans and Canadian Loan in March 2010; and (2) our repayment of the full outstanding amount of $4.7 billion on the UST Loans in April 2010. Following the repayment of the UST Loans and our repayment of the Canadian Loan of $1.1 billion in April 2010, the remaining UST escrow funds of $6.6 billion became unrestricted.</w:t>
      </w:r>
    </w:p>
    <w:p>
      <w:pPr>
        <w:spacing w:after="0" w:line="143" w:lineRule="exact"/>
        <w:rPr>
          <w:sz w:val="20"/>
          <w:szCs w:val="20"/>
          <w:color w:val="auto"/>
        </w:rPr>
      </w:pPr>
    </w:p>
    <w:p>
      <w:pPr>
        <w:ind w:right="40" w:firstLine="228"/>
        <w:spacing w:after="0" w:line="268" w:lineRule="auto"/>
        <w:rPr>
          <w:sz w:val="20"/>
          <w:szCs w:val="20"/>
          <w:color w:val="auto"/>
        </w:rPr>
      </w:pPr>
      <w:r>
        <w:rPr>
          <w:rFonts w:ascii="Arial" w:cs="Arial" w:eastAsia="Arial" w:hAnsi="Arial"/>
          <w:sz w:val="18"/>
          <w:szCs w:val="18"/>
          <w:color w:val="auto"/>
        </w:rPr>
        <w:t>At September 30, 2010 Accounts and notes receivable of $8.7 billion increased by $1.2 billion (or 16.1%), primarily due to higher sales volumes in all regions compared to December 31, 2009.</w:t>
      </w:r>
    </w:p>
    <w:p>
      <w:pPr>
        <w:spacing w:after="0" w:line="132" w:lineRule="exact"/>
        <w:rPr>
          <w:sz w:val="20"/>
          <w:szCs w:val="20"/>
          <w:color w:val="auto"/>
        </w:rPr>
      </w:pPr>
    </w:p>
    <w:p>
      <w:pPr>
        <w:ind w:right="120" w:firstLine="228"/>
        <w:spacing w:after="0" w:line="259" w:lineRule="auto"/>
        <w:rPr>
          <w:sz w:val="20"/>
          <w:szCs w:val="20"/>
          <w:color w:val="auto"/>
        </w:rPr>
      </w:pPr>
      <w:r>
        <w:rPr>
          <w:rFonts w:ascii="Arial" w:cs="Arial" w:eastAsia="Arial" w:hAnsi="Arial"/>
          <w:sz w:val="18"/>
          <w:szCs w:val="18"/>
          <w:color w:val="auto"/>
        </w:rPr>
        <w:t>At September 30, 2010 Inventories of $13.0 billion increased by $2.9 billion (or 29.1%), primarily due to: (1) increased production resulting from higher demand for our products and new product launches; and (2) higher inventory levels at September 30, 2010 compared to low levels at December 31, 2009 of $5.9 billion that resulted from the year-end shut-down in certain locations.</w:t>
      </w:r>
    </w:p>
    <w:p>
      <w:pPr>
        <w:spacing w:after="0" w:line="140" w:lineRule="exact"/>
        <w:rPr>
          <w:sz w:val="20"/>
          <w:szCs w:val="20"/>
          <w:color w:val="auto"/>
        </w:rPr>
      </w:pPr>
    </w:p>
    <w:p>
      <w:pPr>
        <w:ind w:right="160" w:firstLine="228"/>
        <w:spacing w:after="0" w:line="268" w:lineRule="auto"/>
        <w:rPr>
          <w:sz w:val="20"/>
          <w:szCs w:val="20"/>
          <w:color w:val="auto"/>
        </w:rPr>
      </w:pPr>
      <w:r>
        <w:rPr>
          <w:rFonts w:ascii="Arial" w:cs="Arial" w:eastAsia="Arial" w:hAnsi="Arial"/>
          <w:sz w:val="18"/>
          <w:szCs w:val="18"/>
          <w:color w:val="auto"/>
        </w:rPr>
        <w:t>At September 30, 2010 Assets held for sale were reduced to $0 from $0.4 billion at December 31, 2009 due to the sale of Saab in February 2010 and the sale of Saab GB in May 2010 to Spyker Cars NV.</w:t>
      </w:r>
    </w:p>
    <w:p>
      <w:pPr>
        <w:spacing w:after="0" w:line="132" w:lineRule="exact"/>
        <w:rPr>
          <w:sz w:val="20"/>
          <w:szCs w:val="20"/>
          <w:color w:val="auto"/>
        </w:rPr>
      </w:pPr>
    </w:p>
    <w:p>
      <w:pPr>
        <w:ind w:right="60" w:firstLine="228"/>
        <w:spacing w:after="0" w:line="256" w:lineRule="auto"/>
        <w:rPr>
          <w:sz w:val="20"/>
          <w:szCs w:val="20"/>
          <w:color w:val="auto"/>
        </w:rPr>
      </w:pPr>
      <w:r>
        <w:rPr>
          <w:rFonts w:ascii="Arial" w:cs="Arial" w:eastAsia="Arial" w:hAnsi="Arial"/>
          <w:sz w:val="18"/>
          <w:szCs w:val="18"/>
          <w:color w:val="auto"/>
        </w:rPr>
        <w:t>At September 30, 2010 Equipment on operating leases, net of $2.9 billion increased by $0.2 billion (or 7.9%) due to: (1) an increase of $0.6 billion in GMNA, primarily related to vehicles leased to daily rental car companies (vehicles leased to U.S. daily rental car companies increased from 97,000 vehicles at December 31, 2009 to 131,000 vehicles at September 30, 2010); partially offset by (2) a decrease of $0.3 billion due to the continued liquidation of our portfolio of automotive retail leases.</w:t>
      </w:r>
    </w:p>
    <w:p>
      <w:pPr>
        <w:spacing w:after="0" w:line="143" w:lineRule="exact"/>
        <w:rPr>
          <w:sz w:val="20"/>
          <w:szCs w:val="20"/>
          <w:color w:val="auto"/>
        </w:rPr>
      </w:pPr>
    </w:p>
    <w:p>
      <w:pPr>
        <w:ind w:right="240" w:firstLine="228"/>
        <w:spacing w:after="0" w:line="259" w:lineRule="auto"/>
        <w:rPr>
          <w:sz w:val="20"/>
          <w:szCs w:val="20"/>
          <w:color w:val="auto"/>
        </w:rPr>
      </w:pPr>
      <w:r>
        <w:rPr>
          <w:rFonts w:ascii="Arial" w:cs="Arial" w:eastAsia="Arial" w:hAnsi="Arial"/>
          <w:sz w:val="18"/>
          <w:szCs w:val="18"/>
          <w:color w:val="auto"/>
        </w:rPr>
        <w:t>At September 30, 2010 Other current assets and deferred income taxes of $2.1 billion increased by $0.3 billion (or 16.7%), primarily due to an increase in current deferred income taxes of $0.6 billion due mostly to the reclassification of VEBA Notes, from non-current to current in the three months ended June 30, 2010, partially offset by a reduction in taxes other than income taxes of $0.2 billion.</w:t>
      </w:r>
    </w:p>
    <w:p>
      <w:pPr>
        <w:spacing w:after="0" w:line="140"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Non-Current Assets</w:t>
      </w:r>
    </w:p>
    <w:p>
      <w:pPr>
        <w:spacing w:after="0" w:line="171" w:lineRule="exact"/>
        <w:rPr>
          <w:sz w:val="20"/>
          <w:szCs w:val="20"/>
          <w:color w:val="auto"/>
        </w:rPr>
      </w:pPr>
    </w:p>
    <w:p>
      <w:pPr>
        <w:ind w:right="220" w:firstLine="228"/>
        <w:spacing w:after="0" w:line="298" w:lineRule="auto"/>
        <w:rPr>
          <w:sz w:val="20"/>
          <w:szCs w:val="20"/>
          <w:color w:val="auto"/>
        </w:rPr>
      </w:pPr>
      <w:r>
        <w:rPr>
          <w:rFonts w:ascii="Arial" w:cs="Arial" w:eastAsia="Arial" w:hAnsi="Arial"/>
          <w:sz w:val="16"/>
          <w:szCs w:val="16"/>
          <w:color w:val="auto"/>
        </w:rPr>
        <w:t>At September 30, 2010 Equity in net assets of nonconsolidated affiliates of $8.7 billion increased by $0.8 billion (or 9.5%) due to: (1) equity income of $1.2 billion in the nine months ended September 30, 2010, primarily related to our China joint ventures; and (2) an investment of $0.2 billion in the HKJV joint venture; partially offset by (3) a decrease of $0.3 billion for dividends, primarily related to our China joint ventures; (4) a decrease of $0.2 billion related to the sale of our 50% interest in a joint venture; and (5) a decrease of $0.1 billion related to the sale of a 1% ownership interest in SGM to SAIC.</w:t>
      </w:r>
    </w:p>
    <w:p>
      <w:pPr>
        <w:spacing w:after="0" w:line="113" w:lineRule="exact"/>
        <w:rPr>
          <w:sz w:val="20"/>
          <w:szCs w:val="20"/>
          <w:color w:val="auto"/>
        </w:rPr>
      </w:pPr>
    </w:p>
    <w:p>
      <w:pPr>
        <w:jc w:val="both"/>
        <w:ind w:right="40" w:firstLine="228"/>
        <w:spacing w:after="0" w:line="259" w:lineRule="auto"/>
        <w:rPr>
          <w:sz w:val="20"/>
          <w:szCs w:val="20"/>
          <w:color w:val="auto"/>
        </w:rPr>
      </w:pPr>
      <w:r>
        <w:rPr>
          <w:rFonts w:ascii="Arial" w:cs="Arial" w:eastAsia="Arial" w:hAnsi="Arial"/>
          <w:sz w:val="18"/>
          <w:szCs w:val="18"/>
          <w:color w:val="auto"/>
        </w:rPr>
        <w:t>At September 30, 2010 Assets held for sale were reduced to $0 from $0.5 billion at December 31, 2009 due to the sale of certain of our India operations (India Operations) in February 2010. We classified these Assets held for sale as long-term at December 31, 2009 because we received a promissory note in exchange for the India Operations that does not convert to cash within one year.</w:t>
      </w:r>
    </w:p>
    <w:p>
      <w:pPr>
        <w:spacing w:after="0" w:line="140" w:lineRule="exact"/>
        <w:rPr>
          <w:sz w:val="20"/>
          <w:szCs w:val="20"/>
          <w:color w:val="auto"/>
        </w:rPr>
      </w:pPr>
    </w:p>
    <w:p>
      <w:pPr>
        <w:ind w:right="160" w:firstLine="228"/>
        <w:spacing w:after="0" w:line="268" w:lineRule="auto"/>
        <w:rPr>
          <w:sz w:val="20"/>
          <w:szCs w:val="20"/>
          <w:color w:val="auto"/>
        </w:rPr>
      </w:pPr>
      <w:r>
        <w:rPr>
          <w:rFonts w:ascii="Arial" w:cs="Arial" w:eastAsia="Arial" w:hAnsi="Arial"/>
          <w:sz w:val="18"/>
          <w:szCs w:val="18"/>
          <w:color w:val="auto"/>
        </w:rPr>
        <w:t>At September 30, 2010 Property, net of $19.1 billion increased by $0.4 billion (or 2.3%), primarily due to capital expenditures of $3.1 billion, partially offset by depreciation of $2.8 billion and foreign currency translation of $0.1 billion.</w:t>
      </w:r>
    </w:p>
    <w:p>
      <w:pPr>
        <w:spacing w:after="0" w:line="132" w:lineRule="exact"/>
        <w:rPr>
          <w:sz w:val="20"/>
          <w:szCs w:val="20"/>
          <w:color w:val="auto"/>
        </w:rPr>
      </w:pPr>
    </w:p>
    <w:p>
      <w:pPr>
        <w:ind w:right="260" w:firstLine="228"/>
        <w:spacing w:after="0" w:line="268" w:lineRule="auto"/>
        <w:rPr>
          <w:sz w:val="20"/>
          <w:szCs w:val="20"/>
          <w:color w:val="auto"/>
        </w:rPr>
      </w:pPr>
      <w:r>
        <w:rPr>
          <w:rFonts w:ascii="Arial" w:cs="Arial" w:eastAsia="Arial" w:hAnsi="Arial"/>
          <w:sz w:val="18"/>
          <w:szCs w:val="18"/>
          <w:color w:val="auto"/>
        </w:rPr>
        <w:t>At September 30, 2010 Intangible assets, net of $12.5 billion decreased by $2.1 billion (or 14.4%), primarily due to amortization of $2.0 billion and foreign currency translation of $0.1 billion.</w:t>
      </w:r>
    </w:p>
    <w:p>
      <w:pPr>
        <w:spacing w:after="0" w:line="132"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Current Liabilities</w:t>
      </w:r>
    </w:p>
    <w:p>
      <w:pPr>
        <w:spacing w:after="0" w:line="171" w:lineRule="exact"/>
        <w:rPr>
          <w:sz w:val="20"/>
          <w:szCs w:val="20"/>
          <w:color w:val="auto"/>
        </w:rPr>
      </w:pPr>
    </w:p>
    <w:p>
      <w:pPr>
        <w:ind w:right="100" w:firstLine="228"/>
        <w:spacing w:after="0" w:line="268" w:lineRule="auto"/>
        <w:rPr>
          <w:sz w:val="20"/>
          <w:szCs w:val="20"/>
          <w:color w:val="auto"/>
        </w:rPr>
      </w:pPr>
      <w:r>
        <w:rPr>
          <w:rFonts w:ascii="Arial" w:cs="Arial" w:eastAsia="Arial" w:hAnsi="Arial"/>
          <w:sz w:val="18"/>
          <w:szCs w:val="18"/>
          <w:color w:val="auto"/>
        </w:rPr>
        <w:t>At September 30, 2010 Accounts payable of $22.1 billion increased by $3.4 billion (or 18.2%) primarily due to higher payables for materials due to increased production volumes.</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111</w:t>
      </w:r>
    </w:p>
    <w:p>
      <w:pPr>
        <w:sectPr>
          <w:pgSz w:w="11900" w:h="16838" w:orient="portrait"/>
          <w:cols w:equalWidth="0" w:num="1">
            <w:col w:w="11420"/>
          </w:cols>
          <w:pgMar w:left="240" w:top="459" w:right="239" w:bottom="1440" w:gutter="0" w:footer="0" w:header="0"/>
        </w:sectPr>
      </w:pPr>
    </w:p>
    <w:bookmarkStart w:id="113" w:name="page114"/>
    <w:bookmarkEnd w:id="1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339" w:lineRule="exact"/>
        <w:rPr>
          <w:sz w:val="20"/>
          <w:szCs w:val="20"/>
          <w:color w:val="auto"/>
        </w:rPr>
      </w:pPr>
    </w:p>
    <w:p>
      <w:pPr>
        <w:ind w:right="20" w:firstLine="228"/>
        <w:spacing w:after="0" w:line="259" w:lineRule="auto"/>
        <w:rPr>
          <w:sz w:val="20"/>
          <w:szCs w:val="20"/>
          <w:color w:val="auto"/>
        </w:rPr>
      </w:pPr>
      <w:r>
        <w:rPr>
          <w:rFonts w:ascii="Arial" w:cs="Arial" w:eastAsia="Arial" w:hAnsi="Arial"/>
          <w:sz w:val="18"/>
          <w:szCs w:val="18"/>
          <w:color w:val="auto"/>
        </w:rPr>
        <w:t>At September 30, 2010 Short-term debt and current portion of long-term debt of $5.6 billion decreased by $4.6 billion (or 45.0%), primarily due to our full repayments of the UST Loans and Canadian Loan of $7.0 billion and net paydowns on other obligations of $0.6 billion. This was partially offset by an increase of $3.0 billion due to the classification of our VEBA Notes as short-term at September 30, 2010.</w:t>
      </w:r>
    </w:p>
    <w:p>
      <w:pPr>
        <w:spacing w:after="0" w:line="140" w:lineRule="exact"/>
        <w:rPr>
          <w:sz w:val="20"/>
          <w:szCs w:val="20"/>
          <w:color w:val="auto"/>
        </w:rPr>
      </w:pPr>
    </w:p>
    <w:p>
      <w:pPr>
        <w:ind w:left="240"/>
        <w:spacing w:after="0"/>
        <w:rPr>
          <w:sz w:val="20"/>
          <w:szCs w:val="20"/>
          <w:color w:val="auto"/>
        </w:rPr>
      </w:pPr>
      <w:r>
        <w:rPr>
          <w:rFonts w:ascii="Arial" w:cs="Arial" w:eastAsia="Arial" w:hAnsi="Arial"/>
          <w:sz w:val="16"/>
          <w:szCs w:val="16"/>
          <w:color w:val="auto"/>
        </w:rPr>
        <w:t>At September 30, 2010 Liabilities held for sale were reduced to $0 from $0.4 billion at December 31, 2009 due to the sale of Saab and Saab GB.</w:t>
      </w:r>
    </w:p>
    <w:p>
      <w:pPr>
        <w:spacing w:after="0" w:line="194" w:lineRule="exact"/>
        <w:rPr>
          <w:sz w:val="20"/>
          <w:szCs w:val="20"/>
          <w:color w:val="auto"/>
        </w:rPr>
      </w:pPr>
    </w:p>
    <w:p>
      <w:pPr>
        <w:ind w:right="280" w:firstLine="228"/>
        <w:spacing w:after="0" w:line="259" w:lineRule="auto"/>
        <w:rPr>
          <w:sz w:val="20"/>
          <w:szCs w:val="20"/>
          <w:color w:val="auto"/>
        </w:rPr>
      </w:pPr>
      <w:r>
        <w:rPr>
          <w:rFonts w:ascii="Arial" w:cs="Arial" w:eastAsia="Arial" w:hAnsi="Arial"/>
          <w:sz w:val="18"/>
          <w:szCs w:val="18"/>
          <w:color w:val="auto"/>
        </w:rPr>
        <w:t>At September 30, 2010 Accrued expenses of $24.8 billion increased by $1.7 billion (or 7.2%), primarily due to: (1) an increase in GMNA due to higher customer deposits related to the increased number of vehicles leased to U.S. daily rental car companies of $0.9 billion; and (2) other miscellaneous accruals of $0.7 billion.</w:t>
      </w:r>
    </w:p>
    <w:p>
      <w:pPr>
        <w:spacing w:after="0" w:line="140"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Non-Current Liabilities</w:t>
      </w:r>
    </w:p>
    <w:p>
      <w:pPr>
        <w:spacing w:after="0" w:line="171" w:lineRule="exact"/>
        <w:rPr>
          <w:sz w:val="20"/>
          <w:szCs w:val="20"/>
          <w:color w:val="auto"/>
        </w:rPr>
      </w:pPr>
    </w:p>
    <w:p>
      <w:pPr>
        <w:ind w:right="340" w:firstLine="228"/>
        <w:spacing w:after="0" w:line="332" w:lineRule="auto"/>
        <w:rPr>
          <w:sz w:val="20"/>
          <w:szCs w:val="20"/>
          <w:color w:val="auto"/>
        </w:rPr>
      </w:pPr>
      <w:r>
        <w:rPr>
          <w:rFonts w:ascii="Arial" w:cs="Arial" w:eastAsia="Arial" w:hAnsi="Arial"/>
          <w:sz w:val="16"/>
          <w:szCs w:val="16"/>
          <w:color w:val="auto"/>
        </w:rPr>
        <w:t>At September 30, 2010 Long-term debt of $2.9 billion decreased by $2.6 billion (or 47.1%), primarily due to the reclassification of our VEBA Notes from long-term to short-term, which were $2.8 billion at December 31, 2009, partially offset by additional net borrowings and foreign currency translation.</w:t>
      </w:r>
    </w:p>
    <w:p>
      <w:pPr>
        <w:spacing w:after="0" w:line="85" w:lineRule="exact"/>
        <w:rPr>
          <w:sz w:val="20"/>
          <w:szCs w:val="20"/>
          <w:color w:val="auto"/>
        </w:rPr>
      </w:pPr>
    </w:p>
    <w:p>
      <w:pPr>
        <w:jc w:val="both"/>
        <w:ind w:right="40" w:firstLine="228"/>
        <w:spacing w:after="0" w:line="259" w:lineRule="auto"/>
        <w:rPr>
          <w:sz w:val="20"/>
          <w:szCs w:val="20"/>
          <w:color w:val="auto"/>
        </w:rPr>
      </w:pPr>
      <w:r>
        <w:rPr>
          <w:rFonts w:ascii="Arial" w:cs="Arial" w:eastAsia="Arial" w:hAnsi="Arial"/>
          <w:sz w:val="18"/>
          <w:szCs w:val="18"/>
          <w:color w:val="auto"/>
        </w:rPr>
        <w:t>At September 30, 2010 Liabilities held for sale were reduced to $0 from $0.3 billion at December 31, 2009 due to the sale of our India Operations in February 2010. We classified these Liabilities held for sale as long-term at December 31, 2009 because we received a promissory note in exchange for the India Operations that does not convert to cash within one year.</w:t>
      </w:r>
    </w:p>
    <w:p>
      <w:pPr>
        <w:spacing w:after="0" w:line="140" w:lineRule="exact"/>
        <w:rPr>
          <w:sz w:val="20"/>
          <w:szCs w:val="20"/>
          <w:color w:val="auto"/>
        </w:rPr>
      </w:pPr>
    </w:p>
    <w:p>
      <w:pPr>
        <w:ind w:right="340" w:firstLine="228"/>
        <w:spacing w:after="0" w:line="332" w:lineRule="auto"/>
        <w:rPr>
          <w:sz w:val="20"/>
          <w:szCs w:val="20"/>
          <w:color w:val="auto"/>
        </w:rPr>
      </w:pPr>
      <w:r>
        <w:rPr>
          <w:rFonts w:ascii="Arial" w:cs="Arial" w:eastAsia="Arial" w:hAnsi="Arial"/>
          <w:sz w:val="16"/>
          <w:szCs w:val="16"/>
          <w:color w:val="auto"/>
        </w:rPr>
        <w:t>At September 30, 2010 our Pensions obligation of $29.0 billion increased by $1.9 billion (or 6.9%), primarily due to pension plan remeasurements of $2.8 billion, partially offset by net contributions and benefit payments of $0.6 billion and the favorable effect of foreign currency translation of $0.2 billion.</w:t>
      </w:r>
    </w:p>
    <w:p>
      <w:pPr>
        <w:spacing w:after="0" w:line="85" w:lineRule="exact"/>
        <w:rPr>
          <w:sz w:val="20"/>
          <w:szCs w:val="20"/>
          <w:color w:val="auto"/>
        </w:rPr>
      </w:pPr>
    </w:p>
    <w:p>
      <w:pPr>
        <w:ind w:left="240"/>
        <w:spacing w:after="0"/>
        <w:rPr>
          <w:sz w:val="20"/>
          <w:szCs w:val="20"/>
          <w:color w:val="auto"/>
        </w:rPr>
      </w:pPr>
      <w:r>
        <w:rPr>
          <w:rFonts w:ascii="Arial" w:cs="Arial" w:eastAsia="Arial" w:hAnsi="Arial"/>
          <w:sz w:val="18"/>
          <w:szCs w:val="18"/>
          <w:color w:val="auto"/>
        </w:rPr>
        <w:t>Further information on each of our businesses and geographic segments is subsequently discussed.</w:t>
      </w:r>
    </w:p>
    <w:p>
      <w:pPr>
        <w:spacing w:after="0" w:line="171" w:lineRule="exact"/>
        <w:rPr>
          <w:sz w:val="20"/>
          <w:szCs w:val="20"/>
          <w:color w:val="auto"/>
        </w:rPr>
      </w:pPr>
    </w:p>
    <w:p>
      <w:pPr>
        <w:ind w:right="60" w:firstLine="228"/>
        <w:spacing w:after="0" w:line="310" w:lineRule="auto"/>
        <w:rPr>
          <w:sz w:val="20"/>
          <w:szCs w:val="20"/>
          <w:color w:val="auto"/>
        </w:rPr>
      </w:pPr>
      <w:r>
        <w:rPr>
          <w:rFonts w:ascii="Arial" w:cs="Arial" w:eastAsia="Arial" w:hAnsi="Arial"/>
          <w:sz w:val="15"/>
          <w:szCs w:val="15"/>
          <w:color w:val="auto"/>
        </w:rPr>
        <w:t>Our segment information reflects the information provided to and reviewed by our chief operating decision maker to assess performance and allocate resources. We manage our operations on a geographic basis through our three geographically-based segments: GMNA, GME and GMIO. Our segments typically share assets and vehicle platforms in the manufacturing process, including related engineering. Production and capacity planning is performed on a regional or global basis. While not all vehicles within a segment are individually profitable on a fully loaded cost basis, those vehicles are needed in our product mix in order to attract customers to dealer showrooms and to maintain sales volumes for other, more profitable vehicles. These factors together with the integrated nature of our manufacturing operations, the existence of broad-based trade agreements within certain geographical regions, and the need to meet regulatory requirements, such as Corporate Average Fuel Economy (CAFE) regulations within certain geographic regions, drives our need to manage our business operations on a geographic basis and not on an individual brand or vehicle basis. Accordingly, the focus of our operational discussion is at the geographic-based segment level.</w:t>
      </w:r>
    </w:p>
    <w:p>
      <w:pPr>
        <w:spacing w:after="0" w:line="1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Segment Results of Operations</w:t>
      </w:r>
    </w:p>
    <w:p>
      <w:pPr>
        <w:spacing w:after="0" w:line="177"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GM North America</w:t>
      </w:r>
    </w:p>
    <w:p>
      <w:pPr>
        <w:spacing w:after="0" w:line="15"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(Dollars in millions)</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5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jc w:val="center"/>
              <w:ind w:right="44"/>
              <w:spacing w:after="0"/>
              <w:rPr>
                <w:sz w:val="20"/>
                <w:szCs w:val="20"/>
                <w:color w:val="auto"/>
              </w:rPr>
            </w:pPr>
            <w:r>
              <w:rPr>
                <w:rFonts w:ascii="Arial" w:cs="Arial" w:eastAsia="Arial" w:hAnsi="Arial"/>
                <w:sz w:val="14"/>
                <w:szCs w:val="14"/>
                <w:b w:val="1"/>
                <w:bCs w:val="1"/>
                <w:color w:val="auto"/>
                <w:w w:val="79"/>
              </w:rPr>
              <w:t>Successor</w:t>
            </w:r>
          </w:p>
        </w:tc>
        <w:tc>
          <w:tcPr>
            <w:tcW w:w="4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520" w:type="dxa"/>
            <w:vAlign w:val="bottom"/>
            <w:tcBorders>
              <w:right w:val="single" w:sz="8" w:color="auto"/>
            </w:tcBorders>
          </w:tcPr>
          <w:p>
            <w:pPr>
              <w:spacing w:after="0"/>
              <w:rPr>
                <w:sz w:val="14"/>
                <w:szCs w:val="14"/>
                <w:color w:val="auto"/>
              </w:rPr>
            </w:pPr>
          </w:p>
        </w:tc>
        <w:tc>
          <w:tcPr>
            <w:tcW w:w="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0" w:type="dxa"/>
            <w:vAlign w:val="bottom"/>
            <w:gridSpan w:val="5"/>
          </w:tcPr>
          <w:p>
            <w:pPr>
              <w:jc w:val="right"/>
              <w:ind w:right="560"/>
              <w:spacing w:after="0"/>
              <w:rPr>
                <w:sz w:val="20"/>
                <w:szCs w:val="20"/>
                <w:color w:val="auto"/>
              </w:rPr>
            </w:pPr>
            <w:r>
              <w:rPr>
                <w:rFonts w:ascii="Arial" w:cs="Arial" w:eastAsia="Arial" w:hAnsi="Arial"/>
                <w:sz w:val="14"/>
                <w:szCs w:val="14"/>
                <w:b w:val="1"/>
                <w:bCs w:val="1"/>
                <w:color w:val="auto"/>
              </w:rPr>
              <w:t>Predecessor</w:t>
            </w:r>
          </w:p>
        </w:tc>
      </w:tr>
      <w:tr>
        <w:trPr>
          <w:trHeight w:val="129"/>
        </w:trPr>
        <w:tc>
          <w:tcPr>
            <w:tcW w:w="45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220" w:type="dxa"/>
            <w:vAlign w:val="bottom"/>
            <w:tcBorders>
              <w:top w:val="single" w:sz="8" w:color="auto"/>
            </w:tcBorders>
          </w:tcPr>
          <w:p>
            <w:pPr>
              <w:spacing w:after="0"/>
              <w:rPr>
                <w:sz w:val="11"/>
                <w:szCs w:val="11"/>
                <w:color w:val="auto"/>
              </w:rPr>
            </w:pPr>
          </w:p>
        </w:tc>
        <w:tc>
          <w:tcPr>
            <w:tcW w:w="620" w:type="dxa"/>
            <w:vAlign w:val="bottom"/>
            <w:tcBorders>
              <w:top w:val="single" w:sz="8" w:color="auto"/>
            </w:tcBorders>
          </w:tcPr>
          <w:p>
            <w:pPr>
              <w:spacing w:after="0"/>
              <w:rPr>
                <w:sz w:val="11"/>
                <w:szCs w:val="11"/>
                <w:color w:val="auto"/>
              </w:rPr>
            </w:pPr>
          </w:p>
        </w:tc>
        <w:tc>
          <w:tcPr>
            <w:tcW w:w="40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720" w:type="dxa"/>
            <w:vAlign w:val="bottom"/>
            <w:tcBorders>
              <w:top w:val="single" w:sz="8" w:color="auto"/>
            </w:tcBorders>
          </w:tcPr>
          <w:p>
            <w:pPr>
              <w:spacing w:after="0"/>
              <w:rPr>
                <w:sz w:val="11"/>
                <w:szCs w:val="11"/>
                <w:color w:val="auto"/>
              </w:rPr>
            </w:pPr>
          </w:p>
        </w:tc>
        <w:tc>
          <w:tcPr>
            <w:tcW w:w="400" w:type="dxa"/>
            <w:vAlign w:val="bottom"/>
            <w:tcBorders>
              <w:top w:val="single" w:sz="8" w:color="auto"/>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700" w:type="dxa"/>
            <w:vAlign w:val="bottom"/>
            <w:tcBorders>
              <w:top w:val="single" w:sz="8" w:color="auto"/>
            </w:tcBorders>
          </w:tcPr>
          <w:p>
            <w:pPr>
              <w:spacing w:after="0"/>
              <w:rPr>
                <w:sz w:val="11"/>
                <w:szCs w:val="11"/>
                <w:color w:val="auto"/>
              </w:rPr>
            </w:pPr>
          </w:p>
        </w:tc>
        <w:tc>
          <w:tcPr>
            <w:tcW w:w="520" w:type="dxa"/>
            <w:vAlign w:val="bottom"/>
            <w:tcBorders>
              <w:right w:val="single" w:sz="8" w:color="auto"/>
            </w:tcBorders>
          </w:tcPr>
          <w:p>
            <w:pPr>
              <w:spacing w:after="0"/>
              <w:rPr>
                <w:sz w:val="11"/>
                <w:szCs w:val="11"/>
                <w:color w:val="auto"/>
              </w:rPr>
            </w:pPr>
          </w:p>
        </w:tc>
        <w:tc>
          <w:tcPr>
            <w:tcW w:w="300" w:type="dxa"/>
            <w:vAlign w:val="bottom"/>
          </w:tcPr>
          <w:p>
            <w:pPr>
              <w:spacing w:after="0"/>
              <w:rPr>
                <w:sz w:val="11"/>
                <w:szCs w:val="11"/>
                <w:color w:val="auto"/>
              </w:rPr>
            </w:pPr>
          </w:p>
        </w:tc>
        <w:tc>
          <w:tcPr>
            <w:tcW w:w="940" w:type="dxa"/>
            <w:vAlign w:val="bottom"/>
            <w:tcBorders>
              <w:top w:val="single" w:sz="8" w:color="auto"/>
            </w:tcBorders>
            <w:gridSpan w:val="3"/>
          </w:tcPr>
          <w:p>
            <w:pPr>
              <w:jc w:val="center"/>
              <w:ind w:right="480"/>
              <w:spacing w:after="0" w:line="129" w:lineRule="exact"/>
              <w:rPr>
                <w:sz w:val="20"/>
                <w:szCs w:val="20"/>
                <w:color w:val="auto"/>
              </w:rPr>
            </w:pPr>
            <w:r>
              <w:rPr>
                <w:rFonts w:ascii="Arial" w:cs="Arial" w:eastAsia="Arial" w:hAnsi="Arial"/>
                <w:sz w:val="14"/>
                <w:szCs w:val="14"/>
                <w:b w:val="1"/>
                <w:bCs w:val="1"/>
                <w:color w:val="auto"/>
                <w:w w:val="87"/>
              </w:rPr>
              <w:t>July 1,</w:t>
            </w:r>
          </w:p>
        </w:tc>
        <w:tc>
          <w:tcPr>
            <w:tcW w:w="660" w:type="dxa"/>
            <w:vAlign w:val="bottom"/>
            <w:tcBorders>
              <w:top w:val="single" w:sz="8" w:color="auto"/>
            </w:tcBorders>
            <w:gridSpan w:val="2"/>
          </w:tcPr>
          <w:p>
            <w:pPr>
              <w:jc w:val="center"/>
              <w:spacing w:after="0" w:line="129" w:lineRule="exact"/>
              <w:rPr>
                <w:sz w:val="20"/>
                <w:szCs w:val="20"/>
                <w:color w:val="auto"/>
              </w:rPr>
            </w:pPr>
            <w:r>
              <w:rPr>
                <w:rFonts w:ascii="Arial" w:cs="Arial" w:eastAsia="Arial" w:hAnsi="Arial"/>
                <w:sz w:val="14"/>
                <w:szCs w:val="14"/>
                <w:b w:val="1"/>
                <w:bCs w:val="1"/>
                <w:color w:val="auto"/>
                <w:w w:val="89"/>
              </w:rPr>
              <w:t>January 1,</w:t>
            </w:r>
          </w:p>
        </w:tc>
        <w:tc>
          <w:tcPr>
            <w:tcW w:w="100" w:type="dxa"/>
            <w:vAlign w:val="bottom"/>
          </w:tcPr>
          <w:p>
            <w:pPr>
              <w:spacing w:after="0"/>
              <w:rPr>
                <w:sz w:val="11"/>
                <w:szCs w:val="11"/>
                <w:color w:val="auto"/>
              </w:rPr>
            </w:pPr>
          </w:p>
        </w:tc>
      </w:tr>
      <w:tr>
        <w:trPr>
          <w:trHeight w:val="149"/>
        </w:trPr>
        <w:tc>
          <w:tcPr>
            <w:tcW w:w="458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84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w w:val="89"/>
              </w:rPr>
              <w:t>Three Months</w:t>
            </w:r>
          </w:p>
        </w:tc>
        <w:tc>
          <w:tcPr>
            <w:tcW w:w="400" w:type="dxa"/>
            <w:vAlign w:val="bottom"/>
          </w:tcPr>
          <w:p>
            <w:pPr>
              <w:spacing w:after="0"/>
              <w:rPr>
                <w:sz w:val="12"/>
                <w:szCs w:val="12"/>
                <w:color w:val="auto"/>
              </w:rPr>
            </w:pPr>
          </w:p>
        </w:tc>
        <w:tc>
          <w:tcPr>
            <w:tcW w:w="82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8"/>
              </w:rPr>
              <w:t>Nine Months</w:t>
            </w:r>
          </w:p>
        </w:tc>
        <w:tc>
          <w:tcPr>
            <w:tcW w:w="400" w:type="dxa"/>
            <w:vAlign w:val="bottom"/>
          </w:tcPr>
          <w:p>
            <w:pPr>
              <w:spacing w:after="0"/>
              <w:rPr>
                <w:sz w:val="12"/>
                <w:szCs w:val="12"/>
                <w:color w:val="auto"/>
              </w:rPr>
            </w:pPr>
          </w:p>
        </w:tc>
        <w:tc>
          <w:tcPr>
            <w:tcW w:w="1340" w:type="dxa"/>
            <w:vAlign w:val="bottom"/>
            <w:tcBorders>
              <w:right w:val="single" w:sz="8" w:color="auto"/>
            </w:tcBorders>
            <w:gridSpan w:val="3"/>
          </w:tcPr>
          <w:p>
            <w:pPr>
              <w:jc w:val="center"/>
              <w:ind w:right="500"/>
              <w:spacing w:after="0" w:line="149" w:lineRule="exact"/>
              <w:rPr>
                <w:sz w:val="20"/>
                <w:szCs w:val="20"/>
                <w:color w:val="auto"/>
              </w:rPr>
            </w:pPr>
            <w:r>
              <w:rPr>
                <w:rFonts w:ascii="Arial" w:cs="Arial" w:eastAsia="Arial" w:hAnsi="Arial"/>
                <w:sz w:val="14"/>
                <w:szCs w:val="14"/>
                <w:b w:val="1"/>
                <w:bCs w:val="1"/>
                <w:color w:val="auto"/>
                <w:w w:val="87"/>
              </w:rPr>
              <w:t>July 10, 2009</w:t>
            </w:r>
          </w:p>
        </w:tc>
        <w:tc>
          <w:tcPr>
            <w:tcW w:w="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20" w:type="dxa"/>
            <w:vAlign w:val="bottom"/>
          </w:tcPr>
          <w:p>
            <w:pPr>
              <w:jc w:val="center"/>
              <w:ind w:right="24"/>
              <w:spacing w:after="0" w:line="149" w:lineRule="exact"/>
              <w:rPr>
                <w:sz w:val="20"/>
                <w:szCs w:val="20"/>
                <w:color w:val="auto"/>
              </w:rPr>
            </w:pPr>
            <w:r>
              <w:rPr>
                <w:rFonts w:ascii="Arial" w:cs="Arial" w:eastAsia="Arial" w:hAnsi="Arial"/>
                <w:sz w:val="14"/>
                <w:szCs w:val="14"/>
                <w:b w:val="1"/>
                <w:bCs w:val="1"/>
                <w:color w:val="auto"/>
                <w:w w:val="89"/>
              </w:rPr>
              <w:t>2009</w:t>
            </w:r>
          </w:p>
        </w:tc>
        <w:tc>
          <w:tcPr>
            <w:tcW w:w="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jc w:val="center"/>
              <w:ind w:right="44"/>
              <w:spacing w:after="0" w:line="149" w:lineRule="exact"/>
              <w:rPr>
                <w:sz w:val="20"/>
                <w:szCs w:val="20"/>
                <w:color w:val="auto"/>
              </w:rPr>
            </w:pPr>
            <w:r>
              <w:rPr>
                <w:rFonts w:ascii="Arial" w:cs="Arial" w:eastAsia="Arial" w:hAnsi="Arial"/>
                <w:sz w:val="14"/>
                <w:szCs w:val="14"/>
                <w:b w:val="1"/>
                <w:bCs w:val="1"/>
                <w:color w:val="auto"/>
                <w:w w:val="89"/>
              </w:rPr>
              <w:t>2009</w:t>
            </w:r>
          </w:p>
        </w:tc>
        <w:tc>
          <w:tcPr>
            <w:tcW w:w="100" w:type="dxa"/>
            <w:vAlign w:val="bottom"/>
          </w:tcPr>
          <w:p>
            <w:pPr>
              <w:spacing w:after="0"/>
              <w:rPr>
                <w:sz w:val="12"/>
                <w:szCs w:val="12"/>
                <w:color w:val="auto"/>
              </w:rPr>
            </w:pPr>
          </w:p>
        </w:tc>
      </w:tr>
      <w:tr>
        <w:trPr>
          <w:trHeight w:val="149"/>
        </w:trPr>
        <w:tc>
          <w:tcPr>
            <w:tcW w:w="458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20" w:type="dxa"/>
            <w:vAlign w:val="bottom"/>
          </w:tcPr>
          <w:p>
            <w:pPr>
              <w:jc w:val="right"/>
              <w:ind w:right="162"/>
              <w:spacing w:after="0" w:line="149" w:lineRule="exact"/>
              <w:rPr>
                <w:sz w:val="20"/>
                <w:szCs w:val="20"/>
                <w:color w:val="auto"/>
              </w:rPr>
            </w:pPr>
            <w:r>
              <w:rPr>
                <w:rFonts w:ascii="Arial" w:cs="Arial" w:eastAsia="Arial" w:hAnsi="Arial"/>
                <w:sz w:val="14"/>
                <w:szCs w:val="14"/>
                <w:b w:val="1"/>
                <w:bCs w:val="1"/>
                <w:color w:val="auto"/>
                <w:w w:val="84"/>
              </w:rPr>
              <w:t>Ended</w:t>
            </w:r>
          </w:p>
        </w:tc>
        <w:tc>
          <w:tcPr>
            <w:tcW w:w="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jc w:val="center"/>
              <w:ind w:right="24"/>
              <w:spacing w:after="0" w:line="149" w:lineRule="exact"/>
              <w:rPr>
                <w:sz w:val="20"/>
                <w:szCs w:val="20"/>
                <w:color w:val="auto"/>
              </w:rPr>
            </w:pPr>
            <w:r>
              <w:rPr>
                <w:rFonts w:ascii="Arial" w:cs="Arial" w:eastAsia="Arial" w:hAnsi="Arial"/>
                <w:sz w:val="14"/>
                <w:szCs w:val="14"/>
                <w:b w:val="1"/>
                <w:bCs w:val="1"/>
                <w:color w:val="auto"/>
                <w:w w:val="88"/>
              </w:rPr>
              <w:t>Ended</w:t>
            </w:r>
          </w:p>
        </w:tc>
        <w:tc>
          <w:tcPr>
            <w:tcW w:w="4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20" w:type="dxa"/>
            <w:vAlign w:val="bottom"/>
            <w:tcBorders>
              <w:right w:val="single" w:sz="8" w:color="auto"/>
            </w:tcBorders>
            <w:gridSpan w:val="2"/>
          </w:tcPr>
          <w:p>
            <w:pPr>
              <w:jc w:val="center"/>
              <w:ind w:right="620"/>
              <w:spacing w:after="0" w:line="149" w:lineRule="exact"/>
              <w:rPr>
                <w:sz w:val="20"/>
                <w:szCs w:val="20"/>
                <w:color w:val="auto"/>
              </w:rPr>
            </w:pPr>
            <w:r>
              <w:rPr>
                <w:rFonts w:ascii="Arial" w:cs="Arial" w:eastAsia="Arial" w:hAnsi="Arial"/>
                <w:sz w:val="14"/>
                <w:szCs w:val="14"/>
                <w:b w:val="1"/>
                <w:bCs w:val="1"/>
                <w:color w:val="auto"/>
                <w:w w:val="91"/>
              </w:rPr>
              <w:t>Through</w:t>
            </w:r>
          </w:p>
        </w:tc>
        <w:tc>
          <w:tcPr>
            <w:tcW w:w="300" w:type="dxa"/>
            <w:vAlign w:val="bottom"/>
          </w:tcPr>
          <w:p>
            <w:pPr>
              <w:spacing w:after="0"/>
              <w:rPr>
                <w:sz w:val="12"/>
                <w:szCs w:val="12"/>
                <w:color w:val="auto"/>
              </w:rPr>
            </w:pPr>
          </w:p>
        </w:tc>
        <w:tc>
          <w:tcPr>
            <w:tcW w:w="940" w:type="dxa"/>
            <w:vAlign w:val="bottom"/>
            <w:gridSpan w:val="3"/>
          </w:tcPr>
          <w:p>
            <w:pPr>
              <w:jc w:val="center"/>
              <w:ind w:right="440"/>
              <w:spacing w:after="0" w:line="149" w:lineRule="exact"/>
              <w:rPr>
                <w:sz w:val="20"/>
                <w:szCs w:val="20"/>
                <w:color w:val="auto"/>
              </w:rPr>
            </w:pPr>
            <w:r>
              <w:rPr>
                <w:rFonts w:ascii="Arial" w:cs="Arial" w:eastAsia="Arial" w:hAnsi="Arial"/>
                <w:sz w:val="14"/>
                <w:szCs w:val="14"/>
                <w:b w:val="1"/>
                <w:bCs w:val="1"/>
                <w:color w:val="auto"/>
                <w:w w:val="87"/>
              </w:rPr>
              <w:t>Through</w:t>
            </w:r>
          </w:p>
        </w:tc>
        <w:tc>
          <w:tcPr>
            <w:tcW w:w="760" w:type="dxa"/>
            <w:vAlign w:val="bottom"/>
            <w:gridSpan w:val="3"/>
          </w:tcPr>
          <w:p>
            <w:pPr>
              <w:jc w:val="center"/>
              <w:ind w:right="120"/>
              <w:spacing w:after="0" w:line="149" w:lineRule="exact"/>
              <w:rPr>
                <w:sz w:val="20"/>
                <w:szCs w:val="20"/>
                <w:color w:val="auto"/>
              </w:rPr>
            </w:pPr>
            <w:r>
              <w:rPr>
                <w:rFonts w:ascii="Arial" w:cs="Arial" w:eastAsia="Arial" w:hAnsi="Arial"/>
                <w:sz w:val="14"/>
                <w:szCs w:val="14"/>
                <w:b w:val="1"/>
                <w:bCs w:val="1"/>
                <w:color w:val="auto"/>
                <w:w w:val="91"/>
              </w:rPr>
              <w:t>Through</w:t>
            </w:r>
          </w:p>
        </w:tc>
      </w:tr>
      <w:tr>
        <w:trPr>
          <w:trHeight w:val="149"/>
        </w:trPr>
        <w:tc>
          <w:tcPr>
            <w:tcW w:w="458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84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w w:val="85"/>
              </w:rPr>
              <w:t>September 30,</w:t>
            </w:r>
          </w:p>
        </w:tc>
        <w:tc>
          <w:tcPr>
            <w:tcW w:w="400" w:type="dxa"/>
            <w:vAlign w:val="bottom"/>
          </w:tcPr>
          <w:p>
            <w:pPr>
              <w:spacing w:after="0"/>
              <w:rPr>
                <w:sz w:val="12"/>
                <w:szCs w:val="12"/>
                <w:color w:val="auto"/>
              </w:rPr>
            </w:pPr>
          </w:p>
        </w:tc>
        <w:tc>
          <w:tcPr>
            <w:tcW w:w="82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5"/>
              </w:rPr>
              <w:t>September 30,</w:t>
            </w:r>
          </w:p>
        </w:tc>
        <w:tc>
          <w:tcPr>
            <w:tcW w:w="400" w:type="dxa"/>
            <w:vAlign w:val="bottom"/>
          </w:tcPr>
          <w:p>
            <w:pPr>
              <w:spacing w:after="0"/>
              <w:rPr>
                <w:sz w:val="12"/>
                <w:szCs w:val="12"/>
                <w:color w:val="auto"/>
              </w:rPr>
            </w:pPr>
          </w:p>
        </w:tc>
        <w:tc>
          <w:tcPr>
            <w:tcW w:w="1340" w:type="dxa"/>
            <w:vAlign w:val="bottom"/>
            <w:tcBorders>
              <w:right w:val="single" w:sz="8" w:color="auto"/>
            </w:tcBorders>
            <w:gridSpan w:val="3"/>
          </w:tcPr>
          <w:p>
            <w:pPr>
              <w:jc w:val="center"/>
              <w:ind w:right="520"/>
              <w:spacing w:after="0" w:line="149" w:lineRule="exact"/>
              <w:rPr>
                <w:sz w:val="20"/>
                <w:szCs w:val="20"/>
                <w:color w:val="auto"/>
              </w:rPr>
            </w:pPr>
            <w:r>
              <w:rPr>
                <w:rFonts w:ascii="Arial" w:cs="Arial" w:eastAsia="Arial" w:hAnsi="Arial"/>
                <w:sz w:val="14"/>
                <w:szCs w:val="14"/>
                <w:b w:val="1"/>
                <w:bCs w:val="1"/>
                <w:color w:val="auto"/>
                <w:w w:val="85"/>
              </w:rPr>
              <w:t>September 30,</w:t>
            </w:r>
          </w:p>
        </w:tc>
        <w:tc>
          <w:tcPr>
            <w:tcW w:w="300" w:type="dxa"/>
            <w:vAlign w:val="bottom"/>
          </w:tcPr>
          <w:p>
            <w:pPr>
              <w:spacing w:after="0"/>
              <w:rPr>
                <w:sz w:val="12"/>
                <w:szCs w:val="12"/>
                <w:color w:val="auto"/>
              </w:rPr>
            </w:pPr>
          </w:p>
        </w:tc>
        <w:tc>
          <w:tcPr>
            <w:tcW w:w="940" w:type="dxa"/>
            <w:vAlign w:val="bottom"/>
            <w:gridSpan w:val="3"/>
          </w:tcPr>
          <w:p>
            <w:pPr>
              <w:jc w:val="center"/>
              <w:ind w:right="440"/>
              <w:spacing w:after="0" w:line="149" w:lineRule="exact"/>
              <w:rPr>
                <w:sz w:val="20"/>
                <w:szCs w:val="20"/>
                <w:color w:val="auto"/>
              </w:rPr>
            </w:pPr>
            <w:r>
              <w:rPr>
                <w:rFonts w:ascii="Arial" w:cs="Arial" w:eastAsia="Arial" w:hAnsi="Arial"/>
                <w:sz w:val="14"/>
                <w:szCs w:val="14"/>
                <w:b w:val="1"/>
                <w:bCs w:val="1"/>
                <w:color w:val="auto"/>
                <w:w w:val="87"/>
              </w:rPr>
              <w:t>July 9,</w:t>
            </w:r>
          </w:p>
        </w:tc>
        <w:tc>
          <w:tcPr>
            <w:tcW w:w="100" w:type="dxa"/>
            <w:vAlign w:val="bottom"/>
          </w:tcPr>
          <w:p>
            <w:pPr>
              <w:spacing w:after="0"/>
              <w:rPr>
                <w:sz w:val="12"/>
                <w:szCs w:val="12"/>
                <w:color w:val="auto"/>
              </w:rPr>
            </w:pPr>
          </w:p>
        </w:tc>
        <w:tc>
          <w:tcPr>
            <w:tcW w:w="66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1"/>
              </w:rPr>
              <w:t>July 9,</w:t>
            </w:r>
          </w:p>
        </w:tc>
      </w:tr>
      <w:tr>
        <w:trPr>
          <w:trHeight w:val="161"/>
        </w:trPr>
        <w:tc>
          <w:tcPr>
            <w:tcW w:w="45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ind w:right="202"/>
              <w:spacing w:after="0"/>
              <w:rPr>
                <w:sz w:val="20"/>
                <w:szCs w:val="20"/>
                <w:color w:val="auto"/>
              </w:rPr>
            </w:pPr>
            <w:r>
              <w:rPr>
                <w:rFonts w:ascii="Arial" w:cs="Arial" w:eastAsia="Arial" w:hAnsi="Arial"/>
                <w:sz w:val="14"/>
                <w:szCs w:val="14"/>
                <w:b w:val="1"/>
                <w:bCs w:val="1"/>
                <w:color w:val="auto"/>
              </w:rPr>
              <w:t>2010</w:t>
            </w:r>
          </w:p>
        </w:tc>
        <w:tc>
          <w:tcPr>
            <w:tcW w:w="4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center"/>
              <w:ind w:right="24"/>
              <w:spacing w:after="0"/>
              <w:rPr>
                <w:sz w:val="20"/>
                <w:szCs w:val="20"/>
                <w:color w:val="auto"/>
              </w:rPr>
            </w:pPr>
            <w:r>
              <w:rPr>
                <w:rFonts w:ascii="Arial" w:cs="Arial" w:eastAsia="Arial" w:hAnsi="Arial"/>
                <w:sz w:val="14"/>
                <w:szCs w:val="14"/>
                <w:b w:val="1"/>
                <w:bCs w:val="1"/>
                <w:color w:val="auto"/>
                <w:w w:val="83"/>
              </w:rPr>
              <w:t>2010</w:t>
            </w:r>
          </w:p>
        </w:tc>
        <w:tc>
          <w:tcPr>
            <w:tcW w:w="40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center"/>
              <w:ind w:right="22"/>
              <w:spacing w:after="0"/>
              <w:rPr>
                <w:sz w:val="20"/>
                <w:szCs w:val="20"/>
                <w:color w:val="auto"/>
              </w:rPr>
            </w:pPr>
            <w:r>
              <w:rPr>
                <w:rFonts w:ascii="Arial" w:cs="Arial" w:eastAsia="Arial" w:hAnsi="Arial"/>
                <w:sz w:val="14"/>
                <w:szCs w:val="14"/>
                <w:b w:val="1"/>
                <w:bCs w:val="1"/>
                <w:color w:val="auto"/>
                <w:w w:val="89"/>
              </w:rPr>
              <w:t>2009</w:t>
            </w:r>
          </w:p>
        </w:tc>
        <w:tc>
          <w:tcPr>
            <w:tcW w:w="520" w:type="dxa"/>
            <w:vAlign w:val="bottom"/>
            <w:tcBorders>
              <w:right w:val="single" w:sz="8" w:color="auto"/>
            </w:tcBorders>
          </w:tcPr>
          <w:p>
            <w:pPr>
              <w:spacing w:after="0"/>
              <w:rPr>
                <w:sz w:val="14"/>
                <w:szCs w:val="14"/>
                <w:color w:val="auto"/>
              </w:rPr>
            </w:pPr>
          </w:p>
        </w:tc>
        <w:tc>
          <w:tcPr>
            <w:tcW w:w="3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jc w:val="center"/>
              <w:ind w:right="24"/>
              <w:spacing w:after="0"/>
              <w:rPr>
                <w:sz w:val="20"/>
                <w:szCs w:val="20"/>
                <w:color w:val="auto"/>
              </w:rPr>
            </w:pPr>
            <w:r>
              <w:rPr>
                <w:rFonts w:ascii="Arial" w:cs="Arial" w:eastAsia="Arial" w:hAnsi="Arial"/>
                <w:sz w:val="14"/>
                <w:szCs w:val="14"/>
                <w:b w:val="1"/>
                <w:bCs w:val="1"/>
                <w:color w:val="auto"/>
                <w:w w:val="89"/>
              </w:rPr>
              <w:t>2009</w:t>
            </w:r>
          </w:p>
        </w:tc>
        <w:tc>
          <w:tcPr>
            <w:tcW w:w="4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jc w:val="center"/>
              <w:ind w:right="44"/>
              <w:spacing w:after="0"/>
              <w:rPr>
                <w:sz w:val="20"/>
                <w:szCs w:val="20"/>
                <w:color w:val="auto"/>
              </w:rPr>
            </w:pPr>
            <w:r>
              <w:rPr>
                <w:rFonts w:ascii="Arial" w:cs="Arial" w:eastAsia="Arial" w:hAnsi="Arial"/>
                <w:sz w:val="14"/>
                <w:szCs w:val="14"/>
                <w:b w:val="1"/>
                <w:bCs w:val="1"/>
                <w:color w:val="auto"/>
                <w:w w:val="89"/>
              </w:rPr>
              <w:t>2009</w:t>
            </w:r>
          </w:p>
        </w:tc>
        <w:tc>
          <w:tcPr>
            <w:tcW w:w="100" w:type="dxa"/>
            <w:vAlign w:val="bottom"/>
          </w:tcPr>
          <w:p>
            <w:pPr>
              <w:spacing w:after="0"/>
              <w:rPr>
                <w:sz w:val="14"/>
                <w:szCs w:val="14"/>
                <w:color w:val="auto"/>
              </w:rPr>
            </w:pPr>
          </w:p>
        </w:tc>
      </w:tr>
      <w:tr>
        <w:trPr>
          <w:trHeight w:val="210"/>
        </w:trPr>
        <w:tc>
          <w:tcPr>
            <w:tcW w:w="45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net sales and revenue</w:t>
            </w:r>
          </w:p>
        </w:tc>
        <w:tc>
          <w:tcPr>
            <w:tcW w:w="1260" w:type="dxa"/>
            <w:vAlign w:val="bottom"/>
            <w:gridSpan w:val="2"/>
            <w:shd w:val="clear" w:color="auto" w:fill="CCEEFF"/>
          </w:tcPr>
          <w:p>
            <w:pPr>
              <w:ind w:left="104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21,493</w:t>
            </w: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61,045</w:t>
            </w: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20" w:type="dxa"/>
            <w:vAlign w:val="bottom"/>
            <w:tcBorders>
              <w:right w:val="single" w:sz="8" w:color="auto"/>
            </w:tcBorders>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14,151</w:t>
            </w: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427</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8"/>
              </w:rPr>
              <w:t>24,191</w:t>
            </w:r>
          </w:p>
        </w:tc>
      </w:tr>
      <w:tr>
        <w:trPr>
          <w:trHeight w:val="216"/>
        </w:trPr>
        <w:tc>
          <w:tcPr>
            <w:tcW w:w="4580" w:type="dxa"/>
            <w:vAlign w:val="bottom"/>
          </w:tcPr>
          <w:p>
            <w:pPr>
              <w:spacing w:after="0"/>
              <w:rPr>
                <w:sz w:val="20"/>
                <w:szCs w:val="20"/>
                <w:color w:val="auto"/>
              </w:rPr>
            </w:pPr>
            <w:r>
              <w:rPr>
                <w:rFonts w:ascii="Arial" w:cs="Arial" w:eastAsia="Arial" w:hAnsi="Arial"/>
                <w:sz w:val="18"/>
                <w:szCs w:val="18"/>
                <w:b w:val="1"/>
                <w:bCs w:val="1"/>
                <w:color w:val="auto"/>
              </w:rPr>
              <w:t>Earnings (loss) before interest and income taxes</w:t>
            </w:r>
          </w:p>
        </w:tc>
        <w:tc>
          <w:tcPr>
            <w:tcW w:w="1260" w:type="dxa"/>
            <w:vAlign w:val="bottom"/>
            <w:gridSpan w:val="2"/>
          </w:tcPr>
          <w:p>
            <w:pPr>
              <w:ind w:left="1040"/>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2,125</w:t>
            </w:r>
          </w:p>
        </w:tc>
        <w:tc>
          <w:tcPr>
            <w:tcW w:w="5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4,935</w:t>
            </w:r>
          </w:p>
        </w:tc>
        <w:tc>
          <w:tcPr>
            <w:tcW w:w="5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20" w:type="dxa"/>
            <w:vAlign w:val="bottom"/>
            <w:tcBorders>
              <w:right w:val="single" w:sz="8" w:color="auto"/>
            </w:tcBorders>
            <w:gridSpan w:val="2"/>
          </w:tcPr>
          <w:p>
            <w:pPr>
              <w:jc w:val="right"/>
              <w:ind w:right="460"/>
              <w:spacing w:after="0"/>
              <w:rPr>
                <w:sz w:val="20"/>
                <w:szCs w:val="20"/>
                <w:color w:val="auto"/>
              </w:rPr>
            </w:pPr>
            <w:r>
              <w:rPr>
                <w:rFonts w:ascii="Arial" w:cs="Arial" w:eastAsia="Arial" w:hAnsi="Arial"/>
                <w:sz w:val="18"/>
                <w:szCs w:val="18"/>
                <w:color w:val="auto"/>
              </w:rPr>
              <w:t>(1,377)</w:t>
            </w:r>
          </w:p>
        </w:tc>
        <w:tc>
          <w:tcPr>
            <w:tcW w:w="4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360"/>
              <w:spacing w:after="0"/>
              <w:rPr>
                <w:sz w:val="20"/>
                <w:szCs w:val="20"/>
                <w:color w:val="auto"/>
              </w:rPr>
            </w:pPr>
            <w:r>
              <w:rPr>
                <w:rFonts w:ascii="Arial" w:cs="Arial" w:eastAsia="Arial" w:hAnsi="Arial"/>
                <w:sz w:val="18"/>
                <w:szCs w:val="18"/>
                <w:color w:val="auto"/>
              </w:rPr>
              <w:t>(640)</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gridSpan w:val="2"/>
          </w:tcPr>
          <w:p>
            <w:pPr>
              <w:jc w:val="right"/>
              <w:ind w:right="40"/>
              <w:spacing w:after="0"/>
              <w:rPr>
                <w:sz w:val="20"/>
                <w:szCs w:val="20"/>
                <w:color w:val="auto"/>
              </w:rPr>
            </w:pPr>
            <w:r>
              <w:rPr>
                <w:rFonts w:ascii="Arial" w:cs="Arial" w:eastAsia="Arial" w:hAnsi="Arial"/>
                <w:sz w:val="18"/>
                <w:szCs w:val="18"/>
                <w:color w:val="auto"/>
                <w:w w:val="89"/>
              </w:rPr>
              <w:t>(11,092)</w:t>
            </w:r>
          </w:p>
        </w:tc>
      </w:tr>
      <w:tr>
        <w:trPr>
          <w:trHeight w:val="363"/>
        </w:trPr>
        <w:tc>
          <w:tcPr>
            <w:tcW w:w="4580" w:type="dxa"/>
            <w:vAlign w:val="bottom"/>
          </w:tcPr>
          <w:p>
            <w:pPr>
              <w:spacing w:after="0"/>
              <w:rPr>
                <w:sz w:val="24"/>
                <w:szCs w:val="24"/>
                <w:color w:val="auto"/>
              </w:rPr>
            </w:pPr>
          </w:p>
        </w:tc>
        <w:tc>
          <w:tcPr>
            <w:tcW w:w="1260" w:type="dxa"/>
            <w:vAlign w:val="bottom"/>
            <w:gridSpan w:val="2"/>
          </w:tcPr>
          <w:p>
            <w:pPr>
              <w:jc w:val="right"/>
              <w:spacing w:after="0"/>
              <w:rPr>
                <w:sz w:val="20"/>
                <w:szCs w:val="20"/>
                <w:color w:val="auto"/>
              </w:rPr>
            </w:pPr>
            <w:r>
              <w:rPr>
                <w:rFonts w:ascii="Arial" w:cs="Arial" w:eastAsia="Arial" w:hAnsi="Arial"/>
                <w:sz w:val="18"/>
                <w:szCs w:val="18"/>
                <w:color w:val="auto"/>
              </w:rPr>
              <w:t>112</w:t>
            </w:r>
          </w:p>
        </w:tc>
        <w:tc>
          <w:tcPr>
            <w:tcW w:w="6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r>
    </w:tbl>
    <w:p>
      <w:pPr>
        <w:sectPr>
          <w:pgSz w:w="11900" w:h="16838" w:orient="portrait"/>
          <w:cols w:equalWidth="0" w:num="1">
            <w:col w:w="11420"/>
          </w:cols>
          <w:pgMar w:left="240" w:top="459" w:right="239" w:bottom="1440" w:gutter="0" w:footer="0" w:header="0"/>
        </w:sectPr>
      </w:pPr>
    </w:p>
    <w:bookmarkStart w:id="114" w:name="page115"/>
    <w:bookmarkEnd w:id="1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339"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Production and Vehicle Sales Volume</w:t>
      </w:r>
    </w:p>
    <w:p>
      <w:pPr>
        <w:spacing w:after="0" w:line="171" w:lineRule="exact"/>
        <w:rPr>
          <w:sz w:val="20"/>
          <w:szCs w:val="20"/>
          <w:color w:val="auto"/>
        </w:rPr>
      </w:pPr>
    </w:p>
    <w:p>
      <w:pPr>
        <w:ind w:left="240"/>
        <w:spacing w:after="0"/>
        <w:rPr>
          <w:sz w:val="20"/>
          <w:szCs w:val="20"/>
          <w:color w:val="auto"/>
        </w:rPr>
      </w:pPr>
      <w:r>
        <w:rPr>
          <w:rFonts w:ascii="Arial" w:cs="Arial" w:eastAsia="Arial" w:hAnsi="Arial"/>
          <w:sz w:val="18"/>
          <w:szCs w:val="18"/>
          <w:color w:val="auto"/>
        </w:rPr>
        <w:t>The following tables summarize total production volume and sales of new motor vehicles and competitive position (in thousands):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60" w:type="dxa"/>
            <w:vAlign w:val="bottom"/>
          </w:tcPr>
          <w:p>
            <w:pPr>
              <w:spacing w:after="0"/>
              <w:rPr>
                <w:sz w:val="14"/>
                <w:szCs w:val="14"/>
                <w:color w:val="auto"/>
              </w:rPr>
            </w:pPr>
          </w:p>
        </w:tc>
        <w:tc>
          <w:tcPr>
            <w:tcW w:w="47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540" w:type="dxa"/>
            <w:vAlign w:val="bottom"/>
            <w:gridSpan w:val="2"/>
          </w:tcPr>
          <w:p>
            <w:pPr>
              <w:jc w:val="right"/>
              <w:ind w:right="827"/>
              <w:spacing w:after="0"/>
              <w:rPr>
                <w:sz w:val="20"/>
                <w:szCs w:val="20"/>
                <w:color w:val="auto"/>
              </w:rPr>
            </w:pPr>
            <w:r>
              <w:rPr>
                <w:rFonts w:ascii="Arial" w:cs="Arial" w:eastAsia="Arial" w:hAnsi="Arial"/>
                <w:sz w:val="14"/>
                <w:szCs w:val="14"/>
                <w:b w:val="1"/>
                <w:bCs w:val="1"/>
                <w:color w:val="auto"/>
                <w:w w:val="87"/>
              </w:rPr>
              <w:t>Successor</w:t>
            </w:r>
          </w:p>
        </w:tc>
        <w:tc>
          <w:tcPr>
            <w:tcW w:w="700" w:type="dxa"/>
            <w:vAlign w:val="bottom"/>
          </w:tcPr>
          <w:p>
            <w:pPr>
              <w:spacing w:after="0"/>
              <w:rPr>
                <w:sz w:val="14"/>
                <w:szCs w:val="14"/>
                <w:color w:val="auto"/>
              </w:rPr>
            </w:pPr>
          </w:p>
        </w:tc>
        <w:tc>
          <w:tcPr>
            <w:tcW w:w="2440" w:type="dxa"/>
            <w:vAlign w:val="bottom"/>
            <w:gridSpan w:val="4"/>
          </w:tcPr>
          <w:p>
            <w:pPr>
              <w:ind w:left="360"/>
              <w:spacing w:after="0"/>
              <w:rPr>
                <w:sz w:val="20"/>
                <w:szCs w:val="20"/>
                <w:color w:val="auto"/>
              </w:rPr>
            </w:pPr>
            <w:r>
              <w:rPr>
                <w:rFonts w:ascii="Arial" w:cs="Arial" w:eastAsia="Arial" w:hAnsi="Arial"/>
                <w:sz w:val="14"/>
                <w:szCs w:val="14"/>
                <w:b w:val="1"/>
                <w:bCs w:val="1"/>
                <w:color w:val="auto"/>
              </w:rPr>
              <w:t>Combined GM and Old GM</w:t>
            </w:r>
          </w:p>
        </w:tc>
      </w:tr>
      <w:tr>
        <w:trPr>
          <w:trHeight w:val="129"/>
        </w:trPr>
        <w:tc>
          <w:tcPr>
            <w:tcW w:w="1160" w:type="dxa"/>
            <w:vAlign w:val="bottom"/>
          </w:tcPr>
          <w:p>
            <w:pPr>
              <w:spacing w:after="0"/>
              <w:rPr>
                <w:sz w:val="11"/>
                <w:szCs w:val="11"/>
                <w:color w:val="auto"/>
              </w:rPr>
            </w:pPr>
          </w:p>
        </w:tc>
        <w:tc>
          <w:tcPr>
            <w:tcW w:w="4760" w:type="dxa"/>
            <w:vAlign w:val="bottom"/>
          </w:tcPr>
          <w:p>
            <w:pPr>
              <w:spacing w:after="0"/>
              <w:rPr>
                <w:sz w:val="11"/>
                <w:szCs w:val="11"/>
                <w:color w:val="auto"/>
              </w:rPr>
            </w:pPr>
          </w:p>
        </w:tc>
        <w:tc>
          <w:tcPr>
            <w:tcW w:w="820" w:type="dxa"/>
            <w:vAlign w:val="bottom"/>
            <w:tcBorders>
              <w:top w:val="single" w:sz="8" w:color="auto"/>
            </w:tcBorders>
          </w:tcPr>
          <w:p>
            <w:pPr>
              <w:jc w:val="right"/>
              <w:spacing w:after="0" w:line="129" w:lineRule="exact"/>
              <w:rPr>
                <w:sz w:val="20"/>
                <w:szCs w:val="20"/>
                <w:color w:val="auto"/>
              </w:rPr>
            </w:pPr>
            <w:r>
              <w:rPr>
                <w:rFonts w:ascii="Arial" w:cs="Arial" w:eastAsia="Arial" w:hAnsi="Arial"/>
                <w:sz w:val="14"/>
                <w:szCs w:val="14"/>
                <w:b w:val="1"/>
                <w:bCs w:val="1"/>
                <w:color w:val="auto"/>
                <w:w w:val="87"/>
              </w:rPr>
              <w:t>Three Months</w:t>
            </w:r>
          </w:p>
        </w:tc>
        <w:tc>
          <w:tcPr>
            <w:tcW w:w="700" w:type="dxa"/>
            <w:vAlign w:val="bottom"/>
            <w:tcBorders>
              <w:top w:val="single" w:sz="8" w:color="auto"/>
            </w:tcBorders>
          </w:tcPr>
          <w:p>
            <w:pPr>
              <w:spacing w:after="0"/>
              <w:rPr>
                <w:sz w:val="11"/>
                <w:szCs w:val="11"/>
                <w:color w:val="auto"/>
              </w:rPr>
            </w:pPr>
          </w:p>
        </w:tc>
        <w:tc>
          <w:tcPr>
            <w:tcW w:w="840" w:type="dxa"/>
            <w:vAlign w:val="bottom"/>
            <w:tcBorders>
              <w:top w:val="single" w:sz="8" w:color="auto"/>
            </w:tcBorders>
          </w:tcPr>
          <w:p>
            <w:pPr>
              <w:jc w:val="center"/>
              <w:spacing w:after="0" w:line="129" w:lineRule="exact"/>
              <w:rPr>
                <w:sz w:val="20"/>
                <w:szCs w:val="20"/>
                <w:color w:val="auto"/>
              </w:rPr>
            </w:pPr>
            <w:r>
              <w:rPr>
                <w:rFonts w:ascii="Arial" w:cs="Arial" w:eastAsia="Arial" w:hAnsi="Arial"/>
                <w:sz w:val="14"/>
                <w:szCs w:val="14"/>
                <w:b w:val="1"/>
                <w:bCs w:val="1"/>
                <w:color w:val="auto"/>
                <w:w w:val="90"/>
              </w:rPr>
              <w:t>Nine Months</w:t>
            </w:r>
          </w:p>
        </w:tc>
        <w:tc>
          <w:tcPr>
            <w:tcW w:w="700" w:type="dxa"/>
            <w:vAlign w:val="bottom"/>
          </w:tcPr>
          <w:p>
            <w:pPr>
              <w:spacing w:after="0"/>
              <w:rPr>
                <w:sz w:val="11"/>
                <w:szCs w:val="11"/>
                <w:color w:val="auto"/>
              </w:rPr>
            </w:pPr>
          </w:p>
        </w:tc>
        <w:tc>
          <w:tcPr>
            <w:tcW w:w="1520" w:type="dxa"/>
            <w:vAlign w:val="bottom"/>
            <w:tcBorders>
              <w:top w:val="single" w:sz="8" w:color="auto"/>
            </w:tcBorders>
            <w:gridSpan w:val="2"/>
          </w:tcPr>
          <w:p>
            <w:pPr>
              <w:jc w:val="right"/>
              <w:ind w:right="700"/>
              <w:spacing w:after="0" w:line="129" w:lineRule="exact"/>
              <w:rPr>
                <w:sz w:val="20"/>
                <w:szCs w:val="20"/>
                <w:color w:val="auto"/>
              </w:rPr>
            </w:pPr>
            <w:r>
              <w:rPr>
                <w:rFonts w:ascii="Arial" w:cs="Arial" w:eastAsia="Arial" w:hAnsi="Arial"/>
                <w:sz w:val="14"/>
                <w:szCs w:val="14"/>
                <w:b w:val="1"/>
                <w:bCs w:val="1"/>
                <w:color w:val="auto"/>
                <w:w w:val="87"/>
              </w:rPr>
              <w:t>Three Months</w:t>
            </w:r>
          </w:p>
        </w:tc>
        <w:tc>
          <w:tcPr>
            <w:tcW w:w="820" w:type="dxa"/>
            <w:vAlign w:val="bottom"/>
            <w:tcBorders>
              <w:top w:val="single" w:sz="8" w:color="auto"/>
            </w:tcBorders>
          </w:tcPr>
          <w:p>
            <w:pPr>
              <w:jc w:val="center"/>
              <w:spacing w:after="0" w:line="129" w:lineRule="exact"/>
              <w:rPr>
                <w:sz w:val="20"/>
                <w:szCs w:val="20"/>
                <w:color w:val="auto"/>
              </w:rPr>
            </w:pPr>
            <w:r>
              <w:rPr>
                <w:rFonts w:ascii="Arial" w:cs="Arial" w:eastAsia="Arial" w:hAnsi="Arial"/>
                <w:sz w:val="14"/>
                <w:szCs w:val="14"/>
                <w:b w:val="1"/>
                <w:bCs w:val="1"/>
                <w:color w:val="auto"/>
                <w:w w:val="88"/>
              </w:rPr>
              <w:t>Nine Months</w:t>
            </w:r>
          </w:p>
        </w:tc>
        <w:tc>
          <w:tcPr>
            <w:tcW w:w="100" w:type="dxa"/>
            <w:vAlign w:val="bottom"/>
          </w:tcPr>
          <w:p>
            <w:pPr>
              <w:spacing w:after="0"/>
              <w:rPr>
                <w:sz w:val="11"/>
                <w:szCs w:val="11"/>
                <w:color w:val="auto"/>
              </w:rPr>
            </w:pPr>
          </w:p>
        </w:tc>
      </w:tr>
      <w:tr>
        <w:trPr>
          <w:trHeight w:val="149"/>
        </w:trPr>
        <w:tc>
          <w:tcPr>
            <w:tcW w:w="1160" w:type="dxa"/>
            <w:vAlign w:val="bottom"/>
          </w:tcPr>
          <w:p>
            <w:pPr>
              <w:spacing w:after="0"/>
              <w:rPr>
                <w:sz w:val="12"/>
                <w:szCs w:val="12"/>
                <w:color w:val="auto"/>
              </w:rPr>
            </w:pPr>
          </w:p>
        </w:tc>
        <w:tc>
          <w:tcPr>
            <w:tcW w:w="4760" w:type="dxa"/>
            <w:vAlign w:val="bottom"/>
          </w:tcPr>
          <w:p>
            <w:pPr>
              <w:spacing w:after="0"/>
              <w:rPr>
                <w:sz w:val="12"/>
                <w:szCs w:val="12"/>
                <w:color w:val="auto"/>
              </w:rPr>
            </w:pPr>
          </w:p>
        </w:tc>
        <w:tc>
          <w:tcPr>
            <w:tcW w:w="820" w:type="dxa"/>
            <w:vAlign w:val="bottom"/>
          </w:tcPr>
          <w:p>
            <w:pPr>
              <w:jc w:val="right"/>
              <w:ind w:right="144"/>
              <w:spacing w:after="0" w:line="149" w:lineRule="exact"/>
              <w:rPr>
                <w:sz w:val="20"/>
                <w:szCs w:val="20"/>
                <w:color w:val="auto"/>
              </w:rPr>
            </w:pPr>
            <w:r>
              <w:rPr>
                <w:rFonts w:ascii="Arial" w:cs="Arial" w:eastAsia="Arial" w:hAnsi="Arial"/>
                <w:sz w:val="14"/>
                <w:szCs w:val="14"/>
                <w:b w:val="1"/>
                <w:bCs w:val="1"/>
                <w:color w:val="auto"/>
              </w:rPr>
              <w:t>Ended</w:t>
            </w:r>
          </w:p>
        </w:tc>
        <w:tc>
          <w:tcPr>
            <w:tcW w:w="700" w:type="dxa"/>
            <w:vAlign w:val="bottom"/>
          </w:tcPr>
          <w:p>
            <w:pPr>
              <w:spacing w:after="0"/>
              <w:rPr>
                <w:sz w:val="12"/>
                <w:szCs w:val="12"/>
                <w:color w:val="auto"/>
              </w:rPr>
            </w:pPr>
          </w:p>
        </w:tc>
        <w:tc>
          <w:tcPr>
            <w:tcW w:w="8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4"/>
              </w:rPr>
              <w:t>Ended</w:t>
            </w:r>
          </w:p>
        </w:tc>
        <w:tc>
          <w:tcPr>
            <w:tcW w:w="700" w:type="dxa"/>
            <w:vAlign w:val="bottom"/>
          </w:tcPr>
          <w:p>
            <w:pPr>
              <w:spacing w:after="0"/>
              <w:rPr>
                <w:sz w:val="12"/>
                <w:szCs w:val="12"/>
                <w:color w:val="auto"/>
              </w:rPr>
            </w:pPr>
          </w:p>
        </w:tc>
        <w:tc>
          <w:tcPr>
            <w:tcW w:w="1520" w:type="dxa"/>
            <w:vAlign w:val="bottom"/>
            <w:gridSpan w:val="2"/>
          </w:tcPr>
          <w:p>
            <w:pPr>
              <w:ind w:left="220"/>
              <w:spacing w:after="0" w:line="149" w:lineRule="exact"/>
              <w:rPr>
                <w:sz w:val="20"/>
                <w:szCs w:val="20"/>
                <w:color w:val="auto"/>
              </w:rPr>
            </w:pPr>
            <w:r>
              <w:rPr>
                <w:rFonts w:ascii="Arial" w:cs="Arial" w:eastAsia="Arial" w:hAnsi="Arial"/>
                <w:sz w:val="14"/>
                <w:szCs w:val="14"/>
                <w:b w:val="1"/>
                <w:bCs w:val="1"/>
                <w:color w:val="auto"/>
              </w:rPr>
              <w:t>Ended</w:t>
            </w:r>
          </w:p>
        </w:tc>
        <w:tc>
          <w:tcPr>
            <w:tcW w:w="92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88"/>
              </w:rPr>
              <w:t>Ended</w:t>
            </w:r>
          </w:p>
        </w:tc>
      </w:tr>
      <w:tr>
        <w:trPr>
          <w:trHeight w:val="149"/>
        </w:trPr>
        <w:tc>
          <w:tcPr>
            <w:tcW w:w="1160" w:type="dxa"/>
            <w:vAlign w:val="bottom"/>
          </w:tcPr>
          <w:p>
            <w:pPr>
              <w:spacing w:after="0"/>
              <w:rPr>
                <w:sz w:val="12"/>
                <w:szCs w:val="12"/>
                <w:color w:val="auto"/>
              </w:rPr>
            </w:pPr>
          </w:p>
        </w:tc>
        <w:tc>
          <w:tcPr>
            <w:tcW w:w="4760" w:type="dxa"/>
            <w:vAlign w:val="bottom"/>
          </w:tcPr>
          <w:p>
            <w:pPr>
              <w:spacing w:after="0"/>
              <w:rPr>
                <w:sz w:val="12"/>
                <w:szCs w:val="12"/>
                <w:color w:val="auto"/>
              </w:rPr>
            </w:pPr>
          </w:p>
        </w:tc>
        <w:tc>
          <w:tcPr>
            <w:tcW w:w="820" w:type="dxa"/>
            <w:vAlign w:val="bottom"/>
          </w:tcPr>
          <w:p>
            <w:pPr>
              <w:jc w:val="right"/>
              <w:spacing w:after="0" w:line="149" w:lineRule="exact"/>
              <w:rPr>
                <w:sz w:val="20"/>
                <w:szCs w:val="20"/>
                <w:color w:val="auto"/>
              </w:rPr>
            </w:pPr>
            <w:r>
              <w:rPr>
                <w:rFonts w:ascii="Arial" w:cs="Arial" w:eastAsia="Arial" w:hAnsi="Arial"/>
                <w:sz w:val="14"/>
                <w:szCs w:val="14"/>
                <w:b w:val="1"/>
                <w:bCs w:val="1"/>
                <w:color w:val="auto"/>
                <w:w w:val="83"/>
              </w:rPr>
              <w:t>September 30,</w:t>
            </w:r>
          </w:p>
        </w:tc>
        <w:tc>
          <w:tcPr>
            <w:tcW w:w="700" w:type="dxa"/>
            <w:vAlign w:val="bottom"/>
          </w:tcPr>
          <w:p>
            <w:pPr>
              <w:spacing w:after="0"/>
              <w:rPr>
                <w:sz w:val="12"/>
                <w:szCs w:val="12"/>
                <w:color w:val="auto"/>
              </w:rPr>
            </w:pPr>
          </w:p>
        </w:tc>
        <w:tc>
          <w:tcPr>
            <w:tcW w:w="8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5"/>
              </w:rPr>
              <w:t>September 30,</w:t>
            </w:r>
          </w:p>
        </w:tc>
        <w:tc>
          <w:tcPr>
            <w:tcW w:w="700" w:type="dxa"/>
            <w:vAlign w:val="bottom"/>
          </w:tcPr>
          <w:p>
            <w:pPr>
              <w:spacing w:after="0"/>
              <w:rPr>
                <w:sz w:val="12"/>
                <w:szCs w:val="12"/>
                <w:color w:val="auto"/>
              </w:rPr>
            </w:pPr>
          </w:p>
        </w:tc>
        <w:tc>
          <w:tcPr>
            <w:tcW w:w="1520" w:type="dxa"/>
            <w:vAlign w:val="bottom"/>
            <w:gridSpan w:val="2"/>
          </w:tcPr>
          <w:p>
            <w:pPr>
              <w:jc w:val="right"/>
              <w:ind w:right="700"/>
              <w:spacing w:after="0" w:line="149" w:lineRule="exact"/>
              <w:rPr>
                <w:sz w:val="20"/>
                <w:szCs w:val="20"/>
                <w:color w:val="auto"/>
              </w:rPr>
            </w:pPr>
            <w:r>
              <w:rPr>
                <w:rFonts w:ascii="Arial" w:cs="Arial" w:eastAsia="Arial" w:hAnsi="Arial"/>
                <w:sz w:val="14"/>
                <w:szCs w:val="14"/>
                <w:b w:val="1"/>
                <w:bCs w:val="1"/>
                <w:color w:val="auto"/>
                <w:w w:val="83"/>
              </w:rPr>
              <w:t>September 30,</w:t>
            </w:r>
          </w:p>
        </w:tc>
        <w:tc>
          <w:tcPr>
            <w:tcW w:w="92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85"/>
              </w:rPr>
              <w:t>September 30,</w:t>
            </w:r>
          </w:p>
        </w:tc>
      </w:tr>
      <w:tr>
        <w:trPr>
          <w:trHeight w:val="161"/>
        </w:trPr>
        <w:tc>
          <w:tcPr>
            <w:tcW w:w="1160" w:type="dxa"/>
            <w:vAlign w:val="bottom"/>
          </w:tcPr>
          <w:p>
            <w:pPr>
              <w:spacing w:after="0"/>
              <w:rPr>
                <w:sz w:val="14"/>
                <w:szCs w:val="14"/>
                <w:color w:val="auto"/>
              </w:rPr>
            </w:pPr>
          </w:p>
        </w:tc>
        <w:tc>
          <w:tcPr>
            <w:tcW w:w="4760" w:type="dxa"/>
            <w:vAlign w:val="bottom"/>
          </w:tcPr>
          <w:p>
            <w:pPr>
              <w:spacing w:after="0"/>
              <w:rPr>
                <w:sz w:val="14"/>
                <w:szCs w:val="14"/>
                <w:color w:val="auto"/>
              </w:rPr>
            </w:pPr>
          </w:p>
        </w:tc>
        <w:tc>
          <w:tcPr>
            <w:tcW w:w="820" w:type="dxa"/>
            <w:vAlign w:val="bottom"/>
          </w:tcPr>
          <w:p>
            <w:pPr>
              <w:jc w:val="right"/>
              <w:ind w:right="184"/>
              <w:spacing w:after="0"/>
              <w:rPr>
                <w:sz w:val="20"/>
                <w:szCs w:val="20"/>
                <w:color w:val="auto"/>
              </w:rPr>
            </w:pPr>
            <w:r>
              <w:rPr>
                <w:rFonts w:ascii="Arial" w:cs="Arial" w:eastAsia="Arial" w:hAnsi="Arial"/>
                <w:sz w:val="14"/>
                <w:szCs w:val="14"/>
                <w:b w:val="1"/>
                <w:bCs w:val="1"/>
                <w:color w:val="auto"/>
              </w:rPr>
              <w:t>2010</w:t>
            </w:r>
          </w:p>
        </w:tc>
        <w:tc>
          <w:tcPr>
            <w:tcW w:w="1540" w:type="dxa"/>
            <w:vAlign w:val="bottom"/>
            <w:gridSpan w:val="2"/>
          </w:tcPr>
          <w:p>
            <w:pPr>
              <w:jc w:val="center"/>
              <w:ind w:left="622"/>
              <w:spacing w:after="0"/>
              <w:rPr>
                <w:sz w:val="20"/>
                <w:szCs w:val="20"/>
                <w:color w:val="auto"/>
              </w:rPr>
            </w:pPr>
            <w:r>
              <w:rPr>
                <w:rFonts w:ascii="Arial" w:cs="Arial" w:eastAsia="Arial" w:hAnsi="Arial"/>
                <w:sz w:val="14"/>
                <w:szCs w:val="14"/>
                <w:b w:val="1"/>
                <w:bCs w:val="1"/>
                <w:color w:val="auto"/>
                <w:w w:val="89"/>
              </w:rPr>
              <w:t>2010</w:t>
            </w:r>
          </w:p>
        </w:tc>
        <w:tc>
          <w:tcPr>
            <w:tcW w:w="1520" w:type="dxa"/>
            <w:vAlign w:val="bottom"/>
            <w:gridSpan w:val="2"/>
          </w:tcPr>
          <w:p>
            <w:pPr>
              <w:jc w:val="right"/>
              <w:ind w:right="208"/>
              <w:spacing w:after="0"/>
              <w:rPr>
                <w:sz w:val="20"/>
                <w:szCs w:val="20"/>
                <w:color w:val="auto"/>
              </w:rPr>
            </w:pPr>
            <w:r>
              <w:rPr>
                <w:rFonts w:ascii="Arial" w:cs="Arial" w:eastAsia="Arial" w:hAnsi="Arial"/>
                <w:sz w:val="14"/>
                <w:szCs w:val="14"/>
                <w:b w:val="1"/>
                <w:bCs w:val="1"/>
                <w:color w:val="auto"/>
              </w:rPr>
              <w:t>2009</w:t>
            </w:r>
          </w:p>
        </w:tc>
        <w:tc>
          <w:tcPr>
            <w:tcW w:w="700" w:type="dxa"/>
            <w:vAlign w:val="bottom"/>
          </w:tcPr>
          <w:p>
            <w:pPr>
              <w:spacing w:after="0"/>
              <w:rPr>
                <w:sz w:val="14"/>
                <w:szCs w:val="14"/>
                <w:color w:val="auto"/>
              </w:rPr>
            </w:pPr>
          </w:p>
        </w:tc>
        <w:tc>
          <w:tcPr>
            <w:tcW w:w="820" w:type="dxa"/>
            <w:vAlign w:val="bottom"/>
          </w:tcPr>
          <w:p>
            <w:pPr>
              <w:jc w:val="center"/>
              <w:spacing w:after="0"/>
              <w:rPr>
                <w:sz w:val="20"/>
                <w:szCs w:val="20"/>
                <w:color w:val="auto"/>
              </w:rPr>
            </w:pPr>
            <w:r>
              <w:rPr>
                <w:rFonts w:ascii="Arial" w:cs="Arial" w:eastAsia="Arial" w:hAnsi="Arial"/>
                <w:sz w:val="14"/>
                <w:szCs w:val="14"/>
                <w:b w:val="1"/>
                <w:bCs w:val="1"/>
                <w:color w:val="auto"/>
                <w:w w:val="83"/>
              </w:rPr>
              <w:t>2009</w:t>
            </w:r>
          </w:p>
        </w:tc>
        <w:tc>
          <w:tcPr>
            <w:tcW w:w="100" w:type="dxa"/>
            <w:vAlign w:val="bottom"/>
          </w:tcPr>
          <w:p>
            <w:pPr>
              <w:spacing w:after="0"/>
              <w:rPr>
                <w:sz w:val="14"/>
                <w:szCs w:val="14"/>
                <w:color w:val="auto"/>
              </w:rPr>
            </w:pPr>
          </w:p>
        </w:tc>
      </w:tr>
      <w:tr>
        <w:trPr>
          <w:trHeight w:val="210"/>
        </w:trPr>
        <w:tc>
          <w:tcPr>
            <w:tcW w:w="59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Production Volume (a)</w:t>
            </w:r>
          </w:p>
        </w:tc>
        <w:tc>
          <w:tcPr>
            <w:tcW w:w="820" w:type="dxa"/>
            <w:vAlign w:val="bottom"/>
            <w:tcBorders>
              <w:top w:val="single" w:sz="8" w:color="auto"/>
            </w:tcBorders>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920" w:type="dxa"/>
            <w:vAlign w:val="bottom"/>
            <w:gridSpan w:val="2"/>
          </w:tcPr>
          <w:p>
            <w:pPr>
              <w:spacing w:after="0"/>
              <w:rPr>
                <w:sz w:val="20"/>
                <w:szCs w:val="20"/>
                <w:color w:val="auto"/>
              </w:rPr>
            </w:pPr>
            <w:r>
              <w:rPr>
                <w:rFonts w:ascii="Arial" w:cs="Arial" w:eastAsia="Arial" w:hAnsi="Arial"/>
                <w:sz w:val="18"/>
                <w:szCs w:val="18"/>
                <w:color w:val="auto"/>
              </w:rPr>
              <w:t>Cars</w:t>
            </w:r>
          </w:p>
        </w:tc>
        <w:tc>
          <w:tcPr>
            <w:tcW w:w="820" w:type="dxa"/>
            <w:vAlign w:val="bottom"/>
          </w:tcPr>
          <w:p>
            <w:pPr>
              <w:jc w:val="right"/>
              <w:spacing w:after="0"/>
              <w:rPr>
                <w:sz w:val="20"/>
                <w:szCs w:val="20"/>
                <w:color w:val="auto"/>
              </w:rPr>
            </w:pPr>
            <w:r>
              <w:rPr>
                <w:rFonts w:ascii="Arial" w:cs="Arial" w:eastAsia="Arial" w:hAnsi="Arial"/>
                <w:sz w:val="18"/>
                <w:szCs w:val="18"/>
                <w:color w:val="auto"/>
              </w:rPr>
              <w:t>215</w:t>
            </w:r>
          </w:p>
        </w:tc>
        <w:tc>
          <w:tcPr>
            <w:tcW w:w="1540" w:type="dxa"/>
            <w:vAlign w:val="bottom"/>
            <w:gridSpan w:val="2"/>
          </w:tcPr>
          <w:p>
            <w:pPr>
              <w:jc w:val="right"/>
              <w:spacing w:after="0"/>
              <w:rPr>
                <w:sz w:val="20"/>
                <w:szCs w:val="20"/>
                <w:color w:val="auto"/>
              </w:rPr>
            </w:pPr>
            <w:r>
              <w:rPr>
                <w:rFonts w:ascii="Arial" w:cs="Arial" w:eastAsia="Arial" w:hAnsi="Arial"/>
                <w:sz w:val="18"/>
                <w:szCs w:val="18"/>
                <w:color w:val="auto"/>
              </w:rPr>
              <w:t>737</w:t>
            </w:r>
          </w:p>
        </w:tc>
        <w:tc>
          <w:tcPr>
            <w:tcW w:w="2220" w:type="dxa"/>
            <w:vAlign w:val="bottom"/>
            <w:gridSpan w:val="3"/>
          </w:tcPr>
          <w:p>
            <w:pPr>
              <w:jc w:val="right"/>
              <w:ind w:right="700"/>
              <w:spacing w:after="0"/>
              <w:rPr>
                <w:sz w:val="20"/>
                <w:szCs w:val="20"/>
                <w:color w:val="auto"/>
              </w:rPr>
            </w:pPr>
            <w:r>
              <w:rPr>
                <w:rFonts w:ascii="Arial" w:cs="Arial" w:eastAsia="Arial" w:hAnsi="Arial"/>
                <w:sz w:val="18"/>
                <w:szCs w:val="18"/>
                <w:color w:val="auto"/>
              </w:rPr>
              <w:t>206</w:t>
            </w:r>
          </w:p>
        </w:tc>
        <w:tc>
          <w:tcPr>
            <w:tcW w:w="820" w:type="dxa"/>
            <w:vAlign w:val="bottom"/>
          </w:tcPr>
          <w:p>
            <w:pPr>
              <w:jc w:val="right"/>
              <w:spacing w:after="0"/>
              <w:rPr>
                <w:sz w:val="20"/>
                <w:szCs w:val="20"/>
                <w:color w:val="auto"/>
              </w:rPr>
            </w:pPr>
            <w:r>
              <w:rPr>
                <w:rFonts w:ascii="Arial" w:cs="Arial" w:eastAsia="Arial" w:hAnsi="Arial"/>
                <w:sz w:val="18"/>
                <w:szCs w:val="18"/>
                <w:color w:val="auto"/>
              </w:rPr>
              <w:t>493</w:t>
            </w:r>
          </w:p>
        </w:tc>
        <w:tc>
          <w:tcPr>
            <w:tcW w:w="100" w:type="dxa"/>
            <w:vAlign w:val="bottom"/>
          </w:tcPr>
          <w:p>
            <w:pPr>
              <w:spacing w:after="0"/>
              <w:rPr>
                <w:sz w:val="18"/>
                <w:szCs w:val="18"/>
                <w:color w:val="auto"/>
              </w:rPr>
            </w:pPr>
          </w:p>
        </w:tc>
      </w:tr>
      <w:tr>
        <w:trPr>
          <w:trHeight w:val="216"/>
        </w:trPr>
        <w:tc>
          <w:tcPr>
            <w:tcW w:w="59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Trucks</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492</w:t>
            </w:r>
          </w:p>
        </w:tc>
        <w:tc>
          <w:tcPr>
            <w:tcW w:w="700" w:type="dxa"/>
            <w:vAlign w:val="bottom"/>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1,369</w:t>
            </w:r>
          </w:p>
        </w:tc>
        <w:tc>
          <w:tcPr>
            <w:tcW w:w="700" w:type="dxa"/>
            <w:vAlign w:val="bottom"/>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325</w:t>
            </w:r>
          </w:p>
        </w:tc>
        <w:tc>
          <w:tcPr>
            <w:tcW w:w="700" w:type="dxa"/>
            <w:vAlign w:val="bottom"/>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805</w:t>
            </w:r>
          </w:p>
        </w:tc>
        <w:tc>
          <w:tcPr>
            <w:tcW w:w="100" w:type="dxa"/>
            <w:vAlign w:val="bottom"/>
            <w:shd w:val="clear" w:color="auto" w:fill="CCEEFF"/>
          </w:tcPr>
          <w:p>
            <w:pPr>
              <w:spacing w:after="0"/>
              <w:rPr>
                <w:sz w:val="18"/>
                <w:szCs w:val="18"/>
                <w:color w:val="auto"/>
              </w:rPr>
            </w:pPr>
          </w:p>
        </w:tc>
      </w:tr>
      <w:tr>
        <w:trPr>
          <w:trHeight w:val="222"/>
        </w:trPr>
        <w:tc>
          <w:tcPr>
            <w:tcW w:w="5920" w:type="dxa"/>
            <w:vAlign w:val="bottom"/>
            <w:gridSpan w:val="2"/>
          </w:tcPr>
          <w:p>
            <w:pPr>
              <w:spacing w:after="0"/>
              <w:rPr>
                <w:sz w:val="20"/>
                <w:szCs w:val="20"/>
                <w:color w:val="auto"/>
              </w:rPr>
            </w:pPr>
            <w:r>
              <w:rPr>
                <w:rFonts w:ascii="Arial" w:cs="Arial" w:eastAsia="Arial" w:hAnsi="Arial"/>
                <w:sz w:val="18"/>
                <w:szCs w:val="18"/>
                <w:color w:val="auto"/>
              </w:rPr>
              <w:t>Total</w:t>
            </w:r>
          </w:p>
        </w:tc>
        <w:tc>
          <w:tcPr>
            <w:tcW w:w="820" w:type="dxa"/>
            <w:vAlign w:val="bottom"/>
          </w:tcPr>
          <w:p>
            <w:pPr>
              <w:jc w:val="right"/>
              <w:spacing w:after="0"/>
              <w:rPr>
                <w:sz w:val="20"/>
                <w:szCs w:val="20"/>
                <w:color w:val="auto"/>
              </w:rPr>
            </w:pPr>
            <w:r>
              <w:rPr>
                <w:rFonts w:ascii="Arial" w:cs="Arial" w:eastAsia="Arial" w:hAnsi="Arial"/>
                <w:sz w:val="18"/>
                <w:szCs w:val="18"/>
                <w:color w:val="auto"/>
              </w:rPr>
              <w:t>707</w:t>
            </w:r>
          </w:p>
        </w:tc>
        <w:tc>
          <w:tcPr>
            <w:tcW w:w="1540" w:type="dxa"/>
            <w:vAlign w:val="bottom"/>
            <w:gridSpan w:val="2"/>
          </w:tcPr>
          <w:p>
            <w:pPr>
              <w:jc w:val="right"/>
              <w:spacing w:after="0"/>
              <w:rPr>
                <w:sz w:val="20"/>
                <w:szCs w:val="20"/>
                <w:color w:val="auto"/>
              </w:rPr>
            </w:pPr>
            <w:r>
              <w:rPr>
                <w:rFonts w:ascii="Arial" w:cs="Arial" w:eastAsia="Arial" w:hAnsi="Arial"/>
                <w:sz w:val="18"/>
                <w:szCs w:val="18"/>
                <w:color w:val="auto"/>
              </w:rPr>
              <w:t>2,106</w:t>
            </w:r>
          </w:p>
        </w:tc>
        <w:tc>
          <w:tcPr>
            <w:tcW w:w="2220" w:type="dxa"/>
            <w:vAlign w:val="bottom"/>
            <w:gridSpan w:val="3"/>
          </w:tcPr>
          <w:p>
            <w:pPr>
              <w:jc w:val="right"/>
              <w:ind w:right="700"/>
              <w:spacing w:after="0"/>
              <w:rPr>
                <w:sz w:val="20"/>
                <w:szCs w:val="20"/>
                <w:color w:val="auto"/>
              </w:rPr>
            </w:pPr>
            <w:r>
              <w:rPr>
                <w:rFonts w:ascii="Arial" w:cs="Arial" w:eastAsia="Arial" w:hAnsi="Arial"/>
                <w:sz w:val="18"/>
                <w:szCs w:val="18"/>
                <w:color w:val="auto"/>
              </w:rPr>
              <w:t>531</w:t>
            </w:r>
          </w:p>
        </w:tc>
        <w:tc>
          <w:tcPr>
            <w:tcW w:w="820" w:type="dxa"/>
            <w:vAlign w:val="bottom"/>
          </w:tcPr>
          <w:p>
            <w:pPr>
              <w:jc w:val="right"/>
              <w:spacing w:after="0"/>
              <w:rPr>
                <w:sz w:val="20"/>
                <w:szCs w:val="20"/>
                <w:color w:val="auto"/>
              </w:rPr>
            </w:pPr>
            <w:r>
              <w:rPr>
                <w:rFonts w:ascii="Arial" w:cs="Arial" w:eastAsia="Arial" w:hAnsi="Arial"/>
                <w:sz w:val="18"/>
                <w:szCs w:val="18"/>
                <w:color w:val="auto"/>
              </w:rPr>
              <w:t>1,298</w:t>
            </w:r>
          </w:p>
        </w:tc>
        <w:tc>
          <w:tcPr>
            <w:tcW w:w="100" w:type="dxa"/>
            <w:vAlign w:val="bottom"/>
          </w:tcPr>
          <w:p>
            <w:pPr>
              <w:spacing w:after="0"/>
              <w:rPr>
                <w:sz w:val="19"/>
                <w:szCs w:val="19"/>
                <w:color w:val="auto"/>
              </w:rPr>
            </w:pPr>
          </w:p>
        </w:tc>
      </w:tr>
      <w:tr>
        <w:trPr>
          <w:trHeight w:val="20"/>
        </w:trPr>
        <w:tc>
          <w:tcPr>
            <w:tcW w:w="1160" w:type="dxa"/>
            <w:vAlign w:val="bottom"/>
          </w:tcPr>
          <w:p>
            <w:pPr>
              <w:spacing w:after="0" w:line="20" w:lineRule="exact"/>
              <w:rPr>
                <w:sz w:val="1"/>
                <w:szCs w:val="1"/>
                <w:color w:val="auto"/>
              </w:rPr>
            </w:pPr>
          </w:p>
        </w:tc>
        <w:tc>
          <w:tcPr>
            <w:tcW w:w="476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03"/>
        </w:trPr>
        <w:tc>
          <w:tcPr>
            <w:tcW w:w="1160" w:type="dxa"/>
            <w:vAlign w:val="bottom"/>
            <w:tcBorders>
              <w:bottom w:val="single" w:sz="8" w:color="auto"/>
            </w:tcBorders>
          </w:tcPr>
          <w:p>
            <w:pPr>
              <w:spacing w:after="0"/>
              <w:rPr>
                <w:sz w:val="8"/>
                <w:szCs w:val="8"/>
                <w:color w:val="auto"/>
              </w:rPr>
            </w:pPr>
          </w:p>
        </w:tc>
        <w:tc>
          <w:tcPr>
            <w:tcW w:w="4760" w:type="dxa"/>
            <w:vAlign w:val="bottom"/>
          </w:tcPr>
          <w:p>
            <w:pPr>
              <w:spacing w:after="0"/>
              <w:rPr>
                <w:sz w:val="8"/>
                <w:szCs w:val="8"/>
                <w:color w:val="auto"/>
              </w:rPr>
            </w:pPr>
          </w:p>
        </w:tc>
        <w:tc>
          <w:tcPr>
            <w:tcW w:w="820" w:type="dxa"/>
            <w:vAlign w:val="bottom"/>
          </w:tcPr>
          <w:p>
            <w:pPr>
              <w:spacing w:after="0"/>
              <w:rPr>
                <w:sz w:val="8"/>
                <w:szCs w:val="8"/>
                <w:color w:val="auto"/>
              </w:rPr>
            </w:pPr>
          </w:p>
        </w:tc>
        <w:tc>
          <w:tcPr>
            <w:tcW w:w="700" w:type="dxa"/>
            <w:vAlign w:val="bottom"/>
          </w:tcPr>
          <w:p>
            <w:pPr>
              <w:spacing w:after="0"/>
              <w:rPr>
                <w:sz w:val="8"/>
                <w:szCs w:val="8"/>
                <w:color w:val="auto"/>
              </w:rPr>
            </w:pPr>
          </w:p>
        </w:tc>
        <w:tc>
          <w:tcPr>
            <w:tcW w:w="840" w:type="dxa"/>
            <w:vAlign w:val="bottom"/>
          </w:tcPr>
          <w:p>
            <w:pPr>
              <w:spacing w:after="0"/>
              <w:rPr>
                <w:sz w:val="8"/>
                <w:szCs w:val="8"/>
                <w:color w:val="auto"/>
              </w:rPr>
            </w:pPr>
          </w:p>
        </w:tc>
        <w:tc>
          <w:tcPr>
            <w:tcW w:w="700" w:type="dxa"/>
            <w:vAlign w:val="bottom"/>
          </w:tcPr>
          <w:p>
            <w:pPr>
              <w:spacing w:after="0"/>
              <w:rPr>
                <w:sz w:val="8"/>
                <w:szCs w:val="8"/>
                <w:color w:val="auto"/>
              </w:rPr>
            </w:pPr>
          </w:p>
        </w:tc>
        <w:tc>
          <w:tcPr>
            <w:tcW w:w="820" w:type="dxa"/>
            <w:vAlign w:val="bottom"/>
          </w:tcPr>
          <w:p>
            <w:pPr>
              <w:spacing w:after="0"/>
              <w:rPr>
                <w:sz w:val="8"/>
                <w:szCs w:val="8"/>
                <w:color w:val="auto"/>
              </w:rPr>
            </w:pPr>
          </w:p>
        </w:tc>
        <w:tc>
          <w:tcPr>
            <w:tcW w:w="700" w:type="dxa"/>
            <w:vAlign w:val="bottom"/>
          </w:tcPr>
          <w:p>
            <w:pPr>
              <w:spacing w:after="0"/>
              <w:rPr>
                <w:sz w:val="8"/>
                <w:szCs w:val="8"/>
                <w:color w:val="auto"/>
              </w:rPr>
            </w:pPr>
          </w:p>
        </w:tc>
        <w:tc>
          <w:tcPr>
            <w:tcW w:w="820" w:type="dxa"/>
            <w:vAlign w:val="bottom"/>
          </w:tcPr>
          <w:p>
            <w:pPr>
              <w:spacing w:after="0"/>
              <w:rPr>
                <w:sz w:val="8"/>
                <w:szCs w:val="8"/>
                <w:color w:val="auto"/>
              </w:rPr>
            </w:pPr>
          </w:p>
        </w:tc>
        <w:tc>
          <w:tcPr>
            <w:tcW w:w="100" w:type="dxa"/>
            <w:vAlign w:val="bottom"/>
          </w:tcPr>
          <w:p>
            <w:pPr>
              <w:spacing w:after="0"/>
              <w:rPr>
                <w:sz w:val="8"/>
                <w:szCs w:val="8"/>
                <w:color w:val="auto"/>
              </w:rPr>
            </w:pPr>
          </w:p>
        </w:tc>
      </w:tr>
    </w:tbl>
    <w:p>
      <w:pPr>
        <w:spacing w:after="0" w:line="19" w:lineRule="exact"/>
        <w:rPr>
          <w:sz w:val="20"/>
          <w:szCs w:val="20"/>
          <w:color w:val="auto"/>
        </w:rPr>
      </w:pPr>
    </w:p>
    <w:p>
      <w:pPr>
        <w:ind w:left="460" w:right="20" w:hanging="452"/>
        <w:spacing w:after="0" w:line="268" w:lineRule="auto"/>
        <w:tabs>
          <w:tab w:leader="none" w:pos="460" w:val="left"/>
        </w:tabs>
        <w:numPr>
          <w:ilvl w:val="0"/>
          <w:numId w:val="79"/>
        </w:numPr>
        <w:rPr>
          <w:rFonts w:ascii="Arial" w:cs="Arial" w:eastAsia="Arial" w:hAnsi="Arial"/>
          <w:sz w:val="18"/>
          <w:szCs w:val="18"/>
          <w:color w:val="auto"/>
        </w:rPr>
      </w:pPr>
      <w:r>
        <w:rPr>
          <w:rFonts w:ascii="Arial" w:cs="Arial" w:eastAsia="Arial" w:hAnsi="Arial"/>
          <w:sz w:val="18"/>
          <w:szCs w:val="18"/>
          <w:color w:val="auto"/>
        </w:rPr>
        <w:t>Production volume represents the number of vehicles manufactured by our and Old GM’s assembly facilities and also includes vehicles produced by certain joint ventures.</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32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280" w:type="dxa"/>
            <w:vAlign w:val="bottom"/>
            <w:gridSpan w:val="4"/>
          </w:tcPr>
          <w:p>
            <w:pPr>
              <w:jc w:val="center"/>
              <w:spacing w:after="0"/>
              <w:rPr>
                <w:sz w:val="20"/>
                <w:szCs w:val="20"/>
                <w:color w:val="auto"/>
              </w:rPr>
            </w:pPr>
            <w:r>
              <w:rPr>
                <w:rFonts w:ascii="Arial" w:cs="Arial" w:eastAsia="Arial" w:hAnsi="Arial"/>
                <w:sz w:val="14"/>
                <w:szCs w:val="14"/>
                <w:b w:val="1"/>
                <w:bCs w:val="1"/>
                <w:color w:val="auto"/>
                <w:w w:val="89"/>
              </w:rPr>
              <w:t>Three Months</w:t>
            </w: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60" w:type="dxa"/>
            <w:vAlign w:val="bottom"/>
            <w:gridSpan w:val="5"/>
          </w:tcPr>
          <w:p>
            <w:pPr>
              <w:jc w:val="center"/>
              <w:spacing w:after="0"/>
              <w:rPr>
                <w:sz w:val="20"/>
                <w:szCs w:val="20"/>
                <w:color w:val="auto"/>
              </w:rPr>
            </w:pPr>
            <w:r>
              <w:rPr>
                <w:rFonts w:ascii="Arial" w:cs="Arial" w:eastAsia="Arial" w:hAnsi="Arial"/>
                <w:sz w:val="14"/>
                <w:szCs w:val="14"/>
                <w:b w:val="1"/>
                <w:bCs w:val="1"/>
                <w:color w:val="auto"/>
                <w:w w:val="88"/>
              </w:rPr>
              <w:t>Nine Months</w:t>
            </w:r>
          </w:p>
        </w:tc>
        <w:tc>
          <w:tcPr>
            <w:tcW w:w="3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580" w:type="dxa"/>
            <w:vAlign w:val="bottom"/>
            <w:gridSpan w:val="5"/>
          </w:tcPr>
          <w:p>
            <w:pPr>
              <w:jc w:val="center"/>
              <w:ind w:right="560"/>
              <w:spacing w:after="0"/>
              <w:rPr>
                <w:sz w:val="20"/>
                <w:szCs w:val="20"/>
                <w:color w:val="auto"/>
              </w:rPr>
            </w:pPr>
            <w:r>
              <w:rPr>
                <w:rFonts w:ascii="Arial" w:cs="Arial" w:eastAsia="Arial" w:hAnsi="Arial"/>
                <w:sz w:val="14"/>
                <w:szCs w:val="14"/>
                <w:b w:val="1"/>
                <w:bCs w:val="1"/>
                <w:color w:val="auto"/>
                <w:w w:val="89"/>
              </w:rPr>
              <w:t>Three Months</w:t>
            </w:r>
          </w:p>
        </w:tc>
        <w:tc>
          <w:tcPr>
            <w:tcW w:w="380" w:type="dxa"/>
            <w:vAlign w:val="bottom"/>
          </w:tcPr>
          <w:p>
            <w:pPr>
              <w:spacing w:after="0"/>
              <w:rPr>
                <w:sz w:val="14"/>
                <w:szCs w:val="14"/>
                <w:color w:val="auto"/>
              </w:rPr>
            </w:pPr>
          </w:p>
        </w:tc>
        <w:tc>
          <w:tcPr>
            <w:tcW w:w="1220" w:type="dxa"/>
            <w:vAlign w:val="bottom"/>
            <w:gridSpan w:val="5"/>
          </w:tcPr>
          <w:p>
            <w:pPr>
              <w:jc w:val="center"/>
              <w:ind w:right="480"/>
              <w:spacing w:after="0"/>
              <w:rPr>
                <w:sz w:val="20"/>
                <w:szCs w:val="20"/>
                <w:color w:val="auto"/>
              </w:rPr>
            </w:pPr>
            <w:r>
              <w:rPr>
                <w:rFonts w:ascii="Arial" w:cs="Arial" w:eastAsia="Arial" w:hAnsi="Arial"/>
                <w:sz w:val="14"/>
                <w:szCs w:val="14"/>
                <w:b w:val="1"/>
                <w:bCs w:val="1"/>
                <w:color w:val="auto"/>
                <w:w w:val="88"/>
              </w:rPr>
              <w:t>Nine Months</w:t>
            </w:r>
          </w:p>
        </w:tc>
      </w:tr>
      <w:tr>
        <w:trPr>
          <w:trHeight w:val="149"/>
        </w:trPr>
        <w:tc>
          <w:tcPr>
            <w:tcW w:w="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32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920" w:type="dxa"/>
            <w:vAlign w:val="bottom"/>
            <w:gridSpan w:val="2"/>
          </w:tcPr>
          <w:p>
            <w:pPr>
              <w:jc w:val="center"/>
              <w:ind w:right="272"/>
              <w:spacing w:after="0" w:line="149" w:lineRule="exact"/>
              <w:rPr>
                <w:sz w:val="20"/>
                <w:szCs w:val="20"/>
                <w:color w:val="auto"/>
              </w:rPr>
            </w:pPr>
            <w:r>
              <w:rPr>
                <w:rFonts w:ascii="Arial" w:cs="Arial" w:eastAsia="Arial" w:hAnsi="Arial"/>
                <w:sz w:val="14"/>
                <w:szCs w:val="14"/>
                <w:b w:val="1"/>
                <w:bCs w:val="1"/>
                <w:color w:val="auto"/>
                <w:w w:val="88"/>
              </w:rPr>
              <w:t>Ended</w:t>
            </w: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60" w:type="dxa"/>
            <w:vAlign w:val="bottom"/>
            <w:gridSpan w:val="5"/>
          </w:tcPr>
          <w:p>
            <w:pPr>
              <w:jc w:val="center"/>
              <w:spacing w:after="0" w:line="149" w:lineRule="exact"/>
              <w:rPr>
                <w:sz w:val="20"/>
                <w:szCs w:val="20"/>
                <w:color w:val="auto"/>
              </w:rPr>
            </w:pPr>
            <w:r>
              <w:rPr>
                <w:rFonts w:ascii="Arial" w:cs="Arial" w:eastAsia="Arial" w:hAnsi="Arial"/>
                <w:sz w:val="14"/>
                <w:szCs w:val="14"/>
                <w:b w:val="1"/>
                <w:bCs w:val="1"/>
                <w:color w:val="auto"/>
                <w:w w:val="88"/>
              </w:rPr>
              <w:t>Ended</w:t>
            </w:r>
          </w:p>
        </w:tc>
        <w:tc>
          <w:tcPr>
            <w:tcW w:w="3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580" w:type="dxa"/>
            <w:vAlign w:val="bottom"/>
            <w:gridSpan w:val="5"/>
          </w:tcPr>
          <w:p>
            <w:pPr>
              <w:jc w:val="center"/>
              <w:ind w:right="540"/>
              <w:spacing w:after="0" w:line="149" w:lineRule="exact"/>
              <w:rPr>
                <w:sz w:val="20"/>
                <w:szCs w:val="20"/>
                <w:color w:val="auto"/>
              </w:rPr>
            </w:pPr>
            <w:r>
              <w:rPr>
                <w:rFonts w:ascii="Arial" w:cs="Arial" w:eastAsia="Arial" w:hAnsi="Arial"/>
                <w:sz w:val="14"/>
                <w:szCs w:val="14"/>
                <w:b w:val="1"/>
                <w:bCs w:val="1"/>
                <w:color w:val="auto"/>
                <w:w w:val="84"/>
              </w:rPr>
              <w:t>Ended</w:t>
            </w:r>
          </w:p>
        </w:tc>
        <w:tc>
          <w:tcPr>
            <w:tcW w:w="380" w:type="dxa"/>
            <w:vAlign w:val="bottom"/>
          </w:tcPr>
          <w:p>
            <w:pPr>
              <w:spacing w:after="0"/>
              <w:rPr>
                <w:sz w:val="12"/>
                <w:szCs w:val="12"/>
                <w:color w:val="auto"/>
              </w:rPr>
            </w:pPr>
          </w:p>
        </w:tc>
        <w:tc>
          <w:tcPr>
            <w:tcW w:w="1220" w:type="dxa"/>
            <w:vAlign w:val="bottom"/>
            <w:gridSpan w:val="5"/>
          </w:tcPr>
          <w:p>
            <w:pPr>
              <w:jc w:val="center"/>
              <w:ind w:right="480"/>
              <w:spacing w:after="0" w:line="149" w:lineRule="exact"/>
              <w:rPr>
                <w:sz w:val="20"/>
                <w:szCs w:val="20"/>
                <w:color w:val="auto"/>
              </w:rPr>
            </w:pPr>
            <w:r>
              <w:rPr>
                <w:rFonts w:ascii="Arial" w:cs="Arial" w:eastAsia="Arial" w:hAnsi="Arial"/>
                <w:sz w:val="14"/>
                <w:szCs w:val="14"/>
                <w:b w:val="1"/>
                <w:bCs w:val="1"/>
                <w:color w:val="auto"/>
                <w:w w:val="88"/>
              </w:rPr>
              <w:t>Ended</w:t>
            </w:r>
          </w:p>
        </w:tc>
      </w:tr>
      <w:tr>
        <w:trPr>
          <w:trHeight w:val="161"/>
        </w:trPr>
        <w:tc>
          <w:tcPr>
            <w:tcW w:w="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32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280" w:type="dxa"/>
            <w:vAlign w:val="bottom"/>
            <w:gridSpan w:val="4"/>
          </w:tcPr>
          <w:p>
            <w:pPr>
              <w:jc w:val="center"/>
              <w:spacing w:after="0"/>
              <w:rPr>
                <w:sz w:val="20"/>
                <w:szCs w:val="20"/>
                <w:color w:val="auto"/>
              </w:rPr>
            </w:pPr>
            <w:r>
              <w:rPr>
                <w:rFonts w:ascii="Arial" w:cs="Arial" w:eastAsia="Arial" w:hAnsi="Arial"/>
                <w:sz w:val="14"/>
                <w:szCs w:val="14"/>
                <w:b w:val="1"/>
                <w:bCs w:val="1"/>
                <w:color w:val="auto"/>
                <w:w w:val="85"/>
              </w:rPr>
              <w:t>September 30, 2010</w:t>
            </w: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60" w:type="dxa"/>
            <w:vAlign w:val="bottom"/>
            <w:gridSpan w:val="5"/>
          </w:tcPr>
          <w:p>
            <w:pPr>
              <w:jc w:val="center"/>
              <w:spacing w:after="0"/>
              <w:rPr>
                <w:sz w:val="20"/>
                <w:szCs w:val="20"/>
                <w:color w:val="auto"/>
              </w:rPr>
            </w:pPr>
            <w:r>
              <w:rPr>
                <w:rFonts w:ascii="Arial" w:cs="Arial" w:eastAsia="Arial" w:hAnsi="Arial"/>
                <w:sz w:val="14"/>
                <w:szCs w:val="14"/>
                <w:b w:val="1"/>
                <w:bCs w:val="1"/>
                <w:color w:val="auto"/>
                <w:w w:val="87"/>
              </w:rPr>
              <w:t>September 30, 2010</w:t>
            </w:r>
          </w:p>
        </w:tc>
        <w:tc>
          <w:tcPr>
            <w:tcW w:w="300" w:type="dxa"/>
            <w:vAlign w:val="bottom"/>
          </w:tcPr>
          <w:p>
            <w:pPr>
              <w:spacing w:after="0"/>
              <w:rPr>
                <w:sz w:val="14"/>
                <w:szCs w:val="14"/>
                <w:color w:val="auto"/>
              </w:rPr>
            </w:pPr>
          </w:p>
        </w:tc>
        <w:tc>
          <w:tcPr>
            <w:tcW w:w="1820" w:type="dxa"/>
            <w:vAlign w:val="bottom"/>
            <w:gridSpan w:val="6"/>
          </w:tcPr>
          <w:p>
            <w:pPr>
              <w:jc w:val="center"/>
              <w:ind w:right="300"/>
              <w:spacing w:after="0"/>
              <w:rPr>
                <w:sz w:val="20"/>
                <w:szCs w:val="20"/>
                <w:color w:val="auto"/>
              </w:rPr>
            </w:pPr>
            <w:r>
              <w:rPr>
                <w:rFonts w:ascii="Arial" w:cs="Arial" w:eastAsia="Arial" w:hAnsi="Arial"/>
                <w:sz w:val="14"/>
                <w:szCs w:val="14"/>
                <w:b w:val="1"/>
                <w:bCs w:val="1"/>
                <w:color w:val="auto"/>
                <w:w w:val="85"/>
              </w:rPr>
              <w:t>September 30, 2009</w:t>
            </w:r>
          </w:p>
        </w:tc>
        <w:tc>
          <w:tcPr>
            <w:tcW w:w="1600" w:type="dxa"/>
            <w:vAlign w:val="bottom"/>
            <w:gridSpan w:val="6"/>
          </w:tcPr>
          <w:p>
            <w:pPr>
              <w:jc w:val="center"/>
              <w:ind w:right="100"/>
              <w:spacing w:after="0"/>
              <w:rPr>
                <w:sz w:val="20"/>
                <w:szCs w:val="20"/>
                <w:color w:val="auto"/>
              </w:rPr>
            </w:pPr>
            <w:r>
              <w:rPr>
                <w:rFonts w:ascii="Arial" w:cs="Arial" w:eastAsia="Arial" w:hAnsi="Arial"/>
                <w:sz w:val="14"/>
                <w:szCs w:val="14"/>
                <w:b w:val="1"/>
                <w:bCs w:val="1"/>
                <w:color w:val="auto"/>
                <w:w w:val="87"/>
              </w:rPr>
              <w:t>September 30, 2009</w:t>
            </w:r>
          </w:p>
        </w:tc>
      </w:tr>
      <w:tr>
        <w:trPr>
          <w:trHeight w:val="129"/>
        </w:trPr>
        <w:tc>
          <w:tcPr>
            <w:tcW w:w="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32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40" w:type="dxa"/>
            <w:vAlign w:val="bottom"/>
            <w:tcBorders>
              <w:top w:val="single" w:sz="8" w:color="auto"/>
            </w:tcBorders>
          </w:tcPr>
          <w:p>
            <w:pPr>
              <w:spacing w:after="0"/>
              <w:rPr>
                <w:sz w:val="11"/>
                <w:szCs w:val="11"/>
                <w:color w:val="auto"/>
              </w:rPr>
            </w:pPr>
          </w:p>
        </w:tc>
        <w:tc>
          <w:tcPr>
            <w:tcW w:w="20" w:type="dxa"/>
            <w:vAlign w:val="bottom"/>
            <w:tcBorders>
              <w:top w:val="single" w:sz="8" w:color="auto"/>
            </w:tcBorders>
          </w:tcPr>
          <w:p>
            <w:pPr>
              <w:spacing w:after="0"/>
              <w:rPr>
                <w:sz w:val="11"/>
                <w:szCs w:val="11"/>
                <w:color w:val="auto"/>
              </w:rPr>
            </w:pPr>
          </w:p>
        </w:tc>
        <w:tc>
          <w:tcPr>
            <w:tcW w:w="280" w:type="dxa"/>
            <w:vAlign w:val="bottom"/>
            <w:tcBorders>
              <w:top w:val="single" w:sz="8" w:color="auto"/>
            </w:tcBorders>
          </w:tcPr>
          <w:p>
            <w:pPr>
              <w:spacing w:after="0"/>
              <w:rPr>
                <w:sz w:val="11"/>
                <w:szCs w:val="11"/>
                <w:color w:val="auto"/>
              </w:rPr>
            </w:pPr>
          </w:p>
        </w:tc>
        <w:tc>
          <w:tcPr>
            <w:tcW w:w="640" w:type="dxa"/>
            <w:vAlign w:val="bottom"/>
            <w:tcBorders>
              <w:top w:val="single" w:sz="8" w:color="auto"/>
            </w:tcBorders>
          </w:tcPr>
          <w:p>
            <w:pPr>
              <w:spacing w:after="0"/>
              <w:rPr>
                <w:sz w:val="11"/>
                <w:szCs w:val="11"/>
                <w:color w:val="auto"/>
              </w:rPr>
            </w:pP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60" w:type="dxa"/>
            <w:vAlign w:val="bottom"/>
            <w:tcBorders>
              <w:top w:val="single" w:sz="8" w:color="auto"/>
            </w:tcBorders>
          </w:tcPr>
          <w:p>
            <w:pPr>
              <w:spacing w:after="0"/>
              <w:rPr>
                <w:sz w:val="11"/>
                <w:szCs w:val="11"/>
                <w:color w:val="auto"/>
              </w:rPr>
            </w:pPr>
          </w:p>
        </w:tc>
        <w:tc>
          <w:tcPr>
            <w:tcW w:w="60" w:type="dxa"/>
            <w:vAlign w:val="bottom"/>
            <w:tcBorders>
              <w:top w:val="single" w:sz="8" w:color="auto"/>
            </w:tcBorders>
          </w:tcPr>
          <w:p>
            <w:pPr>
              <w:spacing w:after="0"/>
              <w:rPr>
                <w:sz w:val="11"/>
                <w:szCs w:val="11"/>
                <w:color w:val="auto"/>
              </w:rPr>
            </w:pPr>
          </w:p>
        </w:tc>
        <w:tc>
          <w:tcPr>
            <w:tcW w:w="240" w:type="dxa"/>
            <w:vAlign w:val="bottom"/>
            <w:tcBorders>
              <w:top w:val="single" w:sz="8" w:color="auto"/>
            </w:tcBorders>
          </w:tcPr>
          <w:p>
            <w:pPr>
              <w:spacing w:after="0"/>
              <w:rPr>
                <w:sz w:val="11"/>
                <w:szCs w:val="11"/>
                <w:color w:val="auto"/>
              </w:rPr>
            </w:pPr>
          </w:p>
        </w:tc>
        <w:tc>
          <w:tcPr>
            <w:tcW w:w="240" w:type="dxa"/>
            <w:vAlign w:val="bottom"/>
            <w:tcBorders>
              <w:top w:val="single" w:sz="8" w:color="auto"/>
            </w:tcBorders>
          </w:tcPr>
          <w:p>
            <w:pPr>
              <w:spacing w:after="0"/>
              <w:rPr>
                <w:sz w:val="11"/>
                <w:szCs w:val="11"/>
                <w:color w:val="auto"/>
              </w:rPr>
            </w:pPr>
          </w:p>
        </w:tc>
        <w:tc>
          <w:tcPr>
            <w:tcW w:w="260" w:type="dxa"/>
            <w:vAlign w:val="bottom"/>
            <w:tcBorders>
              <w:top w:val="single" w:sz="8" w:color="auto"/>
            </w:tcBorders>
          </w:tcPr>
          <w:p>
            <w:pPr>
              <w:spacing w:after="0"/>
              <w:rPr>
                <w:sz w:val="11"/>
                <w:szCs w:val="11"/>
                <w:color w:val="auto"/>
              </w:rPr>
            </w:pPr>
          </w:p>
        </w:tc>
        <w:tc>
          <w:tcPr>
            <w:tcW w:w="300" w:type="dxa"/>
            <w:vAlign w:val="bottom"/>
          </w:tcPr>
          <w:p>
            <w:pPr>
              <w:spacing w:after="0"/>
              <w:rPr>
                <w:sz w:val="11"/>
                <w:szCs w:val="11"/>
                <w:color w:val="auto"/>
              </w:rPr>
            </w:pPr>
          </w:p>
        </w:tc>
        <w:tc>
          <w:tcPr>
            <w:tcW w:w="240" w:type="dxa"/>
            <w:vAlign w:val="bottom"/>
            <w:tcBorders>
              <w:top w:val="single" w:sz="8" w:color="auto"/>
            </w:tcBorders>
          </w:tcPr>
          <w:p>
            <w:pPr>
              <w:spacing w:after="0"/>
              <w:rPr>
                <w:sz w:val="11"/>
                <w:szCs w:val="11"/>
                <w:color w:val="auto"/>
              </w:rPr>
            </w:pPr>
          </w:p>
        </w:tc>
        <w:tc>
          <w:tcPr>
            <w:tcW w:w="380" w:type="dxa"/>
            <w:vAlign w:val="bottom"/>
            <w:tcBorders>
              <w:top w:val="single" w:sz="8" w:color="auto"/>
            </w:tcBorders>
          </w:tcPr>
          <w:p>
            <w:pPr>
              <w:spacing w:after="0"/>
              <w:rPr>
                <w:sz w:val="11"/>
                <w:szCs w:val="11"/>
                <w:color w:val="auto"/>
              </w:rPr>
            </w:pPr>
          </w:p>
        </w:tc>
        <w:tc>
          <w:tcPr>
            <w:tcW w:w="280" w:type="dxa"/>
            <w:vAlign w:val="bottom"/>
            <w:tcBorders>
              <w:top w:val="single" w:sz="8" w:color="auto"/>
            </w:tcBorders>
          </w:tcPr>
          <w:p>
            <w:pPr>
              <w:spacing w:after="0"/>
              <w:rPr>
                <w:sz w:val="11"/>
                <w:szCs w:val="11"/>
                <w:color w:val="auto"/>
              </w:rPr>
            </w:pPr>
          </w:p>
        </w:tc>
        <w:tc>
          <w:tcPr>
            <w:tcW w:w="620" w:type="dxa"/>
            <w:vAlign w:val="bottom"/>
            <w:tcBorders>
              <w:top w:val="single" w:sz="8" w:color="auto"/>
            </w:tcBorders>
            <w:gridSpan w:val="2"/>
          </w:tcPr>
          <w:p>
            <w:pPr>
              <w:jc w:val="right"/>
              <w:spacing w:after="0" w:line="129" w:lineRule="exact"/>
              <w:rPr>
                <w:sz w:val="20"/>
                <w:szCs w:val="20"/>
                <w:color w:val="auto"/>
              </w:rPr>
            </w:pPr>
            <w:r>
              <w:rPr>
                <w:rFonts w:ascii="Arial" w:cs="Arial" w:eastAsia="Arial" w:hAnsi="Arial"/>
                <w:sz w:val="14"/>
                <w:szCs w:val="14"/>
                <w:b w:val="1"/>
                <w:bCs w:val="1"/>
                <w:color w:val="auto"/>
                <w:w w:val="87"/>
              </w:rPr>
              <w:t>Combined</w:t>
            </w:r>
          </w:p>
        </w:tc>
        <w:tc>
          <w:tcPr>
            <w:tcW w:w="300" w:type="dxa"/>
            <w:vAlign w:val="bottom"/>
          </w:tcPr>
          <w:p>
            <w:pPr>
              <w:spacing w:after="0"/>
              <w:rPr>
                <w:sz w:val="11"/>
                <w:szCs w:val="11"/>
                <w:color w:val="auto"/>
              </w:rPr>
            </w:pPr>
          </w:p>
        </w:tc>
        <w:tc>
          <w:tcPr>
            <w:tcW w:w="380" w:type="dxa"/>
            <w:vAlign w:val="bottom"/>
            <w:tcBorders>
              <w:top w:val="single" w:sz="8" w:color="auto"/>
            </w:tcBorders>
          </w:tcPr>
          <w:p>
            <w:pPr>
              <w:spacing w:after="0"/>
              <w:rPr>
                <w:sz w:val="11"/>
                <w:szCs w:val="11"/>
                <w:color w:val="auto"/>
              </w:rPr>
            </w:pPr>
          </w:p>
        </w:tc>
        <w:tc>
          <w:tcPr>
            <w:tcW w:w="220" w:type="dxa"/>
            <w:vAlign w:val="bottom"/>
            <w:tcBorders>
              <w:top w:val="single" w:sz="8" w:color="auto"/>
            </w:tcBorders>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220" w:type="dxa"/>
            <w:vAlign w:val="bottom"/>
            <w:tcBorders>
              <w:top w:val="single" w:sz="8" w:color="auto"/>
            </w:tcBorders>
          </w:tcPr>
          <w:p>
            <w:pPr>
              <w:spacing w:after="0"/>
              <w:rPr>
                <w:sz w:val="11"/>
                <w:szCs w:val="11"/>
                <w:color w:val="auto"/>
              </w:rPr>
            </w:pPr>
          </w:p>
        </w:tc>
        <w:tc>
          <w:tcPr>
            <w:tcW w:w="600" w:type="dxa"/>
            <w:vAlign w:val="bottom"/>
            <w:tcBorders>
              <w:top w:val="single" w:sz="8" w:color="auto"/>
            </w:tcBorders>
          </w:tcPr>
          <w:p>
            <w:pPr>
              <w:jc w:val="center"/>
              <w:spacing w:after="0" w:line="129" w:lineRule="exact"/>
              <w:rPr>
                <w:sz w:val="20"/>
                <w:szCs w:val="20"/>
                <w:color w:val="auto"/>
              </w:rPr>
            </w:pPr>
            <w:r>
              <w:rPr>
                <w:rFonts w:ascii="Arial" w:cs="Arial" w:eastAsia="Arial" w:hAnsi="Arial"/>
                <w:sz w:val="14"/>
                <w:szCs w:val="14"/>
                <w:b w:val="1"/>
                <w:bCs w:val="1"/>
                <w:color w:val="auto"/>
                <w:w w:val="87"/>
              </w:rPr>
              <w:t>Combined</w:t>
            </w:r>
          </w:p>
        </w:tc>
        <w:tc>
          <w:tcPr>
            <w:tcW w:w="100" w:type="dxa"/>
            <w:vAlign w:val="bottom"/>
          </w:tcPr>
          <w:p>
            <w:pPr>
              <w:spacing w:after="0"/>
              <w:rPr>
                <w:sz w:val="11"/>
                <w:szCs w:val="11"/>
                <w:color w:val="auto"/>
              </w:rPr>
            </w:pPr>
          </w:p>
        </w:tc>
      </w:tr>
      <w:tr>
        <w:trPr>
          <w:trHeight w:val="149"/>
        </w:trPr>
        <w:tc>
          <w:tcPr>
            <w:tcW w:w="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32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0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7"/>
              </w:rPr>
              <w:t>GM</w:t>
            </w:r>
          </w:p>
        </w:tc>
        <w:tc>
          <w:tcPr>
            <w:tcW w:w="3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20" w:type="dxa"/>
            <w:vAlign w:val="bottom"/>
            <w:gridSpan w:val="3"/>
          </w:tcPr>
          <w:p>
            <w:pPr>
              <w:ind w:left="60"/>
              <w:spacing w:after="0" w:line="149" w:lineRule="exact"/>
              <w:rPr>
                <w:sz w:val="20"/>
                <w:szCs w:val="20"/>
                <w:color w:val="auto"/>
              </w:rPr>
            </w:pPr>
            <w:r>
              <w:rPr>
                <w:rFonts w:ascii="Arial" w:cs="Arial" w:eastAsia="Arial" w:hAnsi="Arial"/>
                <w:sz w:val="14"/>
                <w:szCs w:val="14"/>
                <w:b w:val="1"/>
                <w:bCs w:val="1"/>
                <w:color w:val="auto"/>
              </w:rPr>
              <w:t>GM and</w:t>
            </w:r>
          </w:p>
        </w:tc>
        <w:tc>
          <w:tcPr>
            <w:tcW w:w="3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0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3"/>
              </w:rPr>
              <w:t>GM and</w:t>
            </w:r>
          </w:p>
        </w:tc>
      </w:tr>
      <w:tr>
        <w:trPr>
          <w:trHeight w:val="149"/>
        </w:trPr>
        <w:tc>
          <w:tcPr>
            <w:tcW w:w="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32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40" w:type="dxa"/>
            <w:vAlign w:val="bottom"/>
          </w:tcPr>
          <w:p>
            <w:pPr>
              <w:ind w:left="200"/>
              <w:spacing w:after="0" w:line="149" w:lineRule="exact"/>
              <w:rPr>
                <w:sz w:val="20"/>
                <w:szCs w:val="20"/>
                <w:color w:val="auto"/>
              </w:rPr>
            </w:pPr>
            <w:r>
              <w:rPr>
                <w:rFonts w:ascii="Arial" w:cs="Arial" w:eastAsia="Arial" w:hAnsi="Arial"/>
                <w:sz w:val="14"/>
                <w:szCs w:val="14"/>
                <w:b w:val="1"/>
                <w:bCs w:val="1"/>
                <w:color w:val="auto"/>
              </w:rPr>
              <w:t>GM</w:t>
            </w: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00" w:type="dxa"/>
            <w:vAlign w:val="bottom"/>
            <w:gridSpan w:val="2"/>
          </w:tcPr>
          <w:p>
            <w:pPr>
              <w:jc w:val="center"/>
              <w:ind w:right="40"/>
              <w:spacing w:after="0" w:line="149" w:lineRule="exact"/>
              <w:rPr>
                <w:sz w:val="20"/>
                <w:szCs w:val="20"/>
                <w:color w:val="auto"/>
              </w:rPr>
            </w:pPr>
            <w:r>
              <w:rPr>
                <w:rFonts w:ascii="Arial" w:cs="Arial" w:eastAsia="Arial" w:hAnsi="Arial"/>
                <w:sz w:val="14"/>
                <w:szCs w:val="14"/>
                <w:b w:val="1"/>
                <w:bCs w:val="1"/>
                <w:color w:val="auto"/>
                <w:w w:val="87"/>
              </w:rPr>
              <w:t>as a %</w:t>
            </w:r>
          </w:p>
        </w:tc>
        <w:tc>
          <w:tcPr>
            <w:tcW w:w="300" w:type="dxa"/>
            <w:vAlign w:val="bottom"/>
          </w:tcPr>
          <w:p>
            <w:pPr>
              <w:spacing w:after="0"/>
              <w:rPr>
                <w:sz w:val="12"/>
                <w:szCs w:val="12"/>
                <w:color w:val="auto"/>
              </w:rPr>
            </w:pPr>
          </w:p>
        </w:tc>
        <w:tc>
          <w:tcPr>
            <w:tcW w:w="620" w:type="dxa"/>
            <w:vAlign w:val="bottom"/>
            <w:gridSpan w:val="2"/>
          </w:tcPr>
          <w:p>
            <w:pPr>
              <w:jc w:val="right"/>
              <w:spacing w:after="0" w:line="149" w:lineRule="exact"/>
              <w:rPr>
                <w:sz w:val="20"/>
                <w:szCs w:val="20"/>
                <w:color w:val="auto"/>
              </w:rPr>
            </w:pPr>
            <w:r>
              <w:rPr>
                <w:rFonts w:ascii="Arial" w:cs="Arial" w:eastAsia="Arial" w:hAnsi="Arial"/>
                <w:sz w:val="14"/>
                <w:szCs w:val="14"/>
                <w:b w:val="1"/>
                <w:bCs w:val="1"/>
                <w:color w:val="auto"/>
                <w:w w:val="84"/>
              </w:rPr>
              <w:t>Combined</w:t>
            </w:r>
          </w:p>
        </w:tc>
        <w:tc>
          <w:tcPr>
            <w:tcW w:w="280" w:type="dxa"/>
            <w:vAlign w:val="bottom"/>
          </w:tcPr>
          <w:p>
            <w:pPr>
              <w:spacing w:after="0"/>
              <w:rPr>
                <w:sz w:val="12"/>
                <w:szCs w:val="12"/>
                <w:color w:val="auto"/>
              </w:rPr>
            </w:pPr>
          </w:p>
        </w:tc>
        <w:tc>
          <w:tcPr>
            <w:tcW w:w="920" w:type="dxa"/>
            <w:vAlign w:val="bottom"/>
            <w:gridSpan w:val="3"/>
          </w:tcPr>
          <w:p>
            <w:pPr>
              <w:ind w:left="60"/>
              <w:spacing w:after="0" w:line="149" w:lineRule="exact"/>
              <w:rPr>
                <w:sz w:val="20"/>
                <w:szCs w:val="20"/>
                <w:color w:val="auto"/>
              </w:rPr>
            </w:pPr>
            <w:r>
              <w:rPr>
                <w:rFonts w:ascii="Arial" w:cs="Arial" w:eastAsia="Arial" w:hAnsi="Arial"/>
                <w:sz w:val="14"/>
                <w:szCs w:val="14"/>
                <w:b w:val="1"/>
                <w:bCs w:val="1"/>
                <w:color w:val="auto"/>
              </w:rPr>
              <w:t>Old GM</w:t>
            </w:r>
          </w:p>
        </w:tc>
        <w:tc>
          <w:tcPr>
            <w:tcW w:w="680" w:type="dxa"/>
            <w:vAlign w:val="bottom"/>
            <w:gridSpan w:val="3"/>
          </w:tcPr>
          <w:p>
            <w:pPr>
              <w:jc w:val="right"/>
              <w:ind w:right="80"/>
              <w:spacing w:after="0" w:line="149" w:lineRule="exact"/>
              <w:rPr>
                <w:sz w:val="20"/>
                <w:szCs w:val="20"/>
                <w:color w:val="auto"/>
              </w:rPr>
            </w:pPr>
            <w:r>
              <w:rPr>
                <w:rFonts w:ascii="Arial" w:cs="Arial" w:eastAsia="Arial" w:hAnsi="Arial"/>
                <w:sz w:val="14"/>
                <w:szCs w:val="14"/>
                <w:b w:val="1"/>
                <w:bCs w:val="1"/>
                <w:color w:val="auto"/>
                <w:w w:val="84"/>
              </w:rPr>
              <w:t>Combined</w:t>
            </w:r>
          </w:p>
        </w:tc>
        <w:tc>
          <w:tcPr>
            <w:tcW w:w="220" w:type="dxa"/>
            <w:vAlign w:val="bottom"/>
          </w:tcPr>
          <w:p>
            <w:pPr>
              <w:spacing w:after="0"/>
              <w:rPr>
                <w:sz w:val="12"/>
                <w:szCs w:val="12"/>
                <w:color w:val="auto"/>
              </w:rPr>
            </w:pPr>
          </w:p>
        </w:tc>
        <w:tc>
          <w:tcPr>
            <w:tcW w:w="70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6"/>
              </w:rPr>
              <w:t>Old GM</w:t>
            </w:r>
          </w:p>
        </w:tc>
      </w:tr>
      <w:tr>
        <w:trPr>
          <w:trHeight w:val="149"/>
        </w:trPr>
        <w:tc>
          <w:tcPr>
            <w:tcW w:w="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32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as a % of</w:t>
            </w: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0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75"/>
              </w:rPr>
              <w:t>of</w:t>
            </w:r>
          </w:p>
        </w:tc>
        <w:tc>
          <w:tcPr>
            <w:tcW w:w="300" w:type="dxa"/>
            <w:vAlign w:val="bottom"/>
          </w:tcPr>
          <w:p>
            <w:pPr>
              <w:spacing w:after="0"/>
              <w:rPr>
                <w:sz w:val="12"/>
                <w:szCs w:val="12"/>
                <w:color w:val="auto"/>
              </w:rPr>
            </w:pPr>
          </w:p>
        </w:tc>
        <w:tc>
          <w:tcPr>
            <w:tcW w:w="620" w:type="dxa"/>
            <w:vAlign w:val="bottom"/>
            <w:gridSpan w:val="2"/>
          </w:tcPr>
          <w:p>
            <w:pPr>
              <w:jc w:val="right"/>
              <w:ind w:right="12"/>
              <w:spacing w:after="0" w:line="149" w:lineRule="exact"/>
              <w:rPr>
                <w:sz w:val="20"/>
                <w:szCs w:val="20"/>
                <w:color w:val="auto"/>
              </w:rPr>
            </w:pPr>
            <w:r>
              <w:rPr>
                <w:rFonts w:ascii="Arial" w:cs="Arial" w:eastAsia="Arial" w:hAnsi="Arial"/>
                <w:sz w:val="14"/>
                <w:szCs w:val="14"/>
                <w:b w:val="1"/>
                <w:bCs w:val="1"/>
                <w:color w:val="auto"/>
              </w:rPr>
              <w:t>GM and</w:t>
            </w:r>
          </w:p>
        </w:tc>
        <w:tc>
          <w:tcPr>
            <w:tcW w:w="280" w:type="dxa"/>
            <w:vAlign w:val="bottom"/>
          </w:tcPr>
          <w:p>
            <w:pPr>
              <w:spacing w:after="0"/>
              <w:rPr>
                <w:sz w:val="12"/>
                <w:szCs w:val="12"/>
                <w:color w:val="auto"/>
              </w:rPr>
            </w:pPr>
          </w:p>
        </w:tc>
        <w:tc>
          <w:tcPr>
            <w:tcW w:w="920" w:type="dxa"/>
            <w:vAlign w:val="bottom"/>
            <w:gridSpan w:val="3"/>
          </w:tcPr>
          <w:p>
            <w:pPr>
              <w:ind w:left="40"/>
              <w:spacing w:after="0" w:line="149" w:lineRule="exact"/>
              <w:rPr>
                <w:sz w:val="20"/>
                <w:szCs w:val="20"/>
                <w:color w:val="auto"/>
              </w:rPr>
            </w:pPr>
            <w:r>
              <w:rPr>
                <w:rFonts w:ascii="Arial" w:cs="Arial" w:eastAsia="Arial" w:hAnsi="Arial"/>
                <w:sz w:val="14"/>
                <w:szCs w:val="14"/>
                <w:b w:val="1"/>
                <w:bCs w:val="1"/>
                <w:color w:val="auto"/>
              </w:rPr>
              <w:t>as a % of</w:t>
            </w:r>
          </w:p>
        </w:tc>
        <w:tc>
          <w:tcPr>
            <w:tcW w:w="680" w:type="dxa"/>
            <w:vAlign w:val="bottom"/>
            <w:gridSpan w:val="3"/>
          </w:tcPr>
          <w:p>
            <w:pPr>
              <w:jc w:val="right"/>
              <w:ind w:right="140"/>
              <w:spacing w:after="0" w:line="149" w:lineRule="exact"/>
              <w:rPr>
                <w:sz w:val="20"/>
                <w:szCs w:val="20"/>
                <w:color w:val="auto"/>
              </w:rPr>
            </w:pPr>
            <w:r>
              <w:rPr>
                <w:rFonts w:ascii="Arial" w:cs="Arial" w:eastAsia="Arial" w:hAnsi="Arial"/>
                <w:sz w:val="14"/>
                <w:szCs w:val="14"/>
                <w:b w:val="1"/>
                <w:bCs w:val="1"/>
                <w:color w:val="auto"/>
              </w:rPr>
              <w:t>GM and</w:t>
            </w:r>
          </w:p>
        </w:tc>
        <w:tc>
          <w:tcPr>
            <w:tcW w:w="220" w:type="dxa"/>
            <w:vAlign w:val="bottom"/>
          </w:tcPr>
          <w:p>
            <w:pPr>
              <w:spacing w:after="0"/>
              <w:rPr>
                <w:sz w:val="12"/>
                <w:szCs w:val="12"/>
                <w:color w:val="auto"/>
              </w:rPr>
            </w:pPr>
          </w:p>
        </w:tc>
        <w:tc>
          <w:tcPr>
            <w:tcW w:w="70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85"/>
              </w:rPr>
              <w:t>as a % of</w:t>
            </w:r>
          </w:p>
        </w:tc>
      </w:tr>
      <w:tr>
        <w:trPr>
          <w:trHeight w:val="161"/>
        </w:trPr>
        <w:tc>
          <w:tcPr>
            <w:tcW w:w="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32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60" w:type="dxa"/>
            <w:vAlign w:val="bottom"/>
            <w:gridSpan w:val="2"/>
          </w:tcPr>
          <w:p>
            <w:pPr>
              <w:jc w:val="right"/>
              <w:ind w:right="60"/>
              <w:spacing w:after="0"/>
              <w:rPr>
                <w:sz w:val="20"/>
                <w:szCs w:val="20"/>
                <w:color w:val="auto"/>
              </w:rPr>
            </w:pPr>
            <w:r>
              <w:rPr>
                <w:rFonts w:ascii="Arial" w:cs="Arial" w:eastAsia="Arial" w:hAnsi="Arial"/>
                <w:sz w:val="14"/>
                <w:szCs w:val="14"/>
                <w:b w:val="1"/>
                <w:bCs w:val="1"/>
                <w:color w:val="auto"/>
              </w:rPr>
              <w:t>GM</w:t>
            </w:r>
          </w:p>
        </w:tc>
        <w:tc>
          <w:tcPr>
            <w:tcW w:w="280" w:type="dxa"/>
            <w:vAlign w:val="bottom"/>
          </w:tcPr>
          <w:p>
            <w:pPr>
              <w:spacing w:after="0"/>
              <w:rPr>
                <w:sz w:val="14"/>
                <w:szCs w:val="14"/>
                <w:color w:val="auto"/>
              </w:rPr>
            </w:pPr>
          </w:p>
        </w:tc>
        <w:tc>
          <w:tcPr>
            <w:tcW w:w="640" w:type="dxa"/>
            <w:vAlign w:val="bottom"/>
          </w:tcPr>
          <w:p>
            <w:pPr>
              <w:jc w:val="center"/>
              <w:spacing w:after="0"/>
              <w:rPr>
                <w:sz w:val="20"/>
                <w:szCs w:val="20"/>
                <w:color w:val="auto"/>
              </w:rPr>
            </w:pPr>
            <w:r>
              <w:rPr>
                <w:rFonts w:ascii="Arial" w:cs="Arial" w:eastAsia="Arial" w:hAnsi="Arial"/>
                <w:sz w:val="14"/>
                <w:szCs w:val="14"/>
                <w:b w:val="1"/>
                <w:bCs w:val="1"/>
                <w:color w:val="auto"/>
                <w:w w:val="90"/>
              </w:rPr>
              <w:t>Industry</w:t>
            </w: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20" w:type="dxa"/>
            <w:vAlign w:val="bottom"/>
            <w:gridSpan w:val="2"/>
          </w:tcPr>
          <w:p>
            <w:pPr>
              <w:ind w:left="100"/>
              <w:spacing w:after="0"/>
              <w:rPr>
                <w:sz w:val="20"/>
                <w:szCs w:val="20"/>
                <w:color w:val="auto"/>
              </w:rPr>
            </w:pPr>
            <w:r>
              <w:rPr>
                <w:rFonts w:ascii="Arial" w:cs="Arial" w:eastAsia="Arial" w:hAnsi="Arial"/>
                <w:sz w:val="14"/>
                <w:szCs w:val="14"/>
                <w:b w:val="1"/>
                <w:bCs w:val="1"/>
                <w:color w:val="auto"/>
              </w:rPr>
              <w:t>GM</w:t>
            </w:r>
          </w:p>
        </w:tc>
        <w:tc>
          <w:tcPr>
            <w:tcW w:w="240" w:type="dxa"/>
            <w:vAlign w:val="bottom"/>
          </w:tcPr>
          <w:p>
            <w:pPr>
              <w:spacing w:after="0"/>
              <w:rPr>
                <w:sz w:val="14"/>
                <w:szCs w:val="14"/>
                <w:color w:val="auto"/>
              </w:rPr>
            </w:pPr>
          </w:p>
        </w:tc>
        <w:tc>
          <w:tcPr>
            <w:tcW w:w="500" w:type="dxa"/>
            <w:vAlign w:val="bottom"/>
            <w:gridSpan w:val="2"/>
          </w:tcPr>
          <w:p>
            <w:pPr>
              <w:jc w:val="center"/>
              <w:spacing w:after="0"/>
              <w:rPr>
                <w:sz w:val="20"/>
                <w:szCs w:val="20"/>
                <w:color w:val="auto"/>
              </w:rPr>
            </w:pPr>
            <w:r>
              <w:rPr>
                <w:rFonts w:ascii="Arial" w:cs="Arial" w:eastAsia="Arial" w:hAnsi="Arial"/>
                <w:sz w:val="14"/>
                <w:szCs w:val="14"/>
                <w:b w:val="1"/>
                <w:bCs w:val="1"/>
                <w:color w:val="auto"/>
                <w:w w:val="90"/>
              </w:rPr>
              <w:t>Industry</w:t>
            </w:r>
          </w:p>
        </w:tc>
        <w:tc>
          <w:tcPr>
            <w:tcW w:w="300" w:type="dxa"/>
            <w:vAlign w:val="bottom"/>
          </w:tcPr>
          <w:p>
            <w:pPr>
              <w:spacing w:after="0"/>
              <w:rPr>
                <w:sz w:val="14"/>
                <w:szCs w:val="14"/>
                <w:color w:val="auto"/>
              </w:rPr>
            </w:pPr>
          </w:p>
        </w:tc>
        <w:tc>
          <w:tcPr>
            <w:tcW w:w="620" w:type="dxa"/>
            <w:vAlign w:val="bottom"/>
            <w:gridSpan w:val="2"/>
          </w:tcPr>
          <w:p>
            <w:pPr>
              <w:jc w:val="right"/>
              <w:ind w:right="12"/>
              <w:spacing w:after="0"/>
              <w:rPr>
                <w:sz w:val="20"/>
                <w:szCs w:val="20"/>
                <w:color w:val="auto"/>
              </w:rPr>
            </w:pPr>
            <w:r>
              <w:rPr>
                <w:rFonts w:ascii="Arial" w:cs="Arial" w:eastAsia="Arial" w:hAnsi="Arial"/>
                <w:sz w:val="14"/>
                <w:szCs w:val="14"/>
                <w:b w:val="1"/>
                <w:bCs w:val="1"/>
                <w:color w:val="auto"/>
              </w:rPr>
              <w:t>Old GM</w:t>
            </w:r>
          </w:p>
        </w:tc>
        <w:tc>
          <w:tcPr>
            <w:tcW w:w="280" w:type="dxa"/>
            <w:vAlign w:val="bottom"/>
          </w:tcPr>
          <w:p>
            <w:pPr>
              <w:spacing w:after="0"/>
              <w:rPr>
                <w:sz w:val="14"/>
                <w:szCs w:val="14"/>
                <w:color w:val="auto"/>
              </w:rPr>
            </w:pPr>
          </w:p>
        </w:tc>
        <w:tc>
          <w:tcPr>
            <w:tcW w:w="920" w:type="dxa"/>
            <w:vAlign w:val="bottom"/>
            <w:gridSpan w:val="3"/>
          </w:tcPr>
          <w:p>
            <w:pPr>
              <w:ind w:left="60"/>
              <w:spacing w:after="0"/>
              <w:rPr>
                <w:sz w:val="20"/>
                <w:szCs w:val="20"/>
                <w:color w:val="auto"/>
              </w:rPr>
            </w:pPr>
            <w:r>
              <w:rPr>
                <w:rFonts w:ascii="Arial" w:cs="Arial" w:eastAsia="Arial" w:hAnsi="Arial"/>
                <w:sz w:val="14"/>
                <w:szCs w:val="14"/>
                <w:b w:val="1"/>
                <w:bCs w:val="1"/>
                <w:color w:val="auto"/>
              </w:rPr>
              <w:t>Industry</w:t>
            </w:r>
          </w:p>
        </w:tc>
        <w:tc>
          <w:tcPr>
            <w:tcW w:w="680" w:type="dxa"/>
            <w:vAlign w:val="bottom"/>
            <w:gridSpan w:val="3"/>
          </w:tcPr>
          <w:p>
            <w:pPr>
              <w:jc w:val="right"/>
              <w:ind w:right="140"/>
              <w:spacing w:after="0"/>
              <w:rPr>
                <w:sz w:val="20"/>
                <w:szCs w:val="20"/>
                <w:color w:val="auto"/>
              </w:rPr>
            </w:pPr>
            <w:r>
              <w:rPr>
                <w:rFonts w:ascii="Arial" w:cs="Arial" w:eastAsia="Arial" w:hAnsi="Arial"/>
                <w:sz w:val="14"/>
                <w:szCs w:val="14"/>
                <w:b w:val="1"/>
                <w:bCs w:val="1"/>
                <w:color w:val="auto"/>
              </w:rPr>
              <w:t>Old GM</w:t>
            </w:r>
          </w:p>
        </w:tc>
        <w:tc>
          <w:tcPr>
            <w:tcW w:w="220" w:type="dxa"/>
            <w:vAlign w:val="bottom"/>
          </w:tcPr>
          <w:p>
            <w:pPr>
              <w:spacing w:after="0"/>
              <w:rPr>
                <w:sz w:val="14"/>
                <w:szCs w:val="14"/>
                <w:color w:val="auto"/>
              </w:rPr>
            </w:pPr>
          </w:p>
        </w:tc>
        <w:tc>
          <w:tcPr>
            <w:tcW w:w="70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90"/>
              </w:rPr>
              <w:t>Industry</w:t>
            </w:r>
          </w:p>
        </w:tc>
      </w:tr>
      <w:tr>
        <w:trPr>
          <w:trHeight w:val="210"/>
        </w:trPr>
        <w:tc>
          <w:tcPr>
            <w:tcW w:w="20" w:type="dxa"/>
            <w:vAlign w:val="bottom"/>
          </w:tcPr>
          <w:p>
            <w:pPr>
              <w:spacing w:after="0"/>
              <w:rPr>
                <w:sz w:val="18"/>
                <w:szCs w:val="18"/>
                <w:color w:val="auto"/>
              </w:rPr>
            </w:pPr>
          </w:p>
        </w:tc>
        <w:tc>
          <w:tcPr>
            <w:tcW w:w="43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Vehicle Sales (a)(b)(c)(d)(e)</w:t>
            </w:r>
          </w:p>
        </w:tc>
        <w:tc>
          <w:tcPr>
            <w:tcW w:w="500" w:type="dxa"/>
            <w:vAlign w:val="bottom"/>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340" w:type="dxa"/>
            <w:vAlign w:val="bottom"/>
            <w:gridSpan w:val="2"/>
          </w:tcPr>
          <w:p>
            <w:pPr>
              <w:spacing w:after="0"/>
              <w:rPr>
                <w:sz w:val="20"/>
                <w:szCs w:val="20"/>
                <w:color w:val="auto"/>
              </w:rPr>
            </w:pPr>
            <w:r>
              <w:rPr>
                <w:rFonts w:ascii="Arial" w:cs="Arial" w:eastAsia="Arial" w:hAnsi="Arial"/>
                <w:sz w:val="18"/>
                <w:szCs w:val="18"/>
                <w:color w:val="auto"/>
              </w:rPr>
              <w:t>Total GMNA</w:t>
            </w:r>
          </w:p>
        </w:tc>
        <w:tc>
          <w:tcPr>
            <w:tcW w:w="860" w:type="dxa"/>
            <w:vAlign w:val="bottom"/>
            <w:gridSpan w:val="3"/>
          </w:tcPr>
          <w:p>
            <w:pPr>
              <w:jc w:val="right"/>
              <w:ind w:right="20"/>
              <w:spacing w:after="0"/>
              <w:rPr>
                <w:sz w:val="20"/>
                <w:szCs w:val="20"/>
                <w:color w:val="auto"/>
              </w:rPr>
            </w:pPr>
            <w:r>
              <w:rPr>
                <w:rFonts w:ascii="Arial" w:cs="Arial" w:eastAsia="Arial" w:hAnsi="Arial"/>
                <w:sz w:val="18"/>
                <w:szCs w:val="18"/>
                <w:color w:val="auto"/>
              </w:rPr>
              <w:t>661</w:t>
            </w:r>
          </w:p>
        </w:tc>
        <w:tc>
          <w:tcPr>
            <w:tcW w:w="920" w:type="dxa"/>
            <w:vAlign w:val="bottom"/>
            <w:gridSpan w:val="2"/>
          </w:tcPr>
          <w:p>
            <w:pPr>
              <w:ind w:left="460"/>
              <w:spacing w:after="0"/>
              <w:rPr>
                <w:sz w:val="20"/>
                <w:szCs w:val="20"/>
                <w:color w:val="auto"/>
              </w:rPr>
            </w:pPr>
            <w:r>
              <w:rPr>
                <w:rFonts w:ascii="Arial" w:cs="Arial" w:eastAsia="Arial" w:hAnsi="Arial"/>
                <w:sz w:val="18"/>
                <w:szCs w:val="18"/>
                <w:color w:val="auto"/>
                <w:w w:val="86"/>
              </w:rPr>
              <w:t>17.7%</w:t>
            </w:r>
          </w:p>
        </w:tc>
        <w:tc>
          <w:tcPr>
            <w:tcW w:w="820" w:type="dxa"/>
            <w:vAlign w:val="bottom"/>
            <w:gridSpan w:val="4"/>
          </w:tcPr>
          <w:p>
            <w:pPr>
              <w:jc w:val="right"/>
              <w:ind w:right="60"/>
              <w:spacing w:after="0"/>
              <w:rPr>
                <w:sz w:val="20"/>
                <w:szCs w:val="20"/>
                <w:color w:val="auto"/>
              </w:rPr>
            </w:pPr>
            <w:r>
              <w:rPr>
                <w:rFonts w:ascii="Arial" w:cs="Arial" w:eastAsia="Arial" w:hAnsi="Arial"/>
                <w:sz w:val="18"/>
                <w:szCs w:val="18"/>
                <w:color w:val="auto"/>
              </w:rPr>
              <w:t>1,941</w:t>
            </w:r>
          </w:p>
        </w:tc>
        <w:tc>
          <w:tcPr>
            <w:tcW w:w="740" w:type="dxa"/>
            <w:vAlign w:val="bottom"/>
            <w:gridSpan w:val="3"/>
          </w:tcPr>
          <w:p>
            <w:pPr>
              <w:jc w:val="center"/>
              <w:ind w:left="212"/>
              <w:spacing w:after="0"/>
              <w:rPr>
                <w:sz w:val="20"/>
                <w:szCs w:val="20"/>
                <w:color w:val="auto"/>
              </w:rPr>
            </w:pPr>
            <w:r>
              <w:rPr>
                <w:rFonts w:ascii="Arial" w:cs="Arial" w:eastAsia="Arial" w:hAnsi="Arial"/>
                <w:sz w:val="18"/>
                <w:szCs w:val="18"/>
                <w:color w:val="auto"/>
                <w:w w:val="86"/>
              </w:rPr>
              <w:t>18.1%</w:t>
            </w:r>
          </w:p>
        </w:tc>
        <w:tc>
          <w:tcPr>
            <w:tcW w:w="920" w:type="dxa"/>
            <w:vAlign w:val="bottom"/>
            <w:gridSpan w:val="3"/>
          </w:tcPr>
          <w:p>
            <w:pPr>
              <w:jc w:val="right"/>
              <w:spacing w:after="0"/>
              <w:rPr>
                <w:sz w:val="20"/>
                <w:szCs w:val="20"/>
                <w:color w:val="auto"/>
              </w:rPr>
            </w:pPr>
            <w:r>
              <w:rPr>
                <w:rFonts w:ascii="Arial" w:cs="Arial" w:eastAsia="Arial" w:hAnsi="Arial"/>
                <w:sz w:val="18"/>
                <w:szCs w:val="18"/>
                <w:color w:val="auto"/>
              </w:rPr>
              <w:t>690</w:t>
            </w:r>
          </w:p>
        </w:tc>
        <w:tc>
          <w:tcPr>
            <w:tcW w:w="1200" w:type="dxa"/>
            <w:vAlign w:val="bottom"/>
            <w:gridSpan w:val="4"/>
          </w:tcPr>
          <w:p>
            <w:pPr>
              <w:jc w:val="right"/>
              <w:ind w:right="300"/>
              <w:spacing w:after="0"/>
              <w:rPr>
                <w:sz w:val="20"/>
                <w:szCs w:val="20"/>
                <w:color w:val="auto"/>
              </w:rPr>
            </w:pPr>
            <w:r>
              <w:rPr>
                <w:rFonts w:ascii="Arial" w:cs="Arial" w:eastAsia="Arial" w:hAnsi="Arial"/>
                <w:sz w:val="18"/>
                <w:szCs w:val="18"/>
                <w:color w:val="auto"/>
              </w:rPr>
              <w:t>18.7%</w:t>
            </w:r>
          </w:p>
        </w:tc>
        <w:tc>
          <w:tcPr>
            <w:tcW w:w="680" w:type="dxa"/>
            <w:vAlign w:val="bottom"/>
            <w:gridSpan w:val="3"/>
          </w:tcPr>
          <w:p>
            <w:pPr>
              <w:jc w:val="right"/>
              <w:ind w:right="80"/>
              <w:spacing w:after="0"/>
              <w:rPr>
                <w:sz w:val="20"/>
                <w:szCs w:val="20"/>
                <w:color w:val="auto"/>
              </w:rPr>
            </w:pPr>
            <w:r>
              <w:rPr>
                <w:rFonts w:ascii="Arial" w:cs="Arial" w:eastAsia="Arial" w:hAnsi="Arial"/>
                <w:sz w:val="18"/>
                <w:szCs w:val="18"/>
                <w:color w:val="auto"/>
              </w:rPr>
              <w:t>1,847</w:t>
            </w: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18.9%</w:t>
            </w: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3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U.S.</w:t>
            </w:r>
          </w:p>
        </w:tc>
        <w:tc>
          <w:tcPr>
            <w:tcW w:w="86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558</w:t>
            </w:r>
          </w:p>
        </w:tc>
        <w:tc>
          <w:tcPr>
            <w:tcW w:w="92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w w:val="86"/>
              </w:rPr>
              <w:t>18.3%</w:t>
            </w:r>
          </w:p>
        </w:tc>
        <w:tc>
          <w:tcPr>
            <w:tcW w:w="820" w:type="dxa"/>
            <w:vAlign w:val="bottom"/>
            <w:gridSpan w:val="4"/>
            <w:shd w:val="clear" w:color="auto" w:fill="CCEEFF"/>
          </w:tcPr>
          <w:p>
            <w:pPr>
              <w:jc w:val="right"/>
              <w:ind w:right="60"/>
              <w:spacing w:after="0"/>
              <w:rPr>
                <w:sz w:val="20"/>
                <w:szCs w:val="20"/>
                <w:color w:val="auto"/>
              </w:rPr>
            </w:pPr>
            <w:r>
              <w:rPr>
                <w:rFonts w:ascii="Arial" w:cs="Arial" w:eastAsia="Arial" w:hAnsi="Arial"/>
                <w:sz w:val="18"/>
                <w:szCs w:val="18"/>
                <w:color w:val="auto"/>
              </w:rPr>
              <w:t>1,639</w:t>
            </w:r>
          </w:p>
        </w:tc>
        <w:tc>
          <w:tcPr>
            <w:tcW w:w="740" w:type="dxa"/>
            <w:vAlign w:val="bottom"/>
            <w:gridSpan w:val="3"/>
            <w:shd w:val="clear" w:color="auto" w:fill="CCEEFF"/>
          </w:tcPr>
          <w:p>
            <w:pPr>
              <w:jc w:val="center"/>
              <w:ind w:left="212"/>
              <w:spacing w:after="0"/>
              <w:rPr>
                <w:sz w:val="20"/>
                <w:szCs w:val="20"/>
                <w:color w:val="auto"/>
              </w:rPr>
            </w:pPr>
            <w:r>
              <w:rPr>
                <w:rFonts w:ascii="Arial" w:cs="Arial" w:eastAsia="Arial" w:hAnsi="Arial"/>
                <w:sz w:val="18"/>
                <w:szCs w:val="18"/>
                <w:color w:val="auto"/>
                <w:w w:val="86"/>
              </w:rPr>
              <w:t>18.7%</w:t>
            </w:r>
          </w:p>
        </w:tc>
        <w:tc>
          <w:tcPr>
            <w:tcW w:w="9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593</w:t>
            </w:r>
          </w:p>
        </w:tc>
        <w:tc>
          <w:tcPr>
            <w:tcW w:w="1200" w:type="dxa"/>
            <w:vAlign w:val="bottom"/>
            <w:gridSpan w:val="4"/>
            <w:shd w:val="clear" w:color="auto" w:fill="CCEEFF"/>
          </w:tcPr>
          <w:p>
            <w:pPr>
              <w:jc w:val="right"/>
              <w:ind w:right="300"/>
              <w:spacing w:after="0"/>
              <w:rPr>
                <w:sz w:val="20"/>
                <w:szCs w:val="20"/>
                <w:color w:val="auto"/>
              </w:rPr>
            </w:pPr>
            <w:r>
              <w:rPr>
                <w:rFonts w:ascii="Arial" w:cs="Arial" w:eastAsia="Arial" w:hAnsi="Arial"/>
                <w:sz w:val="18"/>
                <w:szCs w:val="18"/>
                <w:color w:val="auto"/>
              </w:rPr>
              <w:t>19.4%</w:t>
            </w:r>
          </w:p>
        </w:tc>
        <w:tc>
          <w:tcPr>
            <w:tcW w:w="68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1,547</w:t>
            </w: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19.5%</w:t>
            </w: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340" w:type="dxa"/>
            <w:vAlign w:val="bottom"/>
            <w:gridSpan w:val="2"/>
          </w:tcPr>
          <w:p>
            <w:pPr>
              <w:spacing w:after="0"/>
              <w:rPr>
                <w:sz w:val="20"/>
                <w:szCs w:val="20"/>
                <w:color w:val="auto"/>
              </w:rPr>
            </w:pPr>
            <w:r>
              <w:rPr>
                <w:rFonts w:ascii="Arial" w:cs="Arial" w:eastAsia="Arial" w:hAnsi="Arial"/>
                <w:sz w:val="18"/>
                <w:szCs w:val="18"/>
                <w:color w:val="auto"/>
              </w:rPr>
              <w:t>U.S. Cars</w:t>
            </w:r>
          </w:p>
        </w:tc>
        <w:tc>
          <w:tcPr>
            <w:tcW w:w="860" w:type="dxa"/>
            <w:vAlign w:val="bottom"/>
            <w:gridSpan w:val="3"/>
          </w:tcPr>
          <w:p>
            <w:pPr>
              <w:jc w:val="right"/>
              <w:ind w:right="20"/>
              <w:spacing w:after="0"/>
              <w:rPr>
                <w:sz w:val="20"/>
                <w:szCs w:val="20"/>
                <w:color w:val="auto"/>
              </w:rPr>
            </w:pPr>
            <w:r>
              <w:rPr>
                <w:rFonts w:ascii="Arial" w:cs="Arial" w:eastAsia="Arial" w:hAnsi="Arial"/>
                <w:sz w:val="18"/>
                <w:szCs w:val="18"/>
                <w:color w:val="auto"/>
              </w:rPr>
              <w:t>204</w:t>
            </w:r>
          </w:p>
        </w:tc>
        <w:tc>
          <w:tcPr>
            <w:tcW w:w="920" w:type="dxa"/>
            <w:vAlign w:val="bottom"/>
            <w:gridSpan w:val="2"/>
          </w:tcPr>
          <w:p>
            <w:pPr>
              <w:ind w:left="460"/>
              <w:spacing w:after="0"/>
              <w:rPr>
                <w:sz w:val="20"/>
                <w:szCs w:val="20"/>
                <w:color w:val="auto"/>
              </w:rPr>
            </w:pPr>
            <w:r>
              <w:rPr>
                <w:rFonts w:ascii="Arial" w:cs="Arial" w:eastAsia="Arial" w:hAnsi="Arial"/>
                <w:sz w:val="18"/>
                <w:szCs w:val="18"/>
                <w:color w:val="auto"/>
                <w:w w:val="86"/>
              </w:rPr>
              <w:t>13.9%</w:t>
            </w:r>
          </w:p>
        </w:tc>
        <w:tc>
          <w:tcPr>
            <w:tcW w:w="820" w:type="dxa"/>
            <w:vAlign w:val="bottom"/>
            <w:gridSpan w:val="4"/>
          </w:tcPr>
          <w:p>
            <w:pPr>
              <w:jc w:val="right"/>
              <w:ind w:right="60"/>
              <w:spacing w:after="0"/>
              <w:rPr>
                <w:sz w:val="20"/>
                <w:szCs w:val="20"/>
                <w:color w:val="auto"/>
              </w:rPr>
            </w:pPr>
            <w:r>
              <w:rPr>
                <w:rFonts w:ascii="Arial" w:cs="Arial" w:eastAsia="Arial" w:hAnsi="Arial"/>
                <w:sz w:val="18"/>
                <w:szCs w:val="18"/>
                <w:color w:val="auto"/>
              </w:rPr>
              <w:t>629</w:t>
            </w:r>
          </w:p>
        </w:tc>
        <w:tc>
          <w:tcPr>
            <w:tcW w:w="740" w:type="dxa"/>
            <w:vAlign w:val="bottom"/>
            <w:gridSpan w:val="3"/>
          </w:tcPr>
          <w:p>
            <w:pPr>
              <w:jc w:val="center"/>
              <w:ind w:left="212"/>
              <w:spacing w:after="0"/>
              <w:rPr>
                <w:sz w:val="20"/>
                <w:szCs w:val="20"/>
                <w:color w:val="auto"/>
              </w:rPr>
            </w:pPr>
            <w:r>
              <w:rPr>
                <w:rFonts w:ascii="Arial" w:cs="Arial" w:eastAsia="Arial" w:hAnsi="Arial"/>
                <w:sz w:val="18"/>
                <w:szCs w:val="18"/>
                <w:color w:val="auto"/>
                <w:w w:val="86"/>
              </w:rPr>
              <w:t>14.6%</w:t>
            </w:r>
          </w:p>
        </w:tc>
        <w:tc>
          <w:tcPr>
            <w:tcW w:w="920" w:type="dxa"/>
            <w:vAlign w:val="bottom"/>
            <w:gridSpan w:val="3"/>
          </w:tcPr>
          <w:p>
            <w:pPr>
              <w:jc w:val="right"/>
              <w:spacing w:after="0"/>
              <w:rPr>
                <w:sz w:val="20"/>
                <w:szCs w:val="20"/>
                <w:color w:val="auto"/>
              </w:rPr>
            </w:pPr>
            <w:r>
              <w:rPr>
                <w:rFonts w:ascii="Arial" w:cs="Arial" w:eastAsia="Arial" w:hAnsi="Arial"/>
                <w:sz w:val="18"/>
                <w:szCs w:val="18"/>
                <w:color w:val="auto"/>
              </w:rPr>
              <w:t>270</w:t>
            </w:r>
          </w:p>
        </w:tc>
        <w:tc>
          <w:tcPr>
            <w:tcW w:w="1200" w:type="dxa"/>
            <w:vAlign w:val="bottom"/>
            <w:gridSpan w:val="4"/>
          </w:tcPr>
          <w:p>
            <w:pPr>
              <w:jc w:val="right"/>
              <w:ind w:right="300"/>
              <w:spacing w:after="0"/>
              <w:rPr>
                <w:sz w:val="20"/>
                <w:szCs w:val="20"/>
                <w:color w:val="auto"/>
              </w:rPr>
            </w:pPr>
            <w:r>
              <w:rPr>
                <w:rFonts w:ascii="Arial" w:cs="Arial" w:eastAsia="Arial" w:hAnsi="Arial"/>
                <w:sz w:val="18"/>
                <w:szCs w:val="18"/>
                <w:color w:val="auto"/>
              </w:rPr>
              <w:t>16.5%</w:t>
            </w:r>
          </w:p>
        </w:tc>
        <w:tc>
          <w:tcPr>
            <w:tcW w:w="680" w:type="dxa"/>
            <w:vAlign w:val="bottom"/>
            <w:gridSpan w:val="3"/>
          </w:tcPr>
          <w:p>
            <w:pPr>
              <w:jc w:val="right"/>
              <w:ind w:right="80"/>
              <w:spacing w:after="0"/>
              <w:rPr>
                <w:sz w:val="20"/>
                <w:szCs w:val="20"/>
                <w:color w:val="auto"/>
              </w:rPr>
            </w:pPr>
            <w:r>
              <w:rPr>
                <w:rFonts w:ascii="Arial" w:cs="Arial" w:eastAsia="Arial" w:hAnsi="Arial"/>
                <w:sz w:val="18"/>
                <w:szCs w:val="18"/>
                <w:color w:val="auto"/>
              </w:rPr>
              <w:t>673</w:t>
            </w: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16.5%</w:t>
            </w: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3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U.S. Trucks</w:t>
            </w:r>
          </w:p>
        </w:tc>
        <w:tc>
          <w:tcPr>
            <w:tcW w:w="86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354</w:t>
            </w:r>
          </w:p>
        </w:tc>
        <w:tc>
          <w:tcPr>
            <w:tcW w:w="92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w w:val="86"/>
              </w:rPr>
              <w:t>22.4%</w:t>
            </w:r>
          </w:p>
        </w:tc>
        <w:tc>
          <w:tcPr>
            <w:tcW w:w="820" w:type="dxa"/>
            <w:vAlign w:val="bottom"/>
            <w:gridSpan w:val="4"/>
            <w:shd w:val="clear" w:color="auto" w:fill="CCEEFF"/>
          </w:tcPr>
          <w:p>
            <w:pPr>
              <w:jc w:val="right"/>
              <w:ind w:right="60"/>
              <w:spacing w:after="0"/>
              <w:rPr>
                <w:sz w:val="20"/>
                <w:szCs w:val="20"/>
                <w:color w:val="auto"/>
              </w:rPr>
            </w:pPr>
            <w:r>
              <w:rPr>
                <w:rFonts w:ascii="Arial" w:cs="Arial" w:eastAsia="Arial" w:hAnsi="Arial"/>
                <w:sz w:val="18"/>
                <w:szCs w:val="18"/>
                <w:color w:val="auto"/>
              </w:rPr>
              <w:t>1,010</w:t>
            </w:r>
          </w:p>
        </w:tc>
        <w:tc>
          <w:tcPr>
            <w:tcW w:w="740" w:type="dxa"/>
            <w:vAlign w:val="bottom"/>
            <w:gridSpan w:val="3"/>
            <w:shd w:val="clear" w:color="auto" w:fill="CCEEFF"/>
          </w:tcPr>
          <w:p>
            <w:pPr>
              <w:jc w:val="center"/>
              <w:ind w:left="212"/>
              <w:spacing w:after="0"/>
              <w:rPr>
                <w:sz w:val="20"/>
                <w:szCs w:val="20"/>
                <w:color w:val="auto"/>
              </w:rPr>
            </w:pPr>
            <w:r>
              <w:rPr>
                <w:rFonts w:ascii="Arial" w:cs="Arial" w:eastAsia="Arial" w:hAnsi="Arial"/>
                <w:sz w:val="18"/>
                <w:szCs w:val="18"/>
                <w:color w:val="auto"/>
                <w:w w:val="86"/>
              </w:rPr>
              <w:t>22.6%</w:t>
            </w:r>
          </w:p>
        </w:tc>
        <w:tc>
          <w:tcPr>
            <w:tcW w:w="9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322</w:t>
            </w:r>
          </w:p>
        </w:tc>
        <w:tc>
          <w:tcPr>
            <w:tcW w:w="1200" w:type="dxa"/>
            <w:vAlign w:val="bottom"/>
            <w:gridSpan w:val="4"/>
            <w:shd w:val="clear" w:color="auto" w:fill="CCEEFF"/>
          </w:tcPr>
          <w:p>
            <w:pPr>
              <w:jc w:val="right"/>
              <w:ind w:right="300"/>
              <w:spacing w:after="0"/>
              <w:rPr>
                <w:sz w:val="20"/>
                <w:szCs w:val="20"/>
                <w:color w:val="auto"/>
              </w:rPr>
            </w:pPr>
            <w:r>
              <w:rPr>
                <w:rFonts w:ascii="Arial" w:cs="Arial" w:eastAsia="Arial" w:hAnsi="Arial"/>
                <w:sz w:val="18"/>
                <w:szCs w:val="18"/>
                <w:color w:val="auto"/>
              </w:rPr>
              <w:t>22.8%</w:t>
            </w:r>
          </w:p>
        </w:tc>
        <w:tc>
          <w:tcPr>
            <w:tcW w:w="68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874</w:t>
            </w: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22.6%</w:t>
            </w: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340" w:type="dxa"/>
            <w:vAlign w:val="bottom"/>
            <w:gridSpan w:val="2"/>
          </w:tcPr>
          <w:p>
            <w:pPr>
              <w:spacing w:after="0"/>
              <w:rPr>
                <w:sz w:val="20"/>
                <w:szCs w:val="20"/>
                <w:color w:val="auto"/>
              </w:rPr>
            </w:pPr>
            <w:r>
              <w:rPr>
                <w:rFonts w:ascii="Arial" w:cs="Arial" w:eastAsia="Arial" w:hAnsi="Arial"/>
                <w:sz w:val="18"/>
                <w:szCs w:val="18"/>
                <w:color w:val="auto"/>
              </w:rPr>
              <w:t>Canada</w:t>
            </w:r>
          </w:p>
        </w:tc>
        <w:tc>
          <w:tcPr>
            <w:tcW w:w="860" w:type="dxa"/>
            <w:vAlign w:val="bottom"/>
            <w:gridSpan w:val="3"/>
          </w:tcPr>
          <w:p>
            <w:pPr>
              <w:jc w:val="right"/>
              <w:ind w:right="20"/>
              <w:spacing w:after="0"/>
              <w:rPr>
                <w:sz w:val="20"/>
                <w:szCs w:val="20"/>
                <w:color w:val="auto"/>
              </w:rPr>
            </w:pPr>
            <w:r>
              <w:rPr>
                <w:rFonts w:ascii="Arial" w:cs="Arial" w:eastAsia="Arial" w:hAnsi="Arial"/>
                <w:sz w:val="18"/>
                <w:szCs w:val="18"/>
                <w:color w:val="auto"/>
              </w:rPr>
              <w:t>65</w:t>
            </w:r>
          </w:p>
        </w:tc>
        <w:tc>
          <w:tcPr>
            <w:tcW w:w="920" w:type="dxa"/>
            <w:vAlign w:val="bottom"/>
            <w:gridSpan w:val="2"/>
          </w:tcPr>
          <w:p>
            <w:pPr>
              <w:ind w:left="460"/>
              <w:spacing w:after="0"/>
              <w:rPr>
                <w:sz w:val="20"/>
                <w:szCs w:val="20"/>
                <w:color w:val="auto"/>
              </w:rPr>
            </w:pPr>
            <w:r>
              <w:rPr>
                <w:rFonts w:ascii="Arial" w:cs="Arial" w:eastAsia="Arial" w:hAnsi="Arial"/>
                <w:sz w:val="18"/>
                <w:szCs w:val="18"/>
                <w:color w:val="auto"/>
                <w:w w:val="86"/>
              </w:rPr>
              <w:t>15.3%</w:t>
            </w:r>
          </w:p>
        </w:tc>
        <w:tc>
          <w:tcPr>
            <w:tcW w:w="820" w:type="dxa"/>
            <w:vAlign w:val="bottom"/>
            <w:gridSpan w:val="4"/>
          </w:tcPr>
          <w:p>
            <w:pPr>
              <w:jc w:val="right"/>
              <w:ind w:right="60"/>
              <w:spacing w:after="0"/>
              <w:rPr>
                <w:sz w:val="20"/>
                <w:szCs w:val="20"/>
                <w:color w:val="auto"/>
              </w:rPr>
            </w:pPr>
            <w:r>
              <w:rPr>
                <w:rFonts w:ascii="Arial" w:cs="Arial" w:eastAsia="Arial" w:hAnsi="Arial"/>
                <w:sz w:val="18"/>
                <w:szCs w:val="18"/>
                <w:color w:val="auto"/>
              </w:rPr>
              <w:t>189</w:t>
            </w:r>
          </w:p>
        </w:tc>
        <w:tc>
          <w:tcPr>
            <w:tcW w:w="740" w:type="dxa"/>
            <w:vAlign w:val="bottom"/>
            <w:gridSpan w:val="3"/>
          </w:tcPr>
          <w:p>
            <w:pPr>
              <w:jc w:val="center"/>
              <w:ind w:left="212"/>
              <w:spacing w:after="0"/>
              <w:rPr>
                <w:sz w:val="20"/>
                <w:szCs w:val="20"/>
                <w:color w:val="auto"/>
              </w:rPr>
            </w:pPr>
            <w:r>
              <w:rPr>
                <w:rFonts w:ascii="Arial" w:cs="Arial" w:eastAsia="Arial" w:hAnsi="Arial"/>
                <w:sz w:val="18"/>
                <w:szCs w:val="18"/>
                <w:color w:val="auto"/>
                <w:w w:val="86"/>
              </w:rPr>
              <w:t>15.4%</w:t>
            </w:r>
          </w:p>
        </w:tc>
        <w:tc>
          <w:tcPr>
            <w:tcW w:w="920" w:type="dxa"/>
            <w:vAlign w:val="bottom"/>
            <w:gridSpan w:val="3"/>
          </w:tcPr>
          <w:p>
            <w:pPr>
              <w:jc w:val="right"/>
              <w:spacing w:after="0"/>
              <w:rPr>
                <w:sz w:val="20"/>
                <w:szCs w:val="20"/>
                <w:color w:val="auto"/>
              </w:rPr>
            </w:pPr>
            <w:r>
              <w:rPr>
                <w:rFonts w:ascii="Arial" w:cs="Arial" w:eastAsia="Arial" w:hAnsi="Arial"/>
                <w:sz w:val="18"/>
                <w:szCs w:val="18"/>
                <w:color w:val="auto"/>
              </w:rPr>
              <w:t>67</w:t>
            </w:r>
          </w:p>
        </w:tc>
        <w:tc>
          <w:tcPr>
            <w:tcW w:w="1200" w:type="dxa"/>
            <w:vAlign w:val="bottom"/>
            <w:gridSpan w:val="4"/>
          </w:tcPr>
          <w:p>
            <w:pPr>
              <w:jc w:val="right"/>
              <w:ind w:right="300"/>
              <w:spacing w:after="0"/>
              <w:rPr>
                <w:sz w:val="20"/>
                <w:szCs w:val="20"/>
                <w:color w:val="auto"/>
              </w:rPr>
            </w:pPr>
            <w:r>
              <w:rPr>
                <w:rFonts w:ascii="Arial" w:cs="Arial" w:eastAsia="Arial" w:hAnsi="Arial"/>
                <w:sz w:val="18"/>
                <w:szCs w:val="18"/>
                <w:color w:val="auto"/>
              </w:rPr>
              <w:t>16.2%</w:t>
            </w:r>
          </w:p>
        </w:tc>
        <w:tc>
          <w:tcPr>
            <w:tcW w:w="680" w:type="dxa"/>
            <w:vAlign w:val="bottom"/>
            <w:gridSpan w:val="3"/>
          </w:tcPr>
          <w:p>
            <w:pPr>
              <w:jc w:val="right"/>
              <w:ind w:right="80"/>
              <w:spacing w:after="0"/>
              <w:rPr>
                <w:sz w:val="20"/>
                <w:szCs w:val="20"/>
                <w:color w:val="auto"/>
              </w:rPr>
            </w:pPr>
            <w:r>
              <w:rPr>
                <w:rFonts w:ascii="Arial" w:cs="Arial" w:eastAsia="Arial" w:hAnsi="Arial"/>
                <w:sz w:val="18"/>
                <w:szCs w:val="18"/>
                <w:color w:val="auto"/>
              </w:rPr>
              <w:t>201</w:t>
            </w: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17.6%</w:t>
            </w: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3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Mexico</w:t>
            </w:r>
          </w:p>
        </w:tc>
        <w:tc>
          <w:tcPr>
            <w:tcW w:w="86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35</w:t>
            </w:r>
          </w:p>
        </w:tc>
        <w:tc>
          <w:tcPr>
            <w:tcW w:w="92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w w:val="86"/>
              </w:rPr>
              <w:t>17.5%</w:t>
            </w:r>
          </w:p>
        </w:tc>
        <w:tc>
          <w:tcPr>
            <w:tcW w:w="820" w:type="dxa"/>
            <w:vAlign w:val="bottom"/>
            <w:gridSpan w:val="4"/>
            <w:shd w:val="clear" w:color="auto" w:fill="CCEEFF"/>
          </w:tcPr>
          <w:p>
            <w:pPr>
              <w:jc w:val="right"/>
              <w:ind w:right="60"/>
              <w:spacing w:after="0"/>
              <w:rPr>
                <w:sz w:val="20"/>
                <w:szCs w:val="20"/>
                <w:color w:val="auto"/>
              </w:rPr>
            </w:pPr>
            <w:r>
              <w:rPr>
                <w:rFonts w:ascii="Arial" w:cs="Arial" w:eastAsia="Arial" w:hAnsi="Arial"/>
                <w:sz w:val="18"/>
                <w:szCs w:val="18"/>
                <w:color w:val="auto"/>
              </w:rPr>
              <w:t>108</w:t>
            </w:r>
          </w:p>
        </w:tc>
        <w:tc>
          <w:tcPr>
            <w:tcW w:w="740" w:type="dxa"/>
            <w:vAlign w:val="bottom"/>
            <w:gridSpan w:val="3"/>
            <w:shd w:val="clear" w:color="auto" w:fill="CCEEFF"/>
          </w:tcPr>
          <w:p>
            <w:pPr>
              <w:jc w:val="center"/>
              <w:ind w:left="212"/>
              <w:spacing w:after="0"/>
              <w:rPr>
                <w:sz w:val="20"/>
                <w:szCs w:val="20"/>
                <w:color w:val="auto"/>
              </w:rPr>
            </w:pPr>
            <w:r>
              <w:rPr>
                <w:rFonts w:ascii="Arial" w:cs="Arial" w:eastAsia="Arial" w:hAnsi="Arial"/>
                <w:sz w:val="18"/>
                <w:szCs w:val="18"/>
                <w:color w:val="auto"/>
                <w:w w:val="86"/>
              </w:rPr>
              <w:t>18.4%</w:t>
            </w:r>
          </w:p>
        </w:tc>
        <w:tc>
          <w:tcPr>
            <w:tcW w:w="9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1200" w:type="dxa"/>
            <w:vAlign w:val="bottom"/>
            <w:gridSpan w:val="4"/>
            <w:shd w:val="clear" w:color="auto" w:fill="CCEEFF"/>
          </w:tcPr>
          <w:p>
            <w:pPr>
              <w:jc w:val="right"/>
              <w:ind w:right="300"/>
              <w:spacing w:after="0"/>
              <w:rPr>
                <w:sz w:val="20"/>
                <w:szCs w:val="20"/>
                <w:color w:val="auto"/>
              </w:rPr>
            </w:pPr>
            <w:r>
              <w:rPr>
                <w:rFonts w:ascii="Arial" w:cs="Arial" w:eastAsia="Arial" w:hAnsi="Arial"/>
                <w:sz w:val="18"/>
                <w:szCs w:val="18"/>
                <w:color w:val="auto"/>
              </w:rPr>
              <w:t>16.6%</w:t>
            </w:r>
          </w:p>
        </w:tc>
        <w:tc>
          <w:tcPr>
            <w:tcW w:w="68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94</w:t>
            </w: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17.3%</w:t>
            </w:r>
          </w:p>
        </w:tc>
        <w:tc>
          <w:tcPr>
            <w:tcW w:w="100" w:type="dxa"/>
            <w:vAlign w:val="bottom"/>
            <w:shd w:val="clear" w:color="auto" w:fill="CCEEFF"/>
          </w:tcPr>
          <w:p>
            <w:pPr>
              <w:spacing w:after="0"/>
              <w:rPr>
                <w:sz w:val="18"/>
                <w:szCs w:val="18"/>
                <w:color w:val="auto"/>
              </w:rPr>
            </w:pPr>
          </w:p>
        </w:tc>
      </w:tr>
      <w:tr>
        <w:trPr>
          <w:trHeight w:val="351"/>
        </w:trPr>
        <w:tc>
          <w:tcPr>
            <w:tcW w:w="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32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40" w:type="dxa"/>
            <w:vAlign w:val="bottom"/>
          </w:tcPr>
          <w:p>
            <w:pPr>
              <w:ind w:left="280"/>
              <w:spacing w:after="0"/>
              <w:rPr>
                <w:sz w:val="20"/>
                <w:szCs w:val="20"/>
                <w:color w:val="auto"/>
              </w:rPr>
            </w:pPr>
            <w:r>
              <w:rPr>
                <w:rFonts w:ascii="Arial" w:cs="Arial" w:eastAsia="Arial" w:hAnsi="Arial"/>
                <w:sz w:val="14"/>
                <w:szCs w:val="14"/>
                <w:b w:val="1"/>
                <w:bCs w:val="1"/>
                <w:color w:val="auto"/>
              </w:rPr>
              <w:t>GM</w:t>
            </w: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520" w:type="dxa"/>
            <w:vAlign w:val="bottom"/>
            <w:gridSpan w:val="9"/>
          </w:tcPr>
          <w:p>
            <w:pPr>
              <w:ind w:left="60"/>
              <w:spacing w:after="0"/>
              <w:rPr>
                <w:sz w:val="20"/>
                <w:szCs w:val="20"/>
                <w:color w:val="auto"/>
              </w:rPr>
            </w:pPr>
            <w:r>
              <w:rPr>
                <w:rFonts w:ascii="Arial" w:cs="Arial" w:eastAsia="Arial" w:hAnsi="Arial"/>
                <w:sz w:val="14"/>
                <w:szCs w:val="14"/>
                <w:b w:val="1"/>
                <w:bCs w:val="1"/>
                <w:color w:val="auto"/>
              </w:rPr>
              <w:t>Combined GM and Old GM</w:t>
            </w:r>
          </w:p>
        </w:tc>
      </w:tr>
      <w:tr>
        <w:trPr>
          <w:trHeight w:val="129"/>
        </w:trPr>
        <w:tc>
          <w:tcPr>
            <w:tcW w:w="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3200" w:type="dxa"/>
            <w:vAlign w:val="bottom"/>
          </w:tcPr>
          <w:p>
            <w:pPr>
              <w:spacing w:after="0"/>
              <w:rPr>
                <w:sz w:val="11"/>
                <w:szCs w:val="11"/>
                <w:color w:val="auto"/>
              </w:rPr>
            </w:pPr>
          </w:p>
        </w:tc>
        <w:tc>
          <w:tcPr>
            <w:tcW w:w="1780" w:type="dxa"/>
            <w:vAlign w:val="bottom"/>
            <w:tcBorders>
              <w:top w:val="single" w:sz="8" w:color="auto"/>
            </w:tcBorders>
            <w:gridSpan w:val="5"/>
          </w:tcPr>
          <w:p>
            <w:pPr>
              <w:jc w:val="center"/>
              <w:ind w:right="572"/>
              <w:spacing w:after="0" w:line="129" w:lineRule="exact"/>
              <w:rPr>
                <w:sz w:val="20"/>
                <w:szCs w:val="20"/>
                <w:color w:val="auto"/>
              </w:rPr>
            </w:pPr>
            <w:r>
              <w:rPr>
                <w:rFonts w:ascii="Arial" w:cs="Arial" w:eastAsia="Arial" w:hAnsi="Arial"/>
                <w:sz w:val="14"/>
                <w:szCs w:val="14"/>
                <w:b w:val="1"/>
                <w:bCs w:val="1"/>
                <w:color w:val="auto"/>
                <w:w w:val="89"/>
              </w:rPr>
              <w:t>Three Months</w:t>
            </w:r>
          </w:p>
        </w:tc>
        <w:tc>
          <w:tcPr>
            <w:tcW w:w="160" w:type="dxa"/>
            <w:vAlign w:val="bottom"/>
            <w:tcBorders>
              <w:top w:val="single" w:sz="8" w:color="auto"/>
            </w:tcBorders>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1000" w:type="dxa"/>
            <w:vAlign w:val="bottom"/>
            <w:tcBorders>
              <w:top w:val="single" w:sz="8" w:color="auto"/>
            </w:tcBorders>
            <w:gridSpan w:val="4"/>
          </w:tcPr>
          <w:p>
            <w:pPr>
              <w:jc w:val="center"/>
              <w:ind w:right="72"/>
              <w:spacing w:after="0" w:line="129" w:lineRule="exact"/>
              <w:rPr>
                <w:sz w:val="20"/>
                <w:szCs w:val="20"/>
                <w:color w:val="auto"/>
              </w:rPr>
            </w:pPr>
            <w:r>
              <w:rPr>
                <w:rFonts w:ascii="Arial" w:cs="Arial" w:eastAsia="Arial" w:hAnsi="Arial"/>
                <w:sz w:val="14"/>
                <w:szCs w:val="14"/>
                <w:b w:val="1"/>
                <w:bCs w:val="1"/>
                <w:color w:val="auto"/>
                <w:w w:val="88"/>
              </w:rPr>
              <w:t>Nine Months</w:t>
            </w:r>
          </w:p>
        </w:tc>
        <w:tc>
          <w:tcPr>
            <w:tcW w:w="2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580" w:type="dxa"/>
            <w:vAlign w:val="bottom"/>
            <w:tcBorders>
              <w:top w:val="single" w:sz="8" w:color="auto"/>
            </w:tcBorders>
            <w:gridSpan w:val="5"/>
          </w:tcPr>
          <w:p>
            <w:pPr>
              <w:jc w:val="center"/>
              <w:ind w:right="440"/>
              <w:spacing w:after="0" w:line="129" w:lineRule="exact"/>
              <w:rPr>
                <w:sz w:val="20"/>
                <w:szCs w:val="20"/>
                <w:color w:val="auto"/>
              </w:rPr>
            </w:pPr>
            <w:r>
              <w:rPr>
                <w:rFonts w:ascii="Arial" w:cs="Arial" w:eastAsia="Arial" w:hAnsi="Arial"/>
                <w:sz w:val="14"/>
                <w:szCs w:val="14"/>
                <w:b w:val="1"/>
                <w:bCs w:val="1"/>
                <w:color w:val="auto"/>
                <w:w w:val="89"/>
              </w:rPr>
              <w:t>Three Months</w:t>
            </w:r>
          </w:p>
        </w:tc>
        <w:tc>
          <w:tcPr>
            <w:tcW w:w="380" w:type="dxa"/>
            <w:vAlign w:val="bottom"/>
            <w:tcBorders>
              <w:top w:val="single" w:sz="8" w:color="auto"/>
            </w:tcBorders>
          </w:tcPr>
          <w:p>
            <w:pPr>
              <w:spacing w:after="0"/>
              <w:rPr>
                <w:sz w:val="11"/>
                <w:szCs w:val="11"/>
                <w:color w:val="auto"/>
              </w:rPr>
            </w:pPr>
          </w:p>
        </w:tc>
        <w:tc>
          <w:tcPr>
            <w:tcW w:w="1120" w:type="dxa"/>
            <w:vAlign w:val="bottom"/>
            <w:tcBorders>
              <w:top w:val="single" w:sz="8" w:color="auto"/>
            </w:tcBorders>
            <w:gridSpan w:val="4"/>
          </w:tcPr>
          <w:p>
            <w:pPr>
              <w:jc w:val="center"/>
              <w:spacing w:after="0" w:line="129" w:lineRule="exact"/>
              <w:rPr>
                <w:sz w:val="20"/>
                <w:szCs w:val="20"/>
                <w:color w:val="auto"/>
              </w:rPr>
            </w:pPr>
            <w:r>
              <w:rPr>
                <w:rFonts w:ascii="Arial" w:cs="Arial" w:eastAsia="Arial" w:hAnsi="Arial"/>
                <w:sz w:val="14"/>
                <w:szCs w:val="14"/>
                <w:b w:val="1"/>
                <w:bCs w:val="1"/>
                <w:color w:val="auto"/>
                <w:w w:val="90"/>
              </w:rPr>
              <w:t>Nine Months</w:t>
            </w:r>
          </w:p>
        </w:tc>
        <w:tc>
          <w:tcPr>
            <w:tcW w:w="100" w:type="dxa"/>
            <w:vAlign w:val="bottom"/>
          </w:tcPr>
          <w:p>
            <w:pPr>
              <w:spacing w:after="0"/>
              <w:rPr>
                <w:sz w:val="11"/>
                <w:szCs w:val="11"/>
                <w:color w:val="auto"/>
              </w:rPr>
            </w:pPr>
          </w:p>
        </w:tc>
      </w:tr>
      <w:tr>
        <w:trPr>
          <w:trHeight w:val="149"/>
        </w:trPr>
        <w:tc>
          <w:tcPr>
            <w:tcW w:w="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3200" w:type="dxa"/>
            <w:vAlign w:val="bottom"/>
          </w:tcPr>
          <w:p>
            <w:pPr>
              <w:spacing w:after="0"/>
              <w:rPr>
                <w:sz w:val="12"/>
                <w:szCs w:val="12"/>
                <w:color w:val="auto"/>
              </w:rPr>
            </w:pPr>
          </w:p>
        </w:tc>
        <w:tc>
          <w:tcPr>
            <w:tcW w:w="860" w:type="dxa"/>
            <w:vAlign w:val="bottom"/>
            <w:gridSpan w:val="3"/>
          </w:tcPr>
          <w:p>
            <w:pPr>
              <w:jc w:val="center"/>
              <w:ind w:left="199"/>
              <w:spacing w:after="0" w:line="149" w:lineRule="exact"/>
              <w:rPr>
                <w:sz w:val="20"/>
                <w:szCs w:val="20"/>
                <w:color w:val="auto"/>
              </w:rPr>
            </w:pPr>
            <w:r>
              <w:rPr>
                <w:rFonts w:ascii="Arial" w:cs="Arial" w:eastAsia="Arial" w:hAnsi="Arial"/>
                <w:sz w:val="14"/>
                <w:szCs w:val="14"/>
                <w:b w:val="1"/>
                <w:bCs w:val="1"/>
                <w:color w:val="auto"/>
                <w:w w:val="88"/>
              </w:rPr>
              <w:t>Ended</w:t>
            </w:r>
          </w:p>
        </w:tc>
        <w:tc>
          <w:tcPr>
            <w:tcW w:w="2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60" w:type="dxa"/>
            <w:vAlign w:val="bottom"/>
            <w:gridSpan w:val="5"/>
          </w:tcPr>
          <w:p>
            <w:pPr>
              <w:jc w:val="center"/>
              <w:ind w:right="400"/>
              <w:spacing w:after="0" w:line="149" w:lineRule="exact"/>
              <w:rPr>
                <w:sz w:val="20"/>
                <w:szCs w:val="20"/>
                <w:color w:val="auto"/>
              </w:rPr>
            </w:pPr>
            <w:r>
              <w:rPr>
                <w:rFonts w:ascii="Arial" w:cs="Arial" w:eastAsia="Arial" w:hAnsi="Arial"/>
                <w:sz w:val="14"/>
                <w:szCs w:val="14"/>
                <w:b w:val="1"/>
                <w:bCs w:val="1"/>
                <w:color w:val="auto"/>
                <w:w w:val="88"/>
              </w:rPr>
              <w:t>Ended</w:t>
            </w:r>
          </w:p>
        </w:tc>
        <w:tc>
          <w:tcPr>
            <w:tcW w:w="3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200" w:type="dxa"/>
            <w:vAlign w:val="bottom"/>
            <w:gridSpan w:val="4"/>
          </w:tcPr>
          <w:p>
            <w:pPr>
              <w:jc w:val="center"/>
              <w:ind w:right="820"/>
              <w:spacing w:after="0" w:line="149" w:lineRule="exact"/>
              <w:rPr>
                <w:sz w:val="20"/>
                <w:szCs w:val="20"/>
                <w:color w:val="auto"/>
              </w:rPr>
            </w:pPr>
            <w:r>
              <w:rPr>
                <w:rFonts w:ascii="Arial" w:cs="Arial" w:eastAsia="Arial" w:hAnsi="Arial"/>
                <w:sz w:val="14"/>
                <w:szCs w:val="14"/>
                <w:b w:val="1"/>
                <w:bCs w:val="1"/>
                <w:color w:val="auto"/>
                <w:w w:val="88"/>
              </w:rPr>
              <w:t>Ended</w:t>
            </w:r>
          </w:p>
        </w:tc>
        <w:tc>
          <w:tcPr>
            <w:tcW w:w="3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gridSpan w:val="3"/>
          </w:tcPr>
          <w:p>
            <w:pPr>
              <w:jc w:val="center"/>
              <w:ind w:right="400"/>
              <w:spacing w:after="0" w:line="149" w:lineRule="exact"/>
              <w:rPr>
                <w:sz w:val="20"/>
                <w:szCs w:val="20"/>
                <w:color w:val="auto"/>
              </w:rPr>
            </w:pPr>
            <w:r>
              <w:rPr>
                <w:rFonts w:ascii="Arial" w:cs="Arial" w:eastAsia="Arial" w:hAnsi="Arial"/>
                <w:sz w:val="14"/>
                <w:szCs w:val="14"/>
                <w:b w:val="1"/>
                <w:bCs w:val="1"/>
                <w:color w:val="auto"/>
                <w:w w:val="84"/>
              </w:rPr>
              <w:t>Ended</w:t>
            </w:r>
          </w:p>
        </w:tc>
      </w:tr>
      <w:tr>
        <w:trPr>
          <w:trHeight w:val="161"/>
        </w:trPr>
        <w:tc>
          <w:tcPr>
            <w:tcW w:w="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3200" w:type="dxa"/>
            <w:vAlign w:val="bottom"/>
          </w:tcPr>
          <w:p>
            <w:pPr>
              <w:spacing w:after="0"/>
              <w:rPr>
                <w:sz w:val="14"/>
                <w:szCs w:val="14"/>
                <w:color w:val="auto"/>
              </w:rPr>
            </w:pPr>
          </w:p>
        </w:tc>
        <w:tc>
          <w:tcPr>
            <w:tcW w:w="1780" w:type="dxa"/>
            <w:vAlign w:val="bottom"/>
            <w:gridSpan w:val="5"/>
          </w:tcPr>
          <w:p>
            <w:pPr>
              <w:jc w:val="center"/>
              <w:ind w:right="592"/>
              <w:spacing w:after="0"/>
              <w:rPr>
                <w:sz w:val="20"/>
                <w:szCs w:val="20"/>
                <w:color w:val="auto"/>
              </w:rPr>
            </w:pPr>
            <w:r>
              <w:rPr>
                <w:rFonts w:ascii="Arial" w:cs="Arial" w:eastAsia="Arial" w:hAnsi="Arial"/>
                <w:sz w:val="14"/>
                <w:szCs w:val="14"/>
                <w:b w:val="1"/>
                <w:bCs w:val="1"/>
                <w:color w:val="auto"/>
                <w:w w:val="85"/>
              </w:rPr>
              <w:t>September 30, 2010</w:t>
            </w:r>
          </w:p>
        </w:tc>
        <w:tc>
          <w:tcPr>
            <w:tcW w:w="160" w:type="dxa"/>
            <w:vAlign w:val="bottom"/>
          </w:tcPr>
          <w:p>
            <w:pPr>
              <w:spacing w:after="0"/>
              <w:rPr>
                <w:sz w:val="14"/>
                <w:szCs w:val="14"/>
                <w:color w:val="auto"/>
              </w:rPr>
            </w:pPr>
          </w:p>
        </w:tc>
        <w:tc>
          <w:tcPr>
            <w:tcW w:w="1400" w:type="dxa"/>
            <w:vAlign w:val="bottom"/>
            <w:gridSpan w:val="6"/>
          </w:tcPr>
          <w:p>
            <w:pPr>
              <w:jc w:val="center"/>
              <w:ind w:right="260"/>
              <w:spacing w:after="0"/>
              <w:rPr>
                <w:sz w:val="20"/>
                <w:szCs w:val="20"/>
                <w:color w:val="auto"/>
              </w:rPr>
            </w:pPr>
            <w:r>
              <w:rPr>
                <w:rFonts w:ascii="Arial" w:cs="Arial" w:eastAsia="Arial" w:hAnsi="Arial"/>
                <w:sz w:val="14"/>
                <w:szCs w:val="14"/>
                <w:b w:val="1"/>
                <w:bCs w:val="1"/>
                <w:color w:val="auto"/>
                <w:w w:val="87"/>
              </w:rPr>
              <w:t>September 30, 2010</w:t>
            </w:r>
          </w:p>
        </w:tc>
        <w:tc>
          <w:tcPr>
            <w:tcW w:w="3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580" w:type="dxa"/>
            <w:vAlign w:val="bottom"/>
            <w:gridSpan w:val="5"/>
          </w:tcPr>
          <w:p>
            <w:pPr>
              <w:jc w:val="center"/>
              <w:ind w:right="420"/>
              <w:spacing w:after="0"/>
              <w:rPr>
                <w:sz w:val="20"/>
                <w:szCs w:val="20"/>
                <w:color w:val="auto"/>
              </w:rPr>
            </w:pPr>
            <w:r>
              <w:rPr>
                <w:rFonts w:ascii="Arial" w:cs="Arial" w:eastAsia="Arial" w:hAnsi="Arial"/>
                <w:sz w:val="14"/>
                <w:szCs w:val="14"/>
                <w:b w:val="1"/>
                <w:bCs w:val="1"/>
                <w:color w:val="auto"/>
                <w:w w:val="85"/>
              </w:rPr>
              <w:t>September 30, 2009</w:t>
            </w:r>
          </w:p>
        </w:tc>
        <w:tc>
          <w:tcPr>
            <w:tcW w:w="380" w:type="dxa"/>
            <w:vAlign w:val="bottom"/>
          </w:tcPr>
          <w:p>
            <w:pPr>
              <w:spacing w:after="0"/>
              <w:rPr>
                <w:sz w:val="14"/>
                <w:szCs w:val="14"/>
                <w:color w:val="auto"/>
              </w:rPr>
            </w:pPr>
          </w:p>
        </w:tc>
        <w:tc>
          <w:tcPr>
            <w:tcW w:w="1220" w:type="dxa"/>
            <w:vAlign w:val="bottom"/>
            <w:gridSpan w:val="5"/>
          </w:tcPr>
          <w:p>
            <w:pPr>
              <w:jc w:val="center"/>
              <w:ind w:right="100"/>
              <w:spacing w:after="0"/>
              <w:rPr>
                <w:sz w:val="20"/>
                <w:szCs w:val="20"/>
                <w:color w:val="auto"/>
              </w:rPr>
            </w:pPr>
            <w:r>
              <w:rPr>
                <w:rFonts w:ascii="Arial" w:cs="Arial" w:eastAsia="Arial" w:hAnsi="Arial"/>
                <w:sz w:val="14"/>
                <w:szCs w:val="14"/>
                <w:b w:val="1"/>
                <w:bCs w:val="1"/>
                <w:color w:val="auto"/>
                <w:w w:val="85"/>
              </w:rPr>
              <w:t>September 30, 2009</w:t>
            </w:r>
          </w:p>
        </w:tc>
      </w:tr>
      <w:tr>
        <w:trPr>
          <w:trHeight w:val="210"/>
        </w:trPr>
        <w:tc>
          <w:tcPr>
            <w:tcW w:w="20" w:type="dxa"/>
            <w:vAlign w:val="bottom"/>
          </w:tcPr>
          <w:p>
            <w:pPr>
              <w:spacing w:after="0"/>
              <w:rPr>
                <w:sz w:val="18"/>
                <w:szCs w:val="18"/>
                <w:color w:val="auto"/>
              </w:rPr>
            </w:pPr>
          </w:p>
        </w:tc>
        <w:tc>
          <w:tcPr>
            <w:tcW w:w="43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GMNA Vehicle Deliveries by Brand (a)(b)(c)(d)(e)</w:t>
            </w:r>
          </w:p>
        </w:tc>
        <w:tc>
          <w:tcPr>
            <w:tcW w:w="500" w:type="dxa"/>
            <w:vAlign w:val="bottom"/>
            <w:tcBorders>
              <w:top w:val="single" w:sz="8" w:color="auto"/>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spacing w:after="0"/>
              <w:rPr>
                <w:sz w:val="18"/>
                <w:szCs w:val="18"/>
                <w:color w:val="auto"/>
              </w:rPr>
            </w:pPr>
          </w:p>
        </w:tc>
        <w:tc>
          <w:tcPr>
            <w:tcW w:w="60" w:type="dxa"/>
            <w:vAlign w:val="bottom"/>
            <w:tcBorders>
              <w:top w:val="single" w:sz="8" w:color="auto"/>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340" w:type="dxa"/>
            <w:vAlign w:val="bottom"/>
            <w:gridSpan w:val="2"/>
          </w:tcPr>
          <w:p>
            <w:pPr>
              <w:spacing w:after="0"/>
              <w:rPr>
                <w:sz w:val="20"/>
                <w:szCs w:val="20"/>
                <w:color w:val="auto"/>
              </w:rPr>
            </w:pPr>
            <w:r>
              <w:rPr>
                <w:rFonts w:ascii="Arial" w:cs="Arial" w:eastAsia="Arial" w:hAnsi="Arial"/>
                <w:sz w:val="18"/>
                <w:szCs w:val="18"/>
                <w:color w:val="auto"/>
              </w:rPr>
              <w:t>Buick</w:t>
            </w:r>
          </w:p>
        </w:tc>
        <w:tc>
          <w:tcPr>
            <w:tcW w:w="5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47</w:t>
            </w: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40" w:type="dxa"/>
            <w:vAlign w:val="bottom"/>
            <w:gridSpan w:val="3"/>
          </w:tcPr>
          <w:p>
            <w:pPr>
              <w:jc w:val="right"/>
              <w:ind w:right="260"/>
              <w:spacing w:after="0"/>
              <w:rPr>
                <w:sz w:val="20"/>
                <w:szCs w:val="20"/>
                <w:color w:val="auto"/>
              </w:rPr>
            </w:pPr>
            <w:r>
              <w:rPr>
                <w:rFonts w:ascii="Arial" w:cs="Arial" w:eastAsia="Arial" w:hAnsi="Arial"/>
                <w:sz w:val="18"/>
                <w:szCs w:val="18"/>
                <w:color w:val="auto"/>
              </w:rPr>
              <w:t>123</w:t>
            </w: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27</w:t>
            </w: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79</w:t>
            </w: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3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Cadillac</w:t>
            </w:r>
          </w:p>
        </w:tc>
        <w:tc>
          <w:tcPr>
            <w:tcW w:w="5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w:t>
            </w:r>
          </w:p>
        </w:tc>
        <w:tc>
          <w:tcPr>
            <w:tcW w:w="6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74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112</w:t>
            </w: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1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77</w:t>
            </w: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340" w:type="dxa"/>
            <w:vAlign w:val="bottom"/>
            <w:gridSpan w:val="2"/>
          </w:tcPr>
          <w:p>
            <w:pPr>
              <w:spacing w:after="0"/>
              <w:rPr>
                <w:sz w:val="20"/>
                <w:szCs w:val="20"/>
                <w:color w:val="auto"/>
              </w:rPr>
            </w:pPr>
            <w:r>
              <w:rPr>
                <w:rFonts w:ascii="Arial" w:cs="Arial" w:eastAsia="Arial" w:hAnsi="Arial"/>
                <w:sz w:val="18"/>
                <w:szCs w:val="18"/>
                <w:color w:val="auto"/>
              </w:rPr>
              <w:t>Chevrolet</w:t>
            </w:r>
          </w:p>
        </w:tc>
        <w:tc>
          <w:tcPr>
            <w:tcW w:w="5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w w:val="86"/>
              </w:rPr>
              <w:t>469</w:t>
            </w: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40" w:type="dxa"/>
            <w:vAlign w:val="bottom"/>
            <w:gridSpan w:val="3"/>
          </w:tcPr>
          <w:p>
            <w:pPr>
              <w:jc w:val="right"/>
              <w:ind w:right="260"/>
              <w:spacing w:after="0"/>
              <w:rPr>
                <w:sz w:val="20"/>
                <w:szCs w:val="20"/>
                <w:color w:val="auto"/>
              </w:rPr>
            </w:pPr>
            <w:r>
              <w:rPr>
                <w:rFonts w:ascii="Arial" w:cs="Arial" w:eastAsia="Arial" w:hAnsi="Arial"/>
                <w:sz w:val="18"/>
                <w:szCs w:val="18"/>
                <w:color w:val="auto"/>
              </w:rPr>
              <w:t>1,393</w:t>
            </w: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456</w:t>
            </w: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1,178</w:t>
            </w: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3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GMC</w:t>
            </w:r>
          </w:p>
        </w:tc>
        <w:tc>
          <w:tcPr>
            <w:tcW w:w="5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w:t>
            </w:r>
          </w:p>
        </w:tc>
        <w:tc>
          <w:tcPr>
            <w:tcW w:w="6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74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290</w:t>
            </w: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79</w:t>
            </w:r>
          </w:p>
        </w:tc>
        <w:tc>
          <w:tcPr>
            <w:tcW w:w="1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224</w:t>
            </w:r>
          </w:p>
        </w:tc>
        <w:tc>
          <w:tcPr>
            <w:tcW w:w="10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4340" w:type="dxa"/>
            <w:vAlign w:val="bottom"/>
            <w:gridSpan w:val="2"/>
          </w:tcPr>
          <w:p>
            <w:pPr>
              <w:spacing w:after="0"/>
              <w:rPr>
                <w:sz w:val="20"/>
                <w:szCs w:val="20"/>
                <w:color w:val="auto"/>
              </w:rPr>
            </w:pPr>
            <w:r>
              <w:rPr>
                <w:rFonts w:ascii="Arial" w:cs="Arial" w:eastAsia="Arial" w:hAnsi="Arial"/>
                <w:sz w:val="18"/>
                <w:szCs w:val="18"/>
                <w:color w:val="auto"/>
              </w:rPr>
              <w:t>Other — Opel</w:t>
            </w:r>
          </w:p>
        </w:tc>
        <w:tc>
          <w:tcPr>
            <w:tcW w:w="5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6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80" w:type="dxa"/>
            <w:vAlign w:val="bottom"/>
            <w:gridSpan w:val="2"/>
          </w:tcPr>
          <w:p>
            <w:pPr>
              <w:jc w:val="right"/>
              <w:spacing w:after="0"/>
              <w:rPr>
                <w:sz w:val="20"/>
                <w:szCs w:val="20"/>
                <w:color w:val="auto"/>
              </w:rPr>
            </w:pPr>
            <w:r>
              <w:rPr>
                <w:rFonts w:ascii="Arial" w:cs="Arial" w:eastAsia="Arial" w:hAnsi="Arial"/>
                <w:sz w:val="18"/>
                <w:szCs w:val="18"/>
                <w:color w:val="auto"/>
              </w:rPr>
              <w:t>1</w:t>
            </w:r>
          </w:p>
        </w:tc>
        <w:tc>
          <w:tcPr>
            <w:tcW w:w="2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gridSpan w:val="3"/>
          </w:tcPr>
          <w:p>
            <w:pPr>
              <w:jc w:val="right"/>
              <w:ind w:right="44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434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Core Brands</w:t>
            </w:r>
          </w:p>
        </w:tc>
        <w:tc>
          <w:tcPr>
            <w:tcW w:w="500" w:type="dxa"/>
            <w:vAlign w:val="bottom"/>
            <w:tcBorders>
              <w:top w:val="single" w:sz="8" w:color="auto"/>
              <w:bottom w:val="single" w:sz="8" w:color="auto"/>
            </w:tcBorders>
            <w:shd w:val="clear" w:color="auto" w:fill="CCEEFF"/>
          </w:tcPr>
          <w:p>
            <w:pPr>
              <w:spacing w:after="0"/>
              <w:rPr>
                <w:sz w:val="18"/>
                <w:szCs w:val="18"/>
                <w:color w:val="auto"/>
              </w:rPr>
            </w:pPr>
          </w:p>
        </w:tc>
        <w:tc>
          <w:tcPr>
            <w:tcW w:w="340" w:type="dxa"/>
            <w:vAlign w:val="bottom"/>
            <w:tcBorders>
              <w:top w:val="single" w:sz="8" w:color="auto"/>
              <w:bottom w:val="single" w:sz="8" w:color="auto"/>
            </w:tcBorders>
            <w:shd w:val="clear" w:color="auto" w:fill="CCEEFF"/>
          </w:tcPr>
          <w:p>
            <w:pPr>
              <w:spacing w:after="0"/>
              <w:rPr>
                <w:sz w:val="18"/>
                <w:szCs w:val="18"/>
                <w:color w:val="auto"/>
              </w:rPr>
            </w:pPr>
          </w:p>
        </w:tc>
        <w:tc>
          <w:tcPr>
            <w:tcW w:w="20" w:type="dxa"/>
            <w:vAlign w:val="bottom"/>
            <w:tcBorders>
              <w:top w:val="single" w:sz="8" w:color="auto"/>
              <w:bottom w:val="single" w:sz="8" w:color="auto"/>
            </w:tcBorders>
            <w:shd w:val="clear" w:color="auto" w:fill="CCEEFF"/>
          </w:tcPr>
          <w:p>
            <w:pPr>
              <w:spacing w:after="0"/>
              <w:rPr>
                <w:sz w:val="18"/>
                <w:szCs w:val="18"/>
                <w:color w:val="auto"/>
              </w:rPr>
            </w:pPr>
          </w:p>
        </w:tc>
        <w:tc>
          <w:tcPr>
            <w:tcW w:w="2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658</w:t>
            </w:r>
          </w:p>
        </w:tc>
        <w:tc>
          <w:tcPr>
            <w:tcW w:w="6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spacing w:after="0"/>
              <w:rPr>
                <w:sz w:val="18"/>
                <w:szCs w:val="18"/>
                <w:color w:val="auto"/>
              </w:rPr>
            </w:pPr>
          </w:p>
        </w:tc>
        <w:tc>
          <w:tcPr>
            <w:tcW w:w="460" w:type="dxa"/>
            <w:vAlign w:val="bottom"/>
            <w:tcBorders>
              <w:top w:val="single" w:sz="8" w:color="auto"/>
              <w:bottom w:val="single" w:sz="8" w:color="auto"/>
            </w:tcBorders>
            <w:shd w:val="clear" w:color="auto" w:fill="CCEEFF"/>
          </w:tcPr>
          <w:p>
            <w:pPr>
              <w:spacing w:after="0"/>
              <w:rPr>
                <w:sz w:val="18"/>
                <w:szCs w:val="18"/>
                <w:color w:val="auto"/>
              </w:rPr>
            </w:pPr>
          </w:p>
        </w:tc>
        <w:tc>
          <w:tcPr>
            <w:tcW w:w="60" w:type="dxa"/>
            <w:vAlign w:val="bottom"/>
            <w:tcBorders>
              <w:top w:val="single" w:sz="8" w:color="auto"/>
              <w:bottom w:val="single" w:sz="8" w:color="auto"/>
            </w:tcBorders>
            <w:shd w:val="clear" w:color="auto" w:fill="CCEEFF"/>
          </w:tcPr>
          <w:p>
            <w:pPr>
              <w:spacing w:after="0"/>
              <w:rPr>
                <w:sz w:val="18"/>
                <w:szCs w:val="18"/>
                <w:color w:val="auto"/>
              </w:rPr>
            </w:pPr>
          </w:p>
        </w:tc>
        <w:tc>
          <w:tcPr>
            <w:tcW w:w="48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1,918</w:t>
            </w:r>
          </w:p>
        </w:tc>
        <w:tc>
          <w:tcPr>
            <w:tcW w:w="2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80" w:type="dxa"/>
            <w:vAlign w:val="bottom"/>
            <w:tcBorders>
              <w:top w:val="single" w:sz="8" w:color="auto"/>
              <w:bottom w:val="single" w:sz="8" w:color="auto"/>
            </w:tcBorders>
            <w:shd w:val="clear" w:color="auto" w:fill="CCEEFF"/>
          </w:tcPr>
          <w:p>
            <w:pPr>
              <w:spacing w:after="0"/>
              <w:rPr>
                <w:sz w:val="18"/>
                <w:szCs w:val="18"/>
                <w:color w:val="auto"/>
              </w:rPr>
            </w:pPr>
          </w:p>
        </w:tc>
        <w:tc>
          <w:tcPr>
            <w:tcW w:w="76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588</w:t>
            </w:r>
          </w:p>
        </w:tc>
        <w:tc>
          <w:tcPr>
            <w:tcW w:w="1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spacing w:after="0"/>
              <w:rPr>
                <w:sz w:val="18"/>
                <w:szCs w:val="18"/>
                <w:color w:val="auto"/>
              </w:rPr>
            </w:pPr>
          </w:p>
        </w:tc>
        <w:tc>
          <w:tcPr>
            <w:tcW w:w="80" w:type="dxa"/>
            <w:vAlign w:val="bottom"/>
            <w:tcBorders>
              <w:top w:val="single" w:sz="8" w:color="auto"/>
              <w:bottom w:val="single" w:sz="8" w:color="auto"/>
            </w:tcBorders>
            <w:shd w:val="clear" w:color="auto" w:fill="CCEEFF"/>
          </w:tcPr>
          <w:p>
            <w:pPr>
              <w:spacing w:after="0"/>
              <w:rPr>
                <w:sz w:val="18"/>
                <w:szCs w:val="18"/>
                <w:color w:val="auto"/>
              </w:rPr>
            </w:pPr>
          </w:p>
        </w:tc>
        <w:tc>
          <w:tcPr>
            <w:tcW w:w="82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1,558</w:t>
            </w:r>
          </w:p>
        </w:tc>
        <w:tc>
          <w:tcPr>
            <w:tcW w:w="100" w:type="dxa"/>
            <w:vAlign w:val="bottom"/>
            <w:shd w:val="clear" w:color="auto" w:fill="CCEEFF"/>
          </w:tcPr>
          <w:p>
            <w:pPr>
              <w:spacing w:after="0"/>
              <w:rPr>
                <w:sz w:val="18"/>
                <w:szCs w:val="18"/>
                <w:color w:val="auto"/>
              </w:rPr>
            </w:pPr>
          </w:p>
        </w:tc>
      </w:tr>
      <w:tr>
        <w:trPr>
          <w:trHeight w:val="221"/>
        </w:trPr>
        <w:tc>
          <w:tcPr>
            <w:tcW w:w="4360" w:type="dxa"/>
            <w:vAlign w:val="bottom"/>
            <w:gridSpan w:val="3"/>
          </w:tcPr>
          <w:p>
            <w:pPr>
              <w:spacing w:after="0"/>
              <w:rPr>
                <w:sz w:val="20"/>
                <w:szCs w:val="20"/>
                <w:color w:val="auto"/>
              </w:rPr>
            </w:pPr>
            <w:r>
              <w:rPr>
                <w:rFonts w:ascii="Arial" w:cs="Arial" w:eastAsia="Arial" w:hAnsi="Arial"/>
                <w:sz w:val="18"/>
                <w:szCs w:val="18"/>
                <w:color w:val="auto"/>
              </w:rPr>
              <w:t>HUMMER</w:t>
            </w:r>
          </w:p>
        </w:tc>
        <w:tc>
          <w:tcPr>
            <w:tcW w:w="5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1</w:t>
            </w:r>
          </w:p>
        </w:tc>
        <w:tc>
          <w:tcPr>
            <w:tcW w:w="6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740" w:type="dxa"/>
            <w:vAlign w:val="bottom"/>
            <w:gridSpan w:val="3"/>
          </w:tcPr>
          <w:p>
            <w:pPr>
              <w:jc w:val="right"/>
              <w:ind w:right="260"/>
              <w:spacing w:after="0"/>
              <w:rPr>
                <w:sz w:val="20"/>
                <w:szCs w:val="20"/>
                <w:color w:val="auto"/>
              </w:rPr>
            </w:pPr>
            <w:r>
              <w:rPr>
                <w:rFonts w:ascii="Arial" w:cs="Arial" w:eastAsia="Arial" w:hAnsi="Arial"/>
                <w:sz w:val="18"/>
                <w:szCs w:val="18"/>
                <w:color w:val="auto"/>
              </w:rPr>
              <w:t>4</w:t>
            </w:r>
          </w:p>
        </w:tc>
        <w:tc>
          <w:tcPr>
            <w:tcW w:w="3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2</w:t>
            </w:r>
          </w:p>
        </w:tc>
        <w:tc>
          <w:tcPr>
            <w:tcW w:w="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10</w:t>
            </w:r>
          </w:p>
        </w:tc>
        <w:tc>
          <w:tcPr>
            <w:tcW w:w="100" w:type="dxa"/>
            <w:vAlign w:val="bottom"/>
          </w:tcPr>
          <w:p>
            <w:pPr>
              <w:spacing w:after="0"/>
              <w:rPr>
                <w:sz w:val="19"/>
                <w:szCs w:val="19"/>
                <w:color w:val="auto"/>
              </w:rPr>
            </w:pPr>
          </w:p>
        </w:tc>
      </w:tr>
      <w:tr>
        <w:trPr>
          <w:trHeight w:val="218"/>
        </w:trPr>
        <w:tc>
          <w:tcPr>
            <w:tcW w:w="20" w:type="dxa"/>
            <w:vAlign w:val="bottom"/>
          </w:tcPr>
          <w:p>
            <w:pPr>
              <w:spacing w:after="0"/>
              <w:rPr>
                <w:sz w:val="18"/>
                <w:szCs w:val="18"/>
                <w:color w:val="auto"/>
              </w:rPr>
            </w:pPr>
          </w:p>
        </w:tc>
        <w:tc>
          <w:tcPr>
            <w:tcW w:w="43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Pontiac</w:t>
            </w:r>
          </w:p>
        </w:tc>
        <w:tc>
          <w:tcPr>
            <w:tcW w:w="5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6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74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11</w:t>
            </w: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78</w:t>
            </w:r>
          </w:p>
        </w:tc>
        <w:tc>
          <w:tcPr>
            <w:tcW w:w="1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205</w:t>
            </w: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340" w:type="dxa"/>
            <w:vAlign w:val="bottom"/>
            <w:gridSpan w:val="2"/>
          </w:tcPr>
          <w:p>
            <w:pPr>
              <w:spacing w:after="0"/>
              <w:rPr>
                <w:sz w:val="20"/>
                <w:szCs w:val="20"/>
                <w:color w:val="auto"/>
              </w:rPr>
            </w:pPr>
            <w:r>
              <w:rPr>
                <w:rFonts w:ascii="Arial" w:cs="Arial" w:eastAsia="Arial" w:hAnsi="Arial"/>
                <w:sz w:val="18"/>
                <w:szCs w:val="18"/>
                <w:color w:val="auto"/>
              </w:rPr>
              <w:t>Saab</w:t>
            </w:r>
          </w:p>
        </w:tc>
        <w:tc>
          <w:tcPr>
            <w:tcW w:w="5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20" w:type="dxa"/>
            <w:vAlign w:val="bottom"/>
            <w:gridSpan w:val="2"/>
          </w:tcPr>
          <w:p>
            <w:pPr>
              <w:jc w:val="right"/>
              <w:ind w:right="572"/>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40" w:type="dxa"/>
            <w:vAlign w:val="bottom"/>
            <w:gridSpan w:val="3"/>
          </w:tcPr>
          <w:p>
            <w:pPr>
              <w:jc w:val="right"/>
              <w:ind w:right="260"/>
              <w:spacing w:after="0"/>
              <w:rPr>
                <w:sz w:val="20"/>
                <w:szCs w:val="20"/>
                <w:color w:val="auto"/>
              </w:rPr>
            </w:pPr>
            <w:r>
              <w:rPr>
                <w:rFonts w:ascii="Arial" w:cs="Arial" w:eastAsia="Arial" w:hAnsi="Arial"/>
                <w:sz w:val="18"/>
                <w:szCs w:val="18"/>
                <w:color w:val="auto"/>
              </w:rPr>
              <w:t>1</w:t>
            </w: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2</w:t>
            </w: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8</w:t>
            </w: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3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Saturn</w:t>
            </w:r>
          </w:p>
        </w:tc>
        <w:tc>
          <w:tcPr>
            <w:tcW w:w="500" w:type="dxa"/>
            <w:vAlign w:val="bottom"/>
            <w:tcBorders>
              <w:bottom w:val="single" w:sz="8" w:color="auto"/>
            </w:tcBorders>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20" w:type="dxa"/>
            <w:vAlign w:val="bottom"/>
            <w:tcBorders>
              <w:bottom w:val="single" w:sz="8" w:color="auto"/>
            </w:tcBorders>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spacing w:after="0"/>
              <w:rPr>
                <w:sz w:val="18"/>
                <w:szCs w:val="18"/>
                <w:color w:val="auto"/>
              </w:rPr>
            </w:pPr>
          </w:p>
        </w:tc>
        <w:tc>
          <w:tcPr>
            <w:tcW w:w="60" w:type="dxa"/>
            <w:vAlign w:val="bottom"/>
            <w:tcBorders>
              <w:bottom w:val="single" w:sz="8" w:color="auto"/>
            </w:tcBorders>
            <w:shd w:val="clear" w:color="auto" w:fill="CCEEFF"/>
          </w:tcPr>
          <w:p>
            <w:pPr>
              <w:spacing w:after="0"/>
              <w:rPr>
                <w:sz w:val="18"/>
                <w:szCs w:val="18"/>
                <w:color w:val="auto"/>
              </w:rPr>
            </w:pPr>
          </w:p>
        </w:tc>
        <w:tc>
          <w:tcPr>
            <w:tcW w:w="48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2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1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68</w:t>
            </w:r>
          </w:p>
        </w:tc>
        <w:tc>
          <w:tcPr>
            <w:tcW w:w="100" w:type="dxa"/>
            <w:vAlign w:val="bottom"/>
            <w:shd w:val="clear" w:color="auto" w:fill="CCEEFF"/>
          </w:tcPr>
          <w:p>
            <w:pPr>
              <w:spacing w:after="0"/>
              <w:rPr>
                <w:sz w:val="18"/>
                <w:szCs w:val="18"/>
                <w:color w:val="auto"/>
              </w:rPr>
            </w:pPr>
          </w:p>
        </w:tc>
      </w:tr>
      <w:tr>
        <w:trPr>
          <w:trHeight w:val="230"/>
        </w:trPr>
        <w:tc>
          <w:tcPr>
            <w:tcW w:w="20" w:type="dxa"/>
            <w:vAlign w:val="bottom"/>
          </w:tcPr>
          <w:p>
            <w:pPr>
              <w:spacing w:after="0"/>
              <w:rPr>
                <w:sz w:val="20"/>
                <w:szCs w:val="20"/>
                <w:color w:val="auto"/>
              </w:rPr>
            </w:pPr>
          </w:p>
        </w:tc>
        <w:tc>
          <w:tcPr>
            <w:tcW w:w="4340" w:type="dxa"/>
            <w:vAlign w:val="bottom"/>
            <w:gridSpan w:val="2"/>
          </w:tcPr>
          <w:p>
            <w:pPr>
              <w:ind w:left="200"/>
              <w:spacing w:after="0"/>
              <w:rPr>
                <w:sz w:val="20"/>
                <w:szCs w:val="20"/>
                <w:color w:val="auto"/>
              </w:rPr>
            </w:pPr>
            <w:r>
              <w:rPr>
                <w:rFonts w:ascii="Arial" w:cs="Arial" w:eastAsia="Arial" w:hAnsi="Arial"/>
                <w:sz w:val="18"/>
                <w:szCs w:val="18"/>
                <w:color w:val="auto"/>
              </w:rPr>
              <w:t>Other Brands</w:t>
            </w:r>
          </w:p>
        </w:tc>
        <w:tc>
          <w:tcPr>
            <w:tcW w:w="500" w:type="dxa"/>
            <w:vAlign w:val="bottom"/>
            <w:tcBorders>
              <w:bottom w:val="single" w:sz="8" w:color="auto"/>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w:t>
            </w:r>
          </w:p>
        </w:tc>
        <w:tc>
          <w:tcPr>
            <w:tcW w:w="6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460" w:type="dxa"/>
            <w:vAlign w:val="bottom"/>
            <w:tcBorders>
              <w:bottom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48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22</w:t>
            </w:r>
          </w:p>
        </w:tc>
        <w:tc>
          <w:tcPr>
            <w:tcW w:w="2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102</w:t>
            </w:r>
          </w:p>
        </w:tc>
        <w:tc>
          <w:tcPr>
            <w:tcW w:w="1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290</w:t>
            </w:r>
          </w:p>
        </w:tc>
        <w:tc>
          <w:tcPr>
            <w:tcW w:w="10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43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GMNA Total</w:t>
            </w:r>
          </w:p>
        </w:tc>
        <w:tc>
          <w:tcPr>
            <w:tcW w:w="5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661</w:t>
            </w:r>
          </w:p>
        </w:tc>
        <w:tc>
          <w:tcPr>
            <w:tcW w:w="6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74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1,941</w:t>
            </w: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690</w:t>
            </w:r>
          </w:p>
        </w:tc>
        <w:tc>
          <w:tcPr>
            <w:tcW w:w="1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1,847</w:t>
            </w:r>
          </w:p>
        </w:tc>
        <w:tc>
          <w:tcPr>
            <w:tcW w:w="100" w:type="dxa"/>
            <w:vAlign w:val="bottom"/>
            <w:shd w:val="clear" w:color="auto" w:fill="CCEEFF"/>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320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02"/>
        </w:trPr>
        <w:tc>
          <w:tcPr>
            <w:tcW w:w="20" w:type="dxa"/>
            <w:vAlign w:val="bottom"/>
          </w:tcPr>
          <w:p>
            <w:pPr>
              <w:spacing w:after="0"/>
              <w:rPr>
                <w:sz w:val="8"/>
                <w:szCs w:val="8"/>
                <w:color w:val="auto"/>
              </w:rPr>
            </w:pPr>
          </w:p>
        </w:tc>
        <w:tc>
          <w:tcPr>
            <w:tcW w:w="1140" w:type="dxa"/>
            <w:vAlign w:val="bottom"/>
            <w:tcBorders>
              <w:bottom w:val="single" w:sz="8" w:color="auto"/>
            </w:tcBorders>
          </w:tcPr>
          <w:p>
            <w:pPr>
              <w:spacing w:after="0"/>
              <w:rPr>
                <w:sz w:val="8"/>
                <w:szCs w:val="8"/>
                <w:color w:val="auto"/>
              </w:rPr>
            </w:pPr>
          </w:p>
        </w:tc>
        <w:tc>
          <w:tcPr>
            <w:tcW w:w="3200" w:type="dxa"/>
            <w:vAlign w:val="bottom"/>
          </w:tcPr>
          <w:p>
            <w:pPr>
              <w:spacing w:after="0"/>
              <w:rPr>
                <w:sz w:val="8"/>
                <w:szCs w:val="8"/>
                <w:color w:val="auto"/>
              </w:rPr>
            </w:pPr>
          </w:p>
        </w:tc>
        <w:tc>
          <w:tcPr>
            <w:tcW w:w="500" w:type="dxa"/>
            <w:vAlign w:val="bottom"/>
          </w:tcPr>
          <w:p>
            <w:pPr>
              <w:spacing w:after="0"/>
              <w:rPr>
                <w:sz w:val="8"/>
                <w:szCs w:val="8"/>
                <w:color w:val="auto"/>
              </w:rPr>
            </w:pPr>
          </w:p>
        </w:tc>
        <w:tc>
          <w:tcPr>
            <w:tcW w:w="340" w:type="dxa"/>
            <w:vAlign w:val="bottom"/>
          </w:tcPr>
          <w:p>
            <w:pPr>
              <w:spacing w:after="0"/>
              <w:rPr>
                <w:sz w:val="8"/>
                <w:szCs w:val="8"/>
                <w:color w:val="auto"/>
              </w:rPr>
            </w:pPr>
          </w:p>
        </w:tc>
        <w:tc>
          <w:tcPr>
            <w:tcW w:w="20" w:type="dxa"/>
            <w:vAlign w:val="bottom"/>
          </w:tcPr>
          <w:p>
            <w:pPr>
              <w:spacing w:after="0"/>
              <w:rPr>
                <w:sz w:val="8"/>
                <w:szCs w:val="8"/>
                <w:color w:val="auto"/>
              </w:rPr>
            </w:pPr>
          </w:p>
        </w:tc>
        <w:tc>
          <w:tcPr>
            <w:tcW w:w="280" w:type="dxa"/>
            <w:vAlign w:val="bottom"/>
          </w:tcPr>
          <w:p>
            <w:pPr>
              <w:spacing w:after="0"/>
              <w:rPr>
                <w:sz w:val="8"/>
                <w:szCs w:val="8"/>
                <w:color w:val="auto"/>
              </w:rPr>
            </w:pPr>
          </w:p>
        </w:tc>
        <w:tc>
          <w:tcPr>
            <w:tcW w:w="640" w:type="dxa"/>
            <w:vAlign w:val="bottom"/>
          </w:tcPr>
          <w:p>
            <w:pPr>
              <w:spacing w:after="0"/>
              <w:rPr>
                <w:sz w:val="8"/>
                <w:szCs w:val="8"/>
                <w:color w:val="auto"/>
              </w:rPr>
            </w:pPr>
          </w:p>
        </w:tc>
        <w:tc>
          <w:tcPr>
            <w:tcW w:w="160" w:type="dxa"/>
            <w:vAlign w:val="bottom"/>
          </w:tcPr>
          <w:p>
            <w:pPr>
              <w:spacing w:after="0"/>
              <w:rPr>
                <w:sz w:val="8"/>
                <w:szCs w:val="8"/>
                <w:color w:val="auto"/>
              </w:rPr>
            </w:pPr>
          </w:p>
        </w:tc>
        <w:tc>
          <w:tcPr>
            <w:tcW w:w="140" w:type="dxa"/>
            <w:vAlign w:val="bottom"/>
          </w:tcPr>
          <w:p>
            <w:pPr>
              <w:spacing w:after="0"/>
              <w:rPr>
                <w:sz w:val="8"/>
                <w:szCs w:val="8"/>
                <w:color w:val="auto"/>
              </w:rPr>
            </w:pPr>
          </w:p>
        </w:tc>
        <w:tc>
          <w:tcPr>
            <w:tcW w:w="460" w:type="dxa"/>
            <w:vAlign w:val="bottom"/>
          </w:tcPr>
          <w:p>
            <w:pPr>
              <w:spacing w:after="0"/>
              <w:rPr>
                <w:sz w:val="8"/>
                <w:szCs w:val="8"/>
                <w:color w:val="auto"/>
              </w:rPr>
            </w:pPr>
          </w:p>
        </w:tc>
        <w:tc>
          <w:tcPr>
            <w:tcW w:w="60" w:type="dxa"/>
            <w:vAlign w:val="bottom"/>
          </w:tcPr>
          <w:p>
            <w:pPr>
              <w:spacing w:after="0"/>
              <w:rPr>
                <w:sz w:val="8"/>
                <w:szCs w:val="8"/>
                <w:color w:val="auto"/>
              </w:rPr>
            </w:pPr>
          </w:p>
        </w:tc>
        <w:tc>
          <w:tcPr>
            <w:tcW w:w="240" w:type="dxa"/>
            <w:vAlign w:val="bottom"/>
          </w:tcPr>
          <w:p>
            <w:pPr>
              <w:spacing w:after="0"/>
              <w:rPr>
                <w:sz w:val="8"/>
                <w:szCs w:val="8"/>
                <w:color w:val="auto"/>
              </w:rPr>
            </w:pPr>
          </w:p>
        </w:tc>
        <w:tc>
          <w:tcPr>
            <w:tcW w:w="240" w:type="dxa"/>
            <w:vAlign w:val="bottom"/>
          </w:tcPr>
          <w:p>
            <w:pPr>
              <w:spacing w:after="0"/>
              <w:rPr>
                <w:sz w:val="8"/>
                <w:szCs w:val="8"/>
                <w:color w:val="auto"/>
              </w:rPr>
            </w:pPr>
          </w:p>
        </w:tc>
        <w:tc>
          <w:tcPr>
            <w:tcW w:w="260" w:type="dxa"/>
            <w:vAlign w:val="bottom"/>
          </w:tcPr>
          <w:p>
            <w:pPr>
              <w:spacing w:after="0"/>
              <w:rPr>
                <w:sz w:val="8"/>
                <w:szCs w:val="8"/>
                <w:color w:val="auto"/>
              </w:rPr>
            </w:pPr>
          </w:p>
        </w:tc>
        <w:tc>
          <w:tcPr>
            <w:tcW w:w="300" w:type="dxa"/>
            <w:vAlign w:val="bottom"/>
          </w:tcPr>
          <w:p>
            <w:pPr>
              <w:spacing w:after="0"/>
              <w:rPr>
                <w:sz w:val="8"/>
                <w:szCs w:val="8"/>
                <w:color w:val="auto"/>
              </w:rPr>
            </w:pPr>
          </w:p>
        </w:tc>
        <w:tc>
          <w:tcPr>
            <w:tcW w:w="240" w:type="dxa"/>
            <w:vAlign w:val="bottom"/>
          </w:tcPr>
          <w:p>
            <w:pPr>
              <w:spacing w:after="0"/>
              <w:rPr>
                <w:sz w:val="8"/>
                <w:szCs w:val="8"/>
                <w:color w:val="auto"/>
              </w:rPr>
            </w:pPr>
          </w:p>
        </w:tc>
        <w:tc>
          <w:tcPr>
            <w:tcW w:w="380" w:type="dxa"/>
            <w:vAlign w:val="bottom"/>
          </w:tcPr>
          <w:p>
            <w:pPr>
              <w:spacing w:after="0"/>
              <w:rPr>
                <w:sz w:val="8"/>
                <w:szCs w:val="8"/>
                <w:color w:val="auto"/>
              </w:rPr>
            </w:pPr>
          </w:p>
        </w:tc>
        <w:tc>
          <w:tcPr>
            <w:tcW w:w="280" w:type="dxa"/>
            <w:vAlign w:val="bottom"/>
          </w:tcPr>
          <w:p>
            <w:pPr>
              <w:spacing w:after="0"/>
              <w:rPr>
                <w:sz w:val="8"/>
                <w:szCs w:val="8"/>
                <w:color w:val="auto"/>
              </w:rPr>
            </w:pPr>
          </w:p>
        </w:tc>
        <w:tc>
          <w:tcPr>
            <w:tcW w:w="480" w:type="dxa"/>
            <w:vAlign w:val="bottom"/>
          </w:tcPr>
          <w:p>
            <w:pPr>
              <w:spacing w:after="0"/>
              <w:rPr>
                <w:sz w:val="8"/>
                <w:szCs w:val="8"/>
                <w:color w:val="auto"/>
              </w:rPr>
            </w:pPr>
          </w:p>
        </w:tc>
        <w:tc>
          <w:tcPr>
            <w:tcW w:w="140" w:type="dxa"/>
            <w:vAlign w:val="bottom"/>
          </w:tcPr>
          <w:p>
            <w:pPr>
              <w:spacing w:after="0"/>
              <w:rPr>
                <w:sz w:val="8"/>
                <w:szCs w:val="8"/>
                <w:color w:val="auto"/>
              </w:rPr>
            </w:pPr>
          </w:p>
        </w:tc>
        <w:tc>
          <w:tcPr>
            <w:tcW w:w="300" w:type="dxa"/>
            <w:vAlign w:val="bottom"/>
          </w:tcPr>
          <w:p>
            <w:pPr>
              <w:spacing w:after="0"/>
              <w:rPr>
                <w:sz w:val="8"/>
                <w:szCs w:val="8"/>
                <w:color w:val="auto"/>
              </w:rPr>
            </w:pPr>
          </w:p>
        </w:tc>
        <w:tc>
          <w:tcPr>
            <w:tcW w:w="380" w:type="dxa"/>
            <w:vAlign w:val="bottom"/>
          </w:tcPr>
          <w:p>
            <w:pPr>
              <w:spacing w:after="0"/>
              <w:rPr>
                <w:sz w:val="8"/>
                <w:szCs w:val="8"/>
                <w:color w:val="auto"/>
              </w:rPr>
            </w:pPr>
          </w:p>
        </w:tc>
        <w:tc>
          <w:tcPr>
            <w:tcW w:w="220" w:type="dxa"/>
            <w:vAlign w:val="bottom"/>
          </w:tcPr>
          <w:p>
            <w:pPr>
              <w:spacing w:after="0"/>
              <w:rPr>
                <w:sz w:val="8"/>
                <w:szCs w:val="8"/>
                <w:color w:val="auto"/>
              </w:rPr>
            </w:pPr>
          </w:p>
        </w:tc>
        <w:tc>
          <w:tcPr>
            <w:tcW w:w="80" w:type="dxa"/>
            <w:vAlign w:val="bottom"/>
          </w:tcPr>
          <w:p>
            <w:pPr>
              <w:spacing w:after="0"/>
              <w:rPr>
                <w:sz w:val="8"/>
                <w:szCs w:val="8"/>
                <w:color w:val="auto"/>
              </w:rPr>
            </w:pPr>
          </w:p>
        </w:tc>
        <w:tc>
          <w:tcPr>
            <w:tcW w:w="220" w:type="dxa"/>
            <w:vAlign w:val="bottom"/>
          </w:tcPr>
          <w:p>
            <w:pPr>
              <w:spacing w:after="0"/>
              <w:rPr>
                <w:sz w:val="8"/>
                <w:szCs w:val="8"/>
                <w:color w:val="auto"/>
              </w:rPr>
            </w:pPr>
          </w:p>
        </w:tc>
        <w:tc>
          <w:tcPr>
            <w:tcW w:w="600" w:type="dxa"/>
            <w:vAlign w:val="bottom"/>
          </w:tcPr>
          <w:p>
            <w:pPr>
              <w:spacing w:after="0"/>
              <w:rPr>
                <w:sz w:val="8"/>
                <w:szCs w:val="8"/>
                <w:color w:val="auto"/>
              </w:rPr>
            </w:pPr>
          </w:p>
        </w:tc>
        <w:tc>
          <w:tcPr>
            <w:tcW w:w="100" w:type="dxa"/>
            <w:vAlign w:val="bottom"/>
          </w:tcPr>
          <w:p>
            <w:pPr>
              <w:spacing w:after="0"/>
              <w:rPr>
                <w:sz w:val="8"/>
                <w:szCs w:val="8"/>
                <w:color w:val="auto"/>
              </w:rPr>
            </w:pPr>
          </w:p>
        </w:tc>
      </w:tr>
    </w:tbl>
    <w:p>
      <w:pPr>
        <w:spacing w:after="0" w:line="19" w:lineRule="exact"/>
        <w:rPr>
          <w:sz w:val="20"/>
          <w:szCs w:val="20"/>
          <w:color w:val="auto"/>
        </w:rPr>
      </w:pPr>
    </w:p>
    <w:p>
      <w:pPr>
        <w:ind w:left="460" w:hanging="452"/>
        <w:spacing w:after="0"/>
        <w:tabs>
          <w:tab w:leader="none" w:pos="460" w:val="left"/>
        </w:tabs>
        <w:numPr>
          <w:ilvl w:val="0"/>
          <w:numId w:val="80"/>
        </w:numPr>
        <w:rPr>
          <w:rFonts w:ascii="Arial" w:cs="Arial" w:eastAsia="Arial" w:hAnsi="Arial"/>
          <w:sz w:val="18"/>
          <w:szCs w:val="18"/>
          <w:color w:val="auto"/>
        </w:rPr>
      </w:pPr>
      <w:r>
        <w:rPr>
          <w:rFonts w:ascii="Arial" w:cs="Arial" w:eastAsia="Arial" w:hAnsi="Arial"/>
          <w:sz w:val="18"/>
          <w:szCs w:val="18"/>
          <w:color w:val="auto"/>
        </w:rPr>
        <w:t>Vehicle sales primarily represent sales to the ultimate customer.</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113</w:t>
      </w:r>
    </w:p>
    <w:p>
      <w:pPr>
        <w:sectPr>
          <w:pgSz w:w="11900" w:h="16838" w:orient="portrait"/>
          <w:cols w:equalWidth="0" w:num="1">
            <w:col w:w="11420"/>
          </w:cols>
          <w:pgMar w:left="240" w:top="459" w:right="239" w:bottom="1440" w:gutter="0" w:footer="0" w:header="0"/>
        </w:sectPr>
      </w:pPr>
    </w:p>
    <w:bookmarkStart w:id="115" w:name="page116"/>
    <w:bookmarkEnd w:id="1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258" w:lineRule="exact"/>
        <w:rPr>
          <w:sz w:val="20"/>
          <w:szCs w:val="20"/>
          <w:color w:val="auto"/>
        </w:rPr>
      </w:pPr>
    </w:p>
    <w:p>
      <w:pPr>
        <w:ind w:left="460" w:hanging="452"/>
        <w:spacing w:after="0"/>
        <w:tabs>
          <w:tab w:leader="none" w:pos="460" w:val="left"/>
        </w:tabs>
        <w:numPr>
          <w:ilvl w:val="0"/>
          <w:numId w:val="81"/>
        </w:numPr>
        <w:rPr>
          <w:rFonts w:ascii="Arial" w:cs="Arial" w:eastAsia="Arial" w:hAnsi="Arial"/>
          <w:sz w:val="18"/>
          <w:szCs w:val="18"/>
          <w:color w:val="auto"/>
        </w:rPr>
      </w:pPr>
      <w:r>
        <w:rPr>
          <w:rFonts w:ascii="Arial" w:cs="Arial" w:eastAsia="Arial" w:hAnsi="Arial"/>
          <w:sz w:val="18"/>
          <w:szCs w:val="18"/>
          <w:color w:val="auto"/>
        </w:rPr>
        <w:t>Includes HUMMER, Saturn and Pontiac vehicle sales data.</w:t>
      </w:r>
    </w:p>
    <w:p>
      <w:pPr>
        <w:spacing w:after="0" w:line="90" w:lineRule="exact"/>
        <w:rPr>
          <w:rFonts w:ascii="Arial" w:cs="Arial" w:eastAsia="Arial" w:hAnsi="Arial"/>
          <w:sz w:val="18"/>
          <w:szCs w:val="18"/>
          <w:color w:val="auto"/>
        </w:rPr>
      </w:pPr>
    </w:p>
    <w:p>
      <w:pPr>
        <w:ind w:left="460" w:hanging="452"/>
        <w:spacing w:after="0"/>
        <w:tabs>
          <w:tab w:leader="none" w:pos="460" w:val="left"/>
        </w:tabs>
        <w:numPr>
          <w:ilvl w:val="0"/>
          <w:numId w:val="81"/>
        </w:numPr>
        <w:rPr>
          <w:rFonts w:ascii="Arial" w:cs="Arial" w:eastAsia="Arial" w:hAnsi="Arial"/>
          <w:sz w:val="18"/>
          <w:szCs w:val="18"/>
          <w:color w:val="auto"/>
        </w:rPr>
      </w:pPr>
      <w:r>
        <w:rPr>
          <w:rFonts w:ascii="Arial" w:cs="Arial" w:eastAsia="Arial" w:hAnsi="Arial"/>
          <w:sz w:val="18"/>
          <w:szCs w:val="18"/>
          <w:color w:val="auto"/>
        </w:rPr>
        <w:t>Includes Saab vehicle sales data through February 2010.</w:t>
      </w:r>
    </w:p>
    <w:p>
      <w:pPr>
        <w:spacing w:after="0" w:line="90" w:lineRule="exact"/>
        <w:rPr>
          <w:rFonts w:ascii="Arial" w:cs="Arial" w:eastAsia="Arial" w:hAnsi="Arial"/>
          <w:sz w:val="18"/>
          <w:szCs w:val="18"/>
          <w:color w:val="auto"/>
        </w:rPr>
      </w:pPr>
    </w:p>
    <w:p>
      <w:pPr>
        <w:ind w:left="460" w:hanging="452"/>
        <w:spacing w:after="0"/>
        <w:tabs>
          <w:tab w:leader="none" w:pos="460" w:val="left"/>
        </w:tabs>
        <w:numPr>
          <w:ilvl w:val="0"/>
          <w:numId w:val="81"/>
        </w:numPr>
        <w:rPr>
          <w:rFonts w:ascii="Arial" w:cs="Arial" w:eastAsia="Arial" w:hAnsi="Arial"/>
          <w:sz w:val="18"/>
          <w:szCs w:val="18"/>
          <w:color w:val="auto"/>
        </w:rPr>
      </w:pPr>
      <w:r>
        <w:rPr>
          <w:rFonts w:ascii="Arial" w:cs="Arial" w:eastAsia="Arial" w:hAnsi="Arial"/>
          <w:sz w:val="18"/>
          <w:szCs w:val="18"/>
          <w:color w:val="auto"/>
        </w:rPr>
        <w:t>Vehicle sales data may include rounding differences.</w:t>
      </w:r>
    </w:p>
    <w:p>
      <w:pPr>
        <w:spacing w:after="0" w:line="90" w:lineRule="exact"/>
        <w:rPr>
          <w:rFonts w:ascii="Arial" w:cs="Arial" w:eastAsia="Arial" w:hAnsi="Arial"/>
          <w:sz w:val="18"/>
          <w:szCs w:val="18"/>
          <w:color w:val="auto"/>
        </w:rPr>
      </w:pPr>
    </w:p>
    <w:p>
      <w:pPr>
        <w:ind w:left="460" w:hanging="452"/>
        <w:spacing w:after="0"/>
        <w:tabs>
          <w:tab w:leader="none" w:pos="460" w:val="left"/>
        </w:tabs>
        <w:numPr>
          <w:ilvl w:val="0"/>
          <w:numId w:val="81"/>
        </w:numPr>
        <w:rPr>
          <w:rFonts w:ascii="Arial" w:cs="Arial" w:eastAsia="Arial" w:hAnsi="Arial"/>
          <w:sz w:val="16"/>
          <w:szCs w:val="16"/>
          <w:color w:val="auto"/>
        </w:rPr>
      </w:pPr>
      <w:r>
        <w:rPr>
          <w:rFonts w:ascii="Arial" w:cs="Arial" w:eastAsia="Arial" w:hAnsi="Arial"/>
          <w:sz w:val="16"/>
          <w:szCs w:val="16"/>
          <w:color w:val="auto"/>
        </w:rPr>
        <w:t>Certain fleet sales that are accounted for as operating leases are included in vehicle sales at the time of delivery to the daily rental car companies.</w:t>
      </w:r>
    </w:p>
    <w:p>
      <w:pPr>
        <w:spacing w:after="0" w:line="194" w:lineRule="exact"/>
        <w:rPr>
          <w:sz w:val="20"/>
          <w:szCs w:val="20"/>
          <w:color w:val="auto"/>
        </w:rPr>
      </w:pPr>
    </w:p>
    <w:p>
      <w:pPr>
        <w:ind w:left="240"/>
        <w:spacing w:after="0"/>
        <w:rPr>
          <w:sz w:val="20"/>
          <w:szCs w:val="20"/>
          <w:color w:val="auto"/>
        </w:rPr>
      </w:pPr>
      <w:r>
        <w:rPr>
          <w:rFonts w:ascii="Arial" w:cs="Arial" w:eastAsia="Arial" w:hAnsi="Arial"/>
          <w:sz w:val="15"/>
          <w:szCs w:val="15"/>
          <w:b w:val="1"/>
          <w:bCs w:val="1"/>
          <w:i w:val="1"/>
          <w:iCs w:val="1"/>
          <w:color w:val="auto"/>
        </w:rPr>
        <w:t>Three and Nine Months Ended September 30, 2010, July 10, 2009 Through September 30, 2009, July 1, 2009 Through July 9, 2009 and January 1, 2009</w:t>
      </w:r>
    </w:p>
    <w:p>
      <w:pPr>
        <w:spacing w:after="0" w:line="50"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Through July 9, 2009</w:t>
      </w:r>
    </w:p>
    <w:p>
      <w:pPr>
        <w:spacing w:after="0" w:line="9"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(Dollars in millions)</w:t>
      </w:r>
    </w:p>
    <w:p>
      <w:pPr>
        <w:spacing w:after="0" w:line="165"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Total Net Sales and Revenue</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5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80" w:type="dxa"/>
            <w:vAlign w:val="bottom"/>
            <w:gridSpan w:val="3"/>
          </w:tcPr>
          <w:p>
            <w:pPr>
              <w:jc w:val="center"/>
              <w:ind w:right="180"/>
              <w:spacing w:after="0"/>
              <w:rPr>
                <w:sz w:val="20"/>
                <w:szCs w:val="20"/>
                <w:color w:val="auto"/>
              </w:rPr>
            </w:pPr>
            <w:r>
              <w:rPr>
                <w:rFonts w:ascii="Arial" w:cs="Arial" w:eastAsia="Arial" w:hAnsi="Arial"/>
                <w:sz w:val="14"/>
                <w:szCs w:val="14"/>
                <w:b w:val="1"/>
                <w:bCs w:val="1"/>
                <w:color w:val="auto"/>
                <w:w w:val="90"/>
              </w:rPr>
              <w:t>Combined GM</w:t>
            </w: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80" w:type="dxa"/>
            <w:vAlign w:val="bottom"/>
            <w:tcBorders>
              <w:right w:val="single" w:sz="8" w:color="auto"/>
            </w:tcBorders>
          </w:tcPr>
          <w:p>
            <w:pPr>
              <w:spacing w:after="0"/>
              <w:rPr>
                <w:sz w:val="14"/>
                <w:szCs w:val="14"/>
                <w:color w:val="auto"/>
              </w:rPr>
            </w:pPr>
          </w:p>
        </w:tc>
        <w:tc>
          <w:tcPr>
            <w:tcW w:w="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45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79"/>
              </w:rPr>
              <w:t>Successor</w:t>
            </w:r>
          </w:p>
        </w:tc>
        <w:tc>
          <w:tcPr>
            <w:tcW w:w="180" w:type="dxa"/>
            <w:vAlign w:val="bottom"/>
          </w:tcPr>
          <w:p>
            <w:pPr>
              <w:spacing w:after="0"/>
              <w:rPr>
                <w:sz w:val="14"/>
                <w:szCs w:val="14"/>
                <w:color w:val="auto"/>
              </w:rPr>
            </w:pPr>
          </w:p>
        </w:tc>
        <w:tc>
          <w:tcPr>
            <w:tcW w:w="1080" w:type="dxa"/>
            <w:vAlign w:val="bottom"/>
            <w:gridSpan w:val="3"/>
          </w:tcPr>
          <w:p>
            <w:pPr>
              <w:jc w:val="center"/>
              <w:ind w:right="180"/>
              <w:spacing w:after="0"/>
              <w:rPr>
                <w:sz w:val="20"/>
                <w:szCs w:val="20"/>
                <w:color w:val="auto"/>
              </w:rPr>
            </w:pPr>
            <w:r>
              <w:rPr>
                <w:rFonts w:ascii="Arial" w:cs="Arial" w:eastAsia="Arial" w:hAnsi="Arial"/>
                <w:sz w:val="14"/>
                <w:szCs w:val="14"/>
                <w:b w:val="1"/>
                <w:bCs w:val="1"/>
                <w:color w:val="auto"/>
                <w:w w:val="94"/>
              </w:rPr>
              <w:t>and Old GM</w:t>
            </w: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tcPr>
          <w:p>
            <w:pPr>
              <w:jc w:val="center"/>
              <w:ind w:right="27"/>
              <w:spacing w:after="0"/>
              <w:rPr>
                <w:sz w:val="20"/>
                <w:szCs w:val="20"/>
                <w:color w:val="auto"/>
              </w:rPr>
            </w:pPr>
            <w:r>
              <w:rPr>
                <w:rFonts w:ascii="Arial" w:cs="Arial" w:eastAsia="Arial" w:hAnsi="Arial"/>
                <w:sz w:val="14"/>
                <w:szCs w:val="14"/>
                <w:b w:val="1"/>
                <w:bCs w:val="1"/>
                <w:color w:val="auto"/>
                <w:w w:val="79"/>
              </w:rPr>
              <w:t>Successor</w:t>
            </w:r>
          </w:p>
        </w:tc>
        <w:tc>
          <w:tcPr>
            <w:tcW w:w="480" w:type="dxa"/>
            <w:vAlign w:val="bottom"/>
            <w:tcBorders>
              <w:right w:val="single" w:sz="8" w:color="auto"/>
            </w:tcBorders>
          </w:tcPr>
          <w:p>
            <w:pPr>
              <w:spacing w:after="0"/>
              <w:rPr>
                <w:sz w:val="14"/>
                <w:szCs w:val="14"/>
                <w:color w:val="auto"/>
              </w:rPr>
            </w:pPr>
          </w:p>
        </w:tc>
        <w:tc>
          <w:tcPr>
            <w:tcW w:w="280" w:type="dxa"/>
            <w:vAlign w:val="bottom"/>
          </w:tcPr>
          <w:p>
            <w:pPr>
              <w:spacing w:after="0"/>
              <w:rPr>
                <w:sz w:val="14"/>
                <w:szCs w:val="14"/>
                <w:color w:val="auto"/>
              </w:rPr>
            </w:pPr>
          </w:p>
        </w:tc>
        <w:tc>
          <w:tcPr>
            <w:tcW w:w="880" w:type="dxa"/>
            <w:vAlign w:val="bottom"/>
            <w:gridSpan w:val="3"/>
          </w:tcPr>
          <w:p>
            <w:pPr>
              <w:spacing w:after="0"/>
              <w:rPr>
                <w:sz w:val="20"/>
                <w:szCs w:val="20"/>
                <w:color w:val="auto"/>
              </w:rPr>
            </w:pPr>
            <w:r>
              <w:rPr>
                <w:rFonts w:ascii="Arial" w:cs="Arial" w:eastAsia="Arial" w:hAnsi="Arial"/>
                <w:sz w:val="14"/>
                <w:szCs w:val="14"/>
                <w:b w:val="1"/>
                <w:bCs w:val="1"/>
                <w:color w:val="auto"/>
              </w:rPr>
              <w:t>Predecessor</w:t>
            </w: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4580" w:type="dxa"/>
            <w:vAlign w:val="bottom"/>
          </w:tcPr>
          <w:p>
            <w:pPr>
              <w:spacing w:after="0"/>
              <w:rPr>
                <w:sz w:val="11"/>
                <w:szCs w:val="11"/>
                <w:color w:val="auto"/>
              </w:rPr>
            </w:pPr>
          </w:p>
        </w:tc>
        <w:tc>
          <w:tcPr>
            <w:tcW w:w="840" w:type="dxa"/>
            <w:vAlign w:val="bottom"/>
            <w:tcBorders>
              <w:top w:val="single" w:sz="8" w:color="auto"/>
            </w:tcBorders>
            <w:gridSpan w:val="2"/>
          </w:tcPr>
          <w:p>
            <w:pPr>
              <w:jc w:val="center"/>
              <w:spacing w:after="0" w:line="129" w:lineRule="exact"/>
              <w:rPr>
                <w:sz w:val="20"/>
                <w:szCs w:val="20"/>
                <w:color w:val="auto"/>
              </w:rPr>
            </w:pPr>
            <w:r>
              <w:rPr>
                <w:rFonts w:ascii="Arial" w:cs="Arial" w:eastAsia="Arial" w:hAnsi="Arial"/>
                <w:sz w:val="14"/>
                <w:szCs w:val="14"/>
                <w:b w:val="1"/>
                <w:bCs w:val="1"/>
                <w:color w:val="auto"/>
                <w:w w:val="89"/>
              </w:rPr>
              <w:t>Three Months</w:t>
            </w:r>
          </w:p>
        </w:tc>
        <w:tc>
          <w:tcPr>
            <w:tcW w:w="1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80" w:type="dxa"/>
            <w:vAlign w:val="bottom"/>
            <w:tcBorders>
              <w:top w:val="single" w:sz="8" w:color="auto"/>
            </w:tcBorders>
            <w:gridSpan w:val="2"/>
          </w:tcPr>
          <w:p>
            <w:pPr>
              <w:jc w:val="center"/>
              <w:spacing w:after="0" w:line="129" w:lineRule="exact"/>
              <w:rPr>
                <w:sz w:val="20"/>
                <w:szCs w:val="20"/>
                <w:color w:val="auto"/>
              </w:rPr>
            </w:pPr>
            <w:r>
              <w:rPr>
                <w:rFonts w:ascii="Arial" w:cs="Arial" w:eastAsia="Arial" w:hAnsi="Arial"/>
                <w:sz w:val="14"/>
                <w:szCs w:val="14"/>
                <w:b w:val="1"/>
                <w:bCs w:val="1"/>
                <w:color w:val="auto"/>
                <w:w w:val="89"/>
              </w:rPr>
              <w:t>Three Months</w:t>
            </w:r>
          </w:p>
        </w:tc>
        <w:tc>
          <w:tcPr>
            <w:tcW w:w="2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Borders>
              <w:top w:val="single" w:sz="8" w:color="auto"/>
            </w:tcBorders>
            <w:gridSpan w:val="2"/>
          </w:tcPr>
          <w:p>
            <w:pPr>
              <w:jc w:val="center"/>
              <w:spacing w:after="0" w:line="129" w:lineRule="exact"/>
              <w:rPr>
                <w:sz w:val="20"/>
                <w:szCs w:val="20"/>
                <w:color w:val="auto"/>
              </w:rPr>
            </w:pPr>
            <w:r>
              <w:rPr>
                <w:rFonts w:ascii="Arial" w:cs="Arial" w:eastAsia="Arial" w:hAnsi="Arial"/>
                <w:sz w:val="14"/>
                <w:szCs w:val="14"/>
                <w:b w:val="1"/>
                <w:bCs w:val="1"/>
                <w:color w:val="auto"/>
                <w:w w:val="87"/>
              </w:rPr>
              <w:t>July 10, 2009</w:t>
            </w:r>
          </w:p>
        </w:tc>
        <w:tc>
          <w:tcPr>
            <w:tcW w:w="480" w:type="dxa"/>
            <w:vAlign w:val="bottom"/>
            <w:tcBorders>
              <w:right w:val="single" w:sz="8" w:color="auto"/>
            </w:tcBorders>
          </w:tcPr>
          <w:p>
            <w:pPr>
              <w:spacing w:after="0"/>
              <w:rPr>
                <w:sz w:val="11"/>
                <w:szCs w:val="11"/>
                <w:color w:val="auto"/>
              </w:rPr>
            </w:pPr>
          </w:p>
        </w:tc>
        <w:tc>
          <w:tcPr>
            <w:tcW w:w="28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600" w:type="dxa"/>
            <w:vAlign w:val="bottom"/>
            <w:tcBorders>
              <w:top w:val="single" w:sz="8" w:color="auto"/>
            </w:tcBorders>
          </w:tcPr>
          <w:p>
            <w:pPr>
              <w:spacing w:after="0"/>
              <w:rPr>
                <w:sz w:val="11"/>
                <w:szCs w:val="11"/>
                <w:color w:val="auto"/>
              </w:rPr>
            </w:pPr>
          </w:p>
        </w:tc>
        <w:tc>
          <w:tcPr>
            <w:tcW w:w="1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20" w:type="dxa"/>
            <w:vAlign w:val="bottom"/>
            <w:gridSpan w:val="4"/>
            <w:vMerge w:val="restart"/>
          </w:tcPr>
          <w:p>
            <w:pPr>
              <w:jc w:val="center"/>
              <w:ind w:right="200"/>
              <w:spacing w:after="0"/>
              <w:rPr>
                <w:sz w:val="20"/>
                <w:szCs w:val="20"/>
                <w:color w:val="auto"/>
              </w:rPr>
            </w:pPr>
            <w:r>
              <w:rPr>
                <w:rFonts w:ascii="Arial" w:cs="Arial" w:eastAsia="Arial" w:hAnsi="Arial"/>
                <w:sz w:val="14"/>
                <w:szCs w:val="14"/>
                <w:b w:val="1"/>
                <w:bCs w:val="1"/>
                <w:color w:val="auto"/>
                <w:w w:val="88"/>
              </w:rPr>
              <w:t>Three Months Ended</w:t>
            </w:r>
          </w:p>
        </w:tc>
        <w:tc>
          <w:tcPr>
            <w:tcW w:w="0" w:type="dxa"/>
            <w:vAlign w:val="bottom"/>
          </w:tcPr>
          <w:p>
            <w:pPr>
              <w:spacing w:after="0"/>
              <w:rPr>
                <w:sz w:val="1"/>
                <w:szCs w:val="1"/>
                <w:color w:val="auto"/>
              </w:rPr>
            </w:pPr>
          </w:p>
        </w:tc>
      </w:tr>
      <w:tr>
        <w:trPr>
          <w:trHeight w:val="81"/>
        </w:trPr>
        <w:tc>
          <w:tcPr>
            <w:tcW w:w="4580" w:type="dxa"/>
            <w:vAlign w:val="bottom"/>
          </w:tcPr>
          <w:p>
            <w:pPr>
              <w:spacing w:after="0"/>
              <w:rPr>
                <w:sz w:val="7"/>
                <w:szCs w:val="7"/>
                <w:color w:val="auto"/>
              </w:rPr>
            </w:pPr>
          </w:p>
        </w:tc>
        <w:tc>
          <w:tcPr>
            <w:tcW w:w="120" w:type="dxa"/>
            <w:vAlign w:val="bottom"/>
          </w:tcPr>
          <w:p>
            <w:pPr>
              <w:spacing w:after="0"/>
              <w:rPr>
                <w:sz w:val="7"/>
                <w:szCs w:val="7"/>
                <w:color w:val="auto"/>
              </w:rPr>
            </w:pPr>
          </w:p>
        </w:tc>
        <w:tc>
          <w:tcPr>
            <w:tcW w:w="900" w:type="dxa"/>
            <w:vAlign w:val="bottom"/>
            <w:gridSpan w:val="2"/>
            <w:vMerge w:val="restart"/>
          </w:tcPr>
          <w:p>
            <w:pPr>
              <w:jc w:val="center"/>
              <w:ind w:right="300"/>
              <w:spacing w:after="0" w:line="149" w:lineRule="exact"/>
              <w:rPr>
                <w:sz w:val="20"/>
                <w:szCs w:val="20"/>
                <w:color w:val="auto"/>
              </w:rPr>
            </w:pPr>
            <w:r>
              <w:rPr>
                <w:rFonts w:ascii="Arial" w:cs="Arial" w:eastAsia="Arial" w:hAnsi="Arial"/>
                <w:sz w:val="14"/>
                <w:szCs w:val="14"/>
                <w:b w:val="1"/>
                <w:bCs w:val="1"/>
                <w:color w:val="auto"/>
                <w:w w:val="84"/>
              </w:rPr>
              <w:t>Ended</w:t>
            </w:r>
          </w:p>
        </w:tc>
        <w:tc>
          <w:tcPr>
            <w:tcW w:w="180" w:type="dxa"/>
            <w:vAlign w:val="bottom"/>
          </w:tcPr>
          <w:p>
            <w:pPr>
              <w:spacing w:after="0"/>
              <w:rPr>
                <w:sz w:val="7"/>
                <w:szCs w:val="7"/>
                <w:color w:val="auto"/>
              </w:rPr>
            </w:pPr>
          </w:p>
        </w:tc>
        <w:tc>
          <w:tcPr>
            <w:tcW w:w="180" w:type="dxa"/>
            <w:vAlign w:val="bottom"/>
          </w:tcPr>
          <w:p>
            <w:pPr>
              <w:spacing w:after="0"/>
              <w:rPr>
                <w:sz w:val="7"/>
                <w:szCs w:val="7"/>
                <w:color w:val="auto"/>
              </w:rPr>
            </w:pPr>
          </w:p>
        </w:tc>
        <w:tc>
          <w:tcPr>
            <w:tcW w:w="900" w:type="dxa"/>
            <w:vAlign w:val="bottom"/>
            <w:gridSpan w:val="2"/>
            <w:vMerge w:val="restart"/>
          </w:tcPr>
          <w:p>
            <w:pPr>
              <w:jc w:val="center"/>
              <w:ind w:right="360"/>
              <w:spacing w:after="0" w:line="149" w:lineRule="exact"/>
              <w:rPr>
                <w:sz w:val="20"/>
                <w:szCs w:val="20"/>
                <w:color w:val="auto"/>
              </w:rPr>
            </w:pPr>
            <w:r>
              <w:rPr>
                <w:rFonts w:ascii="Arial" w:cs="Arial" w:eastAsia="Arial" w:hAnsi="Arial"/>
                <w:sz w:val="14"/>
                <w:szCs w:val="14"/>
                <w:b w:val="1"/>
                <w:bCs w:val="1"/>
                <w:color w:val="auto"/>
                <w:w w:val="88"/>
              </w:rPr>
              <w:t>Ended</w:t>
            </w:r>
          </w:p>
        </w:tc>
        <w:tc>
          <w:tcPr>
            <w:tcW w:w="180" w:type="dxa"/>
            <w:vAlign w:val="bottom"/>
          </w:tcPr>
          <w:p>
            <w:pPr>
              <w:spacing w:after="0"/>
              <w:rPr>
                <w:sz w:val="7"/>
                <w:szCs w:val="7"/>
                <w:color w:val="auto"/>
              </w:rPr>
            </w:pPr>
          </w:p>
        </w:tc>
        <w:tc>
          <w:tcPr>
            <w:tcW w:w="120" w:type="dxa"/>
            <w:vAlign w:val="bottom"/>
          </w:tcPr>
          <w:p>
            <w:pPr>
              <w:spacing w:after="0"/>
              <w:rPr>
                <w:sz w:val="7"/>
                <w:szCs w:val="7"/>
                <w:color w:val="auto"/>
              </w:rPr>
            </w:pPr>
          </w:p>
        </w:tc>
        <w:tc>
          <w:tcPr>
            <w:tcW w:w="700" w:type="dxa"/>
            <w:vAlign w:val="bottom"/>
            <w:vMerge w:val="restart"/>
          </w:tcPr>
          <w:p>
            <w:pPr>
              <w:jc w:val="center"/>
              <w:ind w:right="27"/>
              <w:spacing w:after="0" w:line="149" w:lineRule="exact"/>
              <w:rPr>
                <w:sz w:val="20"/>
                <w:szCs w:val="20"/>
                <w:color w:val="auto"/>
              </w:rPr>
            </w:pPr>
            <w:r>
              <w:rPr>
                <w:rFonts w:ascii="Arial" w:cs="Arial" w:eastAsia="Arial" w:hAnsi="Arial"/>
                <w:sz w:val="14"/>
                <w:szCs w:val="14"/>
                <w:b w:val="1"/>
                <w:bCs w:val="1"/>
                <w:color w:val="auto"/>
                <w:w w:val="91"/>
              </w:rPr>
              <w:t>Through</w:t>
            </w:r>
          </w:p>
        </w:tc>
        <w:tc>
          <w:tcPr>
            <w:tcW w:w="480" w:type="dxa"/>
            <w:vAlign w:val="bottom"/>
            <w:tcBorders>
              <w:right w:val="single" w:sz="8" w:color="auto"/>
            </w:tcBorders>
          </w:tcPr>
          <w:p>
            <w:pPr>
              <w:spacing w:after="0"/>
              <w:rPr>
                <w:sz w:val="7"/>
                <w:szCs w:val="7"/>
                <w:color w:val="auto"/>
              </w:rPr>
            </w:pPr>
          </w:p>
        </w:tc>
        <w:tc>
          <w:tcPr>
            <w:tcW w:w="280" w:type="dxa"/>
            <w:vAlign w:val="bottom"/>
          </w:tcPr>
          <w:p>
            <w:pPr>
              <w:spacing w:after="0"/>
              <w:rPr>
                <w:sz w:val="7"/>
                <w:szCs w:val="7"/>
                <w:color w:val="auto"/>
              </w:rPr>
            </w:pPr>
          </w:p>
        </w:tc>
        <w:tc>
          <w:tcPr>
            <w:tcW w:w="880" w:type="dxa"/>
            <w:vAlign w:val="bottom"/>
            <w:gridSpan w:val="3"/>
            <w:vMerge w:val="restart"/>
          </w:tcPr>
          <w:p>
            <w:pPr>
              <w:spacing w:after="0" w:line="149" w:lineRule="exact"/>
              <w:rPr>
                <w:sz w:val="20"/>
                <w:szCs w:val="20"/>
                <w:color w:val="auto"/>
              </w:rPr>
            </w:pPr>
            <w:r>
              <w:rPr>
                <w:rFonts w:ascii="Arial" w:cs="Arial" w:eastAsia="Arial" w:hAnsi="Arial"/>
                <w:sz w:val="14"/>
                <w:szCs w:val="14"/>
                <w:b w:val="1"/>
                <w:bCs w:val="1"/>
                <w:color w:val="auto"/>
              </w:rPr>
              <w:t>July 1, 2009</w:t>
            </w:r>
          </w:p>
        </w:tc>
        <w:tc>
          <w:tcPr>
            <w:tcW w:w="200" w:type="dxa"/>
            <w:vAlign w:val="bottom"/>
          </w:tcPr>
          <w:p>
            <w:pPr>
              <w:spacing w:after="0"/>
              <w:rPr>
                <w:sz w:val="7"/>
                <w:szCs w:val="7"/>
                <w:color w:val="auto"/>
              </w:rPr>
            </w:pPr>
          </w:p>
        </w:tc>
        <w:tc>
          <w:tcPr>
            <w:tcW w:w="100" w:type="dxa"/>
            <w:vAlign w:val="bottom"/>
          </w:tcPr>
          <w:p>
            <w:pPr>
              <w:spacing w:after="0"/>
              <w:rPr>
                <w:sz w:val="7"/>
                <w:szCs w:val="7"/>
                <w:color w:val="auto"/>
              </w:rPr>
            </w:pPr>
          </w:p>
        </w:tc>
        <w:tc>
          <w:tcPr>
            <w:tcW w:w="1620" w:type="dxa"/>
            <w:vAlign w:val="bottom"/>
            <w:gridSpan w:val="4"/>
            <w:vMerge w:val="continue"/>
          </w:tcPr>
          <w:p>
            <w:pPr>
              <w:spacing w:after="0"/>
              <w:rPr>
                <w:sz w:val="7"/>
                <w:szCs w:val="7"/>
                <w:color w:val="auto"/>
              </w:rPr>
            </w:pPr>
          </w:p>
        </w:tc>
        <w:tc>
          <w:tcPr>
            <w:tcW w:w="0" w:type="dxa"/>
            <w:vAlign w:val="bottom"/>
          </w:tcPr>
          <w:p>
            <w:pPr>
              <w:spacing w:after="0"/>
              <w:rPr>
                <w:sz w:val="1"/>
                <w:szCs w:val="1"/>
                <w:color w:val="auto"/>
              </w:rPr>
            </w:pPr>
          </w:p>
        </w:tc>
      </w:tr>
      <w:tr>
        <w:trPr>
          <w:trHeight w:val="68"/>
        </w:trPr>
        <w:tc>
          <w:tcPr>
            <w:tcW w:w="4580" w:type="dxa"/>
            <w:vAlign w:val="bottom"/>
          </w:tcPr>
          <w:p>
            <w:pPr>
              <w:spacing w:after="0"/>
              <w:rPr>
                <w:sz w:val="5"/>
                <w:szCs w:val="5"/>
                <w:color w:val="auto"/>
              </w:rPr>
            </w:pPr>
          </w:p>
        </w:tc>
        <w:tc>
          <w:tcPr>
            <w:tcW w:w="120" w:type="dxa"/>
            <w:vAlign w:val="bottom"/>
          </w:tcPr>
          <w:p>
            <w:pPr>
              <w:spacing w:after="0"/>
              <w:rPr>
                <w:sz w:val="5"/>
                <w:szCs w:val="5"/>
                <w:color w:val="auto"/>
              </w:rPr>
            </w:pPr>
          </w:p>
        </w:tc>
        <w:tc>
          <w:tcPr>
            <w:tcW w:w="900" w:type="dxa"/>
            <w:vAlign w:val="bottom"/>
            <w:gridSpan w:val="2"/>
            <w:vMerge w:val="continue"/>
          </w:tcPr>
          <w:p>
            <w:pPr>
              <w:spacing w:after="0"/>
              <w:rPr>
                <w:sz w:val="5"/>
                <w:szCs w:val="5"/>
                <w:color w:val="auto"/>
              </w:rPr>
            </w:pPr>
          </w:p>
        </w:tc>
        <w:tc>
          <w:tcPr>
            <w:tcW w:w="180" w:type="dxa"/>
            <w:vAlign w:val="bottom"/>
          </w:tcPr>
          <w:p>
            <w:pPr>
              <w:spacing w:after="0"/>
              <w:rPr>
                <w:sz w:val="5"/>
                <w:szCs w:val="5"/>
                <w:color w:val="auto"/>
              </w:rPr>
            </w:pPr>
          </w:p>
        </w:tc>
        <w:tc>
          <w:tcPr>
            <w:tcW w:w="180" w:type="dxa"/>
            <w:vAlign w:val="bottom"/>
          </w:tcPr>
          <w:p>
            <w:pPr>
              <w:spacing w:after="0"/>
              <w:rPr>
                <w:sz w:val="5"/>
                <w:szCs w:val="5"/>
                <w:color w:val="auto"/>
              </w:rPr>
            </w:pPr>
          </w:p>
        </w:tc>
        <w:tc>
          <w:tcPr>
            <w:tcW w:w="900" w:type="dxa"/>
            <w:vAlign w:val="bottom"/>
            <w:gridSpan w:val="2"/>
            <w:vMerge w:val="continue"/>
          </w:tcPr>
          <w:p>
            <w:pPr>
              <w:spacing w:after="0"/>
              <w:rPr>
                <w:sz w:val="5"/>
                <w:szCs w:val="5"/>
                <w:color w:val="auto"/>
              </w:rPr>
            </w:pPr>
          </w:p>
        </w:tc>
        <w:tc>
          <w:tcPr>
            <w:tcW w:w="180" w:type="dxa"/>
            <w:vAlign w:val="bottom"/>
          </w:tcPr>
          <w:p>
            <w:pPr>
              <w:spacing w:after="0"/>
              <w:rPr>
                <w:sz w:val="5"/>
                <w:szCs w:val="5"/>
                <w:color w:val="auto"/>
              </w:rPr>
            </w:pPr>
          </w:p>
        </w:tc>
        <w:tc>
          <w:tcPr>
            <w:tcW w:w="120" w:type="dxa"/>
            <w:vAlign w:val="bottom"/>
          </w:tcPr>
          <w:p>
            <w:pPr>
              <w:spacing w:after="0"/>
              <w:rPr>
                <w:sz w:val="5"/>
                <w:szCs w:val="5"/>
                <w:color w:val="auto"/>
              </w:rPr>
            </w:pPr>
          </w:p>
        </w:tc>
        <w:tc>
          <w:tcPr>
            <w:tcW w:w="700" w:type="dxa"/>
            <w:vAlign w:val="bottom"/>
            <w:vMerge w:val="continue"/>
          </w:tcPr>
          <w:p>
            <w:pPr>
              <w:spacing w:after="0"/>
              <w:rPr>
                <w:sz w:val="5"/>
                <w:szCs w:val="5"/>
                <w:color w:val="auto"/>
              </w:rPr>
            </w:pPr>
          </w:p>
        </w:tc>
        <w:tc>
          <w:tcPr>
            <w:tcW w:w="480" w:type="dxa"/>
            <w:vAlign w:val="bottom"/>
            <w:tcBorders>
              <w:right w:val="single" w:sz="8" w:color="auto"/>
            </w:tcBorders>
          </w:tcPr>
          <w:p>
            <w:pPr>
              <w:spacing w:after="0"/>
              <w:rPr>
                <w:sz w:val="5"/>
                <w:szCs w:val="5"/>
                <w:color w:val="auto"/>
              </w:rPr>
            </w:pPr>
          </w:p>
        </w:tc>
        <w:tc>
          <w:tcPr>
            <w:tcW w:w="280" w:type="dxa"/>
            <w:vAlign w:val="bottom"/>
          </w:tcPr>
          <w:p>
            <w:pPr>
              <w:spacing w:after="0"/>
              <w:rPr>
                <w:sz w:val="5"/>
                <w:szCs w:val="5"/>
                <w:color w:val="auto"/>
              </w:rPr>
            </w:pPr>
          </w:p>
        </w:tc>
        <w:tc>
          <w:tcPr>
            <w:tcW w:w="880" w:type="dxa"/>
            <w:vAlign w:val="bottom"/>
            <w:gridSpan w:val="3"/>
            <w:vMerge w:val="continue"/>
          </w:tcPr>
          <w:p>
            <w:pPr>
              <w:spacing w:after="0"/>
              <w:rPr>
                <w:sz w:val="5"/>
                <w:szCs w:val="5"/>
                <w:color w:val="auto"/>
              </w:rPr>
            </w:pPr>
          </w:p>
        </w:tc>
        <w:tc>
          <w:tcPr>
            <w:tcW w:w="200" w:type="dxa"/>
            <w:vAlign w:val="bottom"/>
          </w:tcPr>
          <w:p>
            <w:pPr>
              <w:spacing w:after="0"/>
              <w:rPr>
                <w:sz w:val="5"/>
                <w:szCs w:val="5"/>
                <w:color w:val="auto"/>
              </w:rPr>
            </w:pPr>
          </w:p>
        </w:tc>
        <w:tc>
          <w:tcPr>
            <w:tcW w:w="100" w:type="dxa"/>
            <w:vAlign w:val="bottom"/>
          </w:tcPr>
          <w:p>
            <w:pPr>
              <w:spacing w:after="0"/>
              <w:rPr>
                <w:sz w:val="5"/>
                <w:szCs w:val="5"/>
                <w:color w:val="auto"/>
              </w:rPr>
            </w:pPr>
          </w:p>
        </w:tc>
        <w:tc>
          <w:tcPr>
            <w:tcW w:w="1620" w:type="dxa"/>
            <w:vAlign w:val="bottom"/>
            <w:gridSpan w:val="4"/>
            <w:vMerge w:val="restart"/>
          </w:tcPr>
          <w:p>
            <w:pPr>
              <w:jc w:val="center"/>
              <w:ind w:right="200"/>
              <w:spacing w:after="0"/>
              <w:rPr>
                <w:sz w:val="20"/>
                <w:szCs w:val="20"/>
                <w:color w:val="auto"/>
              </w:rPr>
            </w:pPr>
            <w:r>
              <w:rPr>
                <w:rFonts w:ascii="Arial" w:cs="Arial" w:eastAsia="Arial" w:hAnsi="Arial"/>
                <w:sz w:val="14"/>
                <w:szCs w:val="14"/>
                <w:b w:val="1"/>
                <w:bCs w:val="1"/>
                <w:color w:val="auto"/>
                <w:w w:val="87"/>
              </w:rPr>
              <w:t>2010 vs. 2009 Change</w:t>
            </w:r>
          </w:p>
        </w:tc>
        <w:tc>
          <w:tcPr>
            <w:tcW w:w="0" w:type="dxa"/>
            <w:vAlign w:val="bottom"/>
          </w:tcPr>
          <w:p>
            <w:pPr>
              <w:spacing w:after="0"/>
              <w:rPr>
                <w:sz w:val="1"/>
                <w:szCs w:val="1"/>
                <w:color w:val="auto"/>
              </w:rPr>
            </w:pPr>
          </w:p>
        </w:tc>
      </w:tr>
      <w:tr>
        <w:trPr>
          <w:trHeight w:val="94"/>
        </w:trPr>
        <w:tc>
          <w:tcPr>
            <w:tcW w:w="4580" w:type="dxa"/>
            <w:vAlign w:val="bottom"/>
          </w:tcPr>
          <w:p>
            <w:pPr>
              <w:spacing w:after="0"/>
              <w:rPr>
                <w:sz w:val="8"/>
                <w:szCs w:val="8"/>
                <w:color w:val="auto"/>
              </w:rPr>
            </w:pPr>
          </w:p>
        </w:tc>
        <w:tc>
          <w:tcPr>
            <w:tcW w:w="1020" w:type="dxa"/>
            <w:vAlign w:val="bottom"/>
            <w:gridSpan w:val="3"/>
            <w:vMerge w:val="restart"/>
          </w:tcPr>
          <w:p>
            <w:pPr>
              <w:jc w:val="center"/>
              <w:ind w:right="200"/>
              <w:spacing w:after="0" w:line="149" w:lineRule="exact"/>
              <w:rPr>
                <w:sz w:val="20"/>
                <w:szCs w:val="20"/>
                <w:color w:val="auto"/>
              </w:rPr>
            </w:pPr>
            <w:r>
              <w:rPr>
                <w:rFonts w:ascii="Arial" w:cs="Arial" w:eastAsia="Arial" w:hAnsi="Arial"/>
                <w:sz w:val="14"/>
                <w:szCs w:val="14"/>
                <w:b w:val="1"/>
                <w:bCs w:val="1"/>
                <w:color w:val="auto"/>
                <w:w w:val="85"/>
              </w:rPr>
              <w:t>September 30,</w:t>
            </w:r>
          </w:p>
        </w:tc>
        <w:tc>
          <w:tcPr>
            <w:tcW w:w="180" w:type="dxa"/>
            <w:vAlign w:val="bottom"/>
          </w:tcPr>
          <w:p>
            <w:pPr>
              <w:spacing w:after="0"/>
              <w:rPr>
                <w:sz w:val="8"/>
                <w:szCs w:val="8"/>
                <w:color w:val="auto"/>
              </w:rPr>
            </w:pPr>
          </w:p>
        </w:tc>
        <w:tc>
          <w:tcPr>
            <w:tcW w:w="1080" w:type="dxa"/>
            <w:vAlign w:val="bottom"/>
            <w:gridSpan w:val="3"/>
            <w:vMerge w:val="restart"/>
          </w:tcPr>
          <w:p>
            <w:pPr>
              <w:jc w:val="center"/>
              <w:ind w:right="180"/>
              <w:spacing w:after="0" w:line="149" w:lineRule="exact"/>
              <w:rPr>
                <w:sz w:val="20"/>
                <w:szCs w:val="20"/>
                <w:color w:val="auto"/>
              </w:rPr>
            </w:pPr>
            <w:r>
              <w:rPr>
                <w:rFonts w:ascii="Arial" w:cs="Arial" w:eastAsia="Arial" w:hAnsi="Arial"/>
                <w:sz w:val="14"/>
                <w:szCs w:val="14"/>
                <w:b w:val="1"/>
                <w:bCs w:val="1"/>
                <w:color w:val="auto"/>
                <w:w w:val="85"/>
              </w:rPr>
              <w:t>September 30,</w:t>
            </w:r>
          </w:p>
        </w:tc>
        <w:tc>
          <w:tcPr>
            <w:tcW w:w="180" w:type="dxa"/>
            <w:vAlign w:val="bottom"/>
          </w:tcPr>
          <w:p>
            <w:pPr>
              <w:spacing w:after="0"/>
              <w:rPr>
                <w:sz w:val="8"/>
                <w:szCs w:val="8"/>
                <w:color w:val="auto"/>
              </w:rPr>
            </w:pPr>
          </w:p>
        </w:tc>
        <w:tc>
          <w:tcPr>
            <w:tcW w:w="820" w:type="dxa"/>
            <w:vAlign w:val="bottom"/>
            <w:gridSpan w:val="2"/>
            <w:vMerge w:val="restart"/>
          </w:tcPr>
          <w:p>
            <w:pPr>
              <w:jc w:val="center"/>
              <w:spacing w:after="0" w:line="149" w:lineRule="exact"/>
              <w:rPr>
                <w:sz w:val="20"/>
                <w:szCs w:val="20"/>
                <w:color w:val="auto"/>
              </w:rPr>
            </w:pPr>
            <w:r>
              <w:rPr>
                <w:rFonts w:ascii="Arial" w:cs="Arial" w:eastAsia="Arial" w:hAnsi="Arial"/>
                <w:sz w:val="14"/>
                <w:szCs w:val="14"/>
                <w:b w:val="1"/>
                <w:bCs w:val="1"/>
                <w:color w:val="auto"/>
                <w:w w:val="85"/>
              </w:rPr>
              <w:t>September 30,</w:t>
            </w:r>
          </w:p>
        </w:tc>
        <w:tc>
          <w:tcPr>
            <w:tcW w:w="480" w:type="dxa"/>
            <w:vAlign w:val="bottom"/>
            <w:tcBorders>
              <w:right w:val="single" w:sz="8" w:color="auto"/>
            </w:tcBorders>
          </w:tcPr>
          <w:p>
            <w:pPr>
              <w:spacing w:after="0"/>
              <w:rPr>
                <w:sz w:val="8"/>
                <w:szCs w:val="8"/>
                <w:color w:val="auto"/>
              </w:rPr>
            </w:pPr>
          </w:p>
        </w:tc>
        <w:tc>
          <w:tcPr>
            <w:tcW w:w="280" w:type="dxa"/>
            <w:vAlign w:val="bottom"/>
          </w:tcPr>
          <w:p>
            <w:pPr>
              <w:spacing w:after="0"/>
              <w:rPr>
                <w:sz w:val="8"/>
                <w:szCs w:val="8"/>
                <w:color w:val="auto"/>
              </w:rPr>
            </w:pPr>
          </w:p>
        </w:tc>
        <w:tc>
          <w:tcPr>
            <w:tcW w:w="100" w:type="dxa"/>
            <w:vAlign w:val="bottom"/>
          </w:tcPr>
          <w:p>
            <w:pPr>
              <w:spacing w:after="0"/>
              <w:rPr>
                <w:sz w:val="8"/>
                <w:szCs w:val="8"/>
                <w:color w:val="auto"/>
              </w:rPr>
            </w:pPr>
          </w:p>
        </w:tc>
        <w:tc>
          <w:tcPr>
            <w:tcW w:w="780" w:type="dxa"/>
            <w:vAlign w:val="bottom"/>
            <w:gridSpan w:val="2"/>
            <w:vMerge w:val="restart"/>
          </w:tcPr>
          <w:p>
            <w:pPr>
              <w:spacing w:after="0" w:line="149" w:lineRule="exact"/>
              <w:rPr>
                <w:sz w:val="20"/>
                <w:szCs w:val="20"/>
                <w:color w:val="auto"/>
              </w:rPr>
            </w:pPr>
            <w:r>
              <w:rPr>
                <w:rFonts w:ascii="Arial" w:cs="Arial" w:eastAsia="Arial" w:hAnsi="Arial"/>
                <w:sz w:val="14"/>
                <w:szCs w:val="14"/>
                <w:b w:val="1"/>
                <w:bCs w:val="1"/>
                <w:color w:val="auto"/>
              </w:rPr>
              <w:t>Through</w:t>
            </w:r>
          </w:p>
        </w:tc>
        <w:tc>
          <w:tcPr>
            <w:tcW w:w="200" w:type="dxa"/>
            <w:vAlign w:val="bottom"/>
          </w:tcPr>
          <w:p>
            <w:pPr>
              <w:spacing w:after="0"/>
              <w:rPr>
                <w:sz w:val="8"/>
                <w:szCs w:val="8"/>
                <w:color w:val="auto"/>
              </w:rPr>
            </w:pPr>
          </w:p>
        </w:tc>
        <w:tc>
          <w:tcPr>
            <w:tcW w:w="100" w:type="dxa"/>
            <w:vAlign w:val="bottom"/>
          </w:tcPr>
          <w:p>
            <w:pPr>
              <w:spacing w:after="0"/>
              <w:rPr>
                <w:sz w:val="8"/>
                <w:szCs w:val="8"/>
                <w:color w:val="auto"/>
              </w:rPr>
            </w:pPr>
          </w:p>
        </w:tc>
        <w:tc>
          <w:tcPr>
            <w:tcW w:w="1620" w:type="dxa"/>
            <w:vAlign w:val="bottom"/>
            <w:gridSpan w:val="4"/>
            <w:vMerge w:val="continue"/>
          </w:tcPr>
          <w:p>
            <w:pPr>
              <w:spacing w:after="0"/>
              <w:rPr>
                <w:sz w:val="8"/>
                <w:szCs w:val="8"/>
                <w:color w:val="auto"/>
              </w:rPr>
            </w:pPr>
          </w:p>
        </w:tc>
        <w:tc>
          <w:tcPr>
            <w:tcW w:w="0" w:type="dxa"/>
            <w:vAlign w:val="bottom"/>
          </w:tcPr>
          <w:p>
            <w:pPr>
              <w:spacing w:after="0"/>
              <w:rPr>
                <w:sz w:val="1"/>
                <w:szCs w:val="1"/>
                <w:color w:val="auto"/>
              </w:rPr>
            </w:pPr>
          </w:p>
        </w:tc>
      </w:tr>
      <w:tr>
        <w:trPr>
          <w:trHeight w:val="35"/>
        </w:trPr>
        <w:tc>
          <w:tcPr>
            <w:tcW w:w="4580" w:type="dxa"/>
            <w:vAlign w:val="bottom"/>
          </w:tcPr>
          <w:p>
            <w:pPr>
              <w:spacing w:after="0"/>
              <w:rPr>
                <w:sz w:val="3"/>
                <w:szCs w:val="3"/>
                <w:color w:val="auto"/>
              </w:rPr>
            </w:pPr>
          </w:p>
        </w:tc>
        <w:tc>
          <w:tcPr>
            <w:tcW w:w="1020" w:type="dxa"/>
            <w:vAlign w:val="bottom"/>
            <w:gridSpan w:val="3"/>
            <w:vMerge w:val="continue"/>
          </w:tcPr>
          <w:p>
            <w:pPr>
              <w:spacing w:after="0"/>
              <w:rPr>
                <w:sz w:val="3"/>
                <w:szCs w:val="3"/>
                <w:color w:val="auto"/>
              </w:rPr>
            </w:pPr>
          </w:p>
        </w:tc>
        <w:tc>
          <w:tcPr>
            <w:tcW w:w="180" w:type="dxa"/>
            <w:vAlign w:val="bottom"/>
          </w:tcPr>
          <w:p>
            <w:pPr>
              <w:spacing w:after="0"/>
              <w:rPr>
                <w:sz w:val="3"/>
                <w:szCs w:val="3"/>
                <w:color w:val="auto"/>
              </w:rPr>
            </w:pPr>
          </w:p>
        </w:tc>
        <w:tc>
          <w:tcPr>
            <w:tcW w:w="1080" w:type="dxa"/>
            <w:vAlign w:val="bottom"/>
            <w:gridSpan w:val="3"/>
            <w:vMerge w:val="continue"/>
          </w:tcPr>
          <w:p>
            <w:pPr>
              <w:spacing w:after="0"/>
              <w:rPr>
                <w:sz w:val="3"/>
                <w:szCs w:val="3"/>
                <w:color w:val="auto"/>
              </w:rPr>
            </w:pPr>
          </w:p>
        </w:tc>
        <w:tc>
          <w:tcPr>
            <w:tcW w:w="180" w:type="dxa"/>
            <w:vAlign w:val="bottom"/>
          </w:tcPr>
          <w:p>
            <w:pPr>
              <w:spacing w:after="0"/>
              <w:rPr>
                <w:sz w:val="3"/>
                <w:szCs w:val="3"/>
                <w:color w:val="auto"/>
              </w:rPr>
            </w:pPr>
          </w:p>
        </w:tc>
        <w:tc>
          <w:tcPr>
            <w:tcW w:w="820" w:type="dxa"/>
            <w:vAlign w:val="bottom"/>
            <w:gridSpan w:val="2"/>
            <w:vMerge w:val="continue"/>
          </w:tcPr>
          <w:p>
            <w:pPr>
              <w:spacing w:after="0"/>
              <w:rPr>
                <w:sz w:val="3"/>
                <w:szCs w:val="3"/>
                <w:color w:val="auto"/>
              </w:rPr>
            </w:pPr>
          </w:p>
        </w:tc>
        <w:tc>
          <w:tcPr>
            <w:tcW w:w="480" w:type="dxa"/>
            <w:vAlign w:val="bottom"/>
            <w:tcBorders>
              <w:right w:val="single" w:sz="8" w:color="auto"/>
            </w:tcBorders>
          </w:tcPr>
          <w:p>
            <w:pPr>
              <w:spacing w:after="0"/>
              <w:rPr>
                <w:sz w:val="3"/>
                <w:szCs w:val="3"/>
                <w:color w:val="auto"/>
              </w:rPr>
            </w:pPr>
          </w:p>
        </w:tc>
        <w:tc>
          <w:tcPr>
            <w:tcW w:w="280" w:type="dxa"/>
            <w:vAlign w:val="bottom"/>
          </w:tcPr>
          <w:p>
            <w:pPr>
              <w:spacing w:after="0"/>
              <w:rPr>
                <w:sz w:val="3"/>
                <w:szCs w:val="3"/>
                <w:color w:val="auto"/>
              </w:rPr>
            </w:pPr>
          </w:p>
        </w:tc>
        <w:tc>
          <w:tcPr>
            <w:tcW w:w="100" w:type="dxa"/>
            <w:vAlign w:val="bottom"/>
          </w:tcPr>
          <w:p>
            <w:pPr>
              <w:spacing w:after="0"/>
              <w:rPr>
                <w:sz w:val="3"/>
                <w:szCs w:val="3"/>
                <w:color w:val="auto"/>
              </w:rPr>
            </w:pPr>
          </w:p>
        </w:tc>
        <w:tc>
          <w:tcPr>
            <w:tcW w:w="780" w:type="dxa"/>
            <w:vAlign w:val="bottom"/>
            <w:gridSpan w:val="2"/>
            <w:vMerge w:val="continue"/>
          </w:tcPr>
          <w:p>
            <w:pPr>
              <w:spacing w:after="0"/>
              <w:rPr>
                <w:sz w:val="3"/>
                <w:szCs w:val="3"/>
                <w:color w:val="auto"/>
              </w:rPr>
            </w:pPr>
          </w:p>
        </w:tc>
        <w:tc>
          <w:tcPr>
            <w:tcW w:w="200" w:type="dxa"/>
            <w:vAlign w:val="bottom"/>
          </w:tcPr>
          <w:p>
            <w:pPr>
              <w:spacing w:after="0"/>
              <w:rPr>
                <w:sz w:val="3"/>
                <w:szCs w:val="3"/>
                <w:color w:val="auto"/>
              </w:rPr>
            </w:pPr>
          </w:p>
        </w:tc>
        <w:tc>
          <w:tcPr>
            <w:tcW w:w="100" w:type="dxa"/>
            <w:vAlign w:val="bottom"/>
            <w:tcBorders>
              <w:top w:val="single" w:sz="8" w:color="auto"/>
            </w:tcBorders>
          </w:tcPr>
          <w:p>
            <w:pPr>
              <w:spacing w:after="0"/>
              <w:rPr>
                <w:sz w:val="3"/>
                <w:szCs w:val="3"/>
                <w:color w:val="auto"/>
              </w:rPr>
            </w:pPr>
          </w:p>
        </w:tc>
        <w:tc>
          <w:tcPr>
            <w:tcW w:w="640" w:type="dxa"/>
            <w:vAlign w:val="bottom"/>
            <w:tcBorders>
              <w:top w:val="single" w:sz="8" w:color="auto"/>
            </w:tcBorders>
          </w:tcPr>
          <w:p>
            <w:pPr>
              <w:spacing w:after="0"/>
              <w:rPr>
                <w:sz w:val="3"/>
                <w:szCs w:val="3"/>
                <w:color w:val="auto"/>
              </w:rPr>
            </w:pPr>
          </w:p>
        </w:tc>
        <w:tc>
          <w:tcPr>
            <w:tcW w:w="380" w:type="dxa"/>
            <w:vAlign w:val="bottom"/>
            <w:tcBorders>
              <w:top w:val="single" w:sz="8" w:color="auto"/>
            </w:tcBorders>
          </w:tcPr>
          <w:p>
            <w:pPr>
              <w:spacing w:after="0"/>
              <w:rPr>
                <w:sz w:val="3"/>
                <w:szCs w:val="3"/>
                <w:color w:val="auto"/>
              </w:rPr>
            </w:pPr>
          </w:p>
        </w:tc>
        <w:tc>
          <w:tcPr>
            <w:tcW w:w="500" w:type="dxa"/>
            <w:vAlign w:val="bottom"/>
            <w:tcBorders>
              <w:top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61"/>
        </w:trPr>
        <w:tc>
          <w:tcPr>
            <w:tcW w:w="458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center"/>
              <w:ind w:right="47"/>
              <w:spacing w:after="0"/>
              <w:rPr>
                <w:sz w:val="20"/>
                <w:szCs w:val="20"/>
                <w:color w:val="auto"/>
              </w:rPr>
            </w:pPr>
            <w:r>
              <w:rPr>
                <w:rFonts w:ascii="Arial" w:cs="Arial" w:eastAsia="Arial" w:hAnsi="Arial"/>
                <w:sz w:val="14"/>
                <w:szCs w:val="14"/>
                <w:b w:val="1"/>
                <w:bCs w:val="1"/>
                <w:color w:val="auto"/>
                <w:w w:val="89"/>
              </w:rPr>
              <w:t>2010</w:t>
            </w:r>
          </w:p>
        </w:tc>
        <w:tc>
          <w:tcPr>
            <w:tcW w:w="1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center"/>
              <w:ind w:right="86"/>
              <w:spacing w:after="0"/>
              <w:rPr>
                <w:sz w:val="20"/>
                <w:szCs w:val="20"/>
                <w:color w:val="auto"/>
              </w:rPr>
            </w:pPr>
            <w:r>
              <w:rPr>
                <w:rFonts w:ascii="Arial" w:cs="Arial" w:eastAsia="Arial" w:hAnsi="Arial"/>
                <w:sz w:val="14"/>
                <w:szCs w:val="14"/>
                <w:b w:val="1"/>
                <w:bCs w:val="1"/>
                <w:color w:val="auto"/>
                <w:w w:val="83"/>
              </w:rPr>
              <w:t>2009</w:t>
            </w:r>
          </w:p>
        </w:tc>
        <w:tc>
          <w:tcPr>
            <w:tcW w:w="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center"/>
              <w:ind w:right="27"/>
              <w:spacing w:after="0"/>
              <w:rPr>
                <w:sz w:val="20"/>
                <w:szCs w:val="20"/>
                <w:color w:val="auto"/>
              </w:rPr>
            </w:pPr>
            <w:r>
              <w:rPr>
                <w:rFonts w:ascii="Arial" w:cs="Arial" w:eastAsia="Arial" w:hAnsi="Arial"/>
                <w:sz w:val="14"/>
                <w:szCs w:val="14"/>
                <w:b w:val="1"/>
                <w:bCs w:val="1"/>
                <w:color w:val="auto"/>
                <w:w w:val="89"/>
              </w:rPr>
              <w:t>2009</w:t>
            </w:r>
          </w:p>
        </w:tc>
        <w:tc>
          <w:tcPr>
            <w:tcW w:w="480" w:type="dxa"/>
            <w:vAlign w:val="bottom"/>
            <w:tcBorders>
              <w:right w:val="single" w:sz="8" w:color="auto"/>
            </w:tcBorders>
          </w:tcPr>
          <w:p>
            <w:pPr>
              <w:spacing w:after="0"/>
              <w:rPr>
                <w:sz w:val="14"/>
                <w:szCs w:val="14"/>
                <w:color w:val="auto"/>
              </w:rPr>
            </w:pPr>
          </w:p>
        </w:tc>
        <w:tc>
          <w:tcPr>
            <w:tcW w:w="280" w:type="dxa"/>
            <w:vAlign w:val="bottom"/>
          </w:tcPr>
          <w:p>
            <w:pPr>
              <w:spacing w:after="0"/>
              <w:rPr>
                <w:sz w:val="14"/>
                <w:szCs w:val="14"/>
                <w:color w:val="auto"/>
              </w:rPr>
            </w:pPr>
          </w:p>
        </w:tc>
        <w:tc>
          <w:tcPr>
            <w:tcW w:w="700" w:type="dxa"/>
            <w:vAlign w:val="bottom"/>
            <w:tcBorders>
              <w:bottom w:val="single" w:sz="8" w:color="auto"/>
            </w:tcBorders>
            <w:gridSpan w:val="2"/>
          </w:tcPr>
          <w:p>
            <w:pPr>
              <w:spacing w:after="0"/>
              <w:rPr>
                <w:sz w:val="20"/>
                <w:szCs w:val="20"/>
                <w:color w:val="auto"/>
              </w:rPr>
            </w:pPr>
            <w:r>
              <w:rPr>
                <w:rFonts w:ascii="Arial" w:cs="Arial" w:eastAsia="Arial" w:hAnsi="Arial"/>
                <w:sz w:val="14"/>
                <w:szCs w:val="14"/>
                <w:b w:val="1"/>
                <w:bCs w:val="1"/>
                <w:color w:val="auto"/>
                <w:w w:val="86"/>
              </w:rPr>
              <w:t>July 9, 2009</w:t>
            </w:r>
          </w:p>
        </w:tc>
        <w:tc>
          <w:tcPr>
            <w:tcW w:w="1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67"/>
              <w:spacing w:after="0"/>
              <w:rPr>
                <w:sz w:val="20"/>
                <w:szCs w:val="20"/>
                <w:color w:val="auto"/>
              </w:rPr>
            </w:pPr>
            <w:r>
              <w:rPr>
                <w:rFonts w:ascii="Arial" w:cs="Arial" w:eastAsia="Arial" w:hAnsi="Arial"/>
                <w:sz w:val="14"/>
                <w:szCs w:val="14"/>
                <w:b w:val="1"/>
                <w:bCs w:val="1"/>
                <w:color w:val="auto"/>
                <w:w w:val="90"/>
              </w:rPr>
              <w:t>Amount</w:t>
            </w:r>
          </w:p>
        </w:tc>
        <w:tc>
          <w:tcPr>
            <w:tcW w:w="380" w:type="dxa"/>
            <w:vAlign w:val="bottom"/>
          </w:tcPr>
          <w:p>
            <w:pPr>
              <w:spacing w:after="0"/>
              <w:rPr>
                <w:sz w:val="14"/>
                <w:szCs w:val="14"/>
                <w:color w:val="auto"/>
              </w:rPr>
            </w:pPr>
          </w:p>
        </w:tc>
        <w:tc>
          <w:tcPr>
            <w:tcW w:w="500" w:type="dxa"/>
            <w:vAlign w:val="bottom"/>
            <w:tcBorders>
              <w:bottom w:val="single" w:sz="8" w:color="auto"/>
            </w:tcBorders>
          </w:tcPr>
          <w:p>
            <w:pPr>
              <w:jc w:val="right"/>
              <w:ind w:right="112"/>
              <w:spacing w:after="0"/>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4580" w:type="dxa"/>
            <w:vAlign w:val="bottom"/>
            <w:shd w:val="clear" w:color="auto" w:fill="CCEEFF"/>
          </w:tcPr>
          <w:p>
            <w:pPr>
              <w:spacing w:after="0"/>
              <w:rPr>
                <w:sz w:val="20"/>
                <w:szCs w:val="20"/>
                <w:color w:val="auto"/>
              </w:rPr>
            </w:pPr>
            <w:r>
              <w:rPr>
                <w:rFonts w:ascii="Arial" w:cs="Arial" w:eastAsia="Arial" w:hAnsi="Arial"/>
                <w:sz w:val="18"/>
                <w:szCs w:val="18"/>
                <w:color w:val="auto"/>
              </w:rPr>
              <w:t>Total net sales and revenue</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21,493</w:t>
            </w:r>
          </w:p>
        </w:tc>
        <w:tc>
          <w:tcPr>
            <w:tcW w:w="360" w:type="dxa"/>
            <w:vAlign w:val="bottom"/>
            <w:gridSpan w:val="2"/>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14,578</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14,151</w:t>
            </w:r>
          </w:p>
        </w:tc>
        <w:tc>
          <w:tcPr>
            <w:tcW w:w="480" w:type="dxa"/>
            <w:vAlign w:val="bottom"/>
            <w:tcBorders>
              <w:right w:val="single" w:sz="8" w:color="auto"/>
            </w:tcBorders>
            <w:shd w:val="clear" w:color="auto" w:fill="CCEEFF"/>
          </w:tcPr>
          <w:p>
            <w:pPr>
              <w:spacing w:after="0"/>
              <w:rPr>
                <w:sz w:val="18"/>
                <w:szCs w:val="18"/>
                <w:color w:val="auto"/>
              </w:rPr>
            </w:pPr>
          </w:p>
        </w:tc>
        <w:tc>
          <w:tcPr>
            <w:tcW w:w="38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w w:val="79"/>
              </w:rPr>
              <w:t>$</w:t>
            </w:r>
          </w:p>
        </w:tc>
        <w:tc>
          <w:tcPr>
            <w:tcW w:w="7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427</w:t>
            </w:r>
          </w:p>
        </w:tc>
        <w:tc>
          <w:tcPr>
            <w:tcW w:w="3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6,915</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47.4%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154" w:lineRule="exact"/>
        <w:rPr>
          <w:sz w:val="20"/>
          <w:szCs w:val="20"/>
          <w:color w:val="auto"/>
        </w:rPr>
      </w:pPr>
    </w:p>
    <w:p>
      <w:pPr>
        <w:ind w:right="40" w:firstLine="228"/>
        <w:spacing w:after="0" w:line="294" w:lineRule="auto"/>
        <w:rPr>
          <w:sz w:val="20"/>
          <w:szCs w:val="20"/>
          <w:color w:val="auto"/>
        </w:rPr>
      </w:pPr>
      <w:r>
        <w:rPr>
          <w:rFonts w:ascii="Arial" w:cs="Arial" w:eastAsia="Arial" w:hAnsi="Arial"/>
          <w:sz w:val="16"/>
          <w:szCs w:val="16"/>
          <w:color w:val="auto"/>
        </w:rPr>
        <w:t>In the three months ended September 30, 2010 Total net sales and revenue increased compared to the corresponding period in 2009 by $6.9 billion (or 47.4%), primarily due to: (1) higher primarily wholesale volumes of $4.5 billion representing 184,000 vehicles (or 33.3%) due to an improving economy and successful recent vehicle launches such as the Chevrolet Equinox, GMC Terrain, Buick LaCrosse and Cadillac SRX; (2) favorable price of $1.1 billion due to lower sales allowances; (3) favorable mix of $0.4 billion due to increased crossover and truck sales; (4) increased sales of $0.3 billion due to the acquisition of Nexteer and four domestic component manufacturing facilities; and (5) increased revenues from OnStar of $0.2 billion primarily due to increased volumes.</w:t>
      </w:r>
    </w:p>
    <w:p>
      <w:pPr>
        <w:spacing w:after="0" w:line="116"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Total Net Sales and Revenue</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gridSpan w:val="2"/>
          </w:tcPr>
          <w:p>
            <w:pPr>
              <w:jc w:val="center"/>
              <w:spacing w:after="0"/>
              <w:rPr>
                <w:sz w:val="20"/>
                <w:szCs w:val="20"/>
                <w:color w:val="auto"/>
              </w:rPr>
            </w:pPr>
            <w:r>
              <w:rPr>
                <w:rFonts w:ascii="Arial" w:cs="Arial" w:eastAsia="Arial" w:hAnsi="Arial"/>
                <w:sz w:val="14"/>
                <w:szCs w:val="14"/>
                <w:b w:val="1"/>
                <w:bCs w:val="1"/>
                <w:color w:val="auto"/>
                <w:w w:val="92"/>
              </w:rPr>
              <w:t>Combined GM</w:t>
            </w:r>
          </w:p>
        </w:tc>
        <w:tc>
          <w:tcPr>
            <w:tcW w:w="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380" w:type="dxa"/>
            <w:vAlign w:val="bottom"/>
            <w:tcBorders>
              <w:right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5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79"/>
              </w:rPr>
              <w:t>Successor</w:t>
            </w:r>
          </w:p>
        </w:tc>
        <w:tc>
          <w:tcPr>
            <w:tcW w:w="140" w:type="dxa"/>
            <w:vAlign w:val="bottom"/>
          </w:tcPr>
          <w:p>
            <w:pPr>
              <w:spacing w:after="0"/>
              <w:rPr>
                <w:sz w:val="14"/>
                <w:szCs w:val="14"/>
                <w:color w:val="auto"/>
              </w:rPr>
            </w:pPr>
          </w:p>
        </w:tc>
        <w:tc>
          <w:tcPr>
            <w:tcW w:w="880" w:type="dxa"/>
            <w:vAlign w:val="bottom"/>
            <w:gridSpan w:val="2"/>
          </w:tcPr>
          <w:p>
            <w:pPr>
              <w:jc w:val="center"/>
              <w:spacing w:after="0"/>
              <w:rPr>
                <w:sz w:val="20"/>
                <w:szCs w:val="20"/>
                <w:color w:val="auto"/>
              </w:rPr>
            </w:pPr>
            <w:r>
              <w:rPr>
                <w:rFonts w:ascii="Arial" w:cs="Arial" w:eastAsia="Arial" w:hAnsi="Arial"/>
                <w:sz w:val="14"/>
                <w:szCs w:val="14"/>
                <w:b w:val="1"/>
                <w:bCs w:val="1"/>
                <w:color w:val="auto"/>
                <w:w w:val="91"/>
              </w:rPr>
              <w:t>and Old GM</w:t>
            </w:r>
          </w:p>
        </w:tc>
        <w:tc>
          <w:tcPr>
            <w:tcW w:w="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jc w:val="center"/>
              <w:ind w:right="47"/>
              <w:spacing w:after="0"/>
              <w:rPr>
                <w:sz w:val="20"/>
                <w:szCs w:val="20"/>
                <w:color w:val="auto"/>
              </w:rPr>
            </w:pPr>
            <w:r>
              <w:rPr>
                <w:rFonts w:ascii="Arial" w:cs="Arial" w:eastAsia="Arial" w:hAnsi="Arial"/>
                <w:sz w:val="14"/>
                <w:szCs w:val="14"/>
                <w:b w:val="1"/>
                <w:bCs w:val="1"/>
                <w:color w:val="auto"/>
                <w:w w:val="79"/>
              </w:rPr>
              <w:t>Successor</w:t>
            </w:r>
          </w:p>
        </w:tc>
        <w:tc>
          <w:tcPr>
            <w:tcW w:w="380" w:type="dxa"/>
            <w:vAlign w:val="bottom"/>
            <w:tcBorders>
              <w:right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700" w:type="dxa"/>
            <w:vAlign w:val="bottom"/>
          </w:tcPr>
          <w:p>
            <w:pPr>
              <w:jc w:val="center"/>
              <w:spacing w:after="0"/>
              <w:rPr>
                <w:sz w:val="20"/>
                <w:szCs w:val="20"/>
                <w:color w:val="auto"/>
              </w:rPr>
            </w:pPr>
            <w:r>
              <w:rPr>
                <w:rFonts w:ascii="Arial" w:cs="Arial" w:eastAsia="Arial" w:hAnsi="Arial"/>
                <w:sz w:val="14"/>
                <w:szCs w:val="14"/>
                <w:b w:val="1"/>
                <w:bCs w:val="1"/>
                <w:color w:val="auto"/>
                <w:w w:val="83"/>
              </w:rPr>
              <w:t>Predecessor</w:t>
            </w:r>
          </w:p>
        </w:tc>
        <w:tc>
          <w:tcPr>
            <w:tcW w:w="3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5100" w:type="dxa"/>
            <w:vAlign w:val="bottom"/>
          </w:tcPr>
          <w:p>
            <w:pPr>
              <w:spacing w:after="0"/>
              <w:rPr>
                <w:sz w:val="11"/>
                <w:szCs w:val="11"/>
                <w:color w:val="auto"/>
              </w:rPr>
            </w:pPr>
          </w:p>
        </w:tc>
        <w:tc>
          <w:tcPr>
            <w:tcW w:w="820" w:type="dxa"/>
            <w:vAlign w:val="bottom"/>
            <w:tcBorders>
              <w:top w:val="single" w:sz="8" w:color="auto"/>
            </w:tcBorders>
            <w:gridSpan w:val="2"/>
          </w:tcPr>
          <w:p>
            <w:pPr>
              <w:jc w:val="center"/>
              <w:spacing w:after="0" w:line="129" w:lineRule="exact"/>
              <w:rPr>
                <w:sz w:val="20"/>
                <w:szCs w:val="20"/>
                <w:color w:val="auto"/>
              </w:rPr>
            </w:pPr>
            <w:r>
              <w:rPr>
                <w:rFonts w:ascii="Arial" w:cs="Arial" w:eastAsia="Arial" w:hAnsi="Arial"/>
                <w:sz w:val="14"/>
                <w:szCs w:val="14"/>
                <w:b w:val="1"/>
                <w:bCs w:val="1"/>
                <w:color w:val="auto"/>
                <w:w w:val="88"/>
              </w:rPr>
              <w:t>Nine Months</w:t>
            </w: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80" w:type="dxa"/>
            <w:vAlign w:val="bottom"/>
            <w:tcBorders>
              <w:top w:val="single" w:sz="8" w:color="auto"/>
            </w:tcBorders>
            <w:gridSpan w:val="2"/>
          </w:tcPr>
          <w:p>
            <w:pPr>
              <w:jc w:val="center"/>
              <w:spacing w:after="0" w:line="129" w:lineRule="exact"/>
              <w:rPr>
                <w:sz w:val="20"/>
                <w:szCs w:val="20"/>
                <w:color w:val="auto"/>
              </w:rPr>
            </w:pPr>
            <w:r>
              <w:rPr>
                <w:rFonts w:ascii="Arial" w:cs="Arial" w:eastAsia="Arial" w:hAnsi="Arial"/>
                <w:sz w:val="14"/>
                <w:szCs w:val="14"/>
                <w:b w:val="1"/>
                <w:bCs w:val="1"/>
                <w:color w:val="auto"/>
                <w:w w:val="90"/>
              </w:rPr>
              <w:t>Nine Months</w:t>
            </w:r>
          </w:p>
        </w:tc>
        <w:tc>
          <w:tcPr>
            <w:tcW w:w="300" w:type="dxa"/>
            <w:vAlign w:val="bottom"/>
          </w:tcPr>
          <w:p>
            <w:pPr>
              <w:spacing w:after="0"/>
              <w:rPr>
                <w:sz w:val="11"/>
                <w:szCs w:val="11"/>
                <w:color w:val="auto"/>
              </w:rPr>
            </w:pPr>
          </w:p>
        </w:tc>
        <w:tc>
          <w:tcPr>
            <w:tcW w:w="820" w:type="dxa"/>
            <w:vAlign w:val="bottom"/>
            <w:tcBorders>
              <w:top w:val="single" w:sz="8" w:color="auto"/>
            </w:tcBorders>
            <w:gridSpan w:val="2"/>
          </w:tcPr>
          <w:p>
            <w:pPr>
              <w:jc w:val="center"/>
              <w:spacing w:after="0" w:line="129" w:lineRule="exact"/>
              <w:rPr>
                <w:sz w:val="20"/>
                <w:szCs w:val="20"/>
                <w:color w:val="auto"/>
              </w:rPr>
            </w:pPr>
            <w:r>
              <w:rPr>
                <w:rFonts w:ascii="Arial" w:cs="Arial" w:eastAsia="Arial" w:hAnsi="Arial"/>
                <w:sz w:val="14"/>
                <w:szCs w:val="14"/>
                <w:b w:val="1"/>
                <w:bCs w:val="1"/>
                <w:color w:val="auto"/>
                <w:w w:val="85"/>
              </w:rPr>
              <w:t>July 10, 2009</w:t>
            </w:r>
          </w:p>
        </w:tc>
        <w:tc>
          <w:tcPr>
            <w:tcW w:w="380" w:type="dxa"/>
            <w:vAlign w:val="bottom"/>
            <w:tcBorders>
              <w:right w:val="single" w:sz="8" w:color="auto"/>
            </w:tcBorders>
          </w:tcPr>
          <w:p>
            <w:pPr>
              <w:spacing w:after="0"/>
              <w:rPr>
                <w:sz w:val="11"/>
                <w:szCs w:val="11"/>
                <w:color w:val="auto"/>
              </w:rPr>
            </w:pPr>
          </w:p>
        </w:tc>
        <w:tc>
          <w:tcPr>
            <w:tcW w:w="180" w:type="dxa"/>
            <w:vAlign w:val="bottom"/>
          </w:tcPr>
          <w:p>
            <w:pPr>
              <w:spacing w:after="0"/>
              <w:rPr>
                <w:sz w:val="11"/>
                <w:szCs w:val="11"/>
                <w:color w:val="auto"/>
              </w:rPr>
            </w:pPr>
          </w:p>
        </w:tc>
        <w:tc>
          <w:tcPr>
            <w:tcW w:w="700" w:type="dxa"/>
            <w:vAlign w:val="bottom"/>
            <w:tcBorders>
              <w:top w:val="single" w:sz="8" w:color="auto"/>
            </w:tcBorders>
          </w:tcPr>
          <w:p>
            <w:pPr>
              <w:jc w:val="center"/>
              <w:spacing w:after="0" w:line="129" w:lineRule="exact"/>
              <w:rPr>
                <w:sz w:val="20"/>
                <w:szCs w:val="20"/>
                <w:color w:val="auto"/>
              </w:rPr>
            </w:pPr>
            <w:r>
              <w:rPr>
                <w:rFonts w:ascii="Arial" w:cs="Arial" w:eastAsia="Arial" w:hAnsi="Arial"/>
                <w:sz w:val="14"/>
                <w:szCs w:val="14"/>
                <w:b w:val="1"/>
                <w:bCs w:val="1"/>
                <w:color w:val="auto"/>
                <w:w w:val="95"/>
              </w:rPr>
              <w:t>January 1,</w:t>
            </w:r>
          </w:p>
        </w:tc>
        <w:tc>
          <w:tcPr>
            <w:tcW w:w="300" w:type="dxa"/>
            <w:vAlign w:val="bottom"/>
          </w:tcPr>
          <w:p>
            <w:pPr>
              <w:spacing w:after="0"/>
              <w:rPr>
                <w:sz w:val="11"/>
                <w:szCs w:val="11"/>
                <w:color w:val="auto"/>
              </w:rPr>
            </w:pPr>
          </w:p>
        </w:tc>
        <w:tc>
          <w:tcPr>
            <w:tcW w:w="1640" w:type="dxa"/>
            <w:vAlign w:val="bottom"/>
            <w:gridSpan w:val="4"/>
            <w:vMerge w:val="restart"/>
          </w:tcPr>
          <w:p>
            <w:pPr>
              <w:ind w:left="200"/>
              <w:spacing w:after="0"/>
              <w:rPr>
                <w:sz w:val="20"/>
                <w:szCs w:val="20"/>
                <w:color w:val="auto"/>
              </w:rPr>
            </w:pPr>
            <w:r>
              <w:rPr>
                <w:rFonts w:ascii="Arial" w:cs="Arial" w:eastAsia="Arial" w:hAnsi="Arial"/>
                <w:sz w:val="14"/>
                <w:szCs w:val="14"/>
                <w:b w:val="1"/>
                <w:bCs w:val="1"/>
                <w:color w:val="auto"/>
              </w:rPr>
              <w:t>Nine Months Ended</w:t>
            </w:r>
          </w:p>
        </w:tc>
        <w:tc>
          <w:tcPr>
            <w:tcW w:w="0" w:type="dxa"/>
            <w:vAlign w:val="bottom"/>
          </w:tcPr>
          <w:p>
            <w:pPr>
              <w:spacing w:after="0"/>
              <w:rPr>
                <w:sz w:val="1"/>
                <w:szCs w:val="1"/>
                <w:color w:val="auto"/>
              </w:rPr>
            </w:pPr>
          </w:p>
        </w:tc>
      </w:tr>
      <w:tr>
        <w:trPr>
          <w:trHeight w:val="81"/>
        </w:trPr>
        <w:tc>
          <w:tcPr>
            <w:tcW w:w="5100" w:type="dxa"/>
            <w:vAlign w:val="bottom"/>
          </w:tcPr>
          <w:p>
            <w:pPr>
              <w:spacing w:after="0"/>
              <w:rPr>
                <w:sz w:val="7"/>
                <w:szCs w:val="7"/>
                <w:color w:val="auto"/>
              </w:rPr>
            </w:pPr>
          </w:p>
        </w:tc>
        <w:tc>
          <w:tcPr>
            <w:tcW w:w="100" w:type="dxa"/>
            <w:vAlign w:val="bottom"/>
          </w:tcPr>
          <w:p>
            <w:pPr>
              <w:spacing w:after="0"/>
              <w:rPr>
                <w:sz w:val="7"/>
                <w:szCs w:val="7"/>
                <w:color w:val="auto"/>
              </w:rPr>
            </w:pPr>
          </w:p>
        </w:tc>
        <w:tc>
          <w:tcPr>
            <w:tcW w:w="880" w:type="dxa"/>
            <w:vAlign w:val="bottom"/>
            <w:gridSpan w:val="2"/>
            <w:vMerge w:val="restart"/>
          </w:tcPr>
          <w:p>
            <w:pPr>
              <w:jc w:val="center"/>
              <w:ind w:right="260"/>
              <w:spacing w:after="0" w:line="149" w:lineRule="exact"/>
              <w:rPr>
                <w:sz w:val="20"/>
                <w:szCs w:val="20"/>
                <w:color w:val="auto"/>
              </w:rPr>
            </w:pPr>
            <w:r>
              <w:rPr>
                <w:rFonts w:ascii="Arial" w:cs="Arial" w:eastAsia="Arial" w:hAnsi="Arial"/>
                <w:sz w:val="14"/>
                <w:szCs w:val="14"/>
                <w:b w:val="1"/>
                <w:bCs w:val="1"/>
                <w:color w:val="auto"/>
                <w:w w:val="88"/>
              </w:rPr>
              <w:t>Ended</w:t>
            </w:r>
          </w:p>
        </w:tc>
        <w:tc>
          <w:tcPr>
            <w:tcW w:w="140" w:type="dxa"/>
            <w:vAlign w:val="bottom"/>
          </w:tcPr>
          <w:p>
            <w:pPr>
              <w:spacing w:after="0"/>
              <w:rPr>
                <w:sz w:val="7"/>
                <w:szCs w:val="7"/>
                <w:color w:val="auto"/>
              </w:rPr>
            </w:pPr>
          </w:p>
        </w:tc>
        <w:tc>
          <w:tcPr>
            <w:tcW w:w="180" w:type="dxa"/>
            <w:vAlign w:val="bottom"/>
          </w:tcPr>
          <w:p>
            <w:pPr>
              <w:spacing w:after="0"/>
              <w:rPr>
                <w:sz w:val="7"/>
                <w:szCs w:val="7"/>
                <w:color w:val="auto"/>
              </w:rPr>
            </w:pPr>
          </w:p>
        </w:tc>
        <w:tc>
          <w:tcPr>
            <w:tcW w:w="700" w:type="dxa"/>
            <w:vAlign w:val="bottom"/>
            <w:vMerge w:val="restart"/>
          </w:tcPr>
          <w:p>
            <w:pPr>
              <w:jc w:val="center"/>
              <w:ind w:right="106"/>
              <w:spacing w:after="0" w:line="149" w:lineRule="exact"/>
              <w:rPr>
                <w:sz w:val="20"/>
                <w:szCs w:val="20"/>
                <w:color w:val="auto"/>
              </w:rPr>
            </w:pPr>
            <w:r>
              <w:rPr>
                <w:rFonts w:ascii="Arial" w:cs="Arial" w:eastAsia="Arial" w:hAnsi="Arial"/>
                <w:sz w:val="14"/>
                <w:szCs w:val="14"/>
                <w:b w:val="1"/>
                <w:bCs w:val="1"/>
                <w:color w:val="auto"/>
                <w:w w:val="84"/>
              </w:rPr>
              <w:t>Ended</w:t>
            </w:r>
          </w:p>
        </w:tc>
        <w:tc>
          <w:tcPr>
            <w:tcW w:w="300" w:type="dxa"/>
            <w:vAlign w:val="bottom"/>
          </w:tcPr>
          <w:p>
            <w:pPr>
              <w:spacing w:after="0"/>
              <w:rPr>
                <w:sz w:val="7"/>
                <w:szCs w:val="7"/>
                <w:color w:val="auto"/>
              </w:rPr>
            </w:pPr>
          </w:p>
        </w:tc>
        <w:tc>
          <w:tcPr>
            <w:tcW w:w="100" w:type="dxa"/>
            <w:vAlign w:val="bottom"/>
          </w:tcPr>
          <w:p>
            <w:pPr>
              <w:spacing w:after="0"/>
              <w:rPr>
                <w:sz w:val="7"/>
                <w:szCs w:val="7"/>
                <w:color w:val="auto"/>
              </w:rPr>
            </w:pPr>
          </w:p>
        </w:tc>
        <w:tc>
          <w:tcPr>
            <w:tcW w:w="720" w:type="dxa"/>
            <w:vAlign w:val="bottom"/>
            <w:vMerge w:val="restart"/>
          </w:tcPr>
          <w:p>
            <w:pPr>
              <w:jc w:val="center"/>
              <w:ind w:right="27"/>
              <w:spacing w:after="0" w:line="149" w:lineRule="exact"/>
              <w:rPr>
                <w:sz w:val="20"/>
                <w:szCs w:val="20"/>
                <w:color w:val="auto"/>
              </w:rPr>
            </w:pPr>
            <w:r>
              <w:rPr>
                <w:rFonts w:ascii="Arial" w:cs="Arial" w:eastAsia="Arial" w:hAnsi="Arial"/>
                <w:sz w:val="14"/>
                <w:szCs w:val="14"/>
                <w:b w:val="1"/>
                <w:bCs w:val="1"/>
                <w:color w:val="auto"/>
                <w:w w:val="87"/>
              </w:rPr>
              <w:t>Through</w:t>
            </w:r>
          </w:p>
        </w:tc>
        <w:tc>
          <w:tcPr>
            <w:tcW w:w="380" w:type="dxa"/>
            <w:vAlign w:val="bottom"/>
            <w:tcBorders>
              <w:right w:val="single" w:sz="8" w:color="auto"/>
            </w:tcBorders>
          </w:tcPr>
          <w:p>
            <w:pPr>
              <w:spacing w:after="0"/>
              <w:rPr>
                <w:sz w:val="7"/>
                <w:szCs w:val="7"/>
                <w:color w:val="auto"/>
              </w:rPr>
            </w:pPr>
          </w:p>
        </w:tc>
        <w:tc>
          <w:tcPr>
            <w:tcW w:w="880" w:type="dxa"/>
            <w:vAlign w:val="bottom"/>
            <w:gridSpan w:val="2"/>
            <w:vMerge w:val="restart"/>
          </w:tcPr>
          <w:p>
            <w:pPr>
              <w:jc w:val="right"/>
              <w:ind w:right="152"/>
              <w:spacing w:after="0" w:line="149" w:lineRule="exact"/>
              <w:rPr>
                <w:sz w:val="20"/>
                <w:szCs w:val="20"/>
                <w:color w:val="auto"/>
              </w:rPr>
            </w:pPr>
            <w:r>
              <w:rPr>
                <w:rFonts w:ascii="Arial" w:cs="Arial" w:eastAsia="Arial" w:hAnsi="Arial"/>
                <w:sz w:val="14"/>
                <w:szCs w:val="14"/>
                <w:b w:val="1"/>
                <w:bCs w:val="1"/>
                <w:color w:val="auto"/>
              </w:rPr>
              <w:t>2009</w:t>
            </w:r>
          </w:p>
        </w:tc>
        <w:tc>
          <w:tcPr>
            <w:tcW w:w="300" w:type="dxa"/>
            <w:vAlign w:val="bottom"/>
          </w:tcPr>
          <w:p>
            <w:pPr>
              <w:spacing w:after="0"/>
              <w:rPr>
                <w:sz w:val="7"/>
                <w:szCs w:val="7"/>
                <w:color w:val="auto"/>
              </w:rPr>
            </w:pPr>
          </w:p>
        </w:tc>
        <w:tc>
          <w:tcPr>
            <w:tcW w:w="1640" w:type="dxa"/>
            <w:vAlign w:val="bottom"/>
            <w:gridSpan w:val="4"/>
            <w:vMerge w:val="continue"/>
          </w:tcPr>
          <w:p>
            <w:pPr>
              <w:spacing w:after="0"/>
              <w:rPr>
                <w:sz w:val="7"/>
                <w:szCs w:val="7"/>
                <w:color w:val="auto"/>
              </w:rPr>
            </w:pPr>
          </w:p>
        </w:tc>
        <w:tc>
          <w:tcPr>
            <w:tcW w:w="0" w:type="dxa"/>
            <w:vAlign w:val="bottom"/>
          </w:tcPr>
          <w:p>
            <w:pPr>
              <w:spacing w:after="0"/>
              <w:rPr>
                <w:sz w:val="1"/>
                <w:szCs w:val="1"/>
                <w:color w:val="auto"/>
              </w:rPr>
            </w:pPr>
          </w:p>
        </w:tc>
      </w:tr>
      <w:tr>
        <w:trPr>
          <w:trHeight w:val="68"/>
        </w:trPr>
        <w:tc>
          <w:tcPr>
            <w:tcW w:w="5100" w:type="dxa"/>
            <w:vAlign w:val="bottom"/>
          </w:tcPr>
          <w:p>
            <w:pPr>
              <w:spacing w:after="0"/>
              <w:rPr>
                <w:sz w:val="5"/>
                <w:szCs w:val="5"/>
                <w:color w:val="auto"/>
              </w:rPr>
            </w:pPr>
          </w:p>
        </w:tc>
        <w:tc>
          <w:tcPr>
            <w:tcW w:w="100" w:type="dxa"/>
            <w:vAlign w:val="bottom"/>
          </w:tcPr>
          <w:p>
            <w:pPr>
              <w:spacing w:after="0"/>
              <w:rPr>
                <w:sz w:val="5"/>
                <w:szCs w:val="5"/>
                <w:color w:val="auto"/>
              </w:rPr>
            </w:pPr>
          </w:p>
        </w:tc>
        <w:tc>
          <w:tcPr>
            <w:tcW w:w="880" w:type="dxa"/>
            <w:vAlign w:val="bottom"/>
            <w:gridSpan w:val="2"/>
            <w:vMerge w:val="continue"/>
          </w:tcPr>
          <w:p>
            <w:pPr>
              <w:spacing w:after="0"/>
              <w:rPr>
                <w:sz w:val="5"/>
                <w:szCs w:val="5"/>
                <w:color w:val="auto"/>
              </w:rPr>
            </w:pPr>
          </w:p>
        </w:tc>
        <w:tc>
          <w:tcPr>
            <w:tcW w:w="140" w:type="dxa"/>
            <w:vAlign w:val="bottom"/>
          </w:tcPr>
          <w:p>
            <w:pPr>
              <w:spacing w:after="0"/>
              <w:rPr>
                <w:sz w:val="5"/>
                <w:szCs w:val="5"/>
                <w:color w:val="auto"/>
              </w:rPr>
            </w:pPr>
          </w:p>
        </w:tc>
        <w:tc>
          <w:tcPr>
            <w:tcW w:w="180" w:type="dxa"/>
            <w:vAlign w:val="bottom"/>
          </w:tcPr>
          <w:p>
            <w:pPr>
              <w:spacing w:after="0"/>
              <w:rPr>
                <w:sz w:val="5"/>
                <w:szCs w:val="5"/>
                <w:color w:val="auto"/>
              </w:rPr>
            </w:pPr>
          </w:p>
        </w:tc>
        <w:tc>
          <w:tcPr>
            <w:tcW w:w="700" w:type="dxa"/>
            <w:vAlign w:val="bottom"/>
            <w:vMerge w:val="continue"/>
          </w:tcPr>
          <w:p>
            <w:pPr>
              <w:spacing w:after="0"/>
              <w:rPr>
                <w:sz w:val="5"/>
                <w:szCs w:val="5"/>
                <w:color w:val="auto"/>
              </w:rPr>
            </w:pPr>
          </w:p>
        </w:tc>
        <w:tc>
          <w:tcPr>
            <w:tcW w:w="300" w:type="dxa"/>
            <w:vAlign w:val="bottom"/>
          </w:tcPr>
          <w:p>
            <w:pPr>
              <w:spacing w:after="0"/>
              <w:rPr>
                <w:sz w:val="5"/>
                <w:szCs w:val="5"/>
                <w:color w:val="auto"/>
              </w:rPr>
            </w:pPr>
          </w:p>
        </w:tc>
        <w:tc>
          <w:tcPr>
            <w:tcW w:w="100" w:type="dxa"/>
            <w:vAlign w:val="bottom"/>
          </w:tcPr>
          <w:p>
            <w:pPr>
              <w:spacing w:after="0"/>
              <w:rPr>
                <w:sz w:val="5"/>
                <w:szCs w:val="5"/>
                <w:color w:val="auto"/>
              </w:rPr>
            </w:pPr>
          </w:p>
        </w:tc>
        <w:tc>
          <w:tcPr>
            <w:tcW w:w="720" w:type="dxa"/>
            <w:vAlign w:val="bottom"/>
            <w:vMerge w:val="continue"/>
          </w:tcPr>
          <w:p>
            <w:pPr>
              <w:spacing w:after="0"/>
              <w:rPr>
                <w:sz w:val="5"/>
                <w:szCs w:val="5"/>
                <w:color w:val="auto"/>
              </w:rPr>
            </w:pPr>
          </w:p>
        </w:tc>
        <w:tc>
          <w:tcPr>
            <w:tcW w:w="380" w:type="dxa"/>
            <w:vAlign w:val="bottom"/>
            <w:tcBorders>
              <w:right w:val="single" w:sz="8" w:color="auto"/>
            </w:tcBorders>
          </w:tcPr>
          <w:p>
            <w:pPr>
              <w:spacing w:after="0"/>
              <w:rPr>
                <w:sz w:val="5"/>
                <w:szCs w:val="5"/>
                <w:color w:val="auto"/>
              </w:rPr>
            </w:pPr>
          </w:p>
        </w:tc>
        <w:tc>
          <w:tcPr>
            <w:tcW w:w="88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1640" w:type="dxa"/>
            <w:vAlign w:val="bottom"/>
            <w:gridSpan w:val="4"/>
            <w:vMerge w:val="restart"/>
          </w:tcPr>
          <w:p>
            <w:pPr>
              <w:ind w:left="140"/>
              <w:spacing w:after="0"/>
              <w:rPr>
                <w:sz w:val="20"/>
                <w:szCs w:val="20"/>
                <w:color w:val="auto"/>
              </w:rPr>
            </w:pPr>
            <w:r>
              <w:rPr>
                <w:rFonts w:ascii="Arial" w:cs="Arial" w:eastAsia="Arial" w:hAnsi="Arial"/>
                <w:sz w:val="14"/>
                <w:szCs w:val="14"/>
                <w:b w:val="1"/>
                <w:bCs w:val="1"/>
                <w:color w:val="auto"/>
              </w:rPr>
              <w:t>2010 vs. 2009 Change</w:t>
            </w:r>
          </w:p>
        </w:tc>
        <w:tc>
          <w:tcPr>
            <w:tcW w:w="0" w:type="dxa"/>
            <w:vAlign w:val="bottom"/>
          </w:tcPr>
          <w:p>
            <w:pPr>
              <w:spacing w:after="0"/>
              <w:rPr>
                <w:sz w:val="1"/>
                <w:szCs w:val="1"/>
                <w:color w:val="auto"/>
              </w:rPr>
            </w:pPr>
          </w:p>
        </w:tc>
      </w:tr>
      <w:tr>
        <w:trPr>
          <w:trHeight w:val="94"/>
        </w:trPr>
        <w:tc>
          <w:tcPr>
            <w:tcW w:w="5100" w:type="dxa"/>
            <w:vAlign w:val="bottom"/>
          </w:tcPr>
          <w:p>
            <w:pPr>
              <w:spacing w:after="0"/>
              <w:rPr>
                <w:sz w:val="8"/>
                <w:szCs w:val="8"/>
                <w:color w:val="auto"/>
              </w:rPr>
            </w:pPr>
          </w:p>
        </w:tc>
        <w:tc>
          <w:tcPr>
            <w:tcW w:w="980" w:type="dxa"/>
            <w:vAlign w:val="bottom"/>
            <w:gridSpan w:val="3"/>
            <w:vMerge w:val="restart"/>
          </w:tcPr>
          <w:p>
            <w:pPr>
              <w:jc w:val="center"/>
              <w:ind w:right="160"/>
              <w:spacing w:after="0" w:line="149" w:lineRule="exact"/>
              <w:rPr>
                <w:sz w:val="20"/>
                <w:szCs w:val="20"/>
                <w:color w:val="auto"/>
              </w:rPr>
            </w:pPr>
            <w:r>
              <w:rPr>
                <w:rFonts w:ascii="Arial" w:cs="Arial" w:eastAsia="Arial" w:hAnsi="Arial"/>
                <w:sz w:val="14"/>
                <w:szCs w:val="14"/>
                <w:b w:val="1"/>
                <w:bCs w:val="1"/>
                <w:color w:val="auto"/>
                <w:w w:val="85"/>
              </w:rPr>
              <w:t>September 30,</w:t>
            </w:r>
          </w:p>
        </w:tc>
        <w:tc>
          <w:tcPr>
            <w:tcW w:w="140" w:type="dxa"/>
            <w:vAlign w:val="bottom"/>
          </w:tcPr>
          <w:p>
            <w:pPr>
              <w:spacing w:after="0"/>
              <w:rPr>
                <w:sz w:val="8"/>
                <w:szCs w:val="8"/>
                <w:color w:val="auto"/>
              </w:rPr>
            </w:pPr>
          </w:p>
        </w:tc>
        <w:tc>
          <w:tcPr>
            <w:tcW w:w="880" w:type="dxa"/>
            <w:vAlign w:val="bottom"/>
            <w:gridSpan w:val="2"/>
            <w:vMerge w:val="restart"/>
          </w:tcPr>
          <w:p>
            <w:pPr>
              <w:jc w:val="center"/>
              <w:spacing w:after="0" w:line="149" w:lineRule="exact"/>
              <w:rPr>
                <w:sz w:val="20"/>
                <w:szCs w:val="20"/>
                <w:color w:val="auto"/>
              </w:rPr>
            </w:pPr>
            <w:r>
              <w:rPr>
                <w:rFonts w:ascii="Arial" w:cs="Arial" w:eastAsia="Arial" w:hAnsi="Arial"/>
                <w:sz w:val="14"/>
                <w:szCs w:val="14"/>
                <w:b w:val="1"/>
                <w:bCs w:val="1"/>
                <w:color w:val="auto"/>
                <w:w w:val="87"/>
              </w:rPr>
              <w:t>September 30,</w:t>
            </w:r>
          </w:p>
        </w:tc>
        <w:tc>
          <w:tcPr>
            <w:tcW w:w="300" w:type="dxa"/>
            <w:vAlign w:val="bottom"/>
          </w:tcPr>
          <w:p>
            <w:pPr>
              <w:spacing w:after="0"/>
              <w:rPr>
                <w:sz w:val="8"/>
                <w:szCs w:val="8"/>
                <w:color w:val="auto"/>
              </w:rPr>
            </w:pPr>
          </w:p>
        </w:tc>
        <w:tc>
          <w:tcPr>
            <w:tcW w:w="820" w:type="dxa"/>
            <w:vAlign w:val="bottom"/>
            <w:gridSpan w:val="2"/>
            <w:vMerge w:val="restart"/>
          </w:tcPr>
          <w:p>
            <w:pPr>
              <w:jc w:val="center"/>
              <w:spacing w:after="0" w:line="149" w:lineRule="exact"/>
              <w:rPr>
                <w:sz w:val="20"/>
                <w:szCs w:val="20"/>
                <w:color w:val="auto"/>
              </w:rPr>
            </w:pPr>
            <w:r>
              <w:rPr>
                <w:rFonts w:ascii="Arial" w:cs="Arial" w:eastAsia="Arial" w:hAnsi="Arial"/>
                <w:sz w:val="14"/>
                <w:szCs w:val="14"/>
                <w:b w:val="1"/>
                <w:bCs w:val="1"/>
                <w:color w:val="auto"/>
                <w:w w:val="85"/>
              </w:rPr>
              <w:t>September 30,</w:t>
            </w:r>
          </w:p>
        </w:tc>
        <w:tc>
          <w:tcPr>
            <w:tcW w:w="380" w:type="dxa"/>
            <w:vAlign w:val="bottom"/>
            <w:tcBorders>
              <w:right w:val="single" w:sz="8" w:color="auto"/>
            </w:tcBorders>
          </w:tcPr>
          <w:p>
            <w:pPr>
              <w:spacing w:after="0"/>
              <w:rPr>
                <w:sz w:val="8"/>
                <w:szCs w:val="8"/>
                <w:color w:val="auto"/>
              </w:rPr>
            </w:pPr>
          </w:p>
        </w:tc>
        <w:tc>
          <w:tcPr>
            <w:tcW w:w="180" w:type="dxa"/>
            <w:vAlign w:val="bottom"/>
          </w:tcPr>
          <w:p>
            <w:pPr>
              <w:spacing w:after="0"/>
              <w:rPr>
                <w:sz w:val="8"/>
                <w:szCs w:val="8"/>
                <w:color w:val="auto"/>
              </w:rPr>
            </w:pPr>
          </w:p>
        </w:tc>
        <w:tc>
          <w:tcPr>
            <w:tcW w:w="700" w:type="dxa"/>
            <w:vAlign w:val="bottom"/>
            <w:vMerge w:val="restart"/>
          </w:tcPr>
          <w:p>
            <w:pPr>
              <w:jc w:val="center"/>
              <w:spacing w:after="0" w:line="149" w:lineRule="exact"/>
              <w:rPr>
                <w:sz w:val="20"/>
                <w:szCs w:val="20"/>
                <w:color w:val="auto"/>
              </w:rPr>
            </w:pPr>
            <w:r>
              <w:rPr>
                <w:rFonts w:ascii="Arial" w:cs="Arial" w:eastAsia="Arial" w:hAnsi="Arial"/>
                <w:sz w:val="14"/>
                <w:szCs w:val="14"/>
                <w:b w:val="1"/>
                <w:bCs w:val="1"/>
                <w:color w:val="auto"/>
                <w:w w:val="87"/>
              </w:rPr>
              <w:t>Through</w:t>
            </w:r>
          </w:p>
        </w:tc>
        <w:tc>
          <w:tcPr>
            <w:tcW w:w="300" w:type="dxa"/>
            <w:vAlign w:val="bottom"/>
          </w:tcPr>
          <w:p>
            <w:pPr>
              <w:spacing w:after="0"/>
              <w:rPr>
                <w:sz w:val="8"/>
                <w:szCs w:val="8"/>
                <w:color w:val="auto"/>
              </w:rPr>
            </w:pPr>
          </w:p>
        </w:tc>
        <w:tc>
          <w:tcPr>
            <w:tcW w:w="1640" w:type="dxa"/>
            <w:vAlign w:val="bottom"/>
            <w:gridSpan w:val="4"/>
            <w:vMerge w:val="continue"/>
          </w:tcPr>
          <w:p>
            <w:pPr>
              <w:spacing w:after="0"/>
              <w:rPr>
                <w:sz w:val="8"/>
                <w:szCs w:val="8"/>
                <w:color w:val="auto"/>
              </w:rPr>
            </w:pPr>
          </w:p>
        </w:tc>
        <w:tc>
          <w:tcPr>
            <w:tcW w:w="0" w:type="dxa"/>
            <w:vAlign w:val="bottom"/>
          </w:tcPr>
          <w:p>
            <w:pPr>
              <w:spacing w:after="0"/>
              <w:rPr>
                <w:sz w:val="1"/>
                <w:szCs w:val="1"/>
                <w:color w:val="auto"/>
              </w:rPr>
            </w:pPr>
          </w:p>
        </w:tc>
      </w:tr>
      <w:tr>
        <w:trPr>
          <w:trHeight w:val="35"/>
        </w:trPr>
        <w:tc>
          <w:tcPr>
            <w:tcW w:w="5100" w:type="dxa"/>
            <w:vAlign w:val="bottom"/>
          </w:tcPr>
          <w:p>
            <w:pPr>
              <w:spacing w:after="0"/>
              <w:rPr>
                <w:sz w:val="3"/>
                <w:szCs w:val="3"/>
                <w:color w:val="auto"/>
              </w:rPr>
            </w:pPr>
          </w:p>
        </w:tc>
        <w:tc>
          <w:tcPr>
            <w:tcW w:w="980" w:type="dxa"/>
            <w:vAlign w:val="bottom"/>
            <w:gridSpan w:val="3"/>
            <w:vMerge w:val="continue"/>
          </w:tcPr>
          <w:p>
            <w:pPr>
              <w:spacing w:after="0"/>
              <w:rPr>
                <w:sz w:val="3"/>
                <w:szCs w:val="3"/>
                <w:color w:val="auto"/>
              </w:rPr>
            </w:pPr>
          </w:p>
        </w:tc>
        <w:tc>
          <w:tcPr>
            <w:tcW w:w="140" w:type="dxa"/>
            <w:vAlign w:val="bottom"/>
          </w:tcPr>
          <w:p>
            <w:pPr>
              <w:spacing w:after="0"/>
              <w:rPr>
                <w:sz w:val="3"/>
                <w:szCs w:val="3"/>
                <w:color w:val="auto"/>
              </w:rPr>
            </w:pPr>
          </w:p>
        </w:tc>
        <w:tc>
          <w:tcPr>
            <w:tcW w:w="880" w:type="dxa"/>
            <w:vAlign w:val="bottom"/>
            <w:gridSpan w:val="2"/>
            <w:vMerge w:val="continue"/>
          </w:tcPr>
          <w:p>
            <w:pPr>
              <w:spacing w:after="0"/>
              <w:rPr>
                <w:sz w:val="3"/>
                <w:szCs w:val="3"/>
                <w:color w:val="auto"/>
              </w:rPr>
            </w:pPr>
          </w:p>
        </w:tc>
        <w:tc>
          <w:tcPr>
            <w:tcW w:w="300" w:type="dxa"/>
            <w:vAlign w:val="bottom"/>
          </w:tcPr>
          <w:p>
            <w:pPr>
              <w:spacing w:after="0"/>
              <w:rPr>
                <w:sz w:val="3"/>
                <w:szCs w:val="3"/>
                <w:color w:val="auto"/>
              </w:rPr>
            </w:pPr>
          </w:p>
        </w:tc>
        <w:tc>
          <w:tcPr>
            <w:tcW w:w="820" w:type="dxa"/>
            <w:vAlign w:val="bottom"/>
            <w:gridSpan w:val="2"/>
            <w:vMerge w:val="continue"/>
          </w:tcPr>
          <w:p>
            <w:pPr>
              <w:spacing w:after="0"/>
              <w:rPr>
                <w:sz w:val="3"/>
                <w:szCs w:val="3"/>
                <w:color w:val="auto"/>
              </w:rPr>
            </w:pPr>
          </w:p>
        </w:tc>
        <w:tc>
          <w:tcPr>
            <w:tcW w:w="380" w:type="dxa"/>
            <w:vAlign w:val="bottom"/>
            <w:tcBorders>
              <w:right w:val="single" w:sz="8" w:color="auto"/>
            </w:tcBorders>
          </w:tcPr>
          <w:p>
            <w:pPr>
              <w:spacing w:after="0"/>
              <w:rPr>
                <w:sz w:val="3"/>
                <w:szCs w:val="3"/>
                <w:color w:val="auto"/>
              </w:rPr>
            </w:pPr>
          </w:p>
        </w:tc>
        <w:tc>
          <w:tcPr>
            <w:tcW w:w="180" w:type="dxa"/>
            <w:vAlign w:val="bottom"/>
          </w:tcPr>
          <w:p>
            <w:pPr>
              <w:spacing w:after="0"/>
              <w:rPr>
                <w:sz w:val="3"/>
                <w:szCs w:val="3"/>
                <w:color w:val="auto"/>
              </w:rPr>
            </w:pPr>
          </w:p>
        </w:tc>
        <w:tc>
          <w:tcPr>
            <w:tcW w:w="700" w:type="dxa"/>
            <w:vAlign w:val="bottom"/>
            <w:vMerge w:val="continue"/>
          </w:tcPr>
          <w:p>
            <w:pPr>
              <w:spacing w:after="0"/>
              <w:rPr>
                <w:sz w:val="3"/>
                <w:szCs w:val="3"/>
                <w:color w:val="auto"/>
              </w:rPr>
            </w:pPr>
          </w:p>
        </w:tc>
        <w:tc>
          <w:tcPr>
            <w:tcW w:w="300" w:type="dxa"/>
            <w:vAlign w:val="bottom"/>
          </w:tcPr>
          <w:p>
            <w:pPr>
              <w:spacing w:after="0"/>
              <w:rPr>
                <w:sz w:val="3"/>
                <w:szCs w:val="3"/>
                <w:color w:val="auto"/>
              </w:rPr>
            </w:pPr>
          </w:p>
        </w:tc>
        <w:tc>
          <w:tcPr>
            <w:tcW w:w="740" w:type="dxa"/>
            <w:vAlign w:val="bottom"/>
            <w:tcBorders>
              <w:top w:val="single" w:sz="8" w:color="auto"/>
            </w:tcBorders>
          </w:tcPr>
          <w:p>
            <w:pPr>
              <w:spacing w:after="0"/>
              <w:rPr>
                <w:sz w:val="3"/>
                <w:szCs w:val="3"/>
                <w:color w:val="auto"/>
              </w:rPr>
            </w:pPr>
          </w:p>
        </w:tc>
        <w:tc>
          <w:tcPr>
            <w:tcW w:w="300" w:type="dxa"/>
            <w:vAlign w:val="bottom"/>
            <w:tcBorders>
              <w:top w:val="single" w:sz="8" w:color="auto"/>
            </w:tcBorders>
          </w:tcPr>
          <w:p>
            <w:pPr>
              <w:spacing w:after="0"/>
              <w:rPr>
                <w:sz w:val="3"/>
                <w:szCs w:val="3"/>
                <w:color w:val="auto"/>
              </w:rPr>
            </w:pPr>
          </w:p>
        </w:tc>
        <w:tc>
          <w:tcPr>
            <w:tcW w:w="500" w:type="dxa"/>
            <w:vAlign w:val="bottom"/>
            <w:tcBorders>
              <w:top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61"/>
        </w:trPr>
        <w:tc>
          <w:tcPr>
            <w:tcW w:w="51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center"/>
              <w:ind w:right="27"/>
              <w:spacing w:after="0"/>
              <w:rPr>
                <w:sz w:val="20"/>
                <w:szCs w:val="20"/>
                <w:color w:val="auto"/>
              </w:rPr>
            </w:pPr>
            <w:r>
              <w:rPr>
                <w:rFonts w:ascii="Arial" w:cs="Arial" w:eastAsia="Arial" w:hAnsi="Arial"/>
                <w:sz w:val="14"/>
                <w:szCs w:val="14"/>
                <w:b w:val="1"/>
                <w:bCs w:val="1"/>
                <w:color w:val="auto"/>
                <w:w w:val="83"/>
              </w:rPr>
              <w:t>2010</w:t>
            </w: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center"/>
              <w:ind w:right="106"/>
              <w:spacing w:after="0"/>
              <w:rPr>
                <w:sz w:val="20"/>
                <w:szCs w:val="20"/>
                <w:color w:val="auto"/>
              </w:rPr>
            </w:pPr>
            <w:r>
              <w:rPr>
                <w:rFonts w:ascii="Arial" w:cs="Arial" w:eastAsia="Arial" w:hAnsi="Arial"/>
                <w:sz w:val="14"/>
                <w:szCs w:val="14"/>
                <w:b w:val="1"/>
                <w:bCs w:val="1"/>
                <w:color w:val="auto"/>
                <w:w w:val="89"/>
              </w:rPr>
              <w:t>2009</w:t>
            </w:r>
          </w:p>
        </w:tc>
        <w:tc>
          <w:tcPr>
            <w:tcW w:w="3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center"/>
              <w:ind w:right="27"/>
              <w:spacing w:after="0"/>
              <w:rPr>
                <w:sz w:val="20"/>
                <w:szCs w:val="20"/>
                <w:color w:val="auto"/>
              </w:rPr>
            </w:pPr>
            <w:r>
              <w:rPr>
                <w:rFonts w:ascii="Arial" w:cs="Arial" w:eastAsia="Arial" w:hAnsi="Arial"/>
                <w:sz w:val="14"/>
                <w:szCs w:val="14"/>
                <w:b w:val="1"/>
                <w:bCs w:val="1"/>
                <w:color w:val="auto"/>
                <w:w w:val="83"/>
              </w:rPr>
              <w:t>2009</w:t>
            </w:r>
          </w:p>
        </w:tc>
        <w:tc>
          <w:tcPr>
            <w:tcW w:w="380" w:type="dxa"/>
            <w:vAlign w:val="bottom"/>
            <w:tcBorders>
              <w:right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7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8"/>
              </w:rPr>
              <w:t>July 9, 2009</w:t>
            </w:r>
          </w:p>
        </w:tc>
        <w:tc>
          <w:tcPr>
            <w:tcW w:w="300" w:type="dxa"/>
            <w:vAlign w:val="bottom"/>
          </w:tcPr>
          <w:p>
            <w:pPr>
              <w:spacing w:after="0"/>
              <w:rPr>
                <w:sz w:val="14"/>
                <w:szCs w:val="14"/>
                <w:color w:val="auto"/>
              </w:rPr>
            </w:pPr>
          </w:p>
        </w:tc>
        <w:tc>
          <w:tcPr>
            <w:tcW w:w="740" w:type="dxa"/>
            <w:vAlign w:val="bottom"/>
            <w:tcBorders>
              <w:bottom w:val="single" w:sz="8" w:color="auto"/>
            </w:tcBorders>
          </w:tcPr>
          <w:p>
            <w:pPr>
              <w:ind w:left="120"/>
              <w:spacing w:after="0"/>
              <w:rPr>
                <w:sz w:val="20"/>
                <w:szCs w:val="20"/>
                <w:color w:val="auto"/>
              </w:rPr>
            </w:pPr>
            <w:r>
              <w:rPr>
                <w:rFonts w:ascii="Arial" w:cs="Arial" w:eastAsia="Arial" w:hAnsi="Arial"/>
                <w:sz w:val="14"/>
                <w:szCs w:val="14"/>
                <w:b w:val="1"/>
                <w:bCs w:val="1"/>
                <w:color w:val="auto"/>
              </w:rPr>
              <w:t>Amount</w:t>
            </w:r>
          </w:p>
        </w:tc>
        <w:tc>
          <w:tcPr>
            <w:tcW w:w="300" w:type="dxa"/>
            <w:vAlign w:val="bottom"/>
          </w:tcPr>
          <w:p>
            <w:pPr>
              <w:spacing w:after="0"/>
              <w:rPr>
                <w:sz w:val="14"/>
                <w:szCs w:val="14"/>
                <w:color w:val="auto"/>
              </w:rPr>
            </w:pPr>
          </w:p>
        </w:tc>
        <w:tc>
          <w:tcPr>
            <w:tcW w:w="500" w:type="dxa"/>
            <w:vAlign w:val="bottom"/>
            <w:tcBorders>
              <w:bottom w:val="single" w:sz="8" w:color="auto"/>
            </w:tcBorders>
          </w:tcPr>
          <w:p>
            <w:pPr>
              <w:jc w:val="right"/>
              <w:ind w:right="102"/>
              <w:spacing w:after="0"/>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5100" w:type="dxa"/>
            <w:vAlign w:val="bottom"/>
            <w:shd w:val="clear" w:color="auto" w:fill="CCEEFF"/>
          </w:tcPr>
          <w:p>
            <w:pPr>
              <w:spacing w:after="0"/>
              <w:rPr>
                <w:sz w:val="20"/>
                <w:szCs w:val="20"/>
                <w:color w:val="auto"/>
              </w:rPr>
            </w:pPr>
            <w:r>
              <w:rPr>
                <w:rFonts w:ascii="Arial" w:cs="Arial" w:eastAsia="Arial" w:hAnsi="Arial"/>
                <w:sz w:val="18"/>
                <w:szCs w:val="18"/>
                <w:color w:val="auto"/>
              </w:rPr>
              <w:t>Total net sales and revenue</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61,045</w:t>
            </w:r>
          </w:p>
        </w:tc>
        <w:tc>
          <w:tcPr>
            <w:tcW w:w="320" w:type="dxa"/>
            <w:vAlign w:val="bottom"/>
            <w:gridSpan w:val="2"/>
            <w:shd w:val="clear" w:color="auto" w:fill="CCEEFF"/>
          </w:tcPr>
          <w:p>
            <w:pPr>
              <w:jc w:val="right"/>
              <w:ind w:right="32"/>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38,342</w:t>
            </w: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14,151</w:t>
            </w:r>
          </w:p>
        </w:tc>
        <w:tc>
          <w:tcPr>
            <w:tcW w:w="380" w:type="dxa"/>
            <w:vAlign w:val="bottom"/>
            <w:tcBorders>
              <w:right w:val="single" w:sz="8" w:color="auto"/>
            </w:tcBorders>
            <w:shd w:val="clear" w:color="auto" w:fill="CCEEFF"/>
          </w:tcPr>
          <w:p>
            <w:pPr>
              <w:spacing w:after="0"/>
              <w:rPr>
                <w:sz w:val="18"/>
                <w:szCs w:val="18"/>
                <w:color w:val="auto"/>
              </w:rPr>
            </w:pP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24,191</w:t>
            </w:r>
          </w:p>
        </w:tc>
        <w:tc>
          <w:tcPr>
            <w:tcW w:w="134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  22,703</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59.2%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154" w:lineRule="exact"/>
        <w:rPr>
          <w:sz w:val="20"/>
          <w:szCs w:val="20"/>
          <w:color w:val="auto"/>
        </w:rPr>
      </w:pPr>
    </w:p>
    <w:p>
      <w:pPr>
        <w:ind w:firstLine="228"/>
        <w:spacing w:after="0" w:line="290" w:lineRule="auto"/>
        <w:rPr>
          <w:sz w:val="20"/>
          <w:szCs w:val="20"/>
          <w:color w:val="auto"/>
        </w:rPr>
      </w:pPr>
      <w:r>
        <w:rPr>
          <w:rFonts w:ascii="Arial" w:cs="Arial" w:eastAsia="Arial" w:hAnsi="Arial"/>
          <w:sz w:val="16"/>
          <w:szCs w:val="16"/>
          <w:color w:val="auto"/>
        </w:rPr>
        <w:t>In the nine months ended September 30, 2010 Total net sales and revenue increased compared to the corresponding period in 2009 by $22.7 billion (or 59.2%), primarily due to: (1) higher primarily wholesale volumes of $16.5 billion representing 733,000 vehicles (or 51.6%) due to an improving economy and successful recent vehicle launches such as the Chevrolet Equinox, GMC Terrain, Buick LaCrosse and Cadillac SRX; (2) favorable pricing of $2.8 billion due to lower sales allowances partially offset by less favorable adjustments in the U.S. to the accrual for U.S. residual support programs for leased vehicles of $0.3 billion (favorable of $0.6 billion in 2010 compared to favorable of $0.9 billion in 2009); (3) favorable mix of $1.6 billion due to increased crossover and truck sales; (4) increased sales of $1.0 billion due to the acquisition of Nexteer and four domestic component manufacturing facilities; and (5) the favorable net foreign currency remeasurement effect of $0.6 billion primarily driven by the strengthening of the Canadian Dollar against the U.S. Dollar.</w:t>
      </w:r>
    </w:p>
    <w:p>
      <w:pPr>
        <w:spacing w:after="0" w:line="118"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Earnings (Loss) Before Interest and Income Taxes</w:t>
      </w:r>
    </w:p>
    <w:p>
      <w:pPr>
        <w:spacing w:after="0" w:line="171" w:lineRule="exact"/>
        <w:rPr>
          <w:sz w:val="20"/>
          <w:szCs w:val="20"/>
          <w:color w:val="auto"/>
        </w:rPr>
      </w:pPr>
    </w:p>
    <w:p>
      <w:pPr>
        <w:ind w:right="180" w:firstLine="228"/>
        <w:spacing w:after="0" w:line="259" w:lineRule="auto"/>
        <w:rPr>
          <w:sz w:val="20"/>
          <w:szCs w:val="20"/>
          <w:color w:val="auto"/>
        </w:rPr>
      </w:pPr>
      <w:r>
        <w:rPr>
          <w:rFonts w:ascii="Arial" w:cs="Arial" w:eastAsia="Arial" w:hAnsi="Arial"/>
          <w:sz w:val="18"/>
          <w:szCs w:val="18"/>
          <w:color w:val="auto"/>
        </w:rPr>
        <w:t>The most significant factors which influence GMNA’s profitability are industry volume (primarily U.S. seasonally adjusted annual rate (SAAR)) and market share. While not as significant as industry volume and market share, another factor affecting GMNA profitability is the relative mix of vehicles (cars, trucks, crossovers) sold. Contribution margin is a key indicator of product</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114</w:t>
      </w:r>
    </w:p>
    <w:p>
      <w:pPr>
        <w:sectPr>
          <w:pgSz w:w="11900" w:h="16838" w:orient="portrait"/>
          <w:cols w:equalWidth="0" w:num="1">
            <w:col w:w="11420"/>
          </w:cols>
          <w:pgMar w:left="240" w:top="459" w:right="239" w:bottom="1440" w:gutter="0" w:footer="0" w:header="0"/>
        </w:sectPr>
      </w:pPr>
    </w:p>
    <w:bookmarkStart w:id="116" w:name="page117"/>
    <w:bookmarkEnd w:id="1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164" w:lineRule="exact"/>
        <w:rPr>
          <w:sz w:val="20"/>
          <w:szCs w:val="20"/>
          <w:color w:val="auto"/>
        </w:rPr>
      </w:pPr>
    </w:p>
    <w:p>
      <w:pPr>
        <w:ind w:right="60"/>
        <w:spacing w:after="0" w:line="288" w:lineRule="auto"/>
        <w:rPr>
          <w:sz w:val="20"/>
          <w:szCs w:val="20"/>
          <w:color w:val="auto"/>
        </w:rPr>
      </w:pPr>
      <w:r>
        <w:rPr>
          <w:rFonts w:ascii="Arial" w:cs="Arial" w:eastAsia="Arial" w:hAnsi="Arial"/>
          <w:sz w:val="16"/>
          <w:szCs w:val="16"/>
          <w:color w:val="auto"/>
        </w:rPr>
        <w:t>profitability. Contribution margin is defined as revenue less material cost, freight, and policy and warranty expense. Vehicles with higher selling prices generally have higher contribution margins. Trucks currently have a contribution margin of approximately 140% of our portfolio on a weighted average basis. Crossover vehicles’ contribution margins are in line with the overall portfolio on a weighted average basis, and cars are approximately 60% of the portfolio on a weighted average basis. As such, a sudden shift in consumer preference from trucks to cars would have an unfavorable effect on GMNA’s EBIT and breakeven point. For example, a shift in demand such that industry market share for trucks deteriorated 10 percentage points and industry market share for cars increased by 10 percentage points, holding other variables constant, would have increased GMNA’s breakeven point for the three months ended September 30, 2010, as measured in terms of U.S. industry volume SAAR, by approximately 200,000 vehicles. For the three months ended September 30, 2010 our U.S. car market share was 13.9% based on vehicle sales volume and our U.S. truck market share was 22.4% based on vehicle sales volume. We continue to strive to achieve a product portfolio with more balanced contribution margins and less susceptibility to shifts in consumer demand.</w:t>
      </w:r>
    </w:p>
    <w:p>
      <w:pPr>
        <w:spacing w:after="0" w:line="14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7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760" w:type="dxa"/>
            <w:vAlign w:val="bottom"/>
            <w:gridSpan w:val="5"/>
          </w:tcPr>
          <w:p>
            <w:pPr>
              <w:jc w:val="center"/>
              <w:ind w:right="220"/>
              <w:spacing w:after="0"/>
              <w:rPr>
                <w:sz w:val="20"/>
                <w:szCs w:val="20"/>
                <w:color w:val="auto"/>
              </w:rPr>
            </w:pPr>
            <w:r>
              <w:rPr>
                <w:rFonts w:ascii="Arial" w:cs="Arial" w:eastAsia="Arial" w:hAnsi="Arial"/>
                <w:sz w:val="14"/>
                <w:szCs w:val="14"/>
                <w:b w:val="1"/>
                <w:bCs w:val="1"/>
                <w:color w:val="auto"/>
                <w:w w:val="90"/>
              </w:rPr>
              <w:t>Three Months Ended</w:t>
            </w:r>
          </w:p>
        </w:tc>
      </w:tr>
      <w:tr>
        <w:trPr>
          <w:trHeight w:val="149"/>
        </w:trPr>
        <w:tc>
          <w:tcPr>
            <w:tcW w:w="67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40" w:type="dxa"/>
            <w:vAlign w:val="bottom"/>
            <w:gridSpan w:val="3"/>
          </w:tcPr>
          <w:p>
            <w:pPr>
              <w:jc w:val="center"/>
              <w:ind w:left="151"/>
              <w:spacing w:after="0" w:line="149" w:lineRule="exact"/>
              <w:rPr>
                <w:sz w:val="20"/>
                <w:szCs w:val="20"/>
                <w:color w:val="auto"/>
              </w:rPr>
            </w:pPr>
            <w:r>
              <w:rPr>
                <w:rFonts w:ascii="Arial" w:cs="Arial" w:eastAsia="Arial" w:hAnsi="Arial"/>
                <w:sz w:val="14"/>
                <w:szCs w:val="14"/>
                <w:b w:val="1"/>
                <w:bCs w:val="1"/>
                <w:color w:val="auto"/>
                <w:w w:val="85"/>
              </w:rPr>
              <w:t>September 30, 2010</w:t>
            </w:r>
          </w:p>
        </w:tc>
        <w:tc>
          <w:tcPr>
            <w:tcW w:w="32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61"/>
        </w:trPr>
        <w:tc>
          <w:tcPr>
            <w:tcW w:w="672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gridSpan w:val="2"/>
          </w:tcPr>
          <w:p>
            <w:pPr>
              <w:jc w:val="right"/>
              <w:ind w:right="55"/>
              <w:spacing w:after="0"/>
              <w:rPr>
                <w:sz w:val="20"/>
                <w:szCs w:val="20"/>
                <w:color w:val="auto"/>
              </w:rPr>
            </w:pPr>
            <w:r>
              <w:rPr>
                <w:rFonts w:ascii="Arial" w:cs="Arial" w:eastAsia="Arial" w:hAnsi="Arial"/>
                <w:sz w:val="14"/>
                <w:szCs w:val="14"/>
                <w:b w:val="1"/>
                <w:bCs w:val="1"/>
                <w:color w:val="auto"/>
                <w:w w:val="79"/>
              </w:rPr>
              <w:t>Successor</w:t>
            </w:r>
          </w:p>
        </w:tc>
        <w:tc>
          <w:tcPr>
            <w:tcW w:w="700" w:type="dxa"/>
            <w:vAlign w:val="bottom"/>
            <w:tcBorders>
              <w:bottom w:val="single" w:sz="8" w:color="auto"/>
            </w:tcBorders>
          </w:tcPr>
          <w:p>
            <w:pPr>
              <w:spacing w:after="0"/>
              <w:rPr>
                <w:sz w:val="14"/>
                <w:szCs w:val="14"/>
                <w:color w:val="auto"/>
              </w:rPr>
            </w:pPr>
          </w:p>
        </w:tc>
        <w:tc>
          <w:tcPr>
            <w:tcW w:w="6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760" w:type="dxa"/>
            <w:vAlign w:val="bottom"/>
            <w:gridSpan w:val="5"/>
          </w:tcPr>
          <w:p>
            <w:pPr>
              <w:jc w:val="center"/>
              <w:ind w:right="200"/>
              <w:spacing w:after="0"/>
              <w:rPr>
                <w:sz w:val="20"/>
                <w:szCs w:val="20"/>
                <w:color w:val="auto"/>
              </w:rPr>
            </w:pPr>
            <w:r>
              <w:rPr>
                <w:rFonts w:ascii="Arial" w:cs="Arial" w:eastAsia="Arial" w:hAnsi="Arial"/>
                <w:sz w:val="14"/>
                <w:szCs w:val="14"/>
                <w:b w:val="1"/>
                <w:bCs w:val="1"/>
                <w:color w:val="auto"/>
                <w:w w:val="86"/>
              </w:rPr>
              <w:t>vs. Period July 10, 2009</w:t>
            </w:r>
          </w:p>
        </w:tc>
      </w:tr>
      <w:tr>
        <w:trPr>
          <w:trHeight w:val="116"/>
        </w:trPr>
        <w:tc>
          <w:tcPr>
            <w:tcW w:w="6720" w:type="dxa"/>
            <w:vAlign w:val="bottom"/>
          </w:tcPr>
          <w:p>
            <w:pPr>
              <w:spacing w:after="0"/>
              <w:rPr>
                <w:sz w:val="10"/>
                <w:szCs w:val="10"/>
                <w:color w:val="auto"/>
              </w:rPr>
            </w:pPr>
          </w:p>
        </w:tc>
        <w:tc>
          <w:tcPr>
            <w:tcW w:w="820" w:type="dxa"/>
            <w:vAlign w:val="bottom"/>
            <w:gridSpan w:val="2"/>
          </w:tcPr>
          <w:p>
            <w:pPr>
              <w:jc w:val="center"/>
              <w:spacing w:after="0" w:line="116" w:lineRule="exact"/>
              <w:rPr>
                <w:sz w:val="20"/>
                <w:szCs w:val="20"/>
                <w:color w:val="auto"/>
              </w:rPr>
            </w:pPr>
            <w:r>
              <w:rPr>
                <w:rFonts w:ascii="Arial" w:cs="Arial" w:eastAsia="Arial" w:hAnsi="Arial"/>
                <w:sz w:val="12"/>
                <w:szCs w:val="12"/>
                <w:b w:val="1"/>
                <w:bCs w:val="1"/>
                <w:color w:val="auto"/>
              </w:rPr>
              <w:t>Three Months</w:t>
            </w:r>
          </w:p>
        </w:tc>
        <w:tc>
          <w:tcPr>
            <w:tcW w:w="580" w:type="dxa"/>
            <w:vAlign w:val="bottom"/>
          </w:tcPr>
          <w:p>
            <w:pPr>
              <w:spacing w:after="0"/>
              <w:rPr>
                <w:sz w:val="10"/>
                <w:szCs w:val="10"/>
                <w:color w:val="auto"/>
              </w:rPr>
            </w:pPr>
          </w:p>
        </w:tc>
        <w:tc>
          <w:tcPr>
            <w:tcW w:w="820" w:type="dxa"/>
            <w:vAlign w:val="bottom"/>
            <w:gridSpan w:val="2"/>
          </w:tcPr>
          <w:p>
            <w:pPr>
              <w:jc w:val="center"/>
              <w:spacing w:after="0" w:line="116" w:lineRule="exact"/>
              <w:rPr>
                <w:sz w:val="20"/>
                <w:szCs w:val="20"/>
                <w:color w:val="auto"/>
              </w:rPr>
            </w:pPr>
            <w:r>
              <w:rPr>
                <w:rFonts w:ascii="Arial" w:cs="Arial" w:eastAsia="Arial" w:hAnsi="Arial"/>
                <w:sz w:val="12"/>
                <w:szCs w:val="12"/>
                <w:b w:val="1"/>
                <w:bCs w:val="1"/>
                <w:color w:val="auto"/>
              </w:rPr>
              <w:t>July 10, 2009</w:t>
            </w:r>
          </w:p>
        </w:tc>
        <w:tc>
          <w:tcPr>
            <w:tcW w:w="6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340" w:type="dxa"/>
            <w:vAlign w:val="bottom"/>
            <w:gridSpan w:val="3"/>
          </w:tcPr>
          <w:p>
            <w:pPr>
              <w:jc w:val="center"/>
              <w:ind w:left="131"/>
              <w:spacing w:after="0" w:line="116" w:lineRule="exact"/>
              <w:rPr>
                <w:sz w:val="20"/>
                <w:szCs w:val="20"/>
                <w:color w:val="auto"/>
              </w:rPr>
            </w:pPr>
            <w:r>
              <w:rPr>
                <w:rFonts w:ascii="Arial" w:cs="Arial" w:eastAsia="Arial" w:hAnsi="Arial"/>
                <w:sz w:val="12"/>
                <w:szCs w:val="12"/>
                <w:b w:val="1"/>
                <w:bCs w:val="1"/>
                <w:color w:val="auto"/>
              </w:rPr>
              <w:t>Through</w:t>
            </w:r>
          </w:p>
        </w:tc>
        <w:tc>
          <w:tcPr>
            <w:tcW w:w="320" w:type="dxa"/>
            <w:vAlign w:val="bottom"/>
          </w:tcPr>
          <w:p>
            <w:pPr>
              <w:spacing w:after="0"/>
              <w:rPr>
                <w:sz w:val="10"/>
                <w:szCs w:val="10"/>
                <w:color w:val="auto"/>
              </w:rPr>
            </w:pPr>
          </w:p>
        </w:tc>
        <w:tc>
          <w:tcPr>
            <w:tcW w:w="100" w:type="dxa"/>
            <w:vAlign w:val="bottom"/>
          </w:tcPr>
          <w:p>
            <w:pPr>
              <w:spacing w:after="0"/>
              <w:rPr>
                <w:sz w:val="10"/>
                <w:szCs w:val="10"/>
                <w:color w:val="auto"/>
              </w:rPr>
            </w:pPr>
          </w:p>
        </w:tc>
      </w:tr>
      <w:tr>
        <w:trPr>
          <w:trHeight w:val="149"/>
        </w:trPr>
        <w:tc>
          <w:tcPr>
            <w:tcW w:w="67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60" w:type="dxa"/>
            <w:vAlign w:val="bottom"/>
          </w:tcPr>
          <w:p>
            <w:pPr>
              <w:jc w:val="center"/>
              <w:ind w:right="86"/>
              <w:spacing w:after="0" w:line="149" w:lineRule="exact"/>
              <w:rPr>
                <w:sz w:val="20"/>
                <w:szCs w:val="20"/>
                <w:color w:val="auto"/>
              </w:rPr>
            </w:pPr>
            <w:r>
              <w:rPr>
                <w:rFonts w:ascii="Arial" w:cs="Arial" w:eastAsia="Arial" w:hAnsi="Arial"/>
                <w:sz w:val="14"/>
                <w:szCs w:val="14"/>
                <w:b w:val="1"/>
                <w:bCs w:val="1"/>
                <w:color w:val="auto"/>
                <w:w w:val="88"/>
              </w:rPr>
              <w:t>Ended</w:t>
            </w: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00" w:type="dxa"/>
            <w:vAlign w:val="bottom"/>
            <w:gridSpan w:val="2"/>
          </w:tcPr>
          <w:p>
            <w:pPr>
              <w:jc w:val="center"/>
              <w:ind w:right="700"/>
              <w:spacing w:after="0" w:line="149" w:lineRule="exact"/>
              <w:rPr>
                <w:sz w:val="20"/>
                <w:szCs w:val="20"/>
                <w:color w:val="auto"/>
              </w:rPr>
            </w:pPr>
            <w:r>
              <w:rPr>
                <w:rFonts w:ascii="Arial" w:cs="Arial" w:eastAsia="Arial" w:hAnsi="Arial"/>
                <w:sz w:val="14"/>
                <w:szCs w:val="14"/>
                <w:b w:val="1"/>
                <w:bCs w:val="1"/>
                <w:color w:val="auto"/>
                <w:w w:val="91"/>
              </w:rPr>
              <w:t>Through</w:t>
            </w:r>
          </w:p>
        </w:tc>
        <w:tc>
          <w:tcPr>
            <w:tcW w:w="120" w:type="dxa"/>
            <w:vAlign w:val="bottom"/>
          </w:tcPr>
          <w:p>
            <w:pPr>
              <w:spacing w:after="0"/>
              <w:rPr>
                <w:sz w:val="12"/>
                <w:szCs w:val="12"/>
                <w:color w:val="auto"/>
              </w:rPr>
            </w:pPr>
          </w:p>
        </w:tc>
        <w:tc>
          <w:tcPr>
            <w:tcW w:w="1340" w:type="dxa"/>
            <w:vAlign w:val="bottom"/>
            <w:gridSpan w:val="3"/>
          </w:tcPr>
          <w:p>
            <w:pPr>
              <w:jc w:val="center"/>
              <w:ind w:left="151"/>
              <w:spacing w:after="0" w:line="149" w:lineRule="exact"/>
              <w:rPr>
                <w:sz w:val="20"/>
                <w:szCs w:val="20"/>
                <w:color w:val="auto"/>
              </w:rPr>
            </w:pPr>
            <w:r>
              <w:rPr>
                <w:rFonts w:ascii="Arial" w:cs="Arial" w:eastAsia="Arial" w:hAnsi="Arial"/>
                <w:sz w:val="14"/>
                <w:szCs w:val="14"/>
                <w:b w:val="1"/>
                <w:bCs w:val="1"/>
                <w:color w:val="auto"/>
                <w:w w:val="85"/>
              </w:rPr>
              <w:t>September 30, 2009</w:t>
            </w:r>
          </w:p>
        </w:tc>
        <w:tc>
          <w:tcPr>
            <w:tcW w:w="32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61"/>
        </w:trPr>
        <w:tc>
          <w:tcPr>
            <w:tcW w:w="6720" w:type="dxa"/>
            <w:vAlign w:val="bottom"/>
          </w:tcPr>
          <w:p>
            <w:pPr>
              <w:spacing w:after="0"/>
              <w:rPr>
                <w:sz w:val="14"/>
                <w:szCs w:val="14"/>
                <w:color w:val="auto"/>
              </w:rPr>
            </w:pPr>
          </w:p>
        </w:tc>
        <w:tc>
          <w:tcPr>
            <w:tcW w:w="820" w:type="dxa"/>
            <w:vAlign w:val="bottom"/>
            <w:gridSpan w:val="2"/>
          </w:tcPr>
          <w:p>
            <w:pPr>
              <w:jc w:val="center"/>
              <w:spacing w:after="0"/>
              <w:rPr>
                <w:sz w:val="20"/>
                <w:szCs w:val="20"/>
                <w:color w:val="auto"/>
              </w:rPr>
            </w:pPr>
            <w:r>
              <w:rPr>
                <w:rFonts w:ascii="Arial" w:cs="Arial" w:eastAsia="Arial" w:hAnsi="Arial"/>
                <w:sz w:val="14"/>
                <w:szCs w:val="14"/>
                <w:b w:val="1"/>
                <w:bCs w:val="1"/>
                <w:color w:val="auto"/>
                <w:w w:val="85"/>
              </w:rPr>
              <w:t>September 30,</w:t>
            </w:r>
          </w:p>
        </w:tc>
        <w:tc>
          <w:tcPr>
            <w:tcW w:w="580" w:type="dxa"/>
            <w:vAlign w:val="bottom"/>
          </w:tcPr>
          <w:p>
            <w:pPr>
              <w:spacing w:after="0"/>
              <w:rPr>
                <w:sz w:val="14"/>
                <w:szCs w:val="14"/>
                <w:color w:val="auto"/>
              </w:rPr>
            </w:pPr>
          </w:p>
        </w:tc>
        <w:tc>
          <w:tcPr>
            <w:tcW w:w="1420" w:type="dxa"/>
            <w:vAlign w:val="bottom"/>
            <w:gridSpan w:val="3"/>
          </w:tcPr>
          <w:p>
            <w:pPr>
              <w:jc w:val="center"/>
              <w:ind w:right="600"/>
              <w:spacing w:after="0"/>
              <w:rPr>
                <w:sz w:val="20"/>
                <w:szCs w:val="20"/>
                <w:color w:val="auto"/>
              </w:rPr>
            </w:pPr>
            <w:r>
              <w:rPr>
                <w:rFonts w:ascii="Arial" w:cs="Arial" w:eastAsia="Arial" w:hAnsi="Arial"/>
                <w:sz w:val="14"/>
                <w:szCs w:val="14"/>
                <w:b w:val="1"/>
                <w:bCs w:val="1"/>
                <w:color w:val="auto"/>
                <w:w w:val="85"/>
              </w:rPr>
              <w:t>September 30,</w:t>
            </w:r>
          </w:p>
        </w:tc>
        <w:tc>
          <w:tcPr>
            <w:tcW w:w="120" w:type="dxa"/>
            <w:vAlign w:val="bottom"/>
            <w:tcBorders>
              <w:bottom w:val="single" w:sz="8" w:color="auto"/>
            </w:tcBorders>
          </w:tcPr>
          <w:p>
            <w:pPr>
              <w:spacing w:after="0"/>
              <w:rPr>
                <w:sz w:val="14"/>
                <w:szCs w:val="14"/>
                <w:color w:val="auto"/>
              </w:rPr>
            </w:pPr>
          </w:p>
        </w:tc>
        <w:tc>
          <w:tcPr>
            <w:tcW w:w="1340" w:type="dxa"/>
            <w:vAlign w:val="bottom"/>
            <w:tcBorders>
              <w:bottom w:val="single" w:sz="8" w:color="auto"/>
            </w:tcBorders>
            <w:gridSpan w:val="3"/>
          </w:tcPr>
          <w:p>
            <w:pPr>
              <w:jc w:val="center"/>
              <w:ind w:left="151"/>
              <w:spacing w:after="0"/>
              <w:rPr>
                <w:sz w:val="20"/>
                <w:szCs w:val="20"/>
                <w:color w:val="auto"/>
              </w:rPr>
            </w:pPr>
            <w:r>
              <w:rPr>
                <w:rFonts w:ascii="Arial" w:cs="Arial" w:eastAsia="Arial" w:hAnsi="Arial"/>
                <w:sz w:val="14"/>
                <w:szCs w:val="14"/>
                <w:b w:val="1"/>
                <w:bCs w:val="1"/>
                <w:color w:val="auto"/>
                <w:w w:val="85"/>
              </w:rPr>
              <w:t>Change</w:t>
            </w:r>
          </w:p>
        </w:tc>
        <w:tc>
          <w:tcPr>
            <w:tcW w:w="3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42"/>
        </w:trPr>
        <w:tc>
          <w:tcPr>
            <w:tcW w:w="672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jc w:val="center"/>
              <w:ind w:right="86"/>
              <w:spacing w:after="0" w:line="142" w:lineRule="exact"/>
              <w:rPr>
                <w:sz w:val="20"/>
                <w:szCs w:val="20"/>
                <w:color w:val="auto"/>
              </w:rPr>
            </w:pPr>
            <w:r>
              <w:rPr>
                <w:rFonts w:ascii="Arial" w:cs="Arial" w:eastAsia="Arial" w:hAnsi="Arial"/>
                <w:sz w:val="14"/>
                <w:szCs w:val="14"/>
                <w:b w:val="1"/>
                <w:bCs w:val="1"/>
                <w:color w:val="auto"/>
                <w:w w:val="83"/>
              </w:rPr>
              <w:t>2010</w:t>
            </w:r>
          </w:p>
        </w:tc>
        <w:tc>
          <w:tcPr>
            <w:tcW w:w="58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jc w:val="center"/>
              <w:ind w:right="26"/>
              <w:spacing w:after="0" w:line="142" w:lineRule="exact"/>
              <w:rPr>
                <w:sz w:val="20"/>
                <w:szCs w:val="20"/>
                <w:color w:val="auto"/>
              </w:rPr>
            </w:pPr>
            <w:r>
              <w:rPr>
                <w:rFonts w:ascii="Arial" w:cs="Arial" w:eastAsia="Arial" w:hAnsi="Arial"/>
                <w:sz w:val="14"/>
                <w:szCs w:val="14"/>
                <w:b w:val="1"/>
                <w:bCs w:val="1"/>
                <w:color w:val="auto"/>
                <w:w w:val="89"/>
              </w:rPr>
              <w:t>2009</w:t>
            </w:r>
          </w:p>
        </w:tc>
        <w:tc>
          <w:tcPr>
            <w:tcW w:w="60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jc w:val="right"/>
              <w:ind w:right="91"/>
              <w:spacing w:after="0" w:line="142" w:lineRule="exact"/>
              <w:rPr>
                <w:sz w:val="20"/>
                <w:szCs w:val="20"/>
                <w:color w:val="auto"/>
              </w:rPr>
            </w:pPr>
            <w:r>
              <w:rPr>
                <w:rFonts w:ascii="Arial" w:cs="Arial" w:eastAsia="Arial" w:hAnsi="Arial"/>
                <w:sz w:val="14"/>
                <w:szCs w:val="14"/>
                <w:b w:val="1"/>
                <w:bCs w:val="1"/>
                <w:color w:val="auto"/>
                <w:w w:val="90"/>
              </w:rPr>
              <w:t>Amount</w:t>
            </w:r>
          </w:p>
        </w:tc>
        <w:tc>
          <w:tcPr>
            <w:tcW w:w="58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320" w:type="dxa"/>
            <w:vAlign w:val="bottom"/>
            <w:tcBorders>
              <w:bottom w:val="single" w:sz="8" w:color="auto"/>
            </w:tcBorders>
          </w:tcPr>
          <w:p>
            <w:pPr>
              <w:jc w:val="right"/>
              <w:ind w:right="62"/>
              <w:spacing w:after="0" w:line="142" w:lineRule="exact"/>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12"/>
                <w:szCs w:val="12"/>
                <w:color w:val="auto"/>
              </w:rPr>
            </w:pPr>
          </w:p>
        </w:tc>
      </w:tr>
      <w:tr>
        <w:trPr>
          <w:trHeight w:val="210"/>
        </w:trPr>
        <w:tc>
          <w:tcPr>
            <w:tcW w:w="6720" w:type="dxa"/>
            <w:vAlign w:val="bottom"/>
            <w:shd w:val="clear" w:color="auto" w:fill="CCEEFF"/>
          </w:tcPr>
          <w:p>
            <w:pPr>
              <w:spacing w:after="0"/>
              <w:rPr>
                <w:sz w:val="20"/>
                <w:szCs w:val="20"/>
                <w:color w:val="auto"/>
              </w:rPr>
            </w:pPr>
            <w:r>
              <w:rPr>
                <w:rFonts w:ascii="Arial" w:cs="Arial" w:eastAsia="Arial" w:hAnsi="Arial"/>
                <w:sz w:val="18"/>
                <w:szCs w:val="18"/>
                <w:color w:val="auto"/>
              </w:rPr>
              <w:t>Earnings (loss) before interest and income taxes</w:t>
            </w:r>
          </w:p>
        </w:tc>
        <w:tc>
          <w:tcPr>
            <w:tcW w:w="160" w:type="dxa"/>
            <w:vAlign w:val="bottom"/>
            <w:shd w:val="clear" w:color="auto" w:fill="CCEEFF"/>
          </w:tcPr>
          <w:p>
            <w:pPr>
              <w:jc w:val="right"/>
              <w:ind w:right="11"/>
              <w:spacing w:after="0"/>
              <w:rPr>
                <w:sz w:val="20"/>
                <w:szCs w:val="20"/>
                <w:color w:val="auto"/>
              </w:rPr>
            </w:pPr>
            <w:r>
              <w:rPr>
                <w:rFonts w:ascii="Arial" w:cs="Arial" w:eastAsia="Arial" w:hAnsi="Arial"/>
                <w:sz w:val="15"/>
                <w:szCs w:val="15"/>
                <w:color w:val="auto"/>
                <w:w w:val="71"/>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2,125</w:t>
            </w: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0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(1,377)</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3,502</w:t>
            </w:r>
          </w:p>
        </w:tc>
        <w:tc>
          <w:tcPr>
            <w:tcW w:w="100" w:type="dxa"/>
            <w:vAlign w:val="bottom"/>
            <w:shd w:val="clear" w:color="auto" w:fill="CCEEFF"/>
          </w:tcPr>
          <w:p>
            <w:pPr>
              <w:spacing w:after="0"/>
              <w:rPr>
                <w:sz w:val="18"/>
                <w:szCs w:val="18"/>
                <w:color w:val="auto"/>
              </w:rPr>
            </w:pPr>
          </w:p>
        </w:tc>
        <w:tc>
          <w:tcPr>
            <w:tcW w:w="4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n.m.</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728980" cy="889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20"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n.m.</w:t>
      </w:r>
      <w:r>
        <w:rPr>
          <w:sz w:val="20"/>
          <w:szCs w:val="20"/>
          <w:color w:val="auto"/>
        </w:rPr>
        <w:tab/>
      </w:r>
      <w:r>
        <w:rPr>
          <w:rFonts w:ascii="Arial" w:cs="Arial" w:eastAsia="Arial" w:hAnsi="Arial"/>
          <w:sz w:val="16"/>
          <w:szCs w:val="16"/>
          <w:color w:val="auto"/>
        </w:rPr>
        <w:t>= not meaningful</w:t>
      </w:r>
    </w:p>
    <w:p>
      <w:pPr>
        <w:spacing w:after="0" w:line="171" w:lineRule="exact"/>
        <w:rPr>
          <w:sz w:val="20"/>
          <w:szCs w:val="20"/>
          <w:color w:val="auto"/>
        </w:rPr>
      </w:pPr>
    </w:p>
    <w:p>
      <w:pPr>
        <w:ind w:firstLine="228"/>
        <w:spacing w:after="0" w:line="286" w:lineRule="auto"/>
        <w:rPr>
          <w:sz w:val="20"/>
          <w:szCs w:val="20"/>
          <w:color w:val="auto"/>
        </w:rPr>
      </w:pPr>
      <w:r>
        <w:rPr>
          <w:rFonts w:ascii="Arial" w:cs="Arial" w:eastAsia="Arial" w:hAnsi="Arial"/>
          <w:sz w:val="16"/>
          <w:szCs w:val="16"/>
          <w:color w:val="auto"/>
        </w:rPr>
        <w:t>In the three months ended September 30, 2010 results increased compared to the period July 10, 2009 through September 30, 2009 by $3.5 billion (or 254.3%), due to: (1) higher primarily wholesale volumes of $1.3 billion due to an improving economy and successful recent vehicle launches such as the Chevrolet Equinox, GMC Terrain, Buick LaCrosse and Cadillac SRX; (2) favorable pricing of $1.1 billion due to lower sales allowances; (3) a reduction in foreign currency remeasurement losses of $0.6 billion partially offset by foreign currency transaction losses of $0.1 billion primarily driven by the strengthening of the Canadian Dollar against the U.S. Dollar; (4) charges of $0.2 billion in 2009 related to dealer wind-down costs for our Saturn dealers after plans to sell the Saturn brand and dealerships network were terminated; (5) elimination of ongoing UAW retiree healthcare employee benefit expense of $0.2 billion due to the transfer of the Hourly OPEB Health Plan to the UAW VEBA; (6) favorable adjustments of $0.1 billion to restructuring reserves primarily due to increased production capacity utilization, which resulted in the recall of idled employees to fill added shifts at multiple U.S. production sites; (7) increase of $0.1 billion due to the acquisition of Nexteer and four domestic component manufacturing facilities; (8) increase of $0.1 billion from OnStar primarily due to increased volumes; and (9) favorable mix of $0.1 billion due to increased crossover and truck sales; partially offset by (9) the effect on cost of sales of $0.7 billion related to inventory acquired from Old GM as further described below and impairment charges related to product-specific tooling assets of $0.1 billion.</w:t>
      </w:r>
    </w:p>
    <w:p>
      <w:pPr>
        <w:spacing w:after="0" w:line="127" w:lineRule="exact"/>
        <w:rPr>
          <w:sz w:val="20"/>
          <w:szCs w:val="20"/>
          <w:color w:val="auto"/>
        </w:rPr>
      </w:pPr>
    </w:p>
    <w:p>
      <w:pPr>
        <w:jc w:val="both"/>
        <w:ind w:firstLine="228"/>
        <w:spacing w:after="0" w:line="298" w:lineRule="auto"/>
        <w:rPr>
          <w:sz w:val="20"/>
          <w:szCs w:val="20"/>
          <w:color w:val="auto"/>
        </w:rPr>
      </w:pPr>
      <w:r>
        <w:rPr>
          <w:rFonts w:ascii="Arial" w:cs="Arial" w:eastAsia="Arial" w:hAnsi="Arial"/>
          <w:sz w:val="16"/>
          <w:szCs w:val="16"/>
          <w:color w:val="auto"/>
        </w:rPr>
        <w:t>The 2009 results reflect the benefit of $0.7 billion lower cost of sales due to the sell through of inventory acquired from Old GM at July 10, 2009. As required under U.S. GAAP, the acquired inventory was recorded at fair value as of the acquisition date using a market participant approach, which for work in process and finished goods inventory considered the estimated selling price of the inventory less the costs a market participant would incur to complete, sell and dispose of the inventory, which may be different than our costs, and the profit margin required for its completion and disposal effort.</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480" w:type="dxa"/>
            <w:vAlign w:val="bottom"/>
          </w:tcPr>
          <w:p>
            <w:pPr>
              <w:spacing w:after="0"/>
              <w:rPr>
                <w:sz w:val="14"/>
                <w:szCs w:val="14"/>
                <w:color w:val="auto"/>
              </w:rPr>
            </w:pPr>
          </w:p>
        </w:tc>
        <w:tc>
          <w:tcPr>
            <w:tcW w:w="3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20" w:type="dxa"/>
            <w:vAlign w:val="bottom"/>
            <w:tcBorders>
              <w:right w:val="single" w:sz="8" w:color="auto"/>
            </w:tcBorders>
            <w:gridSpan w:val="2"/>
          </w:tcPr>
          <w:p>
            <w:pPr>
              <w:jc w:val="center"/>
              <w:ind w:right="680"/>
              <w:spacing w:after="0"/>
              <w:rPr>
                <w:sz w:val="20"/>
                <w:szCs w:val="20"/>
                <w:color w:val="auto"/>
              </w:rPr>
            </w:pPr>
            <w:r>
              <w:rPr>
                <w:rFonts w:ascii="Arial" w:cs="Arial" w:eastAsia="Arial" w:hAnsi="Arial"/>
                <w:sz w:val="14"/>
                <w:szCs w:val="14"/>
                <w:b w:val="1"/>
                <w:bCs w:val="1"/>
                <w:color w:val="auto"/>
                <w:w w:val="79"/>
              </w:rPr>
              <w:t>Successor</w:t>
            </w:r>
          </w:p>
        </w:tc>
        <w:tc>
          <w:tcPr>
            <w:tcW w:w="400" w:type="dxa"/>
            <w:vAlign w:val="bottom"/>
          </w:tcPr>
          <w:p>
            <w:pPr>
              <w:spacing w:after="0"/>
              <w:rPr>
                <w:sz w:val="14"/>
                <w:szCs w:val="14"/>
                <w:color w:val="auto"/>
              </w:rPr>
            </w:pPr>
          </w:p>
        </w:tc>
        <w:tc>
          <w:tcPr>
            <w:tcW w:w="1800" w:type="dxa"/>
            <w:vAlign w:val="bottom"/>
            <w:gridSpan w:val="4"/>
          </w:tcPr>
          <w:p>
            <w:pPr>
              <w:jc w:val="right"/>
              <w:ind w:right="600"/>
              <w:spacing w:after="0"/>
              <w:rPr>
                <w:sz w:val="20"/>
                <w:szCs w:val="20"/>
                <w:color w:val="auto"/>
              </w:rPr>
            </w:pPr>
            <w:r>
              <w:rPr>
                <w:rFonts w:ascii="Arial" w:cs="Arial" w:eastAsia="Arial" w:hAnsi="Arial"/>
                <w:sz w:val="14"/>
                <w:szCs w:val="14"/>
                <w:b w:val="1"/>
                <w:bCs w:val="1"/>
                <w:color w:val="auto"/>
              </w:rPr>
              <w:t>Predecessor</w:t>
            </w:r>
          </w:p>
        </w:tc>
      </w:tr>
      <w:tr>
        <w:trPr>
          <w:trHeight w:val="129"/>
        </w:trPr>
        <w:tc>
          <w:tcPr>
            <w:tcW w:w="4480" w:type="dxa"/>
            <w:vAlign w:val="bottom"/>
          </w:tcPr>
          <w:p>
            <w:pPr>
              <w:spacing w:after="0"/>
              <w:rPr>
                <w:sz w:val="11"/>
                <w:szCs w:val="11"/>
                <w:color w:val="auto"/>
              </w:rPr>
            </w:pPr>
          </w:p>
        </w:tc>
        <w:tc>
          <w:tcPr>
            <w:tcW w:w="332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720" w:type="dxa"/>
            <w:vAlign w:val="bottom"/>
            <w:tcBorders>
              <w:top w:val="single" w:sz="8" w:color="auto"/>
            </w:tcBorders>
          </w:tcPr>
          <w:p>
            <w:pPr>
              <w:spacing w:after="0"/>
              <w:rPr>
                <w:sz w:val="11"/>
                <w:szCs w:val="11"/>
                <w:color w:val="auto"/>
              </w:rPr>
            </w:pPr>
          </w:p>
        </w:tc>
        <w:tc>
          <w:tcPr>
            <w:tcW w:w="600" w:type="dxa"/>
            <w:vAlign w:val="bottom"/>
            <w:tcBorders>
              <w:right w:val="single" w:sz="8" w:color="auto"/>
            </w:tcBorders>
          </w:tcPr>
          <w:p>
            <w:pPr>
              <w:spacing w:after="0"/>
              <w:rPr>
                <w:sz w:val="11"/>
                <w:szCs w:val="11"/>
                <w:color w:val="auto"/>
              </w:rPr>
            </w:pPr>
          </w:p>
        </w:tc>
        <w:tc>
          <w:tcPr>
            <w:tcW w:w="400" w:type="dxa"/>
            <w:vAlign w:val="bottom"/>
          </w:tcPr>
          <w:p>
            <w:pPr>
              <w:spacing w:after="0"/>
              <w:rPr>
                <w:sz w:val="11"/>
                <w:szCs w:val="11"/>
                <w:color w:val="auto"/>
              </w:rPr>
            </w:pPr>
          </w:p>
        </w:tc>
        <w:tc>
          <w:tcPr>
            <w:tcW w:w="1040" w:type="dxa"/>
            <w:vAlign w:val="bottom"/>
            <w:tcBorders>
              <w:top w:val="single" w:sz="8" w:color="auto"/>
            </w:tcBorders>
            <w:gridSpan w:val="2"/>
          </w:tcPr>
          <w:p>
            <w:pPr>
              <w:jc w:val="center"/>
              <w:ind w:right="540"/>
              <w:spacing w:after="0" w:line="129" w:lineRule="exact"/>
              <w:rPr>
                <w:sz w:val="20"/>
                <w:szCs w:val="20"/>
                <w:color w:val="auto"/>
              </w:rPr>
            </w:pPr>
            <w:r>
              <w:rPr>
                <w:rFonts w:ascii="Arial" w:cs="Arial" w:eastAsia="Arial" w:hAnsi="Arial"/>
                <w:sz w:val="14"/>
                <w:szCs w:val="14"/>
                <w:b w:val="1"/>
                <w:bCs w:val="1"/>
                <w:color w:val="auto"/>
                <w:w w:val="87"/>
              </w:rPr>
              <w:t>July 1,</w:t>
            </w:r>
          </w:p>
        </w:tc>
        <w:tc>
          <w:tcPr>
            <w:tcW w:w="660" w:type="dxa"/>
            <w:vAlign w:val="bottom"/>
            <w:tcBorders>
              <w:top w:val="single" w:sz="8" w:color="auto"/>
            </w:tcBorders>
          </w:tcPr>
          <w:p>
            <w:pPr>
              <w:jc w:val="center"/>
              <w:spacing w:after="0" w:line="129" w:lineRule="exact"/>
              <w:rPr>
                <w:sz w:val="20"/>
                <w:szCs w:val="20"/>
                <w:color w:val="auto"/>
              </w:rPr>
            </w:pPr>
            <w:r>
              <w:rPr>
                <w:rFonts w:ascii="Arial" w:cs="Arial" w:eastAsia="Arial" w:hAnsi="Arial"/>
                <w:sz w:val="14"/>
                <w:szCs w:val="14"/>
                <w:b w:val="1"/>
                <w:bCs w:val="1"/>
                <w:color w:val="auto"/>
                <w:w w:val="89"/>
              </w:rPr>
              <w:t>January 1,</w:t>
            </w:r>
          </w:p>
        </w:tc>
        <w:tc>
          <w:tcPr>
            <w:tcW w:w="100" w:type="dxa"/>
            <w:vAlign w:val="bottom"/>
          </w:tcPr>
          <w:p>
            <w:pPr>
              <w:spacing w:after="0"/>
              <w:rPr>
                <w:sz w:val="11"/>
                <w:szCs w:val="11"/>
                <w:color w:val="auto"/>
              </w:rPr>
            </w:pPr>
          </w:p>
        </w:tc>
      </w:tr>
      <w:tr>
        <w:trPr>
          <w:trHeight w:val="149"/>
        </w:trPr>
        <w:tc>
          <w:tcPr>
            <w:tcW w:w="4480" w:type="dxa"/>
            <w:vAlign w:val="bottom"/>
          </w:tcPr>
          <w:p>
            <w:pPr>
              <w:spacing w:after="0"/>
              <w:rPr>
                <w:sz w:val="12"/>
                <w:szCs w:val="12"/>
                <w:color w:val="auto"/>
              </w:rPr>
            </w:pPr>
          </w:p>
        </w:tc>
        <w:tc>
          <w:tcPr>
            <w:tcW w:w="3320" w:type="dxa"/>
            <w:vAlign w:val="bottom"/>
          </w:tcPr>
          <w:p>
            <w:pPr>
              <w:spacing w:after="0"/>
              <w:rPr>
                <w:sz w:val="12"/>
                <w:szCs w:val="12"/>
                <w:color w:val="auto"/>
              </w:rPr>
            </w:pPr>
          </w:p>
        </w:tc>
        <w:tc>
          <w:tcPr>
            <w:tcW w:w="1420" w:type="dxa"/>
            <w:vAlign w:val="bottom"/>
            <w:tcBorders>
              <w:right w:val="single" w:sz="8" w:color="auto"/>
            </w:tcBorders>
            <w:gridSpan w:val="3"/>
          </w:tcPr>
          <w:p>
            <w:pPr>
              <w:jc w:val="center"/>
              <w:ind w:right="600"/>
              <w:spacing w:after="0" w:line="149" w:lineRule="exact"/>
              <w:rPr>
                <w:sz w:val="20"/>
                <w:szCs w:val="20"/>
                <w:color w:val="auto"/>
              </w:rPr>
            </w:pPr>
            <w:r>
              <w:rPr>
                <w:rFonts w:ascii="Arial" w:cs="Arial" w:eastAsia="Arial" w:hAnsi="Arial"/>
                <w:sz w:val="14"/>
                <w:szCs w:val="14"/>
                <w:b w:val="1"/>
                <w:bCs w:val="1"/>
                <w:color w:val="auto"/>
                <w:w w:val="88"/>
              </w:rPr>
              <w:t>Nine Months</w:t>
            </w:r>
          </w:p>
        </w:tc>
        <w:tc>
          <w:tcPr>
            <w:tcW w:w="400" w:type="dxa"/>
            <w:vAlign w:val="bottom"/>
          </w:tcPr>
          <w:p>
            <w:pPr>
              <w:spacing w:after="0"/>
              <w:rPr>
                <w:sz w:val="12"/>
                <w:szCs w:val="12"/>
                <w:color w:val="auto"/>
              </w:rPr>
            </w:pPr>
          </w:p>
        </w:tc>
        <w:tc>
          <w:tcPr>
            <w:tcW w:w="5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2009</w:t>
            </w:r>
          </w:p>
        </w:tc>
        <w:tc>
          <w:tcPr>
            <w:tcW w:w="520" w:type="dxa"/>
            <w:vAlign w:val="bottom"/>
          </w:tcPr>
          <w:p>
            <w:pPr>
              <w:spacing w:after="0"/>
              <w:rPr>
                <w:sz w:val="12"/>
                <w:szCs w:val="12"/>
                <w:color w:val="auto"/>
              </w:rPr>
            </w:pPr>
          </w:p>
        </w:tc>
        <w:tc>
          <w:tcPr>
            <w:tcW w:w="6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2009</w:t>
            </w:r>
          </w:p>
        </w:tc>
        <w:tc>
          <w:tcPr>
            <w:tcW w:w="100" w:type="dxa"/>
            <w:vAlign w:val="bottom"/>
          </w:tcPr>
          <w:p>
            <w:pPr>
              <w:spacing w:after="0"/>
              <w:rPr>
                <w:sz w:val="12"/>
                <w:szCs w:val="12"/>
                <w:color w:val="auto"/>
              </w:rPr>
            </w:pPr>
          </w:p>
        </w:tc>
      </w:tr>
      <w:tr>
        <w:trPr>
          <w:trHeight w:val="149"/>
        </w:trPr>
        <w:tc>
          <w:tcPr>
            <w:tcW w:w="4480" w:type="dxa"/>
            <w:vAlign w:val="bottom"/>
          </w:tcPr>
          <w:p>
            <w:pPr>
              <w:spacing w:after="0"/>
              <w:rPr>
                <w:sz w:val="12"/>
                <w:szCs w:val="12"/>
                <w:color w:val="auto"/>
              </w:rPr>
            </w:pPr>
          </w:p>
        </w:tc>
        <w:tc>
          <w:tcPr>
            <w:tcW w:w="3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20" w:type="dxa"/>
            <w:vAlign w:val="bottom"/>
            <w:tcBorders>
              <w:right w:val="single" w:sz="8" w:color="auto"/>
            </w:tcBorders>
            <w:gridSpan w:val="2"/>
          </w:tcPr>
          <w:p>
            <w:pPr>
              <w:jc w:val="center"/>
              <w:ind w:right="700"/>
              <w:spacing w:after="0" w:line="149" w:lineRule="exact"/>
              <w:rPr>
                <w:sz w:val="20"/>
                <w:szCs w:val="20"/>
                <w:color w:val="auto"/>
              </w:rPr>
            </w:pPr>
            <w:r>
              <w:rPr>
                <w:rFonts w:ascii="Arial" w:cs="Arial" w:eastAsia="Arial" w:hAnsi="Arial"/>
                <w:sz w:val="14"/>
                <w:szCs w:val="14"/>
                <w:b w:val="1"/>
                <w:bCs w:val="1"/>
                <w:color w:val="auto"/>
                <w:w w:val="88"/>
              </w:rPr>
              <w:t>Ended</w:t>
            </w:r>
          </w:p>
        </w:tc>
        <w:tc>
          <w:tcPr>
            <w:tcW w:w="400" w:type="dxa"/>
            <w:vAlign w:val="bottom"/>
          </w:tcPr>
          <w:p>
            <w:pPr>
              <w:spacing w:after="0"/>
              <w:rPr>
                <w:sz w:val="12"/>
                <w:szCs w:val="12"/>
                <w:color w:val="auto"/>
              </w:rPr>
            </w:pPr>
          </w:p>
        </w:tc>
        <w:tc>
          <w:tcPr>
            <w:tcW w:w="1040" w:type="dxa"/>
            <w:vAlign w:val="bottom"/>
            <w:gridSpan w:val="2"/>
          </w:tcPr>
          <w:p>
            <w:pPr>
              <w:jc w:val="center"/>
              <w:ind w:right="520"/>
              <w:spacing w:after="0" w:line="149" w:lineRule="exact"/>
              <w:rPr>
                <w:sz w:val="20"/>
                <w:szCs w:val="20"/>
                <w:color w:val="auto"/>
              </w:rPr>
            </w:pPr>
            <w:r>
              <w:rPr>
                <w:rFonts w:ascii="Arial" w:cs="Arial" w:eastAsia="Arial" w:hAnsi="Arial"/>
                <w:sz w:val="14"/>
                <w:szCs w:val="14"/>
                <w:b w:val="1"/>
                <w:bCs w:val="1"/>
                <w:color w:val="auto"/>
                <w:w w:val="91"/>
              </w:rPr>
              <w:t>Through</w:t>
            </w:r>
          </w:p>
        </w:tc>
        <w:tc>
          <w:tcPr>
            <w:tcW w:w="76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1"/>
              </w:rPr>
              <w:t>Through</w:t>
            </w:r>
          </w:p>
        </w:tc>
      </w:tr>
      <w:tr>
        <w:trPr>
          <w:trHeight w:val="149"/>
        </w:trPr>
        <w:tc>
          <w:tcPr>
            <w:tcW w:w="4480" w:type="dxa"/>
            <w:vAlign w:val="bottom"/>
          </w:tcPr>
          <w:p>
            <w:pPr>
              <w:spacing w:after="0"/>
              <w:rPr>
                <w:sz w:val="12"/>
                <w:szCs w:val="12"/>
                <w:color w:val="auto"/>
              </w:rPr>
            </w:pPr>
          </w:p>
        </w:tc>
        <w:tc>
          <w:tcPr>
            <w:tcW w:w="3320" w:type="dxa"/>
            <w:vAlign w:val="bottom"/>
          </w:tcPr>
          <w:p>
            <w:pPr>
              <w:spacing w:after="0"/>
              <w:rPr>
                <w:sz w:val="12"/>
                <w:szCs w:val="12"/>
                <w:color w:val="auto"/>
              </w:rPr>
            </w:pPr>
          </w:p>
        </w:tc>
        <w:tc>
          <w:tcPr>
            <w:tcW w:w="1420" w:type="dxa"/>
            <w:vAlign w:val="bottom"/>
            <w:tcBorders>
              <w:right w:val="single" w:sz="8" w:color="auto"/>
            </w:tcBorders>
            <w:gridSpan w:val="3"/>
          </w:tcPr>
          <w:p>
            <w:pPr>
              <w:jc w:val="center"/>
              <w:ind w:right="600"/>
              <w:spacing w:after="0" w:line="149" w:lineRule="exact"/>
              <w:rPr>
                <w:sz w:val="20"/>
                <w:szCs w:val="20"/>
                <w:color w:val="auto"/>
              </w:rPr>
            </w:pPr>
            <w:r>
              <w:rPr>
                <w:rFonts w:ascii="Arial" w:cs="Arial" w:eastAsia="Arial" w:hAnsi="Arial"/>
                <w:sz w:val="14"/>
                <w:szCs w:val="14"/>
                <w:b w:val="1"/>
                <w:bCs w:val="1"/>
                <w:color w:val="auto"/>
                <w:w w:val="85"/>
              </w:rPr>
              <w:t>September 30,</w:t>
            </w:r>
          </w:p>
        </w:tc>
        <w:tc>
          <w:tcPr>
            <w:tcW w:w="400" w:type="dxa"/>
            <w:vAlign w:val="bottom"/>
          </w:tcPr>
          <w:p>
            <w:pPr>
              <w:spacing w:after="0"/>
              <w:rPr>
                <w:sz w:val="12"/>
                <w:szCs w:val="12"/>
                <w:color w:val="auto"/>
              </w:rPr>
            </w:pPr>
          </w:p>
        </w:tc>
        <w:tc>
          <w:tcPr>
            <w:tcW w:w="1040" w:type="dxa"/>
            <w:vAlign w:val="bottom"/>
            <w:gridSpan w:val="2"/>
          </w:tcPr>
          <w:p>
            <w:pPr>
              <w:jc w:val="center"/>
              <w:ind w:right="520"/>
              <w:spacing w:after="0" w:line="149" w:lineRule="exact"/>
              <w:rPr>
                <w:sz w:val="20"/>
                <w:szCs w:val="20"/>
                <w:color w:val="auto"/>
              </w:rPr>
            </w:pPr>
            <w:r>
              <w:rPr>
                <w:rFonts w:ascii="Arial" w:cs="Arial" w:eastAsia="Arial" w:hAnsi="Arial"/>
                <w:sz w:val="14"/>
                <w:szCs w:val="14"/>
                <w:b w:val="1"/>
                <w:bCs w:val="1"/>
                <w:color w:val="auto"/>
                <w:w w:val="91"/>
              </w:rPr>
              <w:t>July 9,</w:t>
            </w:r>
          </w:p>
        </w:tc>
        <w:tc>
          <w:tcPr>
            <w:tcW w:w="76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1"/>
              </w:rPr>
              <w:t>July 9,</w:t>
            </w:r>
          </w:p>
        </w:tc>
      </w:tr>
      <w:tr>
        <w:trPr>
          <w:trHeight w:val="161"/>
        </w:trPr>
        <w:tc>
          <w:tcPr>
            <w:tcW w:w="4480" w:type="dxa"/>
            <w:vAlign w:val="bottom"/>
          </w:tcPr>
          <w:p>
            <w:pPr>
              <w:spacing w:after="0"/>
              <w:rPr>
                <w:sz w:val="14"/>
                <w:szCs w:val="14"/>
                <w:color w:val="auto"/>
              </w:rPr>
            </w:pPr>
          </w:p>
        </w:tc>
        <w:tc>
          <w:tcPr>
            <w:tcW w:w="33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center"/>
              <w:ind w:right="27"/>
              <w:spacing w:after="0"/>
              <w:rPr>
                <w:sz w:val="20"/>
                <w:szCs w:val="20"/>
                <w:color w:val="auto"/>
              </w:rPr>
            </w:pPr>
            <w:r>
              <w:rPr>
                <w:rFonts w:ascii="Arial" w:cs="Arial" w:eastAsia="Arial" w:hAnsi="Arial"/>
                <w:sz w:val="14"/>
                <w:szCs w:val="14"/>
                <w:b w:val="1"/>
                <w:bCs w:val="1"/>
                <w:color w:val="auto"/>
                <w:w w:val="83"/>
              </w:rPr>
              <w:t>2010</w:t>
            </w:r>
          </w:p>
        </w:tc>
        <w:tc>
          <w:tcPr>
            <w:tcW w:w="600" w:type="dxa"/>
            <w:vAlign w:val="bottom"/>
            <w:tcBorders>
              <w:right w:val="single" w:sz="8" w:color="auto"/>
            </w:tcBorders>
          </w:tcPr>
          <w:p>
            <w:pPr>
              <w:spacing w:after="0"/>
              <w:rPr>
                <w:sz w:val="14"/>
                <w:szCs w:val="14"/>
                <w:color w:val="auto"/>
              </w:rPr>
            </w:pPr>
          </w:p>
        </w:tc>
        <w:tc>
          <w:tcPr>
            <w:tcW w:w="400" w:type="dxa"/>
            <w:vAlign w:val="bottom"/>
          </w:tcPr>
          <w:p>
            <w:pPr>
              <w:spacing w:after="0"/>
              <w:rPr>
                <w:sz w:val="14"/>
                <w:szCs w:val="14"/>
                <w:color w:val="auto"/>
              </w:rPr>
            </w:pPr>
          </w:p>
        </w:tc>
        <w:tc>
          <w:tcPr>
            <w:tcW w:w="5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2009</w:t>
            </w:r>
          </w:p>
        </w:tc>
        <w:tc>
          <w:tcPr>
            <w:tcW w:w="520" w:type="dxa"/>
            <w:vAlign w:val="bottom"/>
          </w:tcPr>
          <w:p>
            <w:pPr>
              <w:spacing w:after="0"/>
              <w:rPr>
                <w:sz w:val="14"/>
                <w:szCs w:val="14"/>
                <w:color w:val="auto"/>
              </w:rPr>
            </w:pPr>
          </w:p>
        </w:tc>
        <w:tc>
          <w:tcPr>
            <w:tcW w:w="6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2009</w:t>
            </w:r>
          </w:p>
        </w:tc>
        <w:tc>
          <w:tcPr>
            <w:tcW w:w="100" w:type="dxa"/>
            <w:vAlign w:val="bottom"/>
          </w:tcPr>
          <w:p>
            <w:pPr>
              <w:spacing w:after="0"/>
              <w:rPr>
                <w:sz w:val="14"/>
                <w:szCs w:val="14"/>
                <w:color w:val="auto"/>
              </w:rPr>
            </w:pPr>
          </w:p>
        </w:tc>
      </w:tr>
      <w:tr>
        <w:trPr>
          <w:trHeight w:val="210"/>
        </w:trPr>
        <w:tc>
          <w:tcPr>
            <w:tcW w:w="4480" w:type="dxa"/>
            <w:vAlign w:val="bottom"/>
            <w:shd w:val="clear" w:color="auto" w:fill="CCEEFF"/>
          </w:tcPr>
          <w:p>
            <w:pPr>
              <w:spacing w:after="0"/>
              <w:rPr>
                <w:sz w:val="20"/>
                <w:szCs w:val="20"/>
                <w:color w:val="auto"/>
              </w:rPr>
            </w:pPr>
            <w:r>
              <w:rPr>
                <w:rFonts w:ascii="Arial" w:cs="Arial" w:eastAsia="Arial" w:hAnsi="Arial"/>
                <w:sz w:val="18"/>
                <w:szCs w:val="18"/>
                <w:color w:val="auto"/>
              </w:rPr>
              <w:t>Earnings (loss) before interest and income taxes</w:t>
            </w:r>
          </w:p>
        </w:tc>
        <w:tc>
          <w:tcPr>
            <w:tcW w:w="3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20" w:type="dxa"/>
            <w:vAlign w:val="bottom"/>
            <w:tcBorders>
              <w:right w:val="single" w:sz="8" w:color="auto"/>
            </w:tcBorders>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4,935</w:t>
            </w:r>
          </w:p>
        </w:tc>
        <w:tc>
          <w:tcPr>
            <w:tcW w:w="4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w w:val="98"/>
              </w:rPr>
              <w:t>$ (640)</w:t>
            </w: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85"/>
              </w:rPr>
              <w:t>$ (11,092)</w:t>
            </w:r>
          </w:p>
        </w:tc>
      </w:tr>
      <w:tr>
        <w:trPr>
          <w:trHeight w:val="363"/>
        </w:trPr>
        <w:tc>
          <w:tcPr>
            <w:tcW w:w="4480" w:type="dxa"/>
            <w:vAlign w:val="bottom"/>
          </w:tcPr>
          <w:p>
            <w:pPr>
              <w:spacing w:after="0"/>
              <w:rPr>
                <w:sz w:val="24"/>
                <w:szCs w:val="24"/>
                <w:color w:val="auto"/>
              </w:rPr>
            </w:pPr>
          </w:p>
        </w:tc>
        <w:tc>
          <w:tcPr>
            <w:tcW w:w="3320" w:type="dxa"/>
            <w:vAlign w:val="bottom"/>
          </w:tcPr>
          <w:p>
            <w:pPr>
              <w:jc w:val="right"/>
              <w:ind w:right="1872"/>
              <w:spacing w:after="0"/>
              <w:rPr>
                <w:sz w:val="20"/>
                <w:szCs w:val="20"/>
                <w:color w:val="auto"/>
              </w:rPr>
            </w:pPr>
            <w:r>
              <w:rPr>
                <w:rFonts w:ascii="Arial" w:cs="Arial" w:eastAsia="Arial" w:hAnsi="Arial"/>
                <w:sz w:val="18"/>
                <w:szCs w:val="18"/>
                <w:color w:val="auto"/>
              </w:rPr>
              <w:t>115</w:t>
            </w: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r>
    </w:tbl>
    <w:p>
      <w:pPr>
        <w:sectPr>
          <w:pgSz w:w="11900" w:h="16838" w:orient="portrait"/>
          <w:cols w:equalWidth="0" w:num="1">
            <w:col w:w="11420"/>
          </w:cols>
          <w:pgMar w:left="240" w:top="459" w:right="239" w:bottom="1440" w:gutter="0" w:footer="0" w:header="0"/>
        </w:sectPr>
      </w:pPr>
    </w:p>
    <w:bookmarkStart w:id="117" w:name="page118"/>
    <w:bookmarkEnd w:id="1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339"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GM</w:t>
      </w:r>
    </w:p>
    <w:p>
      <w:pPr>
        <w:spacing w:after="0" w:line="171" w:lineRule="exact"/>
        <w:rPr>
          <w:sz w:val="20"/>
          <w:szCs w:val="20"/>
          <w:color w:val="auto"/>
        </w:rPr>
      </w:pPr>
    </w:p>
    <w:p>
      <w:pPr>
        <w:ind w:right="40" w:firstLine="228"/>
        <w:spacing w:after="0" w:line="253" w:lineRule="auto"/>
        <w:rPr>
          <w:sz w:val="20"/>
          <w:szCs w:val="20"/>
          <w:color w:val="auto"/>
        </w:rPr>
      </w:pPr>
      <w:r>
        <w:rPr>
          <w:rFonts w:ascii="Arial" w:cs="Arial" w:eastAsia="Arial" w:hAnsi="Arial"/>
          <w:sz w:val="18"/>
          <w:szCs w:val="18"/>
          <w:color w:val="auto"/>
        </w:rPr>
        <w:t>In the nine months ended September 30, 2010 results reflected operating income of $4.7 billion on primarily wholesale volumes of 2.2 million vehicles and include: (1) favorable adjustments of $0.2 billion to restructuring reserves primarily due to increased production capacity utilization, which resulted in the recall of idled employees to fill added shifts at multiple U.S. production sites; (2) advertising and sales promotion expenses of $2.2 billion primarily to support media campaigns for our products; (3) administrative expenses of $1.4 billion; (4) selling and marketing expenses of $0.5 billion related to our dealerships; (5) foreign currency remeasurement losses of $0.2 billion and foreign currency transaction losses of $0.1 billion driven by the strengthening of the Canadian Dollar against the U.S. Dollar; (6) charges of $0.2 billion for a recall campaign on windshield fluid heaters; and (7) impairment charges related to product-specific tooling assets of $0.2 billion.</w:t>
      </w:r>
    </w:p>
    <w:p>
      <w:pPr>
        <w:spacing w:after="0" w:line="147"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Old GM</w:t>
      </w:r>
    </w:p>
    <w:p>
      <w:pPr>
        <w:spacing w:after="0" w:line="171" w:lineRule="exact"/>
        <w:rPr>
          <w:sz w:val="20"/>
          <w:szCs w:val="20"/>
          <w:color w:val="auto"/>
        </w:rPr>
      </w:pPr>
    </w:p>
    <w:p>
      <w:pPr>
        <w:ind w:right="40" w:firstLine="228"/>
        <w:spacing w:after="0" w:line="302" w:lineRule="auto"/>
        <w:rPr>
          <w:sz w:val="20"/>
          <w:szCs w:val="20"/>
          <w:color w:val="auto"/>
        </w:rPr>
      </w:pPr>
      <w:r>
        <w:rPr>
          <w:rFonts w:ascii="Arial" w:cs="Arial" w:eastAsia="Arial" w:hAnsi="Arial"/>
          <w:sz w:val="15"/>
          <w:szCs w:val="15"/>
          <w:color w:val="auto"/>
        </w:rPr>
        <w:t>In the period January 1, 2009 through July 9, 2009 results included: (1) incremental depreciation charges of $2.1 billion recorded by Old GM prior to the 363 Sale for facilities included in GMNA’s restructuring activities and for certain facilities that MLC retained; (2) curtailment loss of $1.7 billion upon the interim remeasurement of the U.S. hourly and U.S. salaried defined benefit pension plans as a result of the 2009 Special Attrition Programs and salaried workforce reductions; (3) U.S. hourly and salary separation program charges and Canadian restructuring activities of $1.1 billion; (4) foreign currency remeasurement losses of $0.7 billion driven by the general strengthening of the Canadian Dollar against the U.S. Dollar; (5) charges of $0.5 billion incurred for dealer wind-down costs;</w:t>
      </w:r>
    </w:p>
    <w:p>
      <w:pPr>
        <w:spacing w:after="0" w:line="2" w:lineRule="exact"/>
        <w:rPr>
          <w:sz w:val="20"/>
          <w:szCs w:val="20"/>
          <w:color w:val="auto"/>
        </w:rPr>
      </w:pPr>
    </w:p>
    <w:p>
      <w:pPr>
        <w:ind w:right="160" w:firstLine="8"/>
        <w:spacing w:after="0" w:line="295" w:lineRule="auto"/>
        <w:tabs>
          <w:tab w:leader="none" w:pos="249" w:val="left"/>
        </w:tabs>
        <w:numPr>
          <w:ilvl w:val="0"/>
          <w:numId w:val="82"/>
        </w:numPr>
        <w:rPr>
          <w:rFonts w:ascii="Arial" w:cs="Arial" w:eastAsia="Arial" w:hAnsi="Arial"/>
          <w:sz w:val="16"/>
          <w:szCs w:val="16"/>
          <w:color w:val="auto"/>
        </w:rPr>
      </w:pPr>
      <w:r>
        <w:rPr>
          <w:rFonts w:ascii="Arial" w:cs="Arial" w:eastAsia="Arial" w:hAnsi="Arial"/>
          <w:sz w:val="16"/>
          <w:szCs w:val="16"/>
          <w:color w:val="auto"/>
        </w:rPr>
        <w:t>a charge of $1.1 billion related to the SUB and TSP, partially offset by a favorable adjustment of $0.7 billion primarily related to the suspension of the JOBS Program; (7) charges of $0.4 billion primarily for impairments for special tooling and product related machinery and equipment; (8) charges of $0.3 billion related to obligations associated with various Delphi agreements; and (9) equity losses of $0.3 billion related to impairment charges at NUMMI and our proportionate share of losses at CAMI. MLC retained the investment in NUMMI, and CAMI has been consolidated since March 1, 2009.</w:t>
      </w:r>
    </w:p>
    <w:p>
      <w:pPr>
        <w:spacing w:after="0" w:line="115"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GM International Operations</w:t>
      </w:r>
    </w:p>
    <w:p>
      <w:pPr>
        <w:spacing w:after="0" w:line="15"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(Dollars in millions)</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7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tcPr>
          <w:p>
            <w:pPr>
              <w:jc w:val="center"/>
              <w:ind w:right="44"/>
              <w:spacing w:after="0"/>
              <w:rPr>
                <w:sz w:val="20"/>
                <w:szCs w:val="20"/>
                <w:color w:val="auto"/>
              </w:rPr>
            </w:pPr>
            <w:r>
              <w:rPr>
                <w:rFonts w:ascii="Arial" w:cs="Arial" w:eastAsia="Arial" w:hAnsi="Arial"/>
                <w:sz w:val="14"/>
                <w:szCs w:val="14"/>
                <w:b w:val="1"/>
                <w:bCs w:val="1"/>
                <w:color w:val="auto"/>
                <w:w w:val="79"/>
              </w:rPr>
              <w:t>Successor</w:t>
            </w:r>
          </w:p>
        </w:tc>
        <w:tc>
          <w:tcPr>
            <w:tcW w:w="3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500" w:type="dxa"/>
            <w:vAlign w:val="bottom"/>
            <w:tcBorders>
              <w:right w:val="single" w:sz="8" w:color="auto"/>
            </w:tcBorders>
          </w:tcPr>
          <w:p>
            <w:pPr>
              <w:spacing w:after="0"/>
              <w:rPr>
                <w:sz w:val="14"/>
                <w:szCs w:val="14"/>
                <w:color w:val="auto"/>
              </w:rPr>
            </w:pPr>
          </w:p>
        </w:tc>
        <w:tc>
          <w:tcPr>
            <w:tcW w:w="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80" w:type="dxa"/>
            <w:vAlign w:val="bottom"/>
            <w:gridSpan w:val="5"/>
          </w:tcPr>
          <w:p>
            <w:pPr>
              <w:jc w:val="right"/>
              <w:ind w:right="560"/>
              <w:spacing w:after="0"/>
              <w:rPr>
                <w:sz w:val="20"/>
                <w:szCs w:val="20"/>
                <w:color w:val="auto"/>
              </w:rPr>
            </w:pPr>
            <w:r>
              <w:rPr>
                <w:rFonts w:ascii="Arial" w:cs="Arial" w:eastAsia="Arial" w:hAnsi="Arial"/>
                <w:sz w:val="14"/>
                <w:szCs w:val="14"/>
                <w:b w:val="1"/>
                <w:bCs w:val="1"/>
                <w:color w:val="auto"/>
              </w:rPr>
              <w:t>Predecessor</w:t>
            </w:r>
          </w:p>
        </w:tc>
      </w:tr>
      <w:tr>
        <w:trPr>
          <w:trHeight w:val="129"/>
        </w:trPr>
        <w:tc>
          <w:tcPr>
            <w:tcW w:w="5700" w:type="dxa"/>
            <w:vAlign w:val="bottom"/>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680" w:type="dxa"/>
            <w:vAlign w:val="bottom"/>
            <w:tcBorders>
              <w:top w:val="single" w:sz="8" w:color="auto"/>
            </w:tcBorders>
          </w:tcPr>
          <w:p>
            <w:pPr>
              <w:spacing w:after="0"/>
              <w:rPr>
                <w:sz w:val="11"/>
                <w:szCs w:val="11"/>
                <w:color w:val="auto"/>
              </w:rPr>
            </w:pPr>
          </w:p>
        </w:tc>
        <w:tc>
          <w:tcPr>
            <w:tcW w:w="200" w:type="dxa"/>
            <w:vAlign w:val="bottom"/>
            <w:tcBorders>
              <w:top w:val="single" w:sz="8" w:color="auto"/>
            </w:tcBorders>
          </w:tcPr>
          <w:p>
            <w:pPr>
              <w:spacing w:after="0"/>
              <w:rPr>
                <w:sz w:val="11"/>
                <w:szCs w:val="11"/>
                <w:color w:val="auto"/>
              </w:rPr>
            </w:pPr>
          </w:p>
        </w:tc>
        <w:tc>
          <w:tcPr>
            <w:tcW w:w="180" w:type="dxa"/>
            <w:vAlign w:val="bottom"/>
            <w:tcBorders>
              <w:top w:val="single" w:sz="8" w:color="auto"/>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720" w:type="dxa"/>
            <w:vAlign w:val="bottom"/>
            <w:tcBorders>
              <w:top w:val="single" w:sz="8" w:color="auto"/>
            </w:tcBorders>
          </w:tcPr>
          <w:p>
            <w:pPr>
              <w:spacing w:after="0"/>
              <w:rPr>
                <w:sz w:val="11"/>
                <w:szCs w:val="11"/>
                <w:color w:val="auto"/>
              </w:rPr>
            </w:pPr>
          </w:p>
        </w:tc>
        <w:tc>
          <w:tcPr>
            <w:tcW w:w="380" w:type="dxa"/>
            <w:vAlign w:val="bottom"/>
            <w:tcBorders>
              <w:top w:val="single" w:sz="8" w:color="auto"/>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700" w:type="dxa"/>
            <w:vAlign w:val="bottom"/>
            <w:tcBorders>
              <w:top w:val="single" w:sz="8" w:color="auto"/>
            </w:tcBorders>
          </w:tcPr>
          <w:p>
            <w:pPr>
              <w:spacing w:after="0"/>
              <w:rPr>
                <w:sz w:val="11"/>
                <w:szCs w:val="11"/>
                <w:color w:val="auto"/>
              </w:rPr>
            </w:pPr>
          </w:p>
        </w:tc>
        <w:tc>
          <w:tcPr>
            <w:tcW w:w="500" w:type="dxa"/>
            <w:vAlign w:val="bottom"/>
            <w:tcBorders>
              <w:right w:val="single" w:sz="8" w:color="auto"/>
            </w:tcBorders>
          </w:tcPr>
          <w:p>
            <w:pPr>
              <w:spacing w:after="0"/>
              <w:rPr>
                <w:sz w:val="11"/>
                <w:szCs w:val="11"/>
                <w:color w:val="auto"/>
              </w:rPr>
            </w:pPr>
          </w:p>
        </w:tc>
        <w:tc>
          <w:tcPr>
            <w:tcW w:w="300" w:type="dxa"/>
            <w:vAlign w:val="bottom"/>
          </w:tcPr>
          <w:p>
            <w:pPr>
              <w:spacing w:after="0"/>
              <w:rPr>
                <w:sz w:val="11"/>
                <w:szCs w:val="11"/>
                <w:color w:val="auto"/>
              </w:rPr>
            </w:pPr>
          </w:p>
        </w:tc>
        <w:tc>
          <w:tcPr>
            <w:tcW w:w="920" w:type="dxa"/>
            <w:vAlign w:val="bottom"/>
            <w:tcBorders>
              <w:top w:val="single" w:sz="8" w:color="auto"/>
            </w:tcBorders>
            <w:gridSpan w:val="3"/>
          </w:tcPr>
          <w:p>
            <w:pPr>
              <w:jc w:val="center"/>
              <w:ind w:right="460"/>
              <w:spacing w:after="0" w:line="129" w:lineRule="exact"/>
              <w:rPr>
                <w:sz w:val="20"/>
                <w:szCs w:val="20"/>
                <w:color w:val="auto"/>
              </w:rPr>
            </w:pPr>
            <w:r>
              <w:rPr>
                <w:rFonts w:ascii="Arial" w:cs="Arial" w:eastAsia="Arial" w:hAnsi="Arial"/>
                <w:sz w:val="14"/>
                <w:szCs w:val="14"/>
                <w:b w:val="1"/>
                <w:bCs w:val="1"/>
                <w:color w:val="auto"/>
                <w:w w:val="87"/>
              </w:rPr>
              <w:t>July 1,</w:t>
            </w:r>
          </w:p>
        </w:tc>
        <w:tc>
          <w:tcPr>
            <w:tcW w:w="660" w:type="dxa"/>
            <w:vAlign w:val="bottom"/>
            <w:tcBorders>
              <w:top w:val="single" w:sz="8" w:color="auto"/>
            </w:tcBorders>
            <w:gridSpan w:val="2"/>
          </w:tcPr>
          <w:p>
            <w:pPr>
              <w:jc w:val="center"/>
              <w:spacing w:after="0" w:line="129" w:lineRule="exact"/>
              <w:rPr>
                <w:sz w:val="20"/>
                <w:szCs w:val="20"/>
                <w:color w:val="auto"/>
              </w:rPr>
            </w:pPr>
            <w:r>
              <w:rPr>
                <w:rFonts w:ascii="Arial" w:cs="Arial" w:eastAsia="Arial" w:hAnsi="Arial"/>
                <w:sz w:val="14"/>
                <w:szCs w:val="14"/>
                <w:b w:val="1"/>
                <w:bCs w:val="1"/>
                <w:color w:val="auto"/>
                <w:w w:val="89"/>
              </w:rPr>
              <w:t>January 1,</w:t>
            </w:r>
          </w:p>
        </w:tc>
        <w:tc>
          <w:tcPr>
            <w:tcW w:w="100" w:type="dxa"/>
            <w:vAlign w:val="bottom"/>
          </w:tcPr>
          <w:p>
            <w:pPr>
              <w:spacing w:after="0"/>
              <w:rPr>
                <w:sz w:val="11"/>
                <w:szCs w:val="11"/>
                <w:color w:val="auto"/>
              </w:rPr>
            </w:pPr>
          </w:p>
        </w:tc>
      </w:tr>
      <w:tr>
        <w:trPr>
          <w:trHeight w:val="149"/>
        </w:trPr>
        <w:tc>
          <w:tcPr>
            <w:tcW w:w="5700" w:type="dxa"/>
            <w:vAlign w:val="bottom"/>
          </w:tcPr>
          <w:p>
            <w:pPr>
              <w:spacing w:after="0"/>
              <w:rPr>
                <w:sz w:val="12"/>
                <w:szCs w:val="12"/>
                <w:color w:val="auto"/>
              </w:rPr>
            </w:pPr>
          </w:p>
        </w:tc>
        <w:tc>
          <w:tcPr>
            <w:tcW w:w="102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Three Months</w:t>
            </w:r>
          </w:p>
        </w:tc>
        <w:tc>
          <w:tcPr>
            <w:tcW w:w="180" w:type="dxa"/>
            <w:vAlign w:val="bottom"/>
          </w:tcPr>
          <w:p>
            <w:pPr>
              <w:spacing w:after="0"/>
              <w:rPr>
                <w:sz w:val="12"/>
                <w:szCs w:val="12"/>
                <w:color w:val="auto"/>
              </w:rPr>
            </w:pPr>
          </w:p>
        </w:tc>
        <w:tc>
          <w:tcPr>
            <w:tcW w:w="84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0"/>
              </w:rPr>
              <w:t>Nine Months</w:t>
            </w:r>
          </w:p>
        </w:tc>
        <w:tc>
          <w:tcPr>
            <w:tcW w:w="380" w:type="dxa"/>
            <w:vAlign w:val="bottom"/>
          </w:tcPr>
          <w:p>
            <w:pPr>
              <w:spacing w:after="0"/>
              <w:rPr>
                <w:sz w:val="12"/>
                <w:szCs w:val="12"/>
                <w:color w:val="auto"/>
              </w:rPr>
            </w:pPr>
          </w:p>
        </w:tc>
        <w:tc>
          <w:tcPr>
            <w:tcW w:w="1320" w:type="dxa"/>
            <w:vAlign w:val="bottom"/>
            <w:tcBorders>
              <w:right w:val="single" w:sz="8" w:color="auto"/>
            </w:tcBorders>
            <w:gridSpan w:val="3"/>
          </w:tcPr>
          <w:p>
            <w:pPr>
              <w:jc w:val="center"/>
              <w:ind w:right="480"/>
              <w:spacing w:after="0" w:line="149" w:lineRule="exact"/>
              <w:rPr>
                <w:sz w:val="20"/>
                <w:szCs w:val="20"/>
                <w:color w:val="auto"/>
              </w:rPr>
            </w:pPr>
            <w:r>
              <w:rPr>
                <w:rFonts w:ascii="Arial" w:cs="Arial" w:eastAsia="Arial" w:hAnsi="Arial"/>
                <w:sz w:val="14"/>
                <w:szCs w:val="14"/>
                <w:b w:val="1"/>
                <w:bCs w:val="1"/>
                <w:color w:val="auto"/>
                <w:w w:val="87"/>
              </w:rPr>
              <w:t>July 10, 2009</w:t>
            </w:r>
          </w:p>
        </w:tc>
        <w:tc>
          <w:tcPr>
            <w:tcW w:w="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tcPr>
          <w:p>
            <w:pPr>
              <w:jc w:val="center"/>
              <w:ind w:right="24"/>
              <w:spacing w:after="0" w:line="149" w:lineRule="exact"/>
              <w:rPr>
                <w:sz w:val="20"/>
                <w:szCs w:val="20"/>
                <w:color w:val="auto"/>
              </w:rPr>
            </w:pPr>
            <w:r>
              <w:rPr>
                <w:rFonts w:ascii="Arial" w:cs="Arial" w:eastAsia="Arial" w:hAnsi="Arial"/>
                <w:sz w:val="14"/>
                <w:szCs w:val="14"/>
                <w:b w:val="1"/>
                <w:bCs w:val="1"/>
                <w:color w:val="auto"/>
                <w:w w:val="83"/>
              </w:rPr>
              <w:t>2009</w:t>
            </w:r>
          </w:p>
        </w:tc>
        <w:tc>
          <w:tcPr>
            <w:tcW w:w="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jc w:val="center"/>
              <w:ind w:right="44"/>
              <w:spacing w:after="0" w:line="149" w:lineRule="exact"/>
              <w:rPr>
                <w:sz w:val="20"/>
                <w:szCs w:val="20"/>
                <w:color w:val="auto"/>
              </w:rPr>
            </w:pPr>
            <w:r>
              <w:rPr>
                <w:rFonts w:ascii="Arial" w:cs="Arial" w:eastAsia="Arial" w:hAnsi="Arial"/>
                <w:sz w:val="14"/>
                <w:szCs w:val="14"/>
                <w:b w:val="1"/>
                <w:bCs w:val="1"/>
                <w:color w:val="auto"/>
                <w:w w:val="89"/>
              </w:rPr>
              <w:t>2009</w:t>
            </w:r>
          </w:p>
        </w:tc>
        <w:tc>
          <w:tcPr>
            <w:tcW w:w="100" w:type="dxa"/>
            <w:vAlign w:val="bottom"/>
          </w:tcPr>
          <w:p>
            <w:pPr>
              <w:spacing w:after="0"/>
              <w:rPr>
                <w:sz w:val="12"/>
                <w:szCs w:val="12"/>
                <w:color w:val="auto"/>
              </w:rPr>
            </w:pPr>
          </w:p>
        </w:tc>
      </w:tr>
      <w:tr>
        <w:trPr>
          <w:trHeight w:val="149"/>
        </w:trPr>
        <w:tc>
          <w:tcPr>
            <w:tcW w:w="57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gridSpan w:val="2"/>
          </w:tcPr>
          <w:p>
            <w:pPr>
              <w:ind w:left="80"/>
              <w:spacing w:after="0" w:line="149" w:lineRule="exact"/>
              <w:rPr>
                <w:sz w:val="20"/>
                <w:szCs w:val="20"/>
                <w:color w:val="auto"/>
              </w:rPr>
            </w:pPr>
            <w:r>
              <w:rPr>
                <w:rFonts w:ascii="Arial" w:cs="Arial" w:eastAsia="Arial" w:hAnsi="Arial"/>
                <w:sz w:val="14"/>
                <w:szCs w:val="14"/>
                <w:b w:val="1"/>
                <w:bCs w:val="1"/>
                <w:color w:val="auto"/>
              </w:rPr>
              <w:t>Ended</w:t>
            </w: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jc w:val="center"/>
              <w:ind w:right="44"/>
              <w:spacing w:after="0" w:line="149" w:lineRule="exact"/>
              <w:rPr>
                <w:sz w:val="20"/>
                <w:szCs w:val="20"/>
                <w:color w:val="auto"/>
              </w:rPr>
            </w:pPr>
            <w:r>
              <w:rPr>
                <w:rFonts w:ascii="Arial" w:cs="Arial" w:eastAsia="Arial" w:hAnsi="Arial"/>
                <w:sz w:val="14"/>
                <w:szCs w:val="14"/>
                <w:b w:val="1"/>
                <w:bCs w:val="1"/>
                <w:color w:val="auto"/>
                <w:w w:val="84"/>
              </w:rPr>
              <w:t>Ended</w:t>
            </w:r>
          </w:p>
        </w:tc>
        <w:tc>
          <w:tcPr>
            <w:tcW w:w="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0" w:type="dxa"/>
            <w:vAlign w:val="bottom"/>
            <w:tcBorders>
              <w:right w:val="single" w:sz="8" w:color="auto"/>
            </w:tcBorders>
            <w:gridSpan w:val="2"/>
          </w:tcPr>
          <w:p>
            <w:pPr>
              <w:jc w:val="center"/>
              <w:ind w:right="600"/>
              <w:spacing w:after="0" w:line="149" w:lineRule="exact"/>
              <w:rPr>
                <w:sz w:val="20"/>
                <w:szCs w:val="20"/>
                <w:color w:val="auto"/>
              </w:rPr>
            </w:pPr>
            <w:r>
              <w:rPr>
                <w:rFonts w:ascii="Arial" w:cs="Arial" w:eastAsia="Arial" w:hAnsi="Arial"/>
                <w:sz w:val="14"/>
                <w:szCs w:val="14"/>
                <w:b w:val="1"/>
                <w:bCs w:val="1"/>
                <w:color w:val="auto"/>
                <w:w w:val="91"/>
              </w:rPr>
              <w:t>Through</w:t>
            </w:r>
          </w:p>
        </w:tc>
        <w:tc>
          <w:tcPr>
            <w:tcW w:w="300" w:type="dxa"/>
            <w:vAlign w:val="bottom"/>
          </w:tcPr>
          <w:p>
            <w:pPr>
              <w:spacing w:after="0"/>
              <w:rPr>
                <w:sz w:val="12"/>
                <w:szCs w:val="12"/>
                <w:color w:val="auto"/>
              </w:rPr>
            </w:pPr>
          </w:p>
        </w:tc>
        <w:tc>
          <w:tcPr>
            <w:tcW w:w="920" w:type="dxa"/>
            <w:vAlign w:val="bottom"/>
            <w:gridSpan w:val="3"/>
          </w:tcPr>
          <w:p>
            <w:pPr>
              <w:jc w:val="center"/>
              <w:ind w:right="420"/>
              <w:spacing w:after="0" w:line="149" w:lineRule="exact"/>
              <w:rPr>
                <w:sz w:val="20"/>
                <w:szCs w:val="20"/>
                <w:color w:val="auto"/>
              </w:rPr>
            </w:pPr>
            <w:r>
              <w:rPr>
                <w:rFonts w:ascii="Arial" w:cs="Arial" w:eastAsia="Arial" w:hAnsi="Arial"/>
                <w:sz w:val="14"/>
                <w:szCs w:val="14"/>
                <w:b w:val="1"/>
                <w:bCs w:val="1"/>
                <w:color w:val="auto"/>
                <w:w w:val="87"/>
              </w:rPr>
              <w:t>Through</w:t>
            </w:r>
          </w:p>
        </w:tc>
        <w:tc>
          <w:tcPr>
            <w:tcW w:w="760" w:type="dxa"/>
            <w:vAlign w:val="bottom"/>
            <w:gridSpan w:val="3"/>
          </w:tcPr>
          <w:p>
            <w:pPr>
              <w:jc w:val="center"/>
              <w:ind w:right="120"/>
              <w:spacing w:after="0" w:line="149" w:lineRule="exact"/>
              <w:rPr>
                <w:sz w:val="20"/>
                <w:szCs w:val="20"/>
                <w:color w:val="auto"/>
              </w:rPr>
            </w:pPr>
            <w:r>
              <w:rPr>
                <w:rFonts w:ascii="Arial" w:cs="Arial" w:eastAsia="Arial" w:hAnsi="Arial"/>
                <w:sz w:val="14"/>
                <w:szCs w:val="14"/>
                <w:b w:val="1"/>
                <w:bCs w:val="1"/>
                <w:color w:val="auto"/>
                <w:w w:val="91"/>
              </w:rPr>
              <w:t>Through</w:t>
            </w:r>
          </w:p>
        </w:tc>
      </w:tr>
      <w:tr>
        <w:trPr>
          <w:trHeight w:val="149"/>
        </w:trPr>
        <w:tc>
          <w:tcPr>
            <w:tcW w:w="5700" w:type="dxa"/>
            <w:vAlign w:val="bottom"/>
          </w:tcPr>
          <w:p>
            <w:pPr>
              <w:spacing w:after="0"/>
              <w:rPr>
                <w:sz w:val="12"/>
                <w:szCs w:val="12"/>
                <w:color w:val="auto"/>
              </w:rPr>
            </w:pPr>
          </w:p>
        </w:tc>
        <w:tc>
          <w:tcPr>
            <w:tcW w:w="102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September 30,</w:t>
            </w:r>
          </w:p>
        </w:tc>
        <w:tc>
          <w:tcPr>
            <w:tcW w:w="180" w:type="dxa"/>
            <w:vAlign w:val="bottom"/>
          </w:tcPr>
          <w:p>
            <w:pPr>
              <w:spacing w:after="0"/>
              <w:rPr>
                <w:sz w:val="12"/>
                <w:szCs w:val="12"/>
                <w:color w:val="auto"/>
              </w:rPr>
            </w:pPr>
          </w:p>
        </w:tc>
        <w:tc>
          <w:tcPr>
            <w:tcW w:w="84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7"/>
              </w:rPr>
              <w:t>September 30,</w:t>
            </w:r>
          </w:p>
        </w:tc>
        <w:tc>
          <w:tcPr>
            <w:tcW w:w="380" w:type="dxa"/>
            <w:vAlign w:val="bottom"/>
          </w:tcPr>
          <w:p>
            <w:pPr>
              <w:spacing w:after="0"/>
              <w:rPr>
                <w:sz w:val="12"/>
                <w:szCs w:val="12"/>
                <w:color w:val="auto"/>
              </w:rPr>
            </w:pPr>
          </w:p>
        </w:tc>
        <w:tc>
          <w:tcPr>
            <w:tcW w:w="1320" w:type="dxa"/>
            <w:vAlign w:val="bottom"/>
            <w:tcBorders>
              <w:right w:val="single" w:sz="8" w:color="auto"/>
            </w:tcBorders>
            <w:gridSpan w:val="3"/>
          </w:tcPr>
          <w:p>
            <w:pPr>
              <w:jc w:val="center"/>
              <w:ind w:right="500"/>
              <w:spacing w:after="0" w:line="149" w:lineRule="exact"/>
              <w:rPr>
                <w:sz w:val="20"/>
                <w:szCs w:val="20"/>
                <w:color w:val="auto"/>
              </w:rPr>
            </w:pPr>
            <w:r>
              <w:rPr>
                <w:rFonts w:ascii="Arial" w:cs="Arial" w:eastAsia="Arial" w:hAnsi="Arial"/>
                <w:sz w:val="14"/>
                <w:szCs w:val="14"/>
                <w:b w:val="1"/>
                <w:bCs w:val="1"/>
                <w:color w:val="auto"/>
                <w:w w:val="85"/>
              </w:rPr>
              <w:t>September 30,</w:t>
            </w:r>
          </w:p>
        </w:tc>
        <w:tc>
          <w:tcPr>
            <w:tcW w:w="300" w:type="dxa"/>
            <w:vAlign w:val="bottom"/>
          </w:tcPr>
          <w:p>
            <w:pPr>
              <w:spacing w:after="0"/>
              <w:rPr>
                <w:sz w:val="12"/>
                <w:szCs w:val="12"/>
                <w:color w:val="auto"/>
              </w:rPr>
            </w:pPr>
          </w:p>
        </w:tc>
        <w:tc>
          <w:tcPr>
            <w:tcW w:w="920" w:type="dxa"/>
            <w:vAlign w:val="bottom"/>
            <w:gridSpan w:val="3"/>
          </w:tcPr>
          <w:p>
            <w:pPr>
              <w:jc w:val="center"/>
              <w:ind w:right="420"/>
              <w:spacing w:after="0" w:line="149" w:lineRule="exact"/>
              <w:rPr>
                <w:sz w:val="20"/>
                <w:szCs w:val="20"/>
                <w:color w:val="auto"/>
              </w:rPr>
            </w:pPr>
            <w:r>
              <w:rPr>
                <w:rFonts w:ascii="Arial" w:cs="Arial" w:eastAsia="Arial" w:hAnsi="Arial"/>
                <w:sz w:val="14"/>
                <w:szCs w:val="14"/>
                <w:b w:val="1"/>
                <w:bCs w:val="1"/>
                <w:color w:val="auto"/>
                <w:w w:val="87"/>
              </w:rPr>
              <w:t>July 9,</w:t>
            </w:r>
          </w:p>
        </w:tc>
        <w:tc>
          <w:tcPr>
            <w:tcW w:w="100" w:type="dxa"/>
            <w:vAlign w:val="bottom"/>
          </w:tcPr>
          <w:p>
            <w:pPr>
              <w:spacing w:after="0"/>
              <w:rPr>
                <w:sz w:val="12"/>
                <w:szCs w:val="12"/>
                <w:color w:val="auto"/>
              </w:rPr>
            </w:pPr>
          </w:p>
        </w:tc>
        <w:tc>
          <w:tcPr>
            <w:tcW w:w="66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1"/>
              </w:rPr>
              <w:t>July 9,</w:t>
            </w:r>
          </w:p>
        </w:tc>
      </w:tr>
      <w:tr>
        <w:trPr>
          <w:trHeight w:val="161"/>
        </w:trPr>
        <w:tc>
          <w:tcPr>
            <w:tcW w:w="570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ind w:right="202"/>
              <w:spacing w:after="0"/>
              <w:rPr>
                <w:sz w:val="20"/>
                <w:szCs w:val="20"/>
                <w:color w:val="auto"/>
              </w:rPr>
            </w:pPr>
            <w:r>
              <w:rPr>
                <w:rFonts w:ascii="Arial" w:cs="Arial" w:eastAsia="Arial" w:hAnsi="Arial"/>
                <w:sz w:val="14"/>
                <w:szCs w:val="14"/>
                <w:b w:val="1"/>
                <w:bCs w:val="1"/>
                <w:color w:val="auto"/>
              </w:rPr>
              <w:t>2010</w:t>
            </w:r>
          </w:p>
        </w:tc>
        <w:tc>
          <w:tcPr>
            <w:tcW w:w="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center"/>
              <w:ind w:right="44"/>
              <w:spacing w:after="0"/>
              <w:rPr>
                <w:sz w:val="20"/>
                <w:szCs w:val="20"/>
                <w:color w:val="auto"/>
              </w:rPr>
            </w:pPr>
            <w:r>
              <w:rPr>
                <w:rFonts w:ascii="Arial" w:cs="Arial" w:eastAsia="Arial" w:hAnsi="Arial"/>
                <w:sz w:val="14"/>
                <w:szCs w:val="14"/>
                <w:b w:val="1"/>
                <w:bCs w:val="1"/>
                <w:color w:val="auto"/>
                <w:w w:val="89"/>
              </w:rPr>
              <w:t>2010</w:t>
            </w:r>
          </w:p>
        </w:tc>
        <w:tc>
          <w:tcPr>
            <w:tcW w:w="38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center"/>
              <w:ind w:right="22"/>
              <w:spacing w:after="0"/>
              <w:rPr>
                <w:sz w:val="20"/>
                <w:szCs w:val="20"/>
                <w:color w:val="auto"/>
              </w:rPr>
            </w:pPr>
            <w:r>
              <w:rPr>
                <w:rFonts w:ascii="Arial" w:cs="Arial" w:eastAsia="Arial" w:hAnsi="Arial"/>
                <w:sz w:val="14"/>
                <w:szCs w:val="14"/>
                <w:b w:val="1"/>
                <w:bCs w:val="1"/>
                <w:color w:val="auto"/>
                <w:w w:val="89"/>
              </w:rPr>
              <w:t>2009</w:t>
            </w:r>
          </w:p>
        </w:tc>
        <w:tc>
          <w:tcPr>
            <w:tcW w:w="500" w:type="dxa"/>
            <w:vAlign w:val="bottom"/>
            <w:tcBorders>
              <w:right w:val="single" w:sz="8" w:color="auto"/>
            </w:tcBorders>
          </w:tcPr>
          <w:p>
            <w:pPr>
              <w:spacing w:after="0"/>
              <w:rPr>
                <w:sz w:val="14"/>
                <w:szCs w:val="14"/>
                <w:color w:val="auto"/>
              </w:rPr>
            </w:pPr>
          </w:p>
        </w:tc>
        <w:tc>
          <w:tcPr>
            <w:tcW w:w="3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jc w:val="center"/>
              <w:ind w:right="24"/>
              <w:spacing w:after="0"/>
              <w:rPr>
                <w:sz w:val="20"/>
                <w:szCs w:val="20"/>
                <w:color w:val="auto"/>
              </w:rPr>
            </w:pPr>
            <w:r>
              <w:rPr>
                <w:rFonts w:ascii="Arial" w:cs="Arial" w:eastAsia="Arial" w:hAnsi="Arial"/>
                <w:sz w:val="14"/>
                <w:szCs w:val="14"/>
                <w:b w:val="1"/>
                <w:bCs w:val="1"/>
                <w:color w:val="auto"/>
                <w:w w:val="83"/>
              </w:rPr>
              <w:t>2009</w:t>
            </w:r>
          </w:p>
        </w:tc>
        <w:tc>
          <w:tcPr>
            <w:tcW w:w="4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jc w:val="center"/>
              <w:ind w:right="44"/>
              <w:spacing w:after="0"/>
              <w:rPr>
                <w:sz w:val="20"/>
                <w:szCs w:val="20"/>
                <w:color w:val="auto"/>
              </w:rPr>
            </w:pPr>
            <w:r>
              <w:rPr>
                <w:rFonts w:ascii="Arial" w:cs="Arial" w:eastAsia="Arial" w:hAnsi="Arial"/>
                <w:sz w:val="14"/>
                <w:szCs w:val="14"/>
                <w:b w:val="1"/>
                <w:bCs w:val="1"/>
                <w:color w:val="auto"/>
                <w:w w:val="89"/>
              </w:rPr>
              <w:t>2009</w:t>
            </w:r>
          </w:p>
        </w:tc>
        <w:tc>
          <w:tcPr>
            <w:tcW w:w="100" w:type="dxa"/>
            <w:vAlign w:val="bottom"/>
          </w:tcPr>
          <w:p>
            <w:pPr>
              <w:spacing w:after="0"/>
              <w:rPr>
                <w:sz w:val="14"/>
                <w:szCs w:val="14"/>
                <w:color w:val="auto"/>
              </w:rPr>
            </w:pPr>
          </w:p>
        </w:tc>
      </w:tr>
      <w:tr>
        <w:trPr>
          <w:trHeight w:val="210"/>
        </w:trPr>
        <w:tc>
          <w:tcPr>
            <w:tcW w:w="57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net sales and revenue</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8,702</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25,366</w:t>
            </w: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0" w:type="dxa"/>
            <w:vAlign w:val="bottom"/>
            <w:tcBorders>
              <w:right w:val="single" w:sz="8" w:color="auto"/>
            </w:tcBorders>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6,395</w:t>
            </w: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543</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8"/>
              </w:rPr>
              <w:t>11,698</w:t>
            </w:r>
          </w:p>
        </w:tc>
      </w:tr>
      <w:tr>
        <w:trPr>
          <w:trHeight w:val="216"/>
        </w:trPr>
        <w:tc>
          <w:tcPr>
            <w:tcW w:w="5700" w:type="dxa"/>
            <w:vAlign w:val="bottom"/>
          </w:tcPr>
          <w:p>
            <w:pPr>
              <w:spacing w:after="0"/>
              <w:rPr>
                <w:sz w:val="20"/>
                <w:szCs w:val="20"/>
                <w:color w:val="auto"/>
              </w:rPr>
            </w:pPr>
            <w:r>
              <w:rPr>
                <w:rFonts w:ascii="Arial" w:cs="Arial" w:eastAsia="Arial" w:hAnsi="Arial"/>
                <w:sz w:val="18"/>
                <w:szCs w:val="18"/>
                <w:b w:val="1"/>
                <w:bCs w:val="1"/>
                <w:color w:val="auto"/>
              </w:rPr>
              <w:t>Earnings (loss) before interest and income taxes</w:t>
            </w: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200"/>
              <w:spacing w:after="0"/>
              <w:rPr>
                <w:sz w:val="20"/>
                <w:szCs w:val="20"/>
                <w:color w:val="auto"/>
              </w:rPr>
            </w:pPr>
            <w:r>
              <w:rPr>
                <w:rFonts w:ascii="Arial" w:cs="Arial" w:eastAsia="Arial" w:hAnsi="Arial"/>
                <w:sz w:val="18"/>
                <w:szCs w:val="18"/>
                <w:color w:val="auto"/>
              </w:rPr>
              <w:t>646</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2,484</w:t>
            </w:r>
          </w:p>
        </w:tc>
        <w:tc>
          <w:tcPr>
            <w:tcW w:w="5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00" w:type="dxa"/>
            <w:vAlign w:val="bottom"/>
            <w:tcBorders>
              <w:right w:val="single" w:sz="8" w:color="auto"/>
            </w:tcBorders>
            <w:gridSpan w:val="2"/>
          </w:tcPr>
          <w:p>
            <w:pPr>
              <w:jc w:val="right"/>
              <w:ind w:right="500"/>
              <w:spacing w:after="0"/>
              <w:rPr>
                <w:sz w:val="20"/>
                <w:szCs w:val="20"/>
                <w:color w:val="auto"/>
              </w:rPr>
            </w:pPr>
            <w:r>
              <w:rPr>
                <w:rFonts w:ascii="Arial" w:cs="Arial" w:eastAsia="Arial" w:hAnsi="Arial"/>
                <w:sz w:val="18"/>
                <w:szCs w:val="18"/>
                <w:color w:val="auto"/>
              </w:rPr>
              <w:t>474</w:t>
            </w:r>
          </w:p>
        </w:tc>
        <w:tc>
          <w:tcPr>
            <w:tcW w:w="4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360"/>
              <w:spacing w:after="0"/>
              <w:rPr>
                <w:sz w:val="20"/>
                <w:szCs w:val="20"/>
                <w:color w:val="auto"/>
              </w:rPr>
            </w:pPr>
            <w:r>
              <w:rPr>
                <w:rFonts w:ascii="Arial" w:cs="Arial" w:eastAsia="Arial" w:hAnsi="Arial"/>
                <w:sz w:val="18"/>
                <w:szCs w:val="18"/>
                <w:color w:val="auto"/>
              </w:rPr>
              <w:t>(265)</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gridSpan w:val="2"/>
          </w:tcPr>
          <w:p>
            <w:pPr>
              <w:jc w:val="right"/>
              <w:ind w:right="40"/>
              <w:spacing w:after="0"/>
              <w:rPr>
                <w:sz w:val="20"/>
                <w:szCs w:val="20"/>
                <w:color w:val="auto"/>
              </w:rPr>
            </w:pPr>
            <w:r>
              <w:rPr>
                <w:rFonts w:ascii="Arial" w:cs="Arial" w:eastAsia="Arial" w:hAnsi="Arial"/>
                <w:sz w:val="18"/>
                <w:szCs w:val="18"/>
                <w:color w:val="auto"/>
              </w:rPr>
              <w:t>(964)</w:t>
            </w:r>
          </w:p>
        </w:tc>
      </w:tr>
    </w:tbl>
    <w:p>
      <w:pPr>
        <w:spacing w:after="0" w:line="154"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Production and Vehicle Sales Volume</w:t>
      </w:r>
    </w:p>
    <w:p>
      <w:pPr>
        <w:spacing w:after="0" w:line="171" w:lineRule="exact"/>
        <w:rPr>
          <w:sz w:val="20"/>
          <w:szCs w:val="20"/>
          <w:color w:val="auto"/>
        </w:rPr>
      </w:pPr>
    </w:p>
    <w:p>
      <w:pPr>
        <w:ind w:left="240"/>
        <w:spacing w:after="0"/>
        <w:rPr>
          <w:sz w:val="20"/>
          <w:szCs w:val="20"/>
          <w:color w:val="auto"/>
        </w:rPr>
      </w:pPr>
      <w:r>
        <w:rPr>
          <w:rFonts w:ascii="Arial" w:cs="Arial" w:eastAsia="Arial" w:hAnsi="Arial"/>
          <w:sz w:val="18"/>
          <w:szCs w:val="18"/>
          <w:color w:val="auto"/>
        </w:rPr>
        <w:t>The following tables summarize total production volume and sales of new motor vehicles and competitive position (in thousands):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40" w:type="dxa"/>
            <w:vAlign w:val="bottom"/>
            <w:gridSpan w:val="2"/>
          </w:tcPr>
          <w:p>
            <w:pPr>
              <w:jc w:val="right"/>
              <w:ind w:right="792"/>
              <w:spacing w:after="0"/>
              <w:rPr>
                <w:sz w:val="20"/>
                <w:szCs w:val="20"/>
                <w:color w:val="auto"/>
              </w:rPr>
            </w:pPr>
            <w:r>
              <w:rPr>
                <w:rFonts w:ascii="Arial" w:cs="Arial" w:eastAsia="Arial" w:hAnsi="Arial"/>
                <w:sz w:val="14"/>
                <w:szCs w:val="14"/>
                <w:b w:val="1"/>
                <w:bCs w:val="1"/>
                <w:color w:val="auto"/>
                <w:w w:val="79"/>
              </w:rPr>
              <w:t>Successor</w:t>
            </w:r>
          </w:p>
        </w:tc>
        <w:tc>
          <w:tcPr>
            <w:tcW w:w="640" w:type="dxa"/>
            <w:vAlign w:val="bottom"/>
          </w:tcPr>
          <w:p>
            <w:pPr>
              <w:spacing w:after="0"/>
              <w:rPr>
                <w:sz w:val="14"/>
                <w:szCs w:val="14"/>
                <w:color w:val="auto"/>
              </w:rPr>
            </w:pPr>
          </w:p>
        </w:tc>
        <w:tc>
          <w:tcPr>
            <w:tcW w:w="2380" w:type="dxa"/>
            <w:vAlign w:val="bottom"/>
            <w:gridSpan w:val="4"/>
          </w:tcPr>
          <w:p>
            <w:pPr>
              <w:ind w:left="320"/>
              <w:spacing w:after="0"/>
              <w:rPr>
                <w:sz w:val="20"/>
                <w:szCs w:val="20"/>
                <w:color w:val="auto"/>
              </w:rPr>
            </w:pPr>
            <w:r>
              <w:rPr>
                <w:rFonts w:ascii="Arial" w:cs="Arial" w:eastAsia="Arial" w:hAnsi="Arial"/>
                <w:sz w:val="14"/>
                <w:szCs w:val="14"/>
                <w:b w:val="1"/>
                <w:bCs w:val="1"/>
                <w:color w:val="auto"/>
              </w:rPr>
              <w:t>Combined GM and Old GM</w:t>
            </w:r>
          </w:p>
        </w:tc>
      </w:tr>
      <w:tr>
        <w:trPr>
          <w:trHeight w:val="129"/>
        </w:trPr>
        <w:tc>
          <w:tcPr>
            <w:tcW w:w="6120" w:type="dxa"/>
            <w:vAlign w:val="bottom"/>
          </w:tcPr>
          <w:p>
            <w:pPr>
              <w:spacing w:after="0"/>
              <w:rPr>
                <w:sz w:val="11"/>
                <w:szCs w:val="11"/>
                <w:color w:val="auto"/>
              </w:rPr>
            </w:pPr>
          </w:p>
        </w:tc>
        <w:tc>
          <w:tcPr>
            <w:tcW w:w="840" w:type="dxa"/>
            <w:vAlign w:val="bottom"/>
            <w:tcBorders>
              <w:top w:val="single" w:sz="8" w:color="auto"/>
            </w:tcBorders>
            <w:gridSpan w:val="2"/>
          </w:tcPr>
          <w:p>
            <w:pPr>
              <w:jc w:val="center"/>
              <w:ind w:right="20"/>
              <w:spacing w:after="0" w:line="129" w:lineRule="exact"/>
              <w:rPr>
                <w:sz w:val="20"/>
                <w:szCs w:val="20"/>
                <w:color w:val="auto"/>
              </w:rPr>
            </w:pPr>
            <w:r>
              <w:rPr>
                <w:rFonts w:ascii="Arial" w:cs="Arial" w:eastAsia="Arial" w:hAnsi="Arial"/>
                <w:sz w:val="14"/>
                <w:szCs w:val="14"/>
                <w:b w:val="1"/>
                <w:bCs w:val="1"/>
                <w:color w:val="auto"/>
                <w:w w:val="89"/>
              </w:rPr>
              <w:t>Three Months</w:t>
            </w:r>
          </w:p>
        </w:tc>
        <w:tc>
          <w:tcPr>
            <w:tcW w:w="620" w:type="dxa"/>
            <w:vAlign w:val="bottom"/>
            <w:tcBorders>
              <w:top w:val="single" w:sz="8" w:color="auto"/>
            </w:tcBorders>
          </w:tcPr>
          <w:p>
            <w:pPr>
              <w:spacing w:after="0"/>
              <w:rPr>
                <w:sz w:val="11"/>
                <w:szCs w:val="11"/>
                <w:color w:val="auto"/>
              </w:rPr>
            </w:pPr>
          </w:p>
        </w:tc>
        <w:tc>
          <w:tcPr>
            <w:tcW w:w="820" w:type="dxa"/>
            <w:vAlign w:val="bottom"/>
            <w:tcBorders>
              <w:top w:val="single" w:sz="8" w:color="auto"/>
            </w:tcBorders>
          </w:tcPr>
          <w:p>
            <w:pPr>
              <w:jc w:val="center"/>
              <w:spacing w:after="0" w:line="129" w:lineRule="exact"/>
              <w:rPr>
                <w:sz w:val="20"/>
                <w:szCs w:val="20"/>
                <w:color w:val="auto"/>
              </w:rPr>
            </w:pPr>
            <w:r>
              <w:rPr>
                <w:rFonts w:ascii="Arial" w:cs="Arial" w:eastAsia="Arial" w:hAnsi="Arial"/>
                <w:sz w:val="14"/>
                <w:szCs w:val="14"/>
                <w:b w:val="1"/>
                <w:bCs w:val="1"/>
                <w:color w:val="auto"/>
                <w:w w:val="88"/>
              </w:rPr>
              <w:t>Nine Months</w:t>
            </w:r>
          </w:p>
        </w:tc>
        <w:tc>
          <w:tcPr>
            <w:tcW w:w="640" w:type="dxa"/>
            <w:vAlign w:val="bottom"/>
          </w:tcPr>
          <w:p>
            <w:pPr>
              <w:spacing w:after="0"/>
              <w:rPr>
                <w:sz w:val="11"/>
                <w:szCs w:val="11"/>
                <w:color w:val="auto"/>
              </w:rPr>
            </w:pPr>
          </w:p>
        </w:tc>
        <w:tc>
          <w:tcPr>
            <w:tcW w:w="820" w:type="dxa"/>
            <w:vAlign w:val="bottom"/>
            <w:tcBorders>
              <w:top w:val="single" w:sz="8" w:color="auto"/>
            </w:tcBorders>
          </w:tcPr>
          <w:p>
            <w:pPr>
              <w:jc w:val="center"/>
              <w:spacing w:after="0" w:line="129" w:lineRule="exact"/>
              <w:rPr>
                <w:sz w:val="20"/>
                <w:szCs w:val="20"/>
                <w:color w:val="auto"/>
              </w:rPr>
            </w:pPr>
            <w:r>
              <w:rPr>
                <w:rFonts w:ascii="Arial" w:cs="Arial" w:eastAsia="Arial" w:hAnsi="Arial"/>
                <w:sz w:val="14"/>
                <w:szCs w:val="14"/>
                <w:b w:val="1"/>
                <w:bCs w:val="1"/>
                <w:color w:val="auto"/>
                <w:w w:val="89"/>
              </w:rPr>
              <w:t>Three Months</w:t>
            </w:r>
          </w:p>
        </w:tc>
        <w:tc>
          <w:tcPr>
            <w:tcW w:w="640" w:type="dxa"/>
            <w:vAlign w:val="bottom"/>
            <w:tcBorders>
              <w:top w:val="single" w:sz="8" w:color="auto"/>
            </w:tcBorders>
          </w:tcPr>
          <w:p>
            <w:pPr>
              <w:spacing w:after="0"/>
              <w:rPr>
                <w:sz w:val="11"/>
                <w:szCs w:val="11"/>
                <w:color w:val="auto"/>
              </w:rPr>
            </w:pPr>
          </w:p>
        </w:tc>
        <w:tc>
          <w:tcPr>
            <w:tcW w:w="820" w:type="dxa"/>
            <w:vAlign w:val="bottom"/>
            <w:tcBorders>
              <w:top w:val="single" w:sz="8" w:color="auto"/>
            </w:tcBorders>
          </w:tcPr>
          <w:p>
            <w:pPr>
              <w:jc w:val="center"/>
              <w:spacing w:after="0" w:line="129" w:lineRule="exact"/>
              <w:rPr>
                <w:sz w:val="20"/>
                <w:szCs w:val="20"/>
                <w:color w:val="auto"/>
              </w:rPr>
            </w:pPr>
            <w:r>
              <w:rPr>
                <w:rFonts w:ascii="Arial" w:cs="Arial" w:eastAsia="Arial" w:hAnsi="Arial"/>
                <w:sz w:val="14"/>
                <w:szCs w:val="14"/>
                <w:b w:val="1"/>
                <w:bCs w:val="1"/>
                <w:color w:val="auto"/>
                <w:w w:val="88"/>
              </w:rPr>
              <w:t>Nine Months</w:t>
            </w:r>
          </w:p>
        </w:tc>
        <w:tc>
          <w:tcPr>
            <w:tcW w:w="100" w:type="dxa"/>
            <w:vAlign w:val="bottom"/>
          </w:tcPr>
          <w:p>
            <w:pPr>
              <w:spacing w:after="0"/>
              <w:rPr>
                <w:sz w:val="11"/>
                <w:szCs w:val="11"/>
                <w:color w:val="auto"/>
              </w:rPr>
            </w:pPr>
          </w:p>
        </w:tc>
      </w:tr>
      <w:tr>
        <w:trPr>
          <w:trHeight w:val="149"/>
        </w:trPr>
        <w:tc>
          <w:tcPr>
            <w:tcW w:w="6120" w:type="dxa"/>
            <w:vAlign w:val="bottom"/>
          </w:tcPr>
          <w:p>
            <w:pPr>
              <w:spacing w:after="0"/>
              <w:rPr>
                <w:sz w:val="12"/>
                <w:szCs w:val="12"/>
                <w:color w:val="auto"/>
              </w:rPr>
            </w:pPr>
          </w:p>
        </w:tc>
        <w:tc>
          <w:tcPr>
            <w:tcW w:w="84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4"/>
              </w:rPr>
              <w:t>Ended</w:t>
            </w:r>
          </w:p>
        </w:tc>
        <w:tc>
          <w:tcPr>
            <w:tcW w:w="620" w:type="dxa"/>
            <w:vAlign w:val="bottom"/>
          </w:tcPr>
          <w:p>
            <w:pPr>
              <w:spacing w:after="0"/>
              <w:rPr>
                <w:sz w:val="12"/>
                <w:szCs w:val="12"/>
                <w:color w:val="auto"/>
              </w:rPr>
            </w:pPr>
          </w:p>
        </w:tc>
        <w:tc>
          <w:tcPr>
            <w:tcW w:w="8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Ended</w:t>
            </w:r>
          </w:p>
        </w:tc>
        <w:tc>
          <w:tcPr>
            <w:tcW w:w="640" w:type="dxa"/>
            <w:vAlign w:val="bottom"/>
          </w:tcPr>
          <w:p>
            <w:pPr>
              <w:spacing w:after="0"/>
              <w:rPr>
                <w:sz w:val="12"/>
                <w:szCs w:val="12"/>
                <w:color w:val="auto"/>
              </w:rPr>
            </w:pPr>
          </w:p>
        </w:tc>
        <w:tc>
          <w:tcPr>
            <w:tcW w:w="8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Ended</w:t>
            </w:r>
          </w:p>
        </w:tc>
        <w:tc>
          <w:tcPr>
            <w:tcW w:w="640" w:type="dxa"/>
            <w:vAlign w:val="bottom"/>
          </w:tcPr>
          <w:p>
            <w:pPr>
              <w:spacing w:after="0"/>
              <w:rPr>
                <w:sz w:val="12"/>
                <w:szCs w:val="12"/>
                <w:color w:val="auto"/>
              </w:rPr>
            </w:pPr>
          </w:p>
        </w:tc>
        <w:tc>
          <w:tcPr>
            <w:tcW w:w="92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88"/>
              </w:rPr>
              <w:t>Ended</w:t>
            </w:r>
          </w:p>
        </w:tc>
      </w:tr>
      <w:tr>
        <w:trPr>
          <w:trHeight w:val="149"/>
        </w:trPr>
        <w:tc>
          <w:tcPr>
            <w:tcW w:w="6120" w:type="dxa"/>
            <w:vAlign w:val="bottom"/>
          </w:tcPr>
          <w:p>
            <w:pPr>
              <w:spacing w:after="0"/>
              <w:rPr>
                <w:sz w:val="12"/>
                <w:szCs w:val="12"/>
                <w:color w:val="auto"/>
              </w:rPr>
            </w:pPr>
          </w:p>
        </w:tc>
        <w:tc>
          <w:tcPr>
            <w:tcW w:w="840" w:type="dxa"/>
            <w:vAlign w:val="bottom"/>
            <w:gridSpan w:val="2"/>
          </w:tcPr>
          <w:p>
            <w:pPr>
              <w:jc w:val="center"/>
              <w:ind w:right="20"/>
              <w:spacing w:after="0" w:line="149" w:lineRule="exact"/>
              <w:rPr>
                <w:sz w:val="20"/>
                <w:szCs w:val="20"/>
                <w:color w:val="auto"/>
              </w:rPr>
            </w:pPr>
            <w:r>
              <w:rPr>
                <w:rFonts w:ascii="Arial" w:cs="Arial" w:eastAsia="Arial" w:hAnsi="Arial"/>
                <w:sz w:val="14"/>
                <w:szCs w:val="14"/>
                <w:b w:val="1"/>
                <w:bCs w:val="1"/>
                <w:color w:val="auto"/>
                <w:w w:val="85"/>
              </w:rPr>
              <w:t>September 30,</w:t>
            </w:r>
          </w:p>
        </w:tc>
        <w:tc>
          <w:tcPr>
            <w:tcW w:w="620" w:type="dxa"/>
            <w:vAlign w:val="bottom"/>
          </w:tcPr>
          <w:p>
            <w:pPr>
              <w:spacing w:after="0"/>
              <w:rPr>
                <w:sz w:val="12"/>
                <w:szCs w:val="12"/>
                <w:color w:val="auto"/>
              </w:rPr>
            </w:pPr>
          </w:p>
        </w:tc>
        <w:tc>
          <w:tcPr>
            <w:tcW w:w="8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5"/>
              </w:rPr>
              <w:t>September 30,</w:t>
            </w:r>
          </w:p>
        </w:tc>
        <w:tc>
          <w:tcPr>
            <w:tcW w:w="640" w:type="dxa"/>
            <w:vAlign w:val="bottom"/>
          </w:tcPr>
          <w:p>
            <w:pPr>
              <w:spacing w:after="0"/>
              <w:rPr>
                <w:sz w:val="12"/>
                <w:szCs w:val="12"/>
                <w:color w:val="auto"/>
              </w:rPr>
            </w:pPr>
          </w:p>
        </w:tc>
        <w:tc>
          <w:tcPr>
            <w:tcW w:w="8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5"/>
              </w:rPr>
              <w:t>September 30,</w:t>
            </w:r>
          </w:p>
        </w:tc>
        <w:tc>
          <w:tcPr>
            <w:tcW w:w="640" w:type="dxa"/>
            <w:vAlign w:val="bottom"/>
          </w:tcPr>
          <w:p>
            <w:pPr>
              <w:spacing w:after="0"/>
              <w:rPr>
                <w:sz w:val="12"/>
                <w:szCs w:val="12"/>
                <w:color w:val="auto"/>
              </w:rPr>
            </w:pPr>
          </w:p>
        </w:tc>
        <w:tc>
          <w:tcPr>
            <w:tcW w:w="92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85"/>
              </w:rPr>
              <w:t>September 30,</w:t>
            </w:r>
          </w:p>
        </w:tc>
      </w:tr>
      <w:tr>
        <w:trPr>
          <w:trHeight w:val="161"/>
        </w:trPr>
        <w:tc>
          <w:tcPr>
            <w:tcW w:w="6120" w:type="dxa"/>
            <w:vAlign w:val="bottom"/>
          </w:tcPr>
          <w:p>
            <w:pPr>
              <w:spacing w:after="0"/>
              <w:rPr>
                <w:sz w:val="14"/>
                <w:szCs w:val="14"/>
                <w:color w:val="auto"/>
              </w:rPr>
            </w:pPr>
          </w:p>
        </w:tc>
        <w:tc>
          <w:tcPr>
            <w:tcW w:w="8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2010</w:t>
            </w:r>
          </w:p>
        </w:tc>
        <w:tc>
          <w:tcPr>
            <w:tcW w:w="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2010</w:t>
            </w:r>
          </w:p>
        </w:tc>
        <w:tc>
          <w:tcPr>
            <w:tcW w:w="640" w:type="dxa"/>
            <w:vAlign w:val="bottom"/>
          </w:tcPr>
          <w:p>
            <w:pPr>
              <w:spacing w:after="0"/>
              <w:rPr>
                <w:sz w:val="14"/>
                <w:szCs w:val="14"/>
                <w:color w:val="auto"/>
              </w:rPr>
            </w:pPr>
          </w:p>
        </w:tc>
        <w:tc>
          <w:tcPr>
            <w:tcW w:w="8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2009</w:t>
            </w:r>
          </w:p>
        </w:tc>
        <w:tc>
          <w:tcPr>
            <w:tcW w:w="640" w:type="dxa"/>
            <w:vAlign w:val="bottom"/>
          </w:tcPr>
          <w:p>
            <w:pPr>
              <w:spacing w:after="0"/>
              <w:rPr>
                <w:sz w:val="14"/>
                <w:szCs w:val="14"/>
                <w:color w:val="auto"/>
              </w:rPr>
            </w:pPr>
          </w:p>
        </w:tc>
        <w:tc>
          <w:tcPr>
            <w:tcW w:w="8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3"/>
              </w:rPr>
              <w:t>2009</w:t>
            </w:r>
          </w:p>
        </w:tc>
        <w:tc>
          <w:tcPr>
            <w:tcW w:w="100" w:type="dxa"/>
            <w:vAlign w:val="bottom"/>
          </w:tcPr>
          <w:p>
            <w:pPr>
              <w:spacing w:after="0"/>
              <w:rPr>
                <w:sz w:val="14"/>
                <w:szCs w:val="14"/>
                <w:color w:val="auto"/>
              </w:rPr>
            </w:pPr>
          </w:p>
        </w:tc>
      </w:tr>
      <w:tr>
        <w:trPr>
          <w:trHeight w:val="210"/>
        </w:trPr>
        <w:tc>
          <w:tcPr>
            <w:tcW w:w="6120" w:type="dxa"/>
            <w:vAlign w:val="bottom"/>
            <w:shd w:val="clear" w:color="auto" w:fill="CCEEFF"/>
          </w:tcPr>
          <w:p>
            <w:pPr>
              <w:spacing w:after="0"/>
              <w:rPr>
                <w:sz w:val="20"/>
                <w:szCs w:val="20"/>
                <w:color w:val="auto"/>
              </w:rPr>
            </w:pPr>
            <w:r>
              <w:rPr>
                <w:rFonts w:ascii="Arial" w:cs="Arial" w:eastAsia="Arial" w:hAnsi="Arial"/>
                <w:sz w:val="18"/>
                <w:szCs w:val="18"/>
                <w:color w:val="auto"/>
              </w:rPr>
              <w:t>Production Volume (a)(b)(c)</w:t>
            </w:r>
          </w:p>
        </w:tc>
        <w:tc>
          <w:tcPr>
            <w:tcW w:w="8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1,111</w:t>
            </w:r>
          </w:p>
        </w:tc>
        <w:tc>
          <w:tcPr>
            <w:tcW w:w="1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3,418</w:t>
            </w:r>
          </w:p>
        </w:tc>
        <w:tc>
          <w:tcPr>
            <w:tcW w:w="1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910</w:t>
            </w:r>
          </w:p>
        </w:tc>
        <w:tc>
          <w:tcPr>
            <w:tcW w:w="1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2,433</w:t>
            </w:r>
          </w:p>
        </w:tc>
        <w:tc>
          <w:tcPr>
            <w:tcW w:w="100" w:type="dxa"/>
            <w:vAlign w:val="bottom"/>
            <w:shd w:val="clear" w:color="auto" w:fill="CCEEFF"/>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728980" cy="889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20" w:lineRule="exact"/>
        <w:rPr>
          <w:sz w:val="20"/>
          <w:szCs w:val="20"/>
          <w:color w:val="auto"/>
        </w:rPr>
      </w:pPr>
    </w:p>
    <w:p>
      <w:pPr>
        <w:ind w:left="460" w:right="20" w:hanging="452"/>
        <w:spacing w:after="0" w:line="268" w:lineRule="auto"/>
        <w:tabs>
          <w:tab w:leader="none" w:pos="460" w:val="left"/>
        </w:tabs>
        <w:numPr>
          <w:ilvl w:val="0"/>
          <w:numId w:val="83"/>
        </w:numPr>
        <w:rPr>
          <w:rFonts w:ascii="Arial" w:cs="Arial" w:eastAsia="Arial" w:hAnsi="Arial"/>
          <w:sz w:val="18"/>
          <w:szCs w:val="18"/>
          <w:color w:val="auto"/>
        </w:rPr>
      </w:pPr>
      <w:r>
        <w:rPr>
          <w:rFonts w:ascii="Arial" w:cs="Arial" w:eastAsia="Arial" w:hAnsi="Arial"/>
          <w:sz w:val="18"/>
          <w:szCs w:val="18"/>
          <w:color w:val="auto"/>
        </w:rPr>
        <w:t>Production volume represents the number of vehicles manufactured by our and Old GM’s assembly facilities and also includes vehicles produced by certain joint ventures.</w:t>
      </w:r>
    </w:p>
    <w:p>
      <w:pPr>
        <w:spacing w:after="0" w:line="50" w:lineRule="exact"/>
        <w:rPr>
          <w:rFonts w:ascii="Arial" w:cs="Arial" w:eastAsia="Arial" w:hAnsi="Arial"/>
          <w:sz w:val="18"/>
          <w:szCs w:val="18"/>
          <w:color w:val="auto"/>
        </w:rPr>
      </w:pPr>
    </w:p>
    <w:p>
      <w:pPr>
        <w:ind w:left="460" w:right="40" w:hanging="452"/>
        <w:spacing w:after="0" w:line="298" w:lineRule="auto"/>
        <w:tabs>
          <w:tab w:leader="none" w:pos="460" w:val="left"/>
        </w:tabs>
        <w:numPr>
          <w:ilvl w:val="0"/>
          <w:numId w:val="83"/>
        </w:numPr>
        <w:rPr>
          <w:rFonts w:ascii="Arial" w:cs="Arial" w:eastAsia="Arial" w:hAnsi="Arial"/>
          <w:sz w:val="16"/>
          <w:szCs w:val="16"/>
          <w:color w:val="auto"/>
        </w:rPr>
      </w:pPr>
      <w:r>
        <w:rPr>
          <w:rFonts w:ascii="Arial" w:cs="Arial" w:eastAsia="Arial" w:hAnsi="Arial"/>
          <w:sz w:val="16"/>
          <w:szCs w:val="16"/>
          <w:color w:val="auto"/>
        </w:rPr>
        <w:t>Includes SGM joint venture production in China of 246,000 vehicles and 735,000 vehicles and SGMW, FAW-GM joint venture production in China and HKJV joint venture production in India of 321,000 vehicles and 1.1 million vehicles in the three and nine months ended September 30, 2010 and combined GM and Old GM SGM joint venture production in China of 191,000 vehicles and 473,000 vehicles and combined GM and Old GM SGMW and FAW-GM joint venture production in China of 290,000 vehicles and 817,000 vehicles in the three and nine months ended September 30, 2009.</w:t>
      </w:r>
    </w:p>
    <w:p>
      <w:pPr>
        <w:spacing w:after="0" w:line="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116</w:t>
      </w:r>
    </w:p>
    <w:p>
      <w:pPr>
        <w:sectPr>
          <w:pgSz w:w="11900" w:h="16838" w:orient="portrait"/>
          <w:cols w:equalWidth="0" w:num="1">
            <w:col w:w="11420"/>
          </w:cols>
          <w:pgMar w:left="240" w:top="459" w:right="239" w:bottom="1440" w:gutter="0" w:footer="0" w:header="0"/>
        </w:sectPr>
      </w:pPr>
    </w:p>
    <w:bookmarkStart w:id="118" w:name="page119"/>
    <w:bookmarkEnd w:id="1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258" w:lineRule="exact"/>
        <w:rPr>
          <w:sz w:val="20"/>
          <w:szCs w:val="20"/>
          <w:color w:val="auto"/>
        </w:rPr>
      </w:pPr>
    </w:p>
    <w:p>
      <w:pPr>
        <w:ind w:left="460" w:right="300" w:hanging="452"/>
        <w:spacing w:after="0" w:line="268" w:lineRule="auto"/>
        <w:tabs>
          <w:tab w:leader="none" w:pos="460" w:val="left"/>
        </w:tabs>
        <w:numPr>
          <w:ilvl w:val="0"/>
          <w:numId w:val="84"/>
        </w:numPr>
        <w:rPr>
          <w:rFonts w:ascii="Arial" w:cs="Arial" w:eastAsia="Arial" w:hAnsi="Arial"/>
          <w:sz w:val="18"/>
          <w:szCs w:val="18"/>
          <w:color w:val="auto"/>
        </w:rPr>
      </w:pPr>
      <w:r>
        <w:rPr>
          <w:rFonts w:ascii="Arial" w:cs="Arial" w:eastAsia="Arial" w:hAnsi="Arial"/>
          <w:sz w:val="18"/>
          <w:szCs w:val="18"/>
          <w:color w:val="auto"/>
        </w:rPr>
        <w:t>The joint venture agreements with SGMW (34%) and FAW-GM (50%) allow for significant rights as a member as well as the contractual right to report SGMW and FAW-GM joint venture production in China.</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760" w:type="dxa"/>
            <w:vAlign w:val="bottom"/>
          </w:tcPr>
          <w:p>
            <w:pPr>
              <w:spacing w:after="0"/>
              <w:rPr>
                <w:sz w:val="14"/>
                <w:szCs w:val="14"/>
                <w:color w:val="auto"/>
              </w:rPr>
            </w:pPr>
          </w:p>
        </w:tc>
        <w:tc>
          <w:tcPr>
            <w:tcW w:w="1620" w:type="dxa"/>
            <w:vAlign w:val="bottom"/>
            <w:gridSpan w:val="4"/>
          </w:tcPr>
          <w:p>
            <w:pPr>
              <w:jc w:val="center"/>
              <w:ind w:right="280"/>
              <w:spacing w:after="0"/>
              <w:rPr>
                <w:sz w:val="20"/>
                <w:szCs w:val="20"/>
                <w:color w:val="auto"/>
              </w:rPr>
            </w:pPr>
            <w:r>
              <w:rPr>
                <w:rFonts w:ascii="Arial" w:cs="Arial" w:eastAsia="Arial" w:hAnsi="Arial"/>
                <w:sz w:val="14"/>
                <w:szCs w:val="14"/>
                <w:b w:val="1"/>
                <w:bCs w:val="1"/>
                <w:color w:val="auto"/>
                <w:w w:val="89"/>
              </w:rPr>
              <w:t>Three Months</w:t>
            </w:r>
          </w:p>
        </w:tc>
        <w:tc>
          <w:tcPr>
            <w:tcW w:w="1320" w:type="dxa"/>
            <w:vAlign w:val="bottom"/>
            <w:gridSpan w:val="3"/>
          </w:tcPr>
          <w:p>
            <w:pPr>
              <w:jc w:val="center"/>
              <w:spacing w:after="0"/>
              <w:rPr>
                <w:sz w:val="20"/>
                <w:szCs w:val="20"/>
                <w:color w:val="auto"/>
              </w:rPr>
            </w:pPr>
            <w:r>
              <w:rPr>
                <w:rFonts w:ascii="Arial" w:cs="Arial" w:eastAsia="Arial" w:hAnsi="Arial"/>
                <w:sz w:val="14"/>
                <w:szCs w:val="14"/>
                <w:b w:val="1"/>
                <w:bCs w:val="1"/>
                <w:color w:val="auto"/>
                <w:w w:val="88"/>
              </w:rPr>
              <w:t>Nine Months</w:t>
            </w:r>
          </w:p>
        </w:tc>
        <w:tc>
          <w:tcPr>
            <w:tcW w:w="300" w:type="dxa"/>
            <w:vAlign w:val="bottom"/>
          </w:tcPr>
          <w:p>
            <w:pPr>
              <w:spacing w:after="0"/>
              <w:rPr>
                <w:sz w:val="14"/>
                <w:szCs w:val="14"/>
                <w:color w:val="auto"/>
              </w:rPr>
            </w:pPr>
          </w:p>
        </w:tc>
        <w:tc>
          <w:tcPr>
            <w:tcW w:w="1820" w:type="dxa"/>
            <w:vAlign w:val="bottom"/>
            <w:gridSpan w:val="4"/>
          </w:tcPr>
          <w:p>
            <w:pPr>
              <w:jc w:val="center"/>
              <w:ind w:right="320"/>
              <w:spacing w:after="0"/>
              <w:rPr>
                <w:sz w:val="20"/>
                <w:szCs w:val="20"/>
                <w:color w:val="auto"/>
              </w:rPr>
            </w:pPr>
            <w:r>
              <w:rPr>
                <w:rFonts w:ascii="Arial" w:cs="Arial" w:eastAsia="Arial" w:hAnsi="Arial"/>
                <w:sz w:val="14"/>
                <w:szCs w:val="14"/>
                <w:b w:val="1"/>
                <w:bCs w:val="1"/>
                <w:color w:val="auto"/>
                <w:w w:val="89"/>
              </w:rPr>
              <w:t>Three Months</w:t>
            </w:r>
          </w:p>
        </w:tc>
        <w:tc>
          <w:tcPr>
            <w:tcW w:w="1600" w:type="dxa"/>
            <w:vAlign w:val="bottom"/>
            <w:gridSpan w:val="4"/>
          </w:tcPr>
          <w:p>
            <w:pPr>
              <w:jc w:val="center"/>
              <w:ind w:right="100"/>
              <w:spacing w:after="0"/>
              <w:rPr>
                <w:sz w:val="20"/>
                <w:szCs w:val="20"/>
                <w:color w:val="auto"/>
              </w:rPr>
            </w:pPr>
            <w:r>
              <w:rPr>
                <w:rFonts w:ascii="Arial" w:cs="Arial" w:eastAsia="Arial" w:hAnsi="Arial"/>
                <w:sz w:val="14"/>
                <w:szCs w:val="14"/>
                <w:b w:val="1"/>
                <w:bCs w:val="1"/>
                <w:color w:val="auto"/>
                <w:w w:val="88"/>
              </w:rPr>
              <w:t>Nine Months</w:t>
            </w:r>
          </w:p>
        </w:tc>
      </w:tr>
      <w:tr>
        <w:trPr>
          <w:trHeight w:val="149"/>
        </w:trPr>
        <w:tc>
          <w:tcPr>
            <w:tcW w:w="4760" w:type="dxa"/>
            <w:vAlign w:val="bottom"/>
          </w:tcPr>
          <w:p>
            <w:pPr>
              <w:spacing w:after="0"/>
              <w:rPr>
                <w:sz w:val="12"/>
                <w:szCs w:val="12"/>
                <w:color w:val="auto"/>
              </w:rPr>
            </w:pPr>
          </w:p>
        </w:tc>
        <w:tc>
          <w:tcPr>
            <w:tcW w:w="1620" w:type="dxa"/>
            <w:vAlign w:val="bottom"/>
            <w:gridSpan w:val="4"/>
          </w:tcPr>
          <w:p>
            <w:pPr>
              <w:jc w:val="center"/>
              <w:ind w:right="280"/>
              <w:spacing w:after="0" w:line="149" w:lineRule="exact"/>
              <w:rPr>
                <w:sz w:val="20"/>
                <w:szCs w:val="20"/>
                <w:color w:val="auto"/>
              </w:rPr>
            </w:pPr>
            <w:r>
              <w:rPr>
                <w:rFonts w:ascii="Arial" w:cs="Arial" w:eastAsia="Arial" w:hAnsi="Arial"/>
                <w:sz w:val="14"/>
                <w:szCs w:val="14"/>
                <w:b w:val="1"/>
                <w:bCs w:val="1"/>
                <w:color w:val="auto"/>
                <w:w w:val="88"/>
              </w:rPr>
              <w:t>Ended</w:t>
            </w:r>
          </w:p>
        </w:tc>
        <w:tc>
          <w:tcPr>
            <w:tcW w:w="1320" w:type="dxa"/>
            <w:vAlign w:val="bottom"/>
            <w:gridSpan w:val="3"/>
          </w:tcPr>
          <w:p>
            <w:pPr>
              <w:jc w:val="center"/>
              <w:spacing w:after="0" w:line="149" w:lineRule="exact"/>
              <w:rPr>
                <w:sz w:val="20"/>
                <w:szCs w:val="20"/>
                <w:color w:val="auto"/>
              </w:rPr>
            </w:pPr>
            <w:r>
              <w:rPr>
                <w:rFonts w:ascii="Arial" w:cs="Arial" w:eastAsia="Arial" w:hAnsi="Arial"/>
                <w:sz w:val="14"/>
                <w:szCs w:val="14"/>
                <w:b w:val="1"/>
                <w:bCs w:val="1"/>
                <w:color w:val="auto"/>
                <w:w w:val="88"/>
              </w:rPr>
              <w:t>Ended</w:t>
            </w:r>
          </w:p>
        </w:tc>
        <w:tc>
          <w:tcPr>
            <w:tcW w:w="300" w:type="dxa"/>
            <w:vAlign w:val="bottom"/>
          </w:tcPr>
          <w:p>
            <w:pPr>
              <w:spacing w:after="0"/>
              <w:rPr>
                <w:sz w:val="12"/>
                <w:szCs w:val="12"/>
                <w:color w:val="auto"/>
              </w:rPr>
            </w:pPr>
          </w:p>
        </w:tc>
        <w:tc>
          <w:tcPr>
            <w:tcW w:w="1820" w:type="dxa"/>
            <w:vAlign w:val="bottom"/>
            <w:gridSpan w:val="4"/>
          </w:tcPr>
          <w:p>
            <w:pPr>
              <w:jc w:val="center"/>
              <w:ind w:right="300"/>
              <w:spacing w:after="0" w:line="149" w:lineRule="exact"/>
              <w:rPr>
                <w:sz w:val="20"/>
                <w:szCs w:val="20"/>
                <w:color w:val="auto"/>
              </w:rPr>
            </w:pPr>
            <w:r>
              <w:rPr>
                <w:rFonts w:ascii="Arial" w:cs="Arial" w:eastAsia="Arial" w:hAnsi="Arial"/>
                <w:sz w:val="14"/>
                <w:szCs w:val="14"/>
                <w:b w:val="1"/>
                <w:bCs w:val="1"/>
                <w:color w:val="auto"/>
                <w:w w:val="84"/>
              </w:rPr>
              <w:t>Ended</w:t>
            </w:r>
          </w:p>
        </w:tc>
        <w:tc>
          <w:tcPr>
            <w:tcW w:w="1600" w:type="dxa"/>
            <w:vAlign w:val="bottom"/>
            <w:gridSpan w:val="4"/>
          </w:tcPr>
          <w:p>
            <w:pPr>
              <w:jc w:val="center"/>
              <w:ind w:right="100"/>
              <w:spacing w:after="0" w:line="149" w:lineRule="exact"/>
              <w:rPr>
                <w:sz w:val="20"/>
                <w:szCs w:val="20"/>
                <w:color w:val="auto"/>
              </w:rPr>
            </w:pPr>
            <w:r>
              <w:rPr>
                <w:rFonts w:ascii="Arial" w:cs="Arial" w:eastAsia="Arial" w:hAnsi="Arial"/>
                <w:sz w:val="14"/>
                <w:szCs w:val="14"/>
                <w:b w:val="1"/>
                <w:bCs w:val="1"/>
                <w:color w:val="auto"/>
                <w:w w:val="88"/>
              </w:rPr>
              <w:t>Ended</w:t>
            </w:r>
          </w:p>
        </w:tc>
      </w:tr>
      <w:tr>
        <w:trPr>
          <w:trHeight w:val="161"/>
        </w:trPr>
        <w:tc>
          <w:tcPr>
            <w:tcW w:w="4760" w:type="dxa"/>
            <w:vAlign w:val="bottom"/>
          </w:tcPr>
          <w:p>
            <w:pPr>
              <w:spacing w:after="0"/>
              <w:rPr>
                <w:sz w:val="14"/>
                <w:szCs w:val="14"/>
                <w:color w:val="auto"/>
              </w:rPr>
            </w:pPr>
          </w:p>
        </w:tc>
        <w:tc>
          <w:tcPr>
            <w:tcW w:w="1620" w:type="dxa"/>
            <w:vAlign w:val="bottom"/>
            <w:gridSpan w:val="4"/>
          </w:tcPr>
          <w:p>
            <w:pPr>
              <w:jc w:val="center"/>
              <w:ind w:right="300"/>
              <w:spacing w:after="0"/>
              <w:rPr>
                <w:sz w:val="20"/>
                <w:szCs w:val="20"/>
                <w:color w:val="auto"/>
              </w:rPr>
            </w:pPr>
            <w:r>
              <w:rPr>
                <w:rFonts w:ascii="Arial" w:cs="Arial" w:eastAsia="Arial" w:hAnsi="Arial"/>
                <w:sz w:val="14"/>
                <w:szCs w:val="14"/>
                <w:b w:val="1"/>
                <w:bCs w:val="1"/>
                <w:color w:val="auto"/>
                <w:w w:val="85"/>
              </w:rPr>
              <w:t>September 30, 2010</w:t>
            </w:r>
          </w:p>
        </w:tc>
        <w:tc>
          <w:tcPr>
            <w:tcW w:w="1320" w:type="dxa"/>
            <w:vAlign w:val="bottom"/>
            <w:gridSpan w:val="3"/>
          </w:tcPr>
          <w:p>
            <w:pPr>
              <w:jc w:val="center"/>
              <w:spacing w:after="0"/>
              <w:rPr>
                <w:sz w:val="20"/>
                <w:szCs w:val="20"/>
                <w:color w:val="auto"/>
              </w:rPr>
            </w:pPr>
            <w:r>
              <w:rPr>
                <w:rFonts w:ascii="Arial" w:cs="Arial" w:eastAsia="Arial" w:hAnsi="Arial"/>
                <w:sz w:val="14"/>
                <w:szCs w:val="14"/>
                <w:b w:val="1"/>
                <w:bCs w:val="1"/>
                <w:color w:val="auto"/>
                <w:w w:val="85"/>
              </w:rPr>
              <w:t>September 30, 2010</w:t>
            </w:r>
          </w:p>
        </w:tc>
        <w:tc>
          <w:tcPr>
            <w:tcW w:w="300" w:type="dxa"/>
            <w:vAlign w:val="bottom"/>
          </w:tcPr>
          <w:p>
            <w:pPr>
              <w:spacing w:after="0"/>
              <w:rPr>
                <w:sz w:val="14"/>
                <w:szCs w:val="14"/>
                <w:color w:val="auto"/>
              </w:rPr>
            </w:pPr>
          </w:p>
        </w:tc>
        <w:tc>
          <w:tcPr>
            <w:tcW w:w="1820" w:type="dxa"/>
            <w:vAlign w:val="bottom"/>
            <w:gridSpan w:val="4"/>
          </w:tcPr>
          <w:p>
            <w:pPr>
              <w:jc w:val="center"/>
              <w:ind w:right="300"/>
              <w:spacing w:after="0"/>
              <w:rPr>
                <w:sz w:val="20"/>
                <w:szCs w:val="20"/>
                <w:color w:val="auto"/>
              </w:rPr>
            </w:pPr>
            <w:r>
              <w:rPr>
                <w:rFonts w:ascii="Arial" w:cs="Arial" w:eastAsia="Arial" w:hAnsi="Arial"/>
                <w:sz w:val="14"/>
                <w:szCs w:val="14"/>
                <w:b w:val="1"/>
                <w:bCs w:val="1"/>
                <w:color w:val="auto"/>
                <w:w w:val="85"/>
              </w:rPr>
              <w:t>September 30, 2009</w:t>
            </w:r>
          </w:p>
        </w:tc>
        <w:tc>
          <w:tcPr>
            <w:tcW w:w="1600" w:type="dxa"/>
            <w:vAlign w:val="bottom"/>
            <w:gridSpan w:val="4"/>
          </w:tcPr>
          <w:p>
            <w:pPr>
              <w:jc w:val="center"/>
              <w:ind w:right="100"/>
              <w:spacing w:after="0"/>
              <w:rPr>
                <w:sz w:val="20"/>
                <w:szCs w:val="20"/>
                <w:color w:val="auto"/>
              </w:rPr>
            </w:pPr>
            <w:r>
              <w:rPr>
                <w:rFonts w:ascii="Arial" w:cs="Arial" w:eastAsia="Arial" w:hAnsi="Arial"/>
                <w:sz w:val="14"/>
                <w:szCs w:val="14"/>
                <w:b w:val="1"/>
                <w:bCs w:val="1"/>
                <w:color w:val="auto"/>
                <w:w w:val="87"/>
              </w:rPr>
              <w:t>September 30, 2009</w:t>
            </w:r>
          </w:p>
        </w:tc>
      </w:tr>
      <w:tr>
        <w:trPr>
          <w:trHeight w:val="129"/>
        </w:trPr>
        <w:tc>
          <w:tcPr>
            <w:tcW w:w="4760" w:type="dxa"/>
            <w:vAlign w:val="bottom"/>
          </w:tcPr>
          <w:p>
            <w:pPr>
              <w:spacing w:after="0"/>
              <w:rPr>
                <w:sz w:val="11"/>
                <w:szCs w:val="11"/>
                <w:color w:val="auto"/>
              </w:rPr>
            </w:pPr>
          </w:p>
        </w:tc>
        <w:tc>
          <w:tcPr>
            <w:tcW w:w="520" w:type="dxa"/>
            <w:vAlign w:val="bottom"/>
            <w:tcBorders>
              <w:top w:val="single" w:sz="8" w:color="auto"/>
            </w:tcBorders>
          </w:tcPr>
          <w:p>
            <w:pPr>
              <w:spacing w:after="0"/>
              <w:rPr>
                <w:sz w:val="11"/>
                <w:szCs w:val="11"/>
                <w:color w:val="auto"/>
              </w:rPr>
            </w:pPr>
          </w:p>
        </w:tc>
        <w:tc>
          <w:tcPr>
            <w:tcW w:w="300" w:type="dxa"/>
            <w:vAlign w:val="bottom"/>
            <w:tcBorders>
              <w:top w:val="single" w:sz="8" w:color="auto"/>
            </w:tcBorders>
          </w:tcPr>
          <w:p>
            <w:pPr>
              <w:spacing w:after="0"/>
              <w:rPr>
                <w:sz w:val="11"/>
                <w:szCs w:val="11"/>
                <w:color w:val="auto"/>
              </w:rPr>
            </w:pPr>
          </w:p>
        </w:tc>
        <w:tc>
          <w:tcPr>
            <w:tcW w:w="500" w:type="dxa"/>
            <w:vAlign w:val="bottom"/>
            <w:tcBorders>
              <w:top w:val="single" w:sz="8" w:color="auto"/>
            </w:tcBorders>
          </w:tcPr>
          <w:p>
            <w:pPr>
              <w:spacing w:after="0"/>
              <w:rPr>
                <w:sz w:val="11"/>
                <w:szCs w:val="11"/>
                <w:color w:val="auto"/>
              </w:rPr>
            </w:pPr>
          </w:p>
        </w:tc>
        <w:tc>
          <w:tcPr>
            <w:tcW w:w="300" w:type="dxa"/>
            <w:vAlign w:val="bottom"/>
          </w:tcPr>
          <w:p>
            <w:pPr>
              <w:spacing w:after="0"/>
              <w:rPr>
                <w:sz w:val="11"/>
                <w:szCs w:val="11"/>
                <w:color w:val="auto"/>
              </w:rPr>
            </w:pPr>
          </w:p>
        </w:tc>
        <w:tc>
          <w:tcPr>
            <w:tcW w:w="520" w:type="dxa"/>
            <w:vAlign w:val="bottom"/>
            <w:tcBorders>
              <w:top w:val="single" w:sz="8" w:color="auto"/>
            </w:tcBorders>
          </w:tcPr>
          <w:p>
            <w:pPr>
              <w:spacing w:after="0"/>
              <w:rPr>
                <w:sz w:val="11"/>
                <w:szCs w:val="11"/>
                <w:color w:val="auto"/>
              </w:rPr>
            </w:pPr>
          </w:p>
        </w:tc>
        <w:tc>
          <w:tcPr>
            <w:tcW w:w="300" w:type="dxa"/>
            <w:vAlign w:val="bottom"/>
            <w:tcBorders>
              <w:top w:val="single" w:sz="8" w:color="auto"/>
            </w:tcBorders>
          </w:tcPr>
          <w:p>
            <w:pPr>
              <w:spacing w:after="0"/>
              <w:rPr>
                <w:sz w:val="11"/>
                <w:szCs w:val="11"/>
                <w:color w:val="auto"/>
              </w:rPr>
            </w:pPr>
          </w:p>
        </w:tc>
        <w:tc>
          <w:tcPr>
            <w:tcW w:w="500" w:type="dxa"/>
            <w:vAlign w:val="bottom"/>
            <w:tcBorders>
              <w:top w:val="single" w:sz="8" w:color="auto"/>
            </w:tcBorders>
          </w:tcPr>
          <w:p>
            <w:pPr>
              <w:spacing w:after="0"/>
              <w:rPr>
                <w:sz w:val="11"/>
                <w:szCs w:val="11"/>
                <w:color w:val="auto"/>
              </w:rPr>
            </w:pPr>
          </w:p>
        </w:tc>
        <w:tc>
          <w:tcPr>
            <w:tcW w:w="300" w:type="dxa"/>
            <w:vAlign w:val="bottom"/>
          </w:tcPr>
          <w:p>
            <w:pPr>
              <w:spacing w:after="0"/>
              <w:rPr>
                <w:sz w:val="11"/>
                <w:szCs w:val="11"/>
                <w:color w:val="auto"/>
              </w:rPr>
            </w:pPr>
          </w:p>
        </w:tc>
        <w:tc>
          <w:tcPr>
            <w:tcW w:w="620" w:type="dxa"/>
            <w:vAlign w:val="bottom"/>
            <w:tcBorders>
              <w:top w:val="single" w:sz="8" w:color="auto"/>
            </w:tcBorders>
          </w:tcPr>
          <w:p>
            <w:pPr>
              <w:spacing w:after="0"/>
              <w:rPr>
                <w:sz w:val="11"/>
                <w:szCs w:val="11"/>
                <w:color w:val="auto"/>
              </w:rPr>
            </w:pPr>
          </w:p>
        </w:tc>
        <w:tc>
          <w:tcPr>
            <w:tcW w:w="280" w:type="dxa"/>
            <w:vAlign w:val="bottom"/>
            <w:tcBorders>
              <w:top w:val="single" w:sz="8" w:color="auto"/>
            </w:tcBorders>
          </w:tcPr>
          <w:p>
            <w:pPr>
              <w:spacing w:after="0"/>
              <w:rPr>
                <w:sz w:val="11"/>
                <w:szCs w:val="11"/>
                <w:color w:val="auto"/>
              </w:rPr>
            </w:pPr>
          </w:p>
        </w:tc>
        <w:tc>
          <w:tcPr>
            <w:tcW w:w="620" w:type="dxa"/>
            <w:vAlign w:val="bottom"/>
            <w:tcBorders>
              <w:top w:val="single" w:sz="8" w:color="auto"/>
            </w:tcBorders>
          </w:tcPr>
          <w:p>
            <w:pPr>
              <w:jc w:val="center"/>
              <w:spacing w:after="0" w:line="129" w:lineRule="exact"/>
              <w:rPr>
                <w:sz w:val="20"/>
                <w:szCs w:val="20"/>
                <w:color w:val="auto"/>
              </w:rPr>
            </w:pPr>
            <w:r>
              <w:rPr>
                <w:rFonts w:ascii="Arial" w:cs="Arial" w:eastAsia="Arial" w:hAnsi="Arial"/>
                <w:sz w:val="14"/>
                <w:szCs w:val="14"/>
                <w:b w:val="1"/>
                <w:bCs w:val="1"/>
                <w:color w:val="auto"/>
                <w:w w:val="87"/>
              </w:rPr>
              <w:t>Combined</w:t>
            </w:r>
          </w:p>
        </w:tc>
        <w:tc>
          <w:tcPr>
            <w:tcW w:w="300" w:type="dxa"/>
            <w:vAlign w:val="bottom"/>
          </w:tcPr>
          <w:p>
            <w:pPr>
              <w:spacing w:after="0"/>
              <w:rPr>
                <w:sz w:val="11"/>
                <w:szCs w:val="11"/>
                <w:color w:val="auto"/>
              </w:rPr>
            </w:pPr>
          </w:p>
        </w:tc>
        <w:tc>
          <w:tcPr>
            <w:tcW w:w="600" w:type="dxa"/>
            <w:vAlign w:val="bottom"/>
            <w:tcBorders>
              <w:top w:val="single" w:sz="8" w:color="auto"/>
            </w:tcBorders>
          </w:tcPr>
          <w:p>
            <w:pPr>
              <w:spacing w:after="0"/>
              <w:rPr>
                <w:sz w:val="11"/>
                <w:szCs w:val="11"/>
                <w:color w:val="auto"/>
              </w:rPr>
            </w:pPr>
          </w:p>
        </w:tc>
        <w:tc>
          <w:tcPr>
            <w:tcW w:w="300" w:type="dxa"/>
            <w:vAlign w:val="bottom"/>
            <w:tcBorders>
              <w:top w:val="single" w:sz="8" w:color="auto"/>
            </w:tcBorders>
          </w:tcPr>
          <w:p>
            <w:pPr>
              <w:spacing w:after="0"/>
              <w:rPr>
                <w:sz w:val="11"/>
                <w:szCs w:val="11"/>
                <w:color w:val="auto"/>
              </w:rPr>
            </w:pPr>
          </w:p>
        </w:tc>
        <w:tc>
          <w:tcPr>
            <w:tcW w:w="600" w:type="dxa"/>
            <w:vAlign w:val="bottom"/>
            <w:tcBorders>
              <w:top w:val="single" w:sz="8" w:color="auto"/>
            </w:tcBorders>
          </w:tcPr>
          <w:p>
            <w:pPr>
              <w:jc w:val="center"/>
              <w:spacing w:after="0" w:line="129" w:lineRule="exact"/>
              <w:rPr>
                <w:sz w:val="20"/>
                <w:szCs w:val="20"/>
                <w:color w:val="auto"/>
              </w:rPr>
            </w:pPr>
            <w:r>
              <w:rPr>
                <w:rFonts w:ascii="Arial" w:cs="Arial" w:eastAsia="Arial" w:hAnsi="Arial"/>
                <w:sz w:val="14"/>
                <w:szCs w:val="14"/>
                <w:b w:val="1"/>
                <w:bCs w:val="1"/>
                <w:color w:val="auto"/>
                <w:w w:val="87"/>
              </w:rPr>
              <w:t>Combined</w:t>
            </w:r>
          </w:p>
        </w:tc>
        <w:tc>
          <w:tcPr>
            <w:tcW w:w="100" w:type="dxa"/>
            <w:vAlign w:val="bottom"/>
          </w:tcPr>
          <w:p>
            <w:pPr>
              <w:spacing w:after="0"/>
              <w:rPr>
                <w:sz w:val="11"/>
                <w:szCs w:val="11"/>
                <w:color w:val="auto"/>
              </w:rPr>
            </w:pPr>
          </w:p>
        </w:tc>
      </w:tr>
      <w:tr>
        <w:trPr>
          <w:trHeight w:val="149"/>
        </w:trPr>
        <w:tc>
          <w:tcPr>
            <w:tcW w:w="47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0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7"/>
              </w:rPr>
              <w:t>GM</w:t>
            </w:r>
          </w:p>
        </w:tc>
        <w:tc>
          <w:tcPr>
            <w:tcW w:w="5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5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7"/>
              </w:rPr>
              <w:t>GM</w:t>
            </w:r>
          </w:p>
        </w:tc>
        <w:tc>
          <w:tcPr>
            <w:tcW w:w="3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2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7"/>
              </w:rPr>
              <w:t>GM and</w:t>
            </w:r>
          </w:p>
        </w:tc>
        <w:tc>
          <w:tcPr>
            <w:tcW w:w="6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0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3"/>
              </w:rPr>
              <w:t>GM and</w:t>
            </w:r>
          </w:p>
        </w:tc>
      </w:tr>
      <w:tr>
        <w:trPr>
          <w:trHeight w:val="149"/>
        </w:trPr>
        <w:tc>
          <w:tcPr>
            <w:tcW w:w="47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0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87"/>
              </w:rPr>
              <w:t>as a %</w:t>
            </w:r>
          </w:p>
        </w:tc>
        <w:tc>
          <w:tcPr>
            <w:tcW w:w="5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5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7"/>
              </w:rPr>
              <w:t>as a %</w:t>
            </w:r>
          </w:p>
        </w:tc>
        <w:tc>
          <w:tcPr>
            <w:tcW w:w="300" w:type="dxa"/>
            <w:vAlign w:val="bottom"/>
          </w:tcPr>
          <w:p>
            <w:pPr>
              <w:spacing w:after="0"/>
              <w:rPr>
                <w:sz w:val="12"/>
                <w:szCs w:val="12"/>
                <w:color w:val="auto"/>
              </w:rPr>
            </w:pPr>
          </w:p>
        </w:tc>
        <w:tc>
          <w:tcPr>
            <w:tcW w:w="620" w:type="dxa"/>
            <w:vAlign w:val="bottom"/>
          </w:tcPr>
          <w:p>
            <w:pPr>
              <w:jc w:val="right"/>
              <w:spacing w:after="0" w:line="149" w:lineRule="exact"/>
              <w:rPr>
                <w:sz w:val="20"/>
                <w:szCs w:val="20"/>
                <w:color w:val="auto"/>
              </w:rPr>
            </w:pPr>
            <w:r>
              <w:rPr>
                <w:rFonts w:ascii="Arial" w:cs="Arial" w:eastAsia="Arial" w:hAnsi="Arial"/>
                <w:sz w:val="14"/>
                <w:szCs w:val="14"/>
                <w:b w:val="1"/>
                <w:bCs w:val="1"/>
                <w:color w:val="auto"/>
                <w:w w:val="84"/>
              </w:rPr>
              <w:t>Combined</w:t>
            </w:r>
          </w:p>
        </w:tc>
        <w:tc>
          <w:tcPr>
            <w:tcW w:w="280" w:type="dxa"/>
            <w:vAlign w:val="bottom"/>
          </w:tcPr>
          <w:p>
            <w:pPr>
              <w:spacing w:after="0"/>
              <w:rPr>
                <w:sz w:val="12"/>
                <w:szCs w:val="12"/>
                <w:color w:val="auto"/>
              </w:rPr>
            </w:pPr>
          </w:p>
        </w:tc>
        <w:tc>
          <w:tcPr>
            <w:tcW w:w="92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rPr>
              <w:t>Old GM</w:t>
            </w:r>
          </w:p>
        </w:tc>
        <w:tc>
          <w:tcPr>
            <w:tcW w:w="900" w:type="dxa"/>
            <w:vAlign w:val="bottom"/>
            <w:gridSpan w:val="2"/>
          </w:tcPr>
          <w:p>
            <w:pPr>
              <w:jc w:val="right"/>
              <w:ind w:right="300"/>
              <w:spacing w:after="0" w:line="149" w:lineRule="exact"/>
              <w:rPr>
                <w:sz w:val="20"/>
                <w:szCs w:val="20"/>
                <w:color w:val="auto"/>
              </w:rPr>
            </w:pPr>
            <w:r>
              <w:rPr>
                <w:rFonts w:ascii="Arial" w:cs="Arial" w:eastAsia="Arial" w:hAnsi="Arial"/>
                <w:sz w:val="14"/>
                <w:szCs w:val="14"/>
                <w:b w:val="1"/>
                <w:bCs w:val="1"/>
                <w:color w:val="auto"/>
                <w:w w:val="84"/>
              </w:rPr>
              <w:t>Combined</w:t>
            </w:r>
          </w:p>
        </w:tc>
        <w:tc>
          <w:tcPr>
            <w:tcW w:w="70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6"/>
              </w:rPr>
              <w:t>Old GM</w:t>
            </w:r>
          </w:p>
        </w:tc>
      </w:tr>
      <w:tr>
        <w:trPr>
          <w:trHeight w:val="149"/>
        </w:trPr>
        <w:tc>
          <w:tcPr>
            <w:tcW w:w="47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0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75"/>
              </w:rPr>
              <w:t>of</w:t>
            </w:r>
          </w:p>
        </w:tc>
        <w:tc>
          <w:tcPr>
            <w:tcW w:w="5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5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75"/>
              </w:rPr>
              <w:t>of</w:t>
            </w:r>
          </w:p>
        </w:tc>
        <w:tc>
          <w:tcPr>
            <w:tcW w:w="300" w:type="dxa"/>
            <w:vAlign w:val="bottom"/>
          </w:tcPr>
          <w:p>
            <w:pPr>
              <w:spacing w:after="0"/>
              <w:rPr>
                <w:sz w:val="12"/>
                <w:szCs w:val="12"/>
                <w:color w:val="auto"/>
              </w:rPr>
            </w:pPr>
          </w:p>
        </w:tc>
        <w:tc>
          <w:tcPr>
            <w:tcW w:w="620" w:type="dxa"/>
            <w:vAlign w:val="bottom"/>
          </w:tcPr>
          <w:p>
            <w:pPr>
              <w:jc w:val="right"/>
              <w:ind w:right="12"/>
              <w:spacing w:after="0" w:line="149" w:lineRule="exact"/>
              <w:rPr>
                <w:sz w:val="20"/>
                <w:szCs w:val="20"/>
                <w:color w:val="auto"/>
              </w:rPr>
            </w:pPr>
            <w:r>
              <w:rPr>
                <w:rFonts w:ascii="Arial" w:cs="Arial" w:eastAsia="Arial" w:hAnsi="Arial"/>
                <w:sz w:val="14"/>
                <w:szCs w:val="14"/>
                <w:b w:val="1"/>
                <w:bCs w:val="1"/>
                <w:color w:val="auto"/>
              </w:rPr>
              <w:t>GM and</w:t>
            </w:r>
          </w:p>
        </w:tc>
        <w:tc>
          <w:tcPr>
            <w:tcW w:w="280" w:type="dxa"/>
            <w:vAlign w:val="bottom"/>
          </w:tcPr>
          <w:p>
            <w:pPr>
              <w:spacing w:after="0"/>
              <w:rPr>
                <w:sz w:val="12"/>
                <w:szCs w:val="12"/>
                <w:color w:val="auto"/>
              </w:rPr>
            </w:pPr>
          </w:p>
        </w:tc>
        <w:tc>
          <w:tcPr>
            <w:tcW w:w="92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88"/>
              </w:rPr>
              <w:t>as a % of</w:t>
            </w:r>
          </w:p>
        </w:tc>
        <w:tc>
          <w:tcPr>
            <w:tcW w:w="900" w:type="dxa"/>
            <w:vAlign w:val="bottom"/>
            <w:gridSpan w:val="2"/>
          </w:tcPr>
          <w:p>
            <w:pPr>
              <w:jc w:val="right"/>
              <w:ind w:right="360"/>
              <w:spacing w:after="0" w:line="149" w:lineRule="exact"/>
              <w:rPr>
                <w:sz w:val="20"/>
                <w:szCs w:val="20"/>
                <w:color w:val="auto"/>
              </w:rPr>
            </w:pPr>
            <w:r>
              <w:rPr>
                <w:rFonts w:ascii="Arial" w:cs="Arial" w:eastAsia="Arial" w:hAnsi="Arial"/>
                <w:sz w:val="14"/>
                <w:szCs w:val="14"/>
                <w:b w:val="1"/>
                <w:bCs w:val="1"/>
                <w:color w:val="auto"/>
              </w:rPr>
              <w:t>GM and</w:t>
            </w:r>
          </w:p>
        </w:tc>
        <w:tc>
          <w:tcPr>
            <w:tcW w:w="70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85"/>
              </w:rPr>
              <w:t>as a % of</w:t>
            </w:r>
          </w:p>
        </w:tc>
      </w:tr>
      <w:tr>
        <w:trPr>
          <w:trHeight w:val="161"/>
        </w:trPr>
        <w:tc>
          <w:tcPr>
            <w:tcW w:w="4760" w:type="dxa"/>
            <w:vAlign w:val="bottom"/>
          </w:tcPr>
          <w:p>
            <w:pPr>
              <w:spacing w:after="0"/>
              <w:rPr>
                <w:sz w:val="14"/>
                <w:szCs w:val="14"/>
                <w:color w:val="auto"/>
              </w:rPr>
            </w:pPr>
          </w:p>
        </w:tc>
        <w:tc>
          <w:tcPr>
            <w:tcW w:w="520" w:type="dxa"/>
            <w:vAlign w:val="bottom"/>
          </w:tcPr>
          <w:p>
            <w:pPr>
              <w:jc w:val="right"/>
              <w:ind w:right="58"/>
              <w:spacing w:after="0"/>
              <w:rPr>
                <w:sz w:val="20"/>
                <w:szCs w:val="20"/>
                <w:color w:val="auto"/>
              </w:rPr>
            </w:pPr>
            <w:r>
              <w:rPr>
                <w:rFonts w:ascii="Arial" w:cs="Arial" w:eastAsia="Arial" w:hAnsi="Arial"/>
                <w:sz w:val="14"/>
                <w:szCs w:val="14"/>
                <w:b w:val="1"/>
                <w:bCs w:val="1"/>
                <w:color w:val="auto"/>
              </w:rPr>
              <w:t>GM</w:t>
            </w:r>
          </w:p>
        </w:tc>
        <w:tc>
          <w:tcPr>
            <w:tcW w:w="300" w:type="dxa"/>
            <w:vAlign w:val="bottom"/>
          </w:tcPr>
          <w:p>
            <w:pPr>
              <w:spacing w:after="0"/>
              <w:rPr>
                <w:sz w:val="14"/>
                <w:szCs w:val="14"/>
                <w:color w:val="auto"/>
              </w:rPr>
            </w:pPr>
          </w:p>
        </w:tc>
        <w:tc>
          <w:tcPr>
            <w:tcW w:w="80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0"/>
              </w:rPr>
              <w:t>Industry</w:t>
            </w:r>
          </w:p>
        </w:tc>
        <w:tc>
          <w:tcPr>
            <w:tcW w:w="820" w:type="dxa"/>
            <w:vAlign w:val="bottom"/>
            <w:gridSpan w:val="2"/>
          </w:tcPr>
          <w:p>
            <w:pPr>
              <w:ind w:left="140"/>
              <w:spacing w:after="0"/>
              <w:rPr>
                <w:sz w:val="20"/>
                <w:szCs w:val="20"/>
                <w:color w:val="auto"/>
              </w:rPr>
            </w:pPr>
            <w:r>
              <w:rPr>
                <w:rFonts w:ascii="Arial" w:cs="Arial" w:eastAsia="Arial" w:hAnsi="Arial"/>
                <w:sz w:val="14"/>
                <w:szCs w:val="14"/>
                <w:b w:val="1"/>
                <w:bCs w:val="1"/>
                <w:color w:val="auto"/>
              </w:rPr>
              <w:t>GM</w:t>
            </w:r>
          </w:p>
        </w:tc>
        <w:tc>
          <w:tcPr>
            <w:tcW w:w="500" w:type="dxa"/>
            <w:vAlign w:val="bottom"/>
          </w:tcPr>
          <w:p>
            <w:pPr>
              <w:jc w:val="center"/>
              <w:spacing w:after="0"/>
              <w:rPr>
                <w:sz w:val="20"/>
                <w:szCs w:val="20"/>
                <w:color w:val="auto"/>
              </w:rPr>
            </w:pPr>
            <w:r>
              <w:rPr>
                <w:rFonts w:ascii="Arial" w:cs="Arial" w:eastAsia="Arial" w:hAnsi="Arial"/>
                <w:sz w:val="14"/>
                <w:szCs w:val="14"/>
                <w:b w:val="1"/>
                <w:bCs w:val="1"/>
                <w:color w:val="auto"/>
                <w:w w:val="90"/>
              </w:rPr>
              <w:t>Industry</w:t>
            </w:r>
          </w:p>
        </w:tc>
        <w:tc>
          <w:tcPr>
            <w:tcW w:w="300" w:type="dxa"/>
            <w:vAlign w:val="bottom"/>
          </w:tcPr>
          <w:p>
            <w:pPr>
              <w:spacing w:after="0"/>
              <w:rPr>
                <w:sz w:val="14"/>
                <w:szCs w:val="14"/>
                <w:color w:val="auto"/>
              </w:rPr>
            </w:pPr>
          </w:p>
        </w:tc>
        <w:tc>
          <w:tcPr>
            <w:tcW w:w="620" w:type="dxa"/>
            <w:vAlign w:val="bottom"/>
          </w:tcPr>
          <w:p>
            <w:pPr>
              <w:jc w:val="right"/>
              <w:ind w:right="12"/>
              <w:spacing w:after="0"/>
              <w:rPr>
                <w:sz w:val="20"/>
                <w:szCs w:val="20"/>
                <w:color w:val="auto"/>
              </w:rPr>
            </w:pPr>
            <w:r>
              <w:rPr>
                <w:rFonts w:ascii="Arial" w:cs="Arial" w:eastAsia="Arial" w:hAnsi="Arial"/>
                <w:sz w:val="14"/>
                <w:szCs w:val="14"/>
                <w:b w:val="1"/>
                <w:bCs w:val="1"/>
                <w:color w:val="auto"/>
              </w:rPr>
              <w:t>Old GM</w:t>
            </w:r>
          </w:p>
        </w:tc>
        <w:tc>
          <w:tcPr>
            <w:tcW w:w="280" w:type="dxa"/>
            <w:vAlign w:val="bottom"/>
          </w:tcPr>
          <w:p>
            <w:pPr>
              <w:spacing w:after="0"/>
              <w:rPr>
                <w:sz w:val="14"/>
                <w:szCs w:val="14"/>
                <w:color w:val="auto"/>
              </w:rPr>
            </w:pPr>
          </w:p>
        </w:tc>
        <w:tc>
          <w:tcPr>
            <w:tcW w:w="92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0"/>
              </w:rPr>
              <w:t>Industry</w:t>
            </w:r>
          </w:p>
        </w:tc>
        <w:tc>
          <w:tcPr>
            <w:tcW w:w="900" w:type="dxa"/>
            <w:vAlign w:val="bottom"/>
            <w:gridSpan w:val="2"/>
          </w:tcPr>
          <w:p>
            <w:pPr>
              <w:jc w:val="right"/>
              <w:ind w:right="360"/>
              <w:spacing w:after="0"/>
              <w:rPr>
                <w:sz w:val="20"/>
                <w:szCs w:val="20"/>
                <w:color w:val="auto"/>
              </w:rPr>
            </w:pPr>
            <w:r>
              <w:rPr>
                <w:rFonts w:ascii="Arial" w:cs="Arial" w:eastAsia="Arial" w:hAnsi="Arial"/>
                <w:sz w:val="14"/>
                <w:szCs w:val="14"/>
                <w:b w:val="1"/>
                <w:bCs w:val="1"/>
                <w:color w:val="auto"/>
              </w:rPr>
              <w:t>Old GM</w:t>
            </w:r>
          </w:p>
        </w:tc>
        <w:tc>
          <w:tcPr>
            <w:tcW w:w="70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90"/>
              </w:rPr>
              <w:t>Industry</w:t>
            </w:r>
          </w:p>
        </w:tc>
      </w:tr>
      <w:tr>
        <w:trPr>
          <w:trHeight w:val="210"/>
        </w:trPr>
        <w:tc>
          <w:tcPr>
            <w:tcW w:w="4760" w:type="dxa"/>
            <w:vAlign w:val="bottom"/>
            <w:shd w:val="clear" w:color="auto" w:fill="CCEEFF"/>
          </w:tcPr>
          <w:p>
            <w:pPr>
              <w:spacing w:after="0"/>
              <w:rPr>
                <w:sz w:val="20"/>
                <w:szCs w:val="20"/>
                <w:color w:val="auto"/>
              </w:rPr>
            </w:pPr>
            <w:r>
              <w:rPr>
                <w:rFonts w:ascii="Arial" w:cs="Arial" w:eastAsia="Arial" w:hAnsi="Arial"/>
                <w:sz w:val="18"/>
                <w:szCs w:val="18"/>
                <w:color w:val="auto"/>
              </w:rPr>
              <w:t>Vehicle Sales (a)(b)(c)(d)</w:t>
            </w:r>
          </w:p>
        </w:tc>
        <w:tc>
          <w:tcPr>
            <w:tcW w:w="520" w:type="dxa"/>
            <w:vAlign w:val="bottom"/>
            <w:tcBorders>
              <w:top w:val="single" w:sz="8" w:color="auto"/>
            </w:tcBorders>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4760" w:type="dxa"/>
            <w:vAlign w:val="bottom"/>
          </w:tcPr>
          <w:p>
            <w:pPr>
              <w:spacing w:after="0"/>
              <w:rPr>
                <w:sz w:val="20"/>
                <w:szCs w:val="20"/>
                <w:color w:val="auto"/>
              </w:rPr>
            </w:pPr>
            <w:r>
              <w:rPr>
                <w:rFonts w:ascii="Arial" w:cs="Arial" w:eastAsia="Arial" w:hAnsi="Arial"/>
                <w:sz w:val="18"/>
                <w:szCs w:val="18"/>
                <w:color w:val="auto"/>
              </w:rPr>
              <w:t>Total GMIO</w:t>
            </w:r>
          </w:p>
        </w:tc>
        <w:tc>
          <w:tcPr>
            <w:tcW w:w="520" w:type="dxa"/>
            <w:vAlign w:val="bottom"/>
          </w:tcPr>
          <w:p>
            <w:pPr>
              <w:jc w:val="right"/>
              <w:spacing w:after="0"/>
              <w:rPr>
                <w:sz w:val="20"/>
                <w:szCs w:val="20"/>
                <w:color w:val="auto"/>
              </w:rPr>
            </w:pPr>
            <w:r>
              <w:rPr>
                <w:rFonts w:ascii="Arial" w:cs="Arial" w:eastAsia="Arial" w:hAnsi="Arial"/>
                <w:sz w:val="18"/>
                <w:szCs w:val="18"/>
                <w:color w:val="auto"/>
              </w:rPr>
              <w:t>1,014</w:t>
            </w:r>
          </w:p>
        </w:tc>
        <w:tc>
          <w:tcPr>
            <w:tcW w:w="1100" w:type="dxa"/>
            <w:vAlign w:val="bottom"/>
            <w:gridSpan w:val="3"/>
          </w:tcPr>
          <w:p>
            <w:pPr>
              <w:jc w:val="right"/>
              <w:ind w:right="300"/>
              <w:spacing w:after="0"/>
              <w:rPr>
                <w:sz w:val="20"/>
                <w:szCs w:val="20"/>
                <w:color w:val="auto"/>
              </w:rPr>
            </w:pPr>
            <w:r>
              <w:rPr>
                <w:rFonts w:ascii="Arial" w:cs="Arial" w:eastAsia="Arial" w:hAnsi="Arial"/>
                <w:sz w:val="18"/>
                <w:szCs w:val="18"/>
                <w:color w:val="auto"/>
              </w:rPr>
              <w:t>10.3%</w:t>
            </w:r>
          </w:p>
        </w:tc>
        <w:tc>
          <w:tcPr>
            <w:tcW w:w="820" w:type="dxa"/>
            <w:vAlign w:val="bottom"/>
            <w:gridSpan w:val="2"/>
          </w:tcPr>
          <w:p>
            <w:pPr>
              <w:jc w:val="right"/>
              <w:ind w:right="300"/>
              <w:spacing w:after="0"/>
              <w:rPr>
                <w:sz w:val="20"/>
                <w:szCs w:val="20"/>
                <w:color w:val="auto"/>
              </w:rPr>
            </w:pPr>
            <w:r>
              <w:rPr>
                <w:rFonts w:ascii="Arial" w:cs="Arial" w:eastAsia="Arial" w:hAnsi="Arial"/>
                <w:sz w:val="18"/>
                <w:szCs w:val="18"/>
                <w:color w:val="auto"/>
              </w:rPr>
              <w:t>3,041</w:t>
            </w:r>
          </w:p>
        </w:tc>
        <w:tc>
          <w:tcPr>
            <w:tcW w:w="500" w:type="dxa"/>
            <w:vAlign w:val="bottom"/>
          </w:tcPr>
          <w:p>
            <w:pPr>
              <w:jc w:val="right"/>
              <w:spacing w:after="0"/>
              <w:rPr>
                <w:sz w:val="20"/>
                <w:szCs w:val="20"/>
                <w:color w:val="auto"/>
              </w:rPr>
            </w:pPr>
            <w:r>
              <w:rPr>
                <w:rFonts w:ascii="Arial" w:cs="Arial" w:eastAsia="Arial" w:hAnsi="Arial"/>
                <w:sz w:val="18"/>
                <w:szCs w:val="18"/>
                <w:color w:val="auto"/>
                <w:w w:val="93"/>
              </w:rPr>
              <w:t>10.2%</w:t>
            </w: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872</w:t>
            </w:r>
          </w:p>
        </w:tc>
        <w:tc>
          <w:tcPr>
            <w:tcW w:w="1200" w:type="dxa"/>
            <w:vAlign w:val="bottom"/>
            <w:gridSpan w:val="3"/>
          </w:tcPr>
          <w:p>
            <w:pPr>
              <w:jc w:val="right"/>
              <w:ind w:right="300"/>
              <w:spacing w:after="0"/>
              <w:rPr>
                <w:sz w:val="20"/>
                <w:szCs w:val="20"/>
                <w:color w:val="auto"/>
              </w:rPr>
            </w:pPr>
            <w:r>
              <w:rPr>
                <w:rFonts w:ascii="Arial" w:cs="Arial" w:eastAsia="Arial" w:hAnsi="Arial"/>
                <w:sz w:val="18"/>
                <w:szCs w:val="18"/>
                <w:color w:val="auto"/>
              </w:rPr>
              <w:t>10.3%</w:t>
            </w:r>
          </w:p>
        </w:tc>
        <w:tc>
          <w:tcPr>
            <w:tcW w:w="900" w:type="dxa"/>
            <w:vAlign w:val="bottom"/>
            <w:gridSpan w:val="2"/>
          </w:tcPr>
          <w:p>
            <w:pPr>
              <w:jc w:val="right"/>
              <w:ind w:right="300"/>
              <w:spacing w:after="0"/>
              <w:rPr>
                <w:sz w:val="20"/>
                <w:szCs w:val="20"/>
                <w:color w:val="auto"/>
              </w:rPr>
            </w:pPr>
            <w:r>
              <w:rPr>
                <w:rFonts w:ascii="Arial" w:cs="Arial" w:eastAsia="Arial" w:hAnsi="Arial"/>
                <w:sz w:val="18"/>
                <w:szCs w:val="18"/>
                <w:color w:val="auto"/>
              </w:rPr>
              <w:t>2,389</w:t>
            </w:r>
          </w:p>
        </w:tc>
        <w:tc>
          <w:tcPr>
            <w:tcW w:w="600" w:type="dxa"/>
            <w:vAlign w:val="bottom"/>
          </w:tcPr>
          <w:p>
            <w:pPr>
              <w:jc w:val="right"/>
              <w:spacing w:after="0"/>
              <w:rPr>
                <w:sz w:val="20"/>
                <w:szCs w:val="20"/>
                <w:color w:val="auto"/>
              </w:rPr>
            </w:pPr>
            <w:r>
              <w:rPr>
                <w:rFonts w:ascii="Arial" w:cs="Arial" w:eastAsia="Arial" w:hAnsi="Arial"/>
                <w:sz w:val="18"/>
                <w:szCs w:val="18"/>
                <w:color w:val="auto"/>
              </w:rPr>
              <w:t>10.2%</w:t>
            </w:r>
          </w:p>
        </w:tc>
        <w:tc>
          <w:tcPr>
            <w:tcW w:w="100" w:type="dxa"/>
            <w:vAlign w:val="bottom"/>
          </w:tcPr>
          <w:p>
            <w:pPr>
              <w:spacing w:after="0"/>
              <w:rPr>
                <w:sz w:val="18"/>
                <w:szCs w:val="18"/>
                <w:color w:val="auto"/>
              </w:rPr>
            </w:pPr>
          </w:p>
        </w:tc>
      </w:tr>
      <w:tr>
        <w:trPr>
          <w:trHeight w:val="216"/>
        </w:trPr>
        <w:tc>
          <w:tcPr>
            <w:tcW w:w="4760" w:type="dxa"/>
            <w:vAlign w:val="bottom"/>
            <w:shd w:val="clear" w:color="auto" w:fill="CCEEFF"/>
          </w:tcPr>
          <w:p>
            <w:pPr>
              <w:spacing w:after="0"/>
              <w:rPr>
                <w:sz w:val="20"/>
                <w:szCs w:val="20"/>
                <w:color w:val="auto"/>
              </w:rPr>
            </w:pPr>
            <w:r>
              <w:rPr>
                <w:rFonts w:ascii="Arial" w:cs="Arial" w:eastAsia="Arial" w:hAnsi="Arial"/>
                <w:sz w:val="18"/>
                <w:szCs w:val="18"/>
                <w:color w:val="auto"/>
              </w:rPr>
              <w:t>Vehicle sales — consolidated entities</w:t>
            </w:r>
          </w:p>
        </w:tc>
        <w:tc>
          <w:tcPr>
            <w:tcW w:w="5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4760" w:type="dxa"/>
            <w:vAlign w:val="bottom"/>
          </w:tcPr>
          <w:p>
            <w:pPr>
              <w:spacing w:after="0"/>
              <w:rPr>
                <w:sz w:val="20"/>
                <w:szCs w:val="20"/>
                <w:color w:val="auto"/>
              </w:rPr>
            </w:pPr>
            <w:r>
              <w:rPr>
                <w:rFonts w:ascii="Arial" w:cs="Arial" w:eastAsia="Arial" w:hAnsi="Arial"/>
                <w:sz w:val="18"/>
                <w:szCs w:val="18"/>
                <w:color w:val="auto"/>
              </w:rPr>
              <w:t>Brazil</w:t>
            </w:r>
          </w:p>
        </w:tc>
        <w:tc>
          <w:tcPr>
            <w:tcW w:w="520" w:type="dxa"/>
            <w:vAlign w:val="bottom"/>
          </w:tcPr>
          <w:p>
            <w:pPr>
              <w:jc w:val="right"/>
              <w:spacing w:after="0"/>
              <w:rPr>
                <w:sz w:val="20"/>
                <w:szCs w:val="20"/>
                <w:color w:val="auto"/>
              </w:rPr>
            </w:pPr>
            <w:r>
              <w:rPr>
                <w:rFonts w:ascii="Arial" w:cs="Arial" w:eastAsia="Arial" w:hAnsi="Arial"/>
                <w:sz w:val="18"/>
                <w:szCs w:val="18"/>
                <w:color w:val="auto"/>
              </w:rPr>
              <w:t>169</w:t>
            </w:r>
          </w:p>
        </w:tc>
        <w:tc>
          <w:tcPr>
            <w:tcW w:w="1100" w:type="dxa"/>
            <w:vAlign w:val="bottom"/>
            <w:gridSpan w:val="3"/>
          </w:tcPr>
          <w:p>
            <w:pPr>
              <w:jc w:val="right"/>
              <w:ind w:right="300"/>
              <w:spacing w:after="0"/>
              <w:rPr>
                <w:sz w:val="20"/>
                <w:szCs w:val="20"/>
                <w:color w:val="auto"/>
              </w:rPr>
            </w:pPr>
            <w:r>
              <w:rPr>
                <w:rFonts w:ascii="Arial" w:cs="Arial" w:eastAsia="Arial" w:hAnsi="Arial"/>
                <w:sz w:val="18"/>
                <w:szCs w:val="18"/>
                <w:color w:val="auto"/>
              </w:rPr>
              <w:t>18.3%</w:t>
            </w:r>
          </w:p>
        </w:tc>
        <w:tc>
          <w:tcPr>
            <w:tcW w:w="820" w:type="dxa"/>
            <w:vAlign w:val="bottom"/>
            <w:gridSpan w:val="2"/>
          </w:tcPr>
          <w:p>
            <w:pPr>
              <w:jc w:val="right"/>
              <w:ind w:right="300"/>
              <w:spacing w:after="0"/>
              <w:rPr>
                <w:sz w:val="20"/>
                <w:szCs w:val="20"/>
                <w:color w:val="auto"/>
              </w:rPr>
            </w:pPr>
            <w:r>
              <w:rPr>
                <w:rFonts w:ascii="Arial" w:cs="Arial" w:eastAsia="Arial" w:hAnsi="Arial"/>
                <w:sz w:val="18"/>
                <w:szCs w:val="18"/>
                <w:color w:val="auto"/>
              </w:rPr>
              <w:t>471</w:t>
            </w:r>
          </w:p>
        </w:tc>
        <w:tc>
          <w:tcPr>
            <w:tcW w:w="500" w:type="dxa"/>
            <w:vAlign w:val="bottom"/>
          </w:tcPr>
          <w:p>
            <w:pPr>
              <w:jc w:val="right"/>
              <w:spacing w:after="0"/>
              <w:rPr>
                <w:sz w:val="20"/>
                <w:szCs w:val="20"/>
                <w:color w:val="auto"/>
              </w:rPr>
            </w:pPr>
            <w:r>
              <w:rPr>
                <w:rFonts w:ascii="Arial" w:cs="Arial" w:eastAsia="Arial" w:hAnsi="Arial"/>
                <w:sz w:val="18"/>
                <w:szCs w:val="18"/>
                <w:color w:val="auto"/>
                <w:w w:val="93"/>
              </w:rPr>
              <w:t>18.8%</w:t>
            </w: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168</w:t>
            </w:r>
          </w:p>
        </w:tc>
        <w:tc>
          <w:tcPr>
            <w:tcW w:w="1200" w:type="dxa"/>
            <w:vAlign w:val="bottom"/>
            <w:gridSpan w:val="3"/>
          </w:tcPr>
          <w:p>
            <w:pPr>
              <w:jc w:val="right"/>
              <w:ind w:right="300"/>
              <w:spacing w:after="0"/>
              <w:rPr>
                <w:sz w:val="20"/>
                <w:szCs w:val="20"/>
                <w:color w:val="auto"/>
              </w:rPr>
            </w:pPr>
            <w:r>
              <w:rPr>
                <w:rFonts w:ascii="Arial" w:cs="Arial" w:eastAsia="Arial" w:hAnsi="Arial"/>
                <w:sz w:val="18"/>
                <w:szCs w:val="18"/>
                <w:color w:val="auto"/>
              </w:rPr>
              <w:t>19.8%</w:t>
            </w:r>
          </w:p>
        </w:tc>
        <w:tc>
          <w:tcPr>
            <w:tcW w:w="900" w:type="dxa"/>
            <w:vAlign w:val="bottom"/>
            <w:gridSpan w:val="2"/>
          </w:tcPr>
          <w:p>
            <w:pPr>
              <w:jc w:val="right"/>
              <w:ind w:right="300"/>
              <w:spacing w:after="0"/>
              <w:rPr>
                <w:sz w:val="20"/>
                <w:szCs w:val="20"/>
                <w:color w:val="auto"/>
              </w:rPr>
            </w:pPr>
            <w:r>
              <w:rPr>
                <w:rFonts w:ascii="Arial" w:cs="Arial" w:eastAsia="Arial" w:hAnsi="Arial"/>
                <w:sz w:val="18"/>
                <w:szCs w:val="18"/>
                <w:color w:val="auto"/>
              </w:rPr>
              <w:t>439</w:t>
            </w:r>
          </w:p>
        </w:tc>
        <w:tc>
          <w:tcPr>
            <w:tcW w:w="600" w:type="dxa"/>
            <w:vAlign w:val="bottom"/>
          </w:tcPr>
          <w:p>
            <w:pPr>
              <w:jc w:val="right"/>
              <w:spacing w:after="0"/>
              <w:rPr>
                <w:sz w:val="20"/>
                <w:szCs w:val="20"/>
                <w:color w:val="auto"/>
              </w:rPr>
            </w:pPr>
            <w:r>
              <w:rPr>
                <w:rFonts w:ascii="Arial" w:cs="Arial" w:eastAsia="Arial" w:hAnsi="Arial"/>
                <w:sz w:val="18"/>
                <w:szCs w:val="18"/>
                <w:color w:val="auto"/>
              </w:rPr>
              <w:t>19.1%</w:t>
            </w:r>
          </w:p>
        </w:tc>
        <w:tc>
          <w:tcPr>
            <w:tcW w:w="100" w:type="dxa"/>
            <w:vAlign w:val="bottom"/>
          </w:tcPr>
          <w:p>
            <w:pPr>
              <w:spacing w:after="0"/>
              <w:rPr>
                <w:sz w:val="18"/>
                <w:szCs w:val="18"/>
                <w:color w:val="auto"/>
              </w:rPr>
            </w:pPr>
          </w:p>
        </w:tc>
      </w:tr>
      <w:tr>
        <w:trPr>
          <w:trHeight w:val="216"/>
        </w:trPr>
        <w:tc>
          <w:tcPr>
            <w:tcW w:w="4760" w:type="dxa"/>
            <w:vAlign w:val="bottom"/>
            <w:shd w:val="clear" w:color="auto" w:fill="CCEEFF"/>
          </w:tcPr>
          <w:p>
            <w:pPr>
              <w:spacing w:after="0"/>
              <w:rPr>
                <w:sz w:val="20"/>
                <w:szCs w:val="20"/>
                <w:color w:val="auto"/>
              </w:rPr>
            </w:pPr>
            <w:r>
              <w:rPr>
                <w:rFonts w:ascii="Arial" w:cs="Arial" w:eastAsia="Arial" w:hAnsi="Arial"/>
                <w:sz w:val="18"/>
                <w:szCs w:val="18"/>
                <w:color w:val="auto"/>
              </w:rPr>
              <w:t>Australia</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w:t>
            </w:r>
          </w:p>
        </w:tc>
        <w:tc>
          <w:tcPr>
            <w:tcW w:w="110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13.0%</w:t>
            </w:r>
          </w:p>
        </w:tc>
        <w:tc>
          <w:tcPr>
            <w:tcW w:w="8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101</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13.0%</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120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13.2%</w:t>
            </w:r>
          </w:p>
        </w:tc>
        <w:tc>
          <w:tcPr>
            <w:tcW w:w="9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87</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12.7%</w:t>
            </w:r>
          </w:p>
        </w:tc>
        <w:tc>
          <w:tcPr>
            <w:tcW w:w="100" w:type="dxa"/>
            <w:vAlign w:val="bottom"/>
            <w:shd w:val="clear" w:color="auto" w:fill="CCEEFF"/>
          </w:tcPr>
          <w:p>
            <w:pPr>
              <w:spacing w:after="0"/>
              <w:rPr>
                <w:sz w:val="18"/>
                <w:szCs w:val="18"/>
                <w:color w:val="auto"/>
              </w:rPr>
            </w:pPr>
          </w:p>
        </w:tc>
      </w:tr>
      <w:tr>
        <w:trPr>
          <w:trHeight w:val="216"/>
        </w:trPr>
        <w:tc>
          <w:tcPr>
            <w:tcW w:w="4760" w:type="dxa"/>
            <w:vAlign w:val="bottom"/>
          </w:tcPr>
          <w:p>
            <w:pPr>
              <w:spacing w:after="0"/>
              <w:rPr>
                <w:sz w:val="20"/>
                <w:szCs w:val="20"/>
                <w:color w:val="auto"/>
              </w:rPr>
            </w:pPr>
            <w:r>
              <w:rPr>
                <w:rFonts w:ascii="Arial" w:cs="Arial" w:eastAsia="Arial" w:hAnsi="Arial"/>
                <w:sz w:val="18"/>
                <w:szCs w:val="18"/>
                <w:color w:val="auto"/>
              </w:rPr>
              <w:t>Argentina</w:t>
            </w:r>
          </w:p>
        </w:tc>
        <w:tc>
          <w:tcPr>
            <w:tcW w:w="520" w:type="dxa"/>
            <w:vAlign w:val="bottom"/>
          </w:tcPr>
          <w:p>
            <w:pPr>
              <w:jc w:val="right"/>
              <w:spacing w:after="0"/>
              <w:rPr>
                <w:sz w:val="20"/>
                <w:szCs w:val="20"/>
                <w:color w:val="auto"/>
              </w:rPr>
            </w:pPr>
            <w:r>
              <w:rPr>
                <w:rFonts w:ascii="Arial" w:cs="Arial" w:eastAsia="Arial" w:hAnsi="Arial"/>
                <w:sz w:val="18"/>
                <w:szCs w:val="18"/>
                <w:color w:val="auto"/>
              </w:rPr>
              <w:t>29</w:t>
            </w:r>
          </w:p>
        </w:tc>
        <w:tc>
          <w:tcPr>
            <w:tcW w:w="1100" w:type="dxa"/>
            <w:vAlign w:val="bottom"/>
            <w:gridSpan w:val="3"/>
          </w:tcPr>
          <w:p>
            <w:pPr>
              <w:jc w:val="right"/>
              <w:ind w:right="300"/>
              <w:spacing w:after="0"/>
              <w:rPr>
                <w:sz w:val="20"/>
                <w:szCs w:val="20"/>
                <w:color w:val="auto"/>
              </w:rPr>
            </w:pPr>
            <w:r>
              <w:rPr>
                <w:rFonts w:ascii="Arial" w:cs="Arial" w:eastAsia="Arial" w:hAnsi="Arial"/>
                <w:sz w:val="18"/>
                <w:szCs w:val="18"/>
                <w:color w:val="auto"/>
              </w:rPr>
              <w:t>16.1%</w:t>
            </w:r>
          </w:p>
        </w:tc>
        <w:tc>
          <w:tcPr>
            <w:tcW w:w="820" w:type="dxa"/>
            <w:vAlign w:val="bottom"/>
            <w:gridSpan w:val="2"/>
          </w:tcPr>
          <w:p>
            <w:pPr>
              <w:jc w:val="right"/>
              <w:ind w:right="300"/>
              <w:spacing w:after="0"/>
              <w:rPr>
                <w:sz w:val="20"/>
                <w:szCs w:val="20"/>
                <w:color w:val="auto"/>
              </w:rPr>
            </w:pPr>
            <w:r>
              <w:rPr>
                <w:rFonts w:ascii="Arial" w:cs="Arial" w:eastAsia="Arial" w:hAnsi="Arial"/>
                <w:sz w:val="18"/>
                <w:szCs w:val="18"/>
                <w:color w:val="auto"/>
              </w:rPr>
              <w:t>85</w:t>
            </w:r>
          </w:p>
        </w:tc>
        <w:tc>
          <w:tcPr>
            <w:tcW w:w="500" w:type="dxa"/>
            <w:vAlign w:val="bottom"/>
          </w:tcPr>
          <w:p>
            <w:pPr>
              <w:jc w:val="right"/>
              <w:spacing w:after="0"/>
              <w:rPr>
                <w:sz w:val="20"/>
                <w:szCs w:val="20"/>
                <w:color w:val="auto"/>
              </w:rPr>
            </w:pPr>
            <w:r>
              <w:rPr>
                <w:rFonts w:ascii="Arial" w:cs="Arial" w:eastAsia="Arial" w:hAnsi="Arial"/>
                <w:sz w:val="18"/>
                <w:szCs w:val="18"/>
                <w:color w:val="auto"/>
                <w:w w:val="93"/>
              </w:rPr>
              <w:t>16.4%</w:t>
            </w: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21</w:t>
            </w:r>
          </w:p>
        </w:tc>
        <w:tc>
          <w:tcPr>
            <w:tcW w:w="1200" w:type="dxa"/>
            <w:vAlign w:val="bottom"/>
            <w:gridSpan w:val="3"/>
          </w:tcPr>
          <w:p>
            <w:pPr>
              <w:jc w:val="right"/>
              <w:ind w:right="300"/>
              <w:spacing w:after="0"/>
              <w:rPr>
                <w:sz w:val="20"/>
                <w:szCs w:val="20"/>
                <w:color w:val="auto"/>
              </w:rPr>
            </w:pPr>
            <w:r>
              <w:rPr>
                <w:rFonts w:ascii="Arial" w:cs="Arial" w:eastAsia="Arial" w:hAnsi="Arial"/>
                <w:sz w:val="18"/>
                <w:szCs w:val="18"/>
                <w:color w:val="auto"/>
              </w:rPr>
              <w:t>15.7%</w:t>
            </w:r>
          </w:p>
        </w:tc>
        <w:tc>
          <w:tcPr>
            <w:tcW w:w="900" w:type="dxa"/>
            <w:vAlign w:val="bottom"/>
            <w:gridSpan w:val="2"/>
          </w:tcPr>
          <w:p>
            <w:pPr>
              <w:jc w:val="right"/>
              <w:ind w:right="300"/>
              <w:spacing w:after="0"/>
              <w:rPr>
                <w:sz w:val="20"/>
                <w:szCs w:val="20"/>
                <w:color w:val="auto"/>
              </w:rPr>
            </w:pPr>
            <w:r>
              <w:rPr>
                <w:rFonts w:ascii="Arial" w:cs="Arial" w:eastAsia="Arial" w:hAnsi="Arial"/>
                <w:sz w:val="18"/>
                <w:szCs w:val="18"/>
                <w:color w:val="auto"/>
              </w:rPr>
              <w:t>64</w:t>
            </w:r>
          </w:p>
        </w:tc>
        <w:tc>
          <w:tcPr>
            <w:tcW w:w="600" w:type="dxa"/>
            <w:vAlign w:val="bottom"/>
          </w:tcPr>
          <w:p>
            <w:pPr>
              <w:jc w:val="right"/>
              <w:spacing w:after="0"/>
              <w:rPr>
                <w:sz w:val="20"/>
                <w:szCs w:val="20"/>
                <w:color w:val="auto"/>
              </w:rPr>
            </w:pPr>
            <w:r>
              <w:rPr>
                <w:rFonts w:ascii="Arial" w:cs="Arial" w:eastAsia="Arial" w:hAnsi="Arial"/>
                <w:sz w:val="18"/>
                <w:szCs w:val="18"/>
                <w:color w:val="auto"/>
              </w:rPr>
              <w:t>15.3%</w:t>
            </w:r>
          </w:p>
        </w:tc>
        <w:tc>
          <w:tcPr>
            <w:tcW w:w="100" w:type="dxa"/>
            <w:vAlign w:val="bottom"/>
          </w:tcPr>
          <w:p>
            <w:pPr>
              <w:spacing w:after="0"/>
              <w:rPr>
                <w:sz w:val="18"/>
                <w:szCs w:val="18"/>
                <w:color w:val="auto"/>
              </w:rPr>
            </w:pPr>
          </w:p>
        </w:tc>
      </w:tr>
      <w:tr>
        <w:trPr>
          <w:trHeight w:val="216"/>
        </w:trPr>
        <w:tc>
          <w:tcPr>
            <w:tcW w:w="4760" w:type="dxa"/>
            <w:vAlign w:val="bottom"/>
            <w:shd w:val="clear" w:color="auto" w:fill="CCEEFF"/>
          </w:tcPr>
          <w:p>
            <w:pPr>
              <w:spacing w:after="0"/>
              <w:rPr>
                <w:sz w:val="20"/>
                <w:szCs w:val="20"/>
                <w:color w:val="auto"/>
              </w:rPr>
            </w:pPr>
            <w:r>
              <w:rPr>
                <w:rFonts w:ascii="Arial" w:cs="Arial" w:eastAsia="Arial" w:hAnsi="Arial"/>
                <w:sz w:val="18"/>
                <w:szCs w:val="18"/>
                <w:color w:val="auto"/>
              </w:rPr>
              <w:t>South Korea (e)</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110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7.9%</w:t>
            </w:r>
          </w:p>
        </w:tc>
        <w:tc>
          <w:tcPr>
            <w:tcW w:w="8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88</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31</w:t>
            </w:r>
          </w:p>
        </w:tc>
        <w:tc>
          <w:tcPr>
            <w:tcW w:w="120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8.5%</w:t>
            </w:r>
          </w:p>
        </w:tc>
        <w:tc>
          <w:tcPr>
            <w:tcW w:w="9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76</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w:t>
            </w:r>
          </w:p>
        </w:tc>
        <w:tc>
          <w:tcPr>
            <w:tcW w:w="100" w:type="dxa"/>
            <w:vAlign w:val="bottom"/>
            <w:shd w:val="clear" w:color="auto" w:fill="CCEEFF"/>
          </w:tcPr>
          <w:p>
            <w:pPr>
              <w:spacing w:after="0"/>
              <w:rPr>
                <w:sz w:val="18"/>
                <w:szCs w:val="18"/>
                <w:color w:val="auto"/>
              </w:rPr>
            </w:pPr>
          </w:p>
        </w:tc>
      </w:tr>
      <w:tr>
        <w:trPr>
          <w:trHeight w:val="216"/>
        </w:trPr>
        <w:tc>
          <w:tcPr>
            <w:tcW w:w="4760" w:type="dxa"/>
            <w:vAlign w:val="bottom"/>
          </w:tcPr>
          <w:p>
            <w:pPr>
              <w:spacing w:after="0"/>
              <w:rPr>
                <w:sz w:val="20"/>
                <w:szCs w:val="20"/>
                <w:color w:val="auto"/>
              </w:rPr>
            </w:pPr>
            <w:r>
              <w:rPr>
                <w:rFonts w:ascii="Arial" w:cs="Arial" w:eastAsia="Arial" w:hAnsi="Arial"/>
                <w:sz w:val="18"/>
                <w:szCs w:val="18"/>
                <w:color w:val="auto"/>
              </w:rPr>
              <w:t>Middle East Operations</w:t>
            </w:r>
          </w:p>
        </w:tc>
        <w:tc>
          <w:tcPr>
            <w:tcW w:w="520" w:type="dxa"/>
            <w:vAlign w:val="bottom"/>
          </w:tcPr>
          <w:p>
            <w:pPr>
              <w:jc w:val="right"/>
              <w:spacing w:after="0"/>
              <w:rPr>
                <w:sz w:val="20"/>
                <w:szCs w:val="20"/>
                <w:color w:val="auto"/>
              </w:rPr>
            </w:pPr>
            <w:r>
              <w:rPr>
                <w:rFonts w:ascii="Arial" w:cs="Arial" w:eastAsia="Arial" w:hAnsi="Arial"/>
                <w:sz w:val="18"/>
                <w:szCs w:val="18"/>
                <w:color w:val="auto"/>
              </w:rPr>
              <w:t>29</w:t>
            </w:r>
          </w:p>
        </w:tc>
        <w:tc>
          <w:tcPr>
            <w:tcW w:w="1100" w:type="dxa"/>
            <w:vAlign w:val="bottom"/>
            <w:gridSpan w:val="3"/>
          </w:tcPr>
          <w:p>
            <w:pPr>
              <w:jc w:val="right"/>
              <w:ind w:right="300"/>
              <w:spacing w:after="0"/>
              <w:rPr>
                <w:sz w:val="20"/>
                <w:szCs w:val="20"/>
                <w:color w:val="auto"/>
              </w:rPr>
            </w:pPr>
            <w:r>
              <w:rPr>
                <w:rFonts w:ascii="Arial" w:cs="Arial" w:eastAsia="Arial" w:hAnsi="Arial"/>
                <w:sz w:val="18"/>
                <w:szCs w:val="18"/>
                <w:color w:val="auto"/>
              </w:rPr>
              <w:t>10.4%</w:t>
            </w:r>
          </w:p>
        </w:tc>
        <w:tc>
          <w:tcPr>
            <w:tcW w:w="820" w:type="dxa"/>
            <w:vAlign w:val="bottom"/>
            <w:gridSpan w:val="2"/>
          </w:tcPr>
          <w:p>
            <w:pPr>
              <w:jc w:val="right"/>
              <w:ind w:right="300"/>
              <w:spacing w:after="0"/>
              <w:rPr>
                <w:sz w:val="20"/>
                <w:szCs w:val="20"/>
                <w:color w:val="auto"/>
              </w:rPr>
            </w:pPr>
            <w:r>
              <w:rPr>
                <w:rFonts w:ascii="Arial" w:cs="Arial" w:eastAsia="Arial" w:hAnsi="Arial"/>
                <w:sz w:val="18"/>
                <w:szCs w:val="18"/>
                <w:color w:val="auto"/>
              </w:rPr>
              <w:t>85</w:t>
            </w:r>
          </w:p>
        </w:tc>
        <w:tc>
          <w:tcPr>
            <w:tcW w:w="500" w:type="dxa"/>
            <w:vAlign w:val="bottom"/>
          </w:tcPr>
          <w:p>
            <w:pPr>
              <w:jc w:val="right"/>
              <w:spacing w:after="0"/>
              <w:rPr>
                <w:sz w:val="20"/>
                <w:szCs w:val="20"/>
                <w:color w:val="auto"/>
              </w:rPr>
            </w:pPr>
            <w:r>
              <w:rPr>
                <w:rFonts w:ascii="Arial" w:cs="Arial" w:eastAsia="Arial" w:hAnsi="Arial"/>
                <w:sz w:val="18"/>
                <w:szCs w:val="18"/>
                <w:color w:val="auto"/>
                <w:w w:val="93"/>
              </w:rPr>
              <w:t>10.0%</w:t>
            </w: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30</w:t>
            </w:r>
          </w:p>
        </w:tc>
        <w:tc>
          <w:tcPr>
            <w:tcW w:w="1200" w:type="dxa"/>
            <w:vAlign w:val="bottom"/>
            <w:gridSpan w:val="3"/>
          </w:tcPr>
          <w:p>
            <w:pPr>
              <w:jc w:val="right"/>
              <w:ind w:right="300"/>
              <w:spacing w:after="0"/>
              <w:rPr>
                <w:sz w:val="20"/>
                <w:szCs w:val="20"/>
                <w:color w:val="auto"/>
              </w:rPr>
            </w:pPr>
            <w:r>
              <w:rPr>
                <w:rFonts w:ascii="Arial" w:cs="Arial" w:eastAsia="Arial" w:hAnsi="Arial"/>
                <w:sz w:val="18"/>
                <w:szCs w:val="18"/>
                <w:color w:val="auto"/>
              </w:rPr>
              <w:t>11.5%</w:t>
            </w:r>
          </w:p>
        </w:tc>
        <w:tc>
          <w:tcPr>
            <w:tcW w:w="900" w:type="dxa"/>
            <w:vAlign w:val="bottom"/>
            <w:gridSpan w:val="2"/>
          </w:tcPr>
          <w:p>
            <w:pPr>
              <w:jc w:val="right"/>
              <w:ind w:right="300"/>
              <w:spacing w:after="0"/>
              <w:rPr>
                <w:sz w:val="20"/>
                <w:szCs w:val="20"/>
                <w:color w:val="auto"/>
              </w:rPr>
            </w:pPr>
            <w:r>
              <w:rPr>
                <w:rFonts w:ascii="Arial" w:cs="Arial" w:eastAsia="Arial" w:hAnsi="Arial"/>
                <w:sz w:val="18"/>
                <w:szCs w:val="18"/>
                <w:color w:val="auto"/>
              </w:rPr>
              <w:t>86</w:t>
            </w:r>
          </w:p>
        </w:tc>
        <w:tc>
          <w:tcPr>
            <w:tcW w:w="600" w:type="dxa"/>
            <w:vAlign w:val="bottom"/>
          </w:tcPr>
          <w:p>
            <w:pPr>
              <w:jc w:val="right"/>
              <w:spacing w:after="0"/>
              <w:rPr>
                <w:sz w:val="20"/>
                <w:szCs w:val="20"/>
                <w:color w:val="auto"/>
              </w:rPr>
            </w:pPr>
            <w:r>
              <w:rPr>
                <w:rFonts w:ascii="Arial" w:cs="Arial" w:eastAsia="Arial" w:hAnsi="Arial"/>
                <w:sz w:val="18"/>
                <w:szCs w:val="18"/>
                <w:color w:val="auto"/>
              </w:rPr>
              <w:t>11.0%</w:t>
            </w:r>
          </w:p>
        </w:tc>
        <w:tc>
          <w:tcPr>
            <w:tcW w:w="100" w:type="dxa"/>
            <w:vAlign w:val="bottom"/>
          </w:tcPr>
          <w:p>
            <w:pPr>
              <w:spacing w:after="0"/>
              <w:rPr>
                <w:sz w:val="18"/>
                <w:szCs w:val="18"/>
                <w:color w:val="auto"/>
              </w:rPr>
            </w:pPr>
          </w:p>
        </w:tc>
      </w:tr>
      <w:tr>
        <w:trPr>
          <w:trHeight w:val="216"/>
        </w:trPr>
        <w:tc>
          <w:tcPr>
            <w:tcW w:w="4760" w:type="dxa"/>
            <w:vAlign w:val="bottom"/>
            <w:shd w:val="clear" w:color="auto" w:fill="CCEEFF"/>
          </w:tcPr>
          <w:p>
            <w:pPr>
              <w:spacing w:after="0"/>
              <w:rPr>
                <w:sz w:val="20"/>
                <w:szCs w:val="20"/>
                <w:color w:val="auto"/>
              </w:rPr>
            </w:pPr>
            <w:r>
              <w:rPr>
                <w:rFonts w:ascii="Arial" w:cs="Arial" w:eastAsia="Arial" w:hAnsi="Arial"/>
                <w:sz w:val="18"/>
                <w:szCs w:val="18"/>
                <w:color w:val="auto"/>
              </w:rPr>
              <w:t>Colombia</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110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35.5%</w:t>
            </w:r>
          </w:p>
        </w:tc>
        <w:tc>
          <w:tcPr>
            <w:tcW w:w="8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60</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34.3%</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120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33.2%</w:t>
            </w:r>
          </w:p>
        </w:tc>
        <w:tc>
          <w:tcPr>
            <w:tcW w:w="9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49</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36.9%</w:t>
            </w:r>
          </w:p>
        </w:tc>
        <w:tc>
          <w:tcPr>
            <w:tcW w:w="100" w:type="dxa"/>
            <w:vAlign w:val="bottom"/>
            <w:shd w:val="clear" w:color="auto" w:fill="CCEEFF"/>
          </w:tcPr>
          <w:p>
            <w:pPr>
              <w:spacing w:after="0"/>
              <w:rPr>
                <w:sz w:val="18"/>
                <w:szCs w:val="18"/>
                <w:color w:val="auto"/>
              </w:rPr>
            </w:pPr>
          </w:p>
        </w:tc>
      </w:tr>
      <w:tr>
        <w:trPr>
          <w:trHeight w:val="216"/>
        </w:trPr>
        <w:tc>
          <w:tcPr>
            <w:tcW w:w="4760" w:type="dxa"/>
            <w:vAlign w:val="bottom"/>
          </w:tcPr>
          <w:p>
            <w:pPr>
              <w:spacing w:after="0"/>
              <w:rPr>
                <w:sz w:val="20"/>
                <w:szCs w:val="20"/>
                <w:color w:val="auto"/>
              </w:rPr>
            </w:pPr>
            <w:r>
              <w:rPr>
                <w:rFonts w:ascii="Arial" w:cs="Arial" w:eastAsia="Arial" w:hAnsi="Arial"/>
                <w:sz w:val="18"/>
                <w:szCs w:val="18"/>
                <w:color w:val="auto"/>
              </w:rPr>
              <w:t>Egypt</w:t>
            </w:r>
          </w:p>
        </w:tc>
        <w:tc>
          <w:tcPr>
            <w:tcW w:w="520" w:type="dxa"/>
            <w:vAlign w:val="bottom"/>
          </w:tcPr>
          <w:p>
            <w:pPr>
              <w:jc w:val="right"/>
              <w:spacing w:after="0"/>
              <w:rPr>
                <w:sz w:val="20"/>
                <w:szCs w:val="20"/>
                <w:color w:val="auto"/>
              </w:rPr>
            </w:pPr>
            <w:r>
              <w:rPr>
                <w:rFonts w:ascii="Arial" w:cs="Arial" w:eastAsia="Arial" w:hAnsi="Arial"/>
                <w:sz w:val="18"/>
                <w:szCs w:val="18"/>
                <w:color w:val="auto"/>
              </w:rPr>
              <w:t>19</w:t>
            </w:r>
          </w:p>
        </w:tc>
        <w:tc>
          <w:tcPr>
            <w:tcW w:w="1100" w:type="dxa"/>
            <w:vAlign w:val="bottom"/>
            <w:gridSpan w:val="3"/>
          </w:tcPr>
          <w:p>
            <w:pPr>
              <w:jc w:val="right"/>
              <w:ind w:right="300"/>
              <w:spacing w:after="0"/>
              <w:rPr>
                <w:sz w:val="20"/>
                <w:szCs w:val="20"/>
                <w:color w:val="auto"/>
              </w:rPr>
            </w:pPr>
            <w:r>
              <w:rPr>
                <w:rFonts w:ascii="Arial" w:cs="Arial" w:eastAsia="Arial" w:hAnsi="Arial"/>
                <w:sz w:val="18"/>
                <w:szCs w:val="18"/>
                <w:color w:val="auto"/>
              </w:rPr>
              <w:t>29.6%</w:t>
            </w:r>
          </w:p>
        </w:tc>
        <w:tc>
          <w:tcPr>
            <w:tcW w:w="820" w:type="dxa"/>
            <w:vAlign w:val="bottom"/>
            <w:gridSpan w:val="2"/>
          </w:tcPr>
          <w:p>
            <w:pPr>
              <w:jc w:val="right"/>
              <w:ind w:right="300"/>
              <w:spacing w:after="0"/>
              <w:rPr>
                <w:sz w:val="20"/>
                <w:szCs w:val="20"/>
                <w:color w:val="auto"/>
              </w:rPr>
            </w:pPr>
            <w:r>
              <w:rPr>
                <w:rFonts w:ascii="Arial" w:cs="Arial" w:eastAsia="Arial" w:hAnsi="Arial"/>
                <w:sz w:val="18"/>
                <w:szCs w:val="18"/>
                <w:color w:val="auto"/>
              </w:rPr>
              <w:t>52</w:t>
            </w:r>
          </w:p>
        </w:tc>
        <w:tc>
          <w:tcPr>
            <w:tcW w:w="500" w:type="dxa"/>
            <w:vAlign w:val="bottom"/>
          </w:tcPr>
          <w:p>
            <w:pPr>
              <w:jc w:val="right"/>
              <w:spacing w:after="0"/>
              <w:rPr>
                <w:sz w:val="20"/>
                <w:szCs w:val="20"/>
                <w:color w:val="auto"/>
              </w:rPr>
            </w:pPr>
            <w:r>
              <w:rPr>
                <w:rFonts w:ascii="Arial" w:cs="Arial" w:eastAsia="Arial" w:hAnsi="Arial"/>
                <w:sz w:val="18"/>
                <w:szCs w:val="18"/>
                <w:color w:val="auto"/>
                <w:w w:val="93"/>
              </w:rPr>
              <w:t>27.5%</w:t>
            </w: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15</w:t>
            </w:r>
          </w:p>
        </w:tc>
        <w:tc>
          <w:tcPr>
            <w:tcW w:w="1200" w:type="dxa"/>
            <w:vAlign w:val="bottom"/>
            <w:gridSpan w:val="3"/>
          </w:tcPr>
          <w:p>
            <w:pPr>
              <w:jc w:val="right"/>
              <w:ind w:right="300"/>
              <w:spacing w:after="0"/>
              <w:rPr>
                <w:sz w:val="20"/>
                <w:szCs w:val="20"/>
                <w:color w:val="auto"/>
              </w:rPr>
            </w:pPr>
            <w:r>
              <w:rPr>
                <w:rFonts w:ascii="Arial" w:cs="Arial" w:eastAsia="Arial" w:hAnsi="Arial"/>
                <w:sz w:val="18"/>
                <w:szCs w:val="18"/>
                <w:color w:val="auto"/>
              </w:rPr>
              <w:t>26.1%</w:t>
            </w:r>
          </w:p>
        </w:tc>
        <w:tc>
          <w:tcPr>
            <w:tcW w:w="900" w:type="dxa"/>
            <w:vAlign w:val="bottom"/>
            <w:gridSpan w:val="2"/>
          </w:tcPr>
          <w:p>
            <w:pPr>
              <w:jc w:val="right"/>
              <w:ind w:right="300"/>
              <w:spacing w:after="0"/>
              <w:rPr>
                <w:sz w:val="20"/>
                <w:szCs w:val="20"/>
                <w:color w:val="auto"/>
              </w:rPr>
            </w:pPr>
            <w:r>
              <w:rPr>
                <w:rFonts w:ascii="Arial" w:cs="Arial" w:eastAsia="Arial" w:hAnsi="Arial"/>
                <w:sz w:val="18"/>
                <w:szCs w:val="18"/>
                <w:color w:val="auto"/>
              </w:rPr>
              <w:t>38</w:t>
            </w:r>
          </w:p>
        </w:tc>
        <w:tc>
          <w:tcPr>
            <w:tcW w:w="600" w:type="dxa"/>
            <w:vAlign w:val="bottom"/>
          </w:tcPr>
          <w:p>
            <w:pPr>
              <w:jc w:val="right"/>
              <w:spacing w:after="0"/>
              <w:rPr>
                <w:sz w:val="20"/>
                <w:szCs w:val="20"/>
                <w:color w:val="auto"/>
              </w:rPr>
            </w:pPr>
            <w:r>
              <w:rPr>
                <w:rFonts w:ascii="Arial" w:cs="Arial" w:eastAsia="Arial" w:hAnsi="Arial"/>
                <w:sz w:val="18"/>
                <w:szCs w:val="18"/>
                <w:color w:val="auto"/>
              </w:rPr>
              <w:t>25.6%</w:t>
            </w:r>
          </w:p>
        </w:tc>
        <w:tc>
          <w:tcPr>
            <w:tcW w:w="100" w:type="dxa"/>
            <w:vAlign w:val="bottom"/>
          </w:tcPr>
          <w:p>
            <w:pPr>
              <w:spacing w:after="0"/>
              <w:rPr>
                <w:sz w:val="18"/>
                <w:szCs w:val="18"/>
                <w:color w:val="auto"/>
              </w:rPr>
            </w:pPr>
          </w:p>
        </w:tc>
      </w:tr>
      <w:tr>
        <w:trPr>
          <w:trHeight w:val="216"/>
        </w:trPr>
        <w:tc>
          <w:tcPr>
            <w:tcW w:w="4760" w:type="dxa"/>
            <w:vAlign w:val="bottom"/>
            <w:shd w:val="clear" w:color="auto" w:fill="CCEEFF"/>
          </w:tcPr>
          <w:p>
            <w:pPr>
              <w:spacing w:after="0"/>
              <w:rPr>
                <w:sz w:val="20"/>
                <w:szCs w:val="20"/>
                <w:color w:val="auto"/>
              </w:rPr>
            </w:pPr>
            <w:r>
              <w:rPr>
                <w:rFonts w:ascii="Arial" w:cs="Arial" w:eastAsia="Arial" w:hAnsi="Arial"/>
                <w:sz w:val="18"/>
                <w:szCs w:val="18"/>
                <w:color w:val="auto"/>
              </w:rPr>
              <w:t>Venezuela</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110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42.0%</w:t>
            </w:r>
          </w:p>
        </w:tc>
        <w:tc>
          <w:tcPr>
            <w:tcW w:w="8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39</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41.7%</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120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19.3%</w:t>
            </w:r>
          </w:p>
        </w:tc>
        <w:tc>
          <w:tcPr>
            <w:tcW w:w="9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40</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37.6%</w:t>
            </w:r>
          </w:p>
        </w:tc>
        <w:tc>
          <w:tcPr>
            <w:tcW w:w="100" w:type="dxa"/>
            <w:vAlign w:val="bottom"/>
            <w:shd w:val="clear" w:color="auto" w:fill="CCEEFF"/>
          </w:tcPr>
          <w:p>
            <w:pPr>
              <w:spacing w:after="0"/>
              <w:rPr>
                <w:sz w:val="18"/>
                <w:szCs w:val="18"/>
                <w:color w:val="auto"/>
              </w:rPr>
            </w:pPr>
          </w:p>
        </w:tc>
      </w:tr>
      <w:tr>
        <w:trPr>
          <w:trHeight w:val="216"/>
        </w:trPr>
        <w:tc>
          <w:tcPr>
            <w:tcW w:w="4760" w:type="dxa"/>
            <w:vAlign w:val="bottom"/>
          </w:tcPr>
          <w:p>
            <w:pPr>
              <w:spacing w:after="0"/>
              <w:rPr>
                <w:sz w:val="20"/>
                <w:szCs w:val="20"/>
                <w:color w:val="auto"/>
              </w:rPr>
            </w:pPr>
            <w:r>
              <w:rPr>
                <w:rFonts w:ascii="Arial" w:cs="Arial" w:eastAsia="Arial" w:hAnsi="Arial"/>
                <w:sz w:val="18"/>
                <w:szCs w:val="18"/>
                <w:color w:val="auto"/>
              </w:rPr>
              <w:t>Vehicle sales — primarily joint ventures (f)</w:t>
            </w:r>
          </w:p>
        </w:tc>
        <w:tc>
          <w:tcPr>
            <w:tcW w:w="5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760" w:type="dxa"/>
            <w:vAlign w:val="bottom"/>
            <w:shd w:val="clear" w:color="auto" w:fill="CCEEFF"/>
          </w:tcPr>
          <w:p>
            <w:pPr>
              <w:spacing w:after="0"/>
              <w:rPr>
                <w:sz w:val="20"/>
                <w:szCs w:val="20"/>
                <w:color w:val="auto"/>
              </w:rPr>
            </w:pPr>
            <w:r>
              <w:rPr>
                <w:rFonts w:ascii="Arial" w:cs="Arial" w:eastAsia="Arial" w:hAnsi="Arial"/>
                <w:sz w:val="18"/>
                <w:szCs w:val="18"/>
                <w:color w:val="auto"/>
              </w:rPr>
              <w:t>China (g)</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567</w:t>
            </w:r>
          </w:p>
        </w:tc>
        <w:tc>
          <w:tcPr>
            <w:tcW w:w="110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13.6%</w:t>
            </w:r>
          </w:p>
        </w:tc>
        <w:tc>
          <w:tcPr>
            <w:tcW w:w="8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1,776</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13.4%</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478</w:t>
            </w:r>
          </w:p>
        </w:tc>
        <w:tc>
          <w:tcPr>
            <w:tcW w:w="120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13.3%</w:t>
            </w:r>
          </w:p>
        </w:tc>
        <w:tc>
          <w:tcPr>
            <w:tcW w:w="9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1,293</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13.3%</w:t>
            </w:r>
          </w:p>
        </w:tc>
        <w:tc>
          <w:tcPr>
            <w:tcW w:w="100" w:type="dxa"/>
            <w:vAlign w:val="bottom"/>
            <w:shd w:val="clear" w:color="auto" w:fill="CCEEFF"/>
          </w:tcPr>
          <w:p>
            <w:pPr>
              <w:spacing w:after="0"/>
              <w:rPr>
                <w:sz w:val="18"/>
                <w:szCs w:val="18"/>
                <w:color w:val="auto"/>
              </w:rPr>
            </w:pPr>
          </w:p>
        </w:tc>
      </w:tr>
      <w:tr>
        <w:trPr>
          <w:trHeight w:val="222"/>
        </w:trPr>
        <w:tc>
          <w:tcPr>
            <w:tcW w:w="4760" w:type="dxa"/>
            <w:vAlign w:val="bottom"/>
          </w:tcPr>
          <w:p>
            <w:pPr>
              <w:spacing w:after="0"/>
              <w:rPr>
                <w:sz w:val="20"/>
                <w:szCs w:val="20"/>
                <w:color w:val="auto"/>
              </w:rPr>
            </w:pPr>
            <w:r>
              <w:rPr>
                <w:rFonts w:ascii="Arial" w:cs="Arial" w:eastAsia="Arial" w:hAnsi="Arial"/>
                <w:sz w:val="18"/>
                <w:szCs w:val="18"/>
                <w:color w:val="auto"/>
              </w:rPr>
              <w:t>India</w:t>
            </w:r>
          </w:p>
        </w:tc>
        <w:tc>
          <w:tcPr>
            <w:tcW w:w="520" w:type="dxa"/>
            <w:vAlign w:val="bottom"/>
          </w:tcPr>
          <w:p>
            <w:pPr>
              <w:jc w:val="right"/>
              <w:spacing w:after="0"/>
              <w:rPr>
                <w:sz w:val="20"/>
                <w:szCs w:val="20"/>
                <w:color w:val="auto"/>
              </w:rPr>
            </w:pPr>
            <w:r>
              <w:rPr>
                <w:rFonts w:ascii="Arial" w:cs="Arial" w:eastAsia="Arial" w:hAnsi="Arial"/>
                <w:sz w:val="18"/>
                <w:szCs w:val="18"/>
                <w:color w:val="auto"/>
              </w:rPr>
              <w:t>24</w:t>
            </w:r>
          </w:p>
        </w:tc>
        <w:tc>
          <w:tcPr>
            <w:tcW w:w="1100" w:type="dxa"/>
            <w:vAlign w:val="bottom"/>
            <w:gridSpan w:val="3"/>
          </w:tcPr>
          <w:p>
            <w:pPr>
              <w:jc w:val="right"/>
              <w:ind w:right="300"/>
              <w:spacing w:after="0"/>
              <w:rPr>
                <w:sz w:val="20"/>
                <w:szCs w:val="20"/>
                <w:color w:val="auto"/>
              </w:rPr>
            </w:pPr>
            <w:r>
              <w:rPr>
                <w:rFonts w:ascii="Arial" w:cs="Arial" w:eastAsia="Arial" w:hAnsi="Arial"/>
                <w:sz w:val="18"/>
                <w:szCs w:val="18"/>
                <w:color w:val="auto"/>
              </w:rPr>
              <w:t>3.0%</w:t>
            </w:r>
          </w:p>
        </w:tc>
        <w:tc>
          <w:tcPr>
            <w:tcW w:w="820" w:type="dxa"/>
            <w:vAlign w:val="bottom"/>
            <w:gridSpan w:val="2"/>
          </w:tcPr>
          <w:p>
            <w:pPr>
              <w:jc w:val="right"/>
              <w:ind w:right="300"/>
              <w:spacing w:after="0"/>
              <w:rPr>
                <w:sz w:val="20"/>
                <w:szCs w:val="20"/>
                <w:color w:val="auto"/>
              </w:rPr>
            </w:pPr>
            <w:r>
              <w:rPr>
                <w:rFonts w:ascii="Arial" w:cs="Arial" w:eastAsia="Arial" w:hAnsi="Arial"/>
                <w:sz w:val="18"/>
                <w:szCs w:val="18"/>
                <w:color w:val="auto"/>
              </w:rPr>
              <w:t>84</w:t>
            </w:r>
          </w:p>
        </w:tc>
        <w:tc>
          <w:tcPr>
            <w:tcW w:w="500" w:type="dxa"/>
            <w:vAlign w:val="bottom"/>
          </w:tcPr>
          <w:p>
            <w:pPr>
              <w:jc w:val="right"/>
              <w:spacing w:after="0"/>
              <w:rPr>
                <w:sz w:val="20"/>
                <w:szCs w:val="20"/>
                <w:color w:val="auto"/>
              </w:rPr>
            </w:pPr>
            <w:r>
              <w:rPr>
                <w:rFonts w:ascii="Arial" w:cs="Arial" w:eastAsia="Arial" w:hAnsi="Arial"/>
                <w:sz w:val="18"/>
                <w:szCs w:val="18"/>
                <w:color w:val="auto"/>
              </w:rPr>
              <w:t>3.7%</w:t>
            </w: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18</w:t>
            </w:r>
          </w:p>
        </w:tc>
        <w:tc>
          <w:tcPr>
            <w:tcW w:w="1200" w:type="dxa"/>
            <w:vAlign w:val="bottom"/>
            <w:gridSpan w:val="3"/>
          </w:tcPr>
          <w:p>
            <w:pPr>
              <w:jc w:val="right"/>
              <w:ind w:right="300"/>
              <w:spacing w:after="0"/>
              <w:rPr>
                <w:sz w:val="20"/>
                <w:szCs w:val="20"/>
                <w:color w:val="auto"/>
              </w:rPr>
            </w:pPr>
            <w:r>
              <w:rPr>
                <w:rFonts w:ascii="Arial" w:cs="Arial" w:eastAsia="Arial" w:hAnsi="Arial"/>
                <w:sz w:val="18"/>
                <w:szCs w:val="18"/>
                <w:color w:val="auto"/>
              </w:rPr>
              <w:t>3.1%</w:t>
            </w:r>
          </w:p>
        </w:tc>
        <w:tc>
          <w:tcPr>
            <w:tcW w:w="900" w:type="dxa"/>
            <w:vAlign w:val="bottom"/>
            <w:gridSpan w:val="2"/>
          </w:tcPr>
          <w:p>
            <w:pPr>
              <w:jc w:val="right"/>
              <w:ind w:right="300"/>
              <w:spacing w:after="0"/>
              <w:rPr>
                <w:sz w:val="20"/>
                <w:szCs w:val="20"/>
                <w:color w:val="auto"/>
              </w:rPr>
            </w:pPr>
            <w:r>
              <w:rPr>
                <w:rFonts w:ascii="Arial" w:cs="Arial" w:eastAsia="Arial" w:hAnsi="Arial"/>
                <w:sz w:val="18"/>
                <w:szCs w:val="18"/>
                <w:color w:val="auto"/>
              </w:rPr>
              <w:t>46</w:t>
            </w:r>
          </w:p>
        </w:tc>
        <w:tc>
          <w:tcPr>
            <w:tcW w:w="600" w:type="dxa"/>
            <w:vAlign w:val="bottom"/>
          </w:tcPr>
          <w:p>
            <w:pPr>
              <w:jc w:val="right"/>
              <w:spacing w:after="0"/>
              <w:rPr>
                <w:sz w:val="20"/>
                <w:szCs w:val="20"/>
                <w:color w:val="auto"/>
              </w:rPr>
            </w:pPr>
            <w:r>
              <w:rPr>
                <w:rFonts w:ascii="Arial" w:cs="Arial" w:eastAsia="Arial" w:hAnsi="Arial"/>
                <w:sz w:val="18"/>
                <w:szCs w:val="18"/>
                <w:color w:val="auto"/>
              </w:rPr>
              <w:t>2.8%</w:t>
            </w:r>
          </w:p>
        </w:tc>
        <w:tc>
          <w:tcPr>
            <w:tcW w:w="100" w:type="dxa"/>
            <w:vAlign w:val="bottom"/>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64770</wp:posOffset>
            </wp:positionV>
            <wp:extent cx="728980" cy="889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14" w:lineRule="exact"/>
        <w:rPr>
          <w:sz w:val="20"/>
          <w:szCs w:val="20"/>
          <w:color w:val="auto"/>
        </w:rPr>
      </w:pPr>
    </w:p>
    <w:p>
      <w:pPr>
        <w:ind w:left="460" w:hanging="452"/>
        <w:spacing w:after="0"/>
        <w:tabs>
          <w:tab w:leader="none" w:pos="460" w:val="left"/>
        </w:tabs>
        <w:numPr>
          <w:ilvl w:val="0"/>
          <w:numId w:val="85"/>
        </w:numPr>
        <w:rPr>
          <w:rFonts w:ascii="Arial" w:cs="Arial" w:eastAsia="Arial" w:hAnsi="Arial"/>
          <w:sz w:val="18"/>
          <w:szCs w:val="18"/>
          <w:color w:val="auto"/>
        </w:rPr>
      </w:pPr>
      <w:r>
        <w:rPr>
          <w:rFonts w:ascii="Arial" w:cs="Arial" w:eastAsia="Arial" w:hAnsi="Arial"/>
          <w:sz w:val="18"/>
          <w:szCs w:val="18"/>
          <w:color w:val="auto"/>
        </w:rPr>
        <w:t>Vehicle sales primarily represent estimated sales to the ultimate customer.</w:t>
      </w:r>
    </w:p>
    <w:p>
      <w:pPr>
        <w:spacing w:after="0" w:line="90" w:lineRule="exact"/>
        <w:rPr>
          <w:rFonts w:ascii="Arial" w:cs="Arial" w:eastAsia="Arial" w:hAnsi="Arial"/>
          <w:sz w:val="18"/>
          <w:szCs w:val="18"/>
          <w:color w:val="auto"/>
        </w:rPr>
      </w:pPr>
    </w:p>
    <w:p>
      <w:pPr>
        <w:ind w:left="460" w:hanging="452"/>
        <w:spacing w:after="0"/>
        <w:tabs>
          <w:tab w:leader="none" w:pos="460" w:val="left"/>
        </w:tabs>
        <w:numPr>
          <w:ilvl w:val="0"/>
          <w:numId w:val="85"/>
        </w:numPr>
        <w:rPr>
          <w:rFonts w:ascii="Arial" w:cs="Arial" w:eastAsia="Arial" w:hAnsi="Arial"/>
          <w:sz w:val="18"/>
          <w:szCs w:val="18"/>
          <w:color w:val="auto"/>
        </w:rPr>
      </w:pPr>
      <w:r>
        <w:rPr>
          <w:rFonts w:ascii="Arial" w:cs="Arial" w:eastAsia="Arial" w:hAnsi="Arial"/>
          <w:sz w:val="18"/>
          <w:szCs w:val="18"/>
          <w:color w:val="auto"/>
        </w:rPr>
        <w:t>Vehicle sales data may include rounding differences.</w:t>
      </w:r>
    </w:p>
    <w:p>
      <w:pPr>
        <w:spacing w:after="0" w:line="90" w:lineRule="exact"/>
        <w:rPr>
          <w:rFonts w:ascii="Arial" w:cs="Arial" w:eastAsia="Arial" w:hAnsi="Arial"/>
          <w:sz w:val="18"/>
          <w:szCs w:val="18"/>
          <w:color w:val="auto"/>
        </w:rPr>
      </w:pPr>
    </w:p>
    <w:p>
      <w:pPr>
        <w:ind w:left="460" w:hanging="452"/>
        <w:spacing w:after="0"/>
        <w:tabs>
          <w:tab w:leader="none" w:pos="460" w:val="left"/>
        </w:tabs>
        <w:numPr>
          <w:ilvl w:val="0"/>
          <w:numId w:val="85"/>
        </w:numPr>
        <w:rPr>
          <w:rFonts w:ascii="Arial" w:cs="Arial" w:eastAsia="Arial" w:hAnsi="Arial"/>
          <w:sz w:val="18"/>
          <w:szCs w:val="18"/>
          <w:color w:val="auto"/>
        </w:rPr>
      </w:pPr>
      <w:r>
        <w:rPr>
          <w:rFonts w:ascii="Arial" w:cs="Arial" w:eastAsia="Arial" w:hAnsi="Arial"/>
          <w:sz w:val="18"/>
          <w:szCs w:val="18"/>
          <w:color w:val="auto"/>
        </w:rPr>
        <w:t>Includes Saab vehicle sales data through February 2010.</w:t>
      </w:r>
    </w:p>
    <w:p>
      <w:pPr>
        <w:spacing w:after="0" w:line="90" w:lineRule="exact"/>
        <w:rPr>
          <w:rFonts w:ascii="Arial" w:cs="Arial" w:eastAsia="Arial" w:hAnsi="Arial"/>
          <w:sz w:val="18"/>
          <w:szCs w:val="18"/>
          <w:color w:val="auto"/>
        </w:rPr>
      </w:pPr>
    </w:p>
    <w:p>
      <w:pPr>
        <w:ind w:left="460" w:hanging="452"/>
        <w:spacing w:after="0"/>
        <w:tabs>
          <w:tab w:leader="none" w:pos="460" w:val="left"/>
        </w:tabs>
        <w:numPr>
          <w:ilvl w:val="0"/>
          <w:numId w:val="85"/>
        </w:numPr>
        <w:rPr>
          <w:rFonts w:ascii="Arial" w:cs="Arial" w:eastAsia="Arial" w:hAnsi="Arial"/>
          <w:sz w:val="16"/>
          <w:szCs w:val="16"/>
          <w:color w:val="auto"/>
        </w:rPr>
      </w:pPr>
      <w:r>
        <w:rPr>
          <w:rFonts w:ascii="Arial" w:cs="Arial" w:eastAsia="Arial" w:hAnsi="Arial"/>
          <w:sz w:val="16"/>
          <w:szCs w:val="16"/>
          <w:color w:val="auto"/>
        </w:rPr>
        <w:t>Certain fleet sales that are accounted for as operating leases are included in vehicle sales at the time of delivery to the daily rental car companies.</w:t>
      </w:r>
    </w:p>
    <w:p>
      <w:pPr>
        <w:spacing w:after="0" w:line="113" w:lineRule="exact"/>
        <w:rPr>
          <w:rFonts w:ascii="Arial" w:cs="Arial" w:eastAsia="Arial" w:hAnsi="Arial"/>
          <w:sz w:val="16"/>
          <w:szCs w:val="16"/>
          <w:color w:val="auto"/>
        </w:rPr>
      </w:pPr>
    </w:p>
    <w:p>
      <w:pPr>
        <w:ind w:left="460" w:right="80" w:hanging="452"/>
        <w:spacing w:after="0" w:line="298" w:lineRule="auto"/>
        <w:tabs>
          <w:tab w:leader="none" w:pos="460" w:val="left"/>
        </w:tabs>
        <w:numPr>
          <w:ilvl w:val="0"/>
          <w:numId w:val="85"/>
        </w:numPr>
        <w:rPr>
          <w:rFonts w:ascii="Arial" w:cs="Arial" w:eastAsia="Arial" w:hAnsi="Arial"/>
          <w:sz w:val="16"/>
          <w:szCs w:val="16"/>
          <w:color w:val="auto"/>
        </w:rPr>
      </w:pPr>
      <w:r>
        <w:rPr>
          <w:rFonts w:ascii="Arial" w:cs="Arial" w:eastAsia="Arial" w:hAnsi="Arial"/>
          <w:sz w:val="16"/>
          <w:szCs w:val="16"/>
          <w:color w:val="auto"/>
        </w:rPr>
        <w:t>Vehicle sales and market share data from sales of GM Daewoo produced Chevrolet brand products in Europe are reported as part of GME. Sales of GM Daewoo produced Chevrolet brand products in Europe not included in vehicle sales and market share data was 84,000 vehicles and 250,000 vehicles in the three and nine months ended September 30, 2010. Combined GM and Old GM sales of GM Daewoo produced Chevrolet brand products in Europe not included in vehicle sales and market share data was 88,000 vehicles and 273,000 vehicles in the three and nine months ended September 30, 2009.</w:t>
      </w:r>
    </w:p>
    <w:p>
      <w:pPr>
        <w:spacing w:after="0" w:line="31" w:lineRule="exact"/>
        <w:rPr>
          <w:rFonts w:ascii="Arial" w:cs="Arial" w:eastAsia="Arial" w:hAnsi="Arial"/>
          <w:sz w:val="16"/>
          <w:szCs w:val="16"/>
          <w:color w:val="auto"/>
        </w:rPr>
      </w:pPr>
    </w:p>
    <w:p>
      <w:pPr>
        <w:ind w:left="460" w:hanging="452"/>
        <w:spacing w:after="0" w:line="255" w:lineRule="auto"/>
        <w:tabs>
          <w:tab w:leader="none" w:pos="460" w:val="left"/>
        </w:tabs>
        <w:numPr>
          <w:ilvl w:val="0"/>
          <w:numId w:val="85"/>
        </w:numPr>
        <w:rPr>
          <w:rFonts w:ascii="Arial" w:cs="Arial" w:eastAsia="Arial" w:hAnsi="Arial"/>
          <w:sz w:val="18"/>
          <w:szCs w:val="18"/>
          <w:color w:val="auto"/>
        </w:rPr>
      </w:pPr>
      <w:r>
        <w:rPr>
          <w:rFonts w:ascii="Arial" w:cs="Arial" w:eastAsia="Arial" w:hAnsi="Arial"/>
          <w:sz w:val="18"/>
          <w:szCs w:val="18"/>
          <w:color w:val="auto"/>
        </w:rPr>
        <w:t>Includes SGM joint venture vehicle sales in China of 262,000 vehicles and 713,000 vehicles and SGMW, FAW-GM joint venture vehicle sales in China and HKJV joint venture vehicle sales in India of 313,000 vehicles and 1.0 million vehicles in the three and nine months ended September 30, 2010 and combined GM and Old GM SGM joint venture vehicle sales in China of 195,000 vehicles and 473,000 vehicles and combined GM and Old GM SGMW and FAW-GM joint venture vehicle sales in China of 271,000 vehicles and 763,000 vehicles in the three and nine months ended September 30, 2009. We do not record revenue from our joint ventures’ vehicle sales.</w:t>
      </w:r>
    </w:p>
    <w:p>
      <w:pPr>
        <w:spacing w:after="0" w:line="61" w:lineRule="exact"/>
        <w:rPr>
          <w:rFonts w:ascii="Arial" w:cs="Arial" w:eastAsia="Arial" w:hAnsi="Arial"/>
          <w:sz w:val="18"/>
          <w:szCs w:val="18"/>
          <w:color w:val="auto"/>
        </w:rPr>
      </w:pPr>
    </w:p>
    <w:p>
      <w:pPr>
        <w:ind w:left="460" w:right="300" w:hanging="452"/>
        <w:spacing w:after="0" w:line="268" w:lineRule="auto"/>
        <w:tabs>
          <w:tab w:leader="none" w:pos="460" w:val="left"/>
        </w:tabs>
        <w:numPr>
          <w:ilvl w:val="0"/>
          <w:numId w:val="85"/>
        </w:numPr>
        <w:rPr>
          <w:rFonts w:ascii="Arial" w:cs="Arial" w:eastAsia="Arial" w:hAnsi="Arial"/>
          <w:sz w:val="18"/>
          <w:szCs w:val="18"/>
          <w:color w:val="auto"/>
        </w:rPr>
      </w:pPr>
      <w:r>
        <w:rPr>
          <w:rFonts w:ascii="Arial" w:cs="Arial" w:eastAsia="Arial" w:hAnsi="Arial"/>
          <w:sz w:val="18"/>
          <w:szCs w:val="18"/>
          <w:color w:val="auto"/>
        </w:rPr>
        <w:t>The joint venture agreements with SGMW (34%) and FAW-GM (50%) allow for significant rights as a member as well as the contractual right to report SGMW and FAW-GM joint venture vehicle sales in China.</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117</w:t>
      </w:r>
    </w:p>
    <w:p>
      <w:pPr>
        <w:sectPr>
          <w:pgSz w:w="11900" w:h="16838" w:orient="portrait"/>
          <w:cols w:equalWidth="0" w:num="1">
            <w:col w:w="11420"/>
          </w:cols>
          <w:pgMar w:left="240" w:top="459" w:right="239" w:bottom="1440" w:gutter="0" w:footer="0" w:header="0"/>
        </w:sectPr>
      </w:pPr>
    </w:p>
    <w:bookmarkStart w:id="119" w:name="page120"/>
    <w:bookmarkEnd w:id="1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339" w:lineRule="exact"/>
        <w:rPr>
          <w:sz w:val="20"/>
          <w:szCs w:val="20"/>
          <w:color w:val="auto"/>
        </w:rPr>
      </w:pPr>
    </w:p>
    <w:p>
      <w:pPr>
        <w:ind w:left="240"/>
        <w:spacing w:after="0"/>
        <w:rPr>
          <w:sz w:val="20"/>
          <w:szCs w:val="20"/>
          <w:color w:val="auto"/>
        </w:rPr>
      </w:pPr>
      <w:r>
        <w:rPr>
          <w:rFonts w:ascii="Arial" w:cs="Arial" w:eastAsia="Arial" w:hAnsi="Arial"/>
          <w:sz w:val="15"/>
          <w:szCs w:val="15"/>
          <w:b w:val="1"/>
          <w:bCs w:val="1"/>
          <w:i w:val="1"/>
          <w:iCs w:val="1"/>
          <w:color w:val="auto"/>
        </w:rPr>
        <w:t>Three and Nine Months Ended September 30, 2010, July 10, 2009 Through September 30, 2009, July 1, 2009 Through July 9, 2009 and January 1, 2009</w:t>
      </w:r>
    </w:p>
    <w:p>
      <w:pPr>
        <w:spacing w:after="0" w:line="50"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Through July 9, 2009</w:t>
      </w:r>
    </w:p>
    <w:p>
      <w:pPr>
        <w:spacing w:after="0" w:line="9"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(Dollars in millions)</w:t>
      </w:r>
    </w:p>
    <w:p>
      <w:pPr>
        <w:spacing w:after="0" w:line="165"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Total Net Sales and Revenue</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5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tcPr>
          <w:p>
            <w:pPr>
              <w:jc w:val="center"/>
              <w:ind w:right="28"/>
              <w:spacing w:after="0"/>
              <w:rPr>
                <w:sz w:val="20"/>
                <w:szCs w:val="20"/>
                <w:color w:val="auto"/>
              </w:rPr>
            </w:pPr>
            <w:r>
              <w:rPr>
                <w:rFonts w:ascii="Arial" w:cs="Arial" w:eastAsia="Arial" w:hAnsi="Arial"/>
                <w:sz w:val="14"/>
                <w:szCs w:val="14"/>
                <w:b w:val="1"/>
                <w:bCs w:val="1"/>
                <w:color w:val="auto"/>
                <w:w w:val="92"/>
              </w:rPr>
              <w:t>Combined GM</w:t>
            </w:r>
          </w:p>
        </w:tc>
        <w:tc>
          <w:tcPr>
            <w:tcW w:w="4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500" w:type="dxa"/>
            <w:vAlign w:val="bottom"/>
            <w:tcBorders>
              <w:right w:val="single" w:sz="8" w:color="auto"/>
            </w:tcBorders>
          </w:tcPr>
          <w:p>
            <w:pPr>
              <w:spacing w:after="0"/>
              <w:rPr>
                <w:sz w:val="14"/>
                <w:szCs w:val="14"/>
                <w:color w:val="auto"/>
              </w:rPr>
            </w:pPr>
          </w:p>
        </w:tc>
        <w:tc>
          <w:tcPr>
            <w:tcW w:w="3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35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2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79"/>
              </w:rPr>
              <w:t>Successor</w:t>
            </w: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tcPr>
          <w:p>
            <w:pPr>
              <w:jc w:val="center"/>
              <w:ind w:right="28"/>
              <w:spacing w:after="0"/>
              <w:rPr>
                <w:sz w:val="20"/>
                <w:szCs w:val="20"/>
                <w:color w:val="auto"/>
              </w:rPr>
            </w:pPr>
            <w:r>
              <w:rPr>
                <w:rFonts w:ascii="Arial" w:cs="Arial" w:eastAsia="Arial" w:hAnsi="Arial"/>
                <w:sz w:val="14"/>
                <w:szCs w:val="14"/>
                <w:b w:val="1"/>
                <w:bCs w:val="1"/>
                <w:color w:val="auto"/>
                <w:w w:val="91"/>
              </w:rPr>
              <w:t>and Old GM</w:t>
            </w:r>
          </w:p>
        </w:tc>
        <w:tc>
          <w:tcPr>
            <w:tcW w:w="4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80" w:type="dxa"/>
            <w:vAlign w:val="bottom"/>
          </w:tcPr>
          <w:p>
            <w:pPr>
              <w:jc w:val="center"/>
              <w:ind w:right="67"/>
              <w:spacing w:after="0"/>
              <w:rPr>
                <w:sz w:val="20"/>
                <w:szCs w:val="20"/>
                <w:color w:val="auto"/>
              </w:rPr>
            </w:pPr>
            <w:r>
              <w:rPr>
                <w:rFonts w:ascii="Arial" w:cs="Arial" w:eastAsia="Arial" w:hAnsi="Arial"/>
                <w:sz w:val="14"/>
                <w:szCs w:val="14"/>
                <w:b w:val="1"/>
                <w:bCs w:val="1"/>
                <w:color w:val="auto"/>
                <w:w w:val="79"/>
              </w:rPr>
              <w:t>Successor</w:t>
            </w:r>
          </w:p>
        </w:tc>
        <w:tc>
          <w:tcPr>
            <w:tcW w:w="500" w:type="dxa"/>
            <w:vAlign w:val="bottom"/>
            <w:tcBorders>
              <w:right w:val="single" w:sz="8" w:color="auto"/>
            </w:tcBorders>
          </w:tcPr>
          <w:p>
            <w:pPr>
              <w:spacing w:after="0"/>
              <w:rPr>
                <w:sz w:val="14"/>
                <w:szCs w:val="14"/>
                <w:color w:val="auto"/>
              </w:rPr>
            </w:pPr>
          </w:p>
        </w:tc>
        <w:tc>
          <w:tcPr>
            <w:tcW w:w="300" w:type="dxa"/>
            <w:vAlign w:val="bottom"/>
          </w:tcPr>
          <w:p>
            <w:pPr>
              <w:spacing w:after="0"/>
              <w:rPr>
                <w:sz w:val="14"/>
                <w:szCs w:val="14"/>
                <w:color w:val="auto"/>
              </w:rPr>
            </w:pPr>
          </w:p>
        </w:tc>
        <w:tc>
          <w:tcPr>
            <w:tcW w:w="880" w:type="dxa"/>
            <w:vAlign w:val="bottom"/>
            <w:gridSpan w:val="3"/>
          </w:tcPr>
          <w:p>
            <w:pPr>
              <w:jc w:val="center"/>
              <w:ind w:right="200"/>
              <w:spacing w:after="0"/>
              <w:rPr>
                <w:sz w:val="20"/>
                <w:szCs w:val="20"/>
                <w:color w:val="auto"/>
              </w:rPr>
            </w:pPr>
            <w:r>
              <w:rPr>
                <w:rFonts w:ascii="Arial" w:cs="Arial" w:eastAsia="Arial" w:hAnsi="Arial"/>
                <w:sz w:val="14"/>
                <w:szCs w:val="14"/>
                <w:b w:val="1"/>
                <w:bCs w:val="1"/>
                <w:color w:val="auto"/>
                <w:w w:val="80"/>
              </w:rPr>
              <w:t>Predecessor</w:t>
            </w: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40" w:type="dxa"/>
            <w:vAlign w:val="bottom"/>
            <w:gridSpan w:val="4"/>
            <w:vMerge w:val="restart"/>
          </w:tcPr>
          <w:p>
            <w:pPr>
              <w:ind w:left="80"/>
              <w:spacing w:after="0"/>
              <w:rPr>
                <w:sz w:val="20"/>
                <w:szCs w:val="20"/>
                <w:color w:val="auto"/>
              </w:rPr>
            </w:pPr>
            <w:r>
              <w:rPr>
                <w:rFonts w:ascii="Arial" w:cs="Arial" w:eastAsia="Arial" w:hAnsi="Arial"/>
                <w:sz w:val="14"/>
                <w:szCs w:val="14"/>
                <w:b w:val="1"/>
                <w:bCs w:val="1"/>
                <w:color w:val="auto"/>
              </w:rPr>
              <w:t>Three Months Ended</w:t>
            </w:r>
          </w:p>
        </w:tc>
        <w:tc>
          <w:tcPr>
            <w:tcW w:w="0" w:type="dxa"/>
            <w:vAlign w:val="bottom"/>
          </w:tcPr>
          <w:p>
            <w:pPr>
              <w:spacing w:after="0"/>
              <w:rPr>
                <w:sz w:val="1"/>
                <w:szCs w:val="1"/>
                <w:color w:val="auto"/>
              </w:rPr>
            </w:pPr>
          </w:p>
        </w:tc>
      </w:tr>
      <w:tr>
        <w:trPr>
          <w:trHeight w:val="115"/>
        </w:trPr>
        <w:tc>
          <w:tcPr>
            <w:tcW w:w="3580" w:type="dxa"/>
            <w:vAlign w:val="bottom"/>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1020" w:type="dxa"/>
            <w:vAlign w:val="bottom"/>
            <w:tcBorders>
              <w:top w:val="single" w:sz="8" w:color="auto"/>
            </w:tcBorders>
          </w:tcPr>
          <w:p>
            <w:pPr>
              <w:spacing w:after="0"/>
              <w:rPr>
                <w:sz w:val="10"/>
                <w:szCs w:val="10"/>
                <w:color w:val="auto"/>
              </w:rPr>
            </w:pPr>
          </w:p>
        </w:tc>
        <w:tc>
          <w:tcPr>
            <w:tcW w:w="2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1020" w:type="dxa"/>
            <w:vAlign w:val="bottom"/>
            <w:tcBorders>
              <w:top w:val="single" w:sz="8" w:color="auto"/>
            </w:tcBorders>
          </w:tcPr>
          <w:p>
            <w:pPr>
              <w:spacing w:after="0"/>
              <w:rPr>
                <w:sz w:val="10"/>
                <w:szCs w:val="10"/>
                <w:color w:val="auto"/>
              </w:rPr>
            </w:pPr>
          </w:p>
        </w:tc>
        <w:tc>
          <w:tcPr>
            <w:tcW w:w="420" w:type="dxa"/>
            <w:vAlign w:val="bottom"/>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980" w:type="dxa"/>
            <w:vAlign w:val="bottom"/>
            <w:tcBorders>
              <w:top w:val="single" w:sz="8" w:color="auto"/>
            </w:tcBorders>
          </w:tcPr>
          <w:p>
            <w:pPr>
              <w:spacing w:after="0"/>
              <w:rPr>
                <w:sz w:val="10"/>
                <w:szCs w:val="10"/>
                <w:color w:val="auto"/>
              </w:rPr>
            </w:pPr>
          </w:p>
        </w:tc>
        <w:tc>
          <w:tcPr>
            <w:tcW w:w="500" w:type="dxa"/>
            <w:vAlign w:val="bottom"/>
            <w:tcBorders>
              <w:right w:val="single" w:sz="8" w:color="auto"/>
            </w:tcBorders>
          </w:tcPr>
          <w:p>
            <w:pPr>
              <w:spacing w:after="0"/>
              <w:rPr>
                <w:sz w:val="10"/>
                <w:szCs w:val="10"/>
                <w:color w:val="auto"/>
              </w:rPr>
            </w:pPr>
          </w:p>
        </w:tc>
        <w:tc>
          <w:tcPr>
            <w:tcW w:w="300" w:type="dxa"/>
            <w:vAlign w:val="bottom"/>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600" w:type="dxa"/>
            <w:vAlign w:val="bottom"/>
            <w:tcBorders>
              <w:top w:val="single" w:sz="8" w:color="auto"/>
            </w:tcBorders>
          </w:tcPr>
          <w:p>
            <w:pPr>
              <w:jc w:val="right"/>
              <w:ind w:right="109"/>
              <w:spacing w:after="0" w:line="115" w:lineRule="exact"/>
              <w:rPr>
                <w:sz w:val="20"/>
                <w:szCs w:val="20"/>
                <w:color w:val="auto"/>
              </w:rPr>
            </w:pPr>
            <w:r>
              <w:rPr>
                <w:rFonts w:ascii="Arial" w:cs="Arial" w:eastAsia="Arial" w:hAnsi="Arial"/>
                <w:sz w:val="12"/>
                <w:szCs w:val="12"/>
                <w:b w:val="1"/>
                <w:bCs w:val="1"/>
                <w:color w:val="auto"/>
              </w:rPr>
              <w:t>July 1,</w:t>
            </w:r>
          </w:p>
        </w:tc>
        <w:tc>
          <w:tcPr>
            <w:tcW w:w="2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640" w:type="dxa"/>
            <w:vAlign w:val="bottom"/>
            <w:gridSpan w:val="4"/>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3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20" w:type="dxa"/>
            <w:vAlign w:val="bottom"/>
            <w:gridSpan w:val="2"/>
          </w:tcPr>
          <w:p>
            <w:pPr>
              <w:jc w:val="center"/>
              <w:ind w:right="320"/>
              <w:spacing w:after="0" w:line="129" w:lineRule="exact"/>
              <w:rPr>
                <w:sz w:val="20"/>
                <w:szCs w:val="20"/>
                <w:color w:val="auto"/>
              </w:rPr>
            </w:pPr>
            <w:r>
              <w:rPr>
                <w:rFonts w:ascii="Arial" w:cs="Arial" w:eastAsia="Arial" w:hAnsi="Arial"/>
                <w:sz w:val="14"/>
                <w:szCs w:val="14"/>
                <w:b w:val="1"/>
                <w:bCs w:val="1"/>
                <w:color w:val="auto"/>
                <w:w w:val="89"/>
              </w:rPr>
              <w:t>Three Months</w:t>
            </w: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tcPr>
          <w:p>
            <w:pPr>
              <w:jc w:val="center"/>
              <w:ind w:right="28"/>
              <w:spacing w:after="0" w:line="129" w:lineRule="exact"/>
              <w:rPr>
                <w:sz w:val="20"/>
                <w:szCs w:val="20"/>
                <w:color w:val="auto"/>
              </w:rPr>
            </w:pPr>
            <w:r>
              <w:rPr>
                <w:rFonts w:ascii="Arial" w:cs="Arial" w:eastAsia="Arial" w:hAnsi="Arial"/>
                <w:sz w:val="14"/>
                <w:szCs w:val="14"/>
                <w:b w:val="1"/>
                <w:bCs w:val="1"/>
                <w:color w:val="auto"/>
                <w:w w:val="87"/>
              </w:rPr>
              <w:t>Three Months</w:t>
            </w:r>
          </w:p>
        </w:tc>
        <w:tc>
          <w:tcPr>
            <w:tcW w:w="4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80" w:type="dxa"/>
            <w:vAlign w:val="bottom"/>
          </w:tcPr>
          <w:p>
            <w:pPr>
              <w:jc w:val="center"/>
              <w:ind w:right="67"/>
              <w:spacing w:after="0" w:line="129" w:lineRule="exact"/>
              <w:rPr>
                <w:sz w:val="20"/>
                <w:szCs w:val="20"/>
                <w:color w:val="auto"/>
              </w:rPr>
            </w:pPr>
            <w:r>
              <w:rPr>
                <w:rFonts w:ascii="Arial" w:cs="Arial" w:eastAsia="Arial" w:hAnsi="Arial"/>
                <w:sz w:val="14"/>
                <w:szCs w:val="14"/>
                <w:b w:val="1"/>
                <w:bCs w:val="1"/>
                <w:color w:val="auto"/>
                <w:w w:val="87"/>
              </w:rPr>
              <w:t>July 10, 2009</w:t>
            </w:r>
          </w:p>
        </w:tc>
        <w:tc>
          <w:tcPr>
            <w:tcW w:w="500" w:type="dxa"/>
            <w:vAlign w:val="bottom"/>
            <w:tcBorders>
              <w:right w:val="single" w:sz="8" w:color="auto"/>
            </w:tcBorders>
          </w:tcPr>
          <w:p>
            <w:pPr>
              <w:spacing w:after="0"/>
              <w:rPr>
                <w:sz w:val="12"/>
                <w:szCs w:val="12"/>
                <w:color w:val="auto"/>
              </w:rPr>
            </w:pPr>
          </w:p>
        </w:tc>
        <w:tc>
          <w:tcPr>
            <w:tcW w:w="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jc w:val="center"/>
              <w:ind w:right="29"/>
              <w:spacing w:after="0" w:line="129" w:lineRule="exact"/>
              <w:rPr>
                <w:sz w:val="20"/>
                <w:szCs w:val="20"/>
                <w:color w:val="auto"/>
              </w:rPr>
            </w:pPr>
            <w:r>
              <w:rPr>
                <w:rFonts w:ascii="Arial" w:cs="Arial" w:eastAsia="Arial" w:hAnsi="Arial"/>
                <w:sz w:val="14"/>
                <w:szCs w:val="14"/>
                <w:b w:val="1"/>
                <w:bCs w:val="1"/>
                <w:color w:val="auto"/>
                <w:w w:val="83"/>
              </w:rPr>
              <w:t>2009</w:t>
            </w:r>
          </w:p>
        </w:tc>
        <w:tc>
          <w:tcPr>
            <w:tcW w:w="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40" w:type="dxa"/>
            <w:vAlign w:val="bottom"/>
            <w:gridSpan w:val="4"/>
          </w:tcPr>
          <w:p>
            <w:pPr>
              <w:ind w:left="100"/>
              <w:spacing w:after="0" w:line="129" w:lineRule="exact"/>
              <w:rPr>
                <w:sz w:val="20"/>
                <w:szCs w:val="20"/>
                <w:color w:val="auto"/>
              </w:rPr>
            </w:pPr>
            <w:r>
              <w:rPr>
                <w:rFonts w:ascii="Arial" w:cs="Arial" w:eastAsia="Arial" w:hAnsi="Arial"/>
                <w:sz w:val="14"/>
                <w:szCs w:val="14"/>
                <w:b w:val="1"/>
                <w:bCs w:val="1"/>
                <w:color w:val="auto"/>
              </w:rPr>
              <w:t>2010 vs. 2009 Change</w:t>
            </w:r>
          </w:p>
        </w:tc>
        <w:tc>
          <w:tcPr>
            <w:tcW w:w="0" w:type="dxa"/>
            <w:vAlign w:val="bottom"/>
          </w:tcPr>
          <w:p>
            <w:pPr>
              <w:spacing w:after="0"/>
              <w:rPr>
                <w:sz w:val="1"/>
                <w:szCs w:val="1"/>
                <w:color w:val="auto"/>
              </w:rPr>
            </w:pPr>
          </w:p>
        </w:tc>
      </w:tr>
      <w:tr>
        <w:trPr>
          <w:trHeight w:val="143"/>
        </w:trPr>
        <w:tc>
          <w:tcPr>
            <w:tcW w:w="3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20" w:type="dxa"/>
            <w:vAlign w:val="bottom"/>
            <w:gridSpan w:val="2"/>
          </w:tcPr>
          <w:p>
            <w:pPr>
              <w:jc w:val="center"/>
              <w:ind w:right="320"/>
              <w:spacing w:after="0" w:line="143" w:lineRule="exact"/>
              <w:rPr>
                <w:sz w:val="20"/>
                <w:szCs w:val="20"/>
                <w:color w:val="auto"/>
              </w:rPr>
            </w:pPr>
            <w:r>
              <w:rPr>
                <w:rFonts w:ascii="Arial" w:cs="Arial" w:eastAsia="Arial" w:hAnsi="Arial"/>
                <w:sz w:val="14"/>
                <w:szCs w:val="14"/>
                <w:b w:val="1"/>
                <w:bCs w:val="1"/>
                <w:color w:val="auto"/>
                <w:w w:val="88"/>
              </w:rPr>
              <w:t>Ended</w:t>
            </w: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tcPr>
          <w:p>
            <w:pPr>
              <w:jc w:val="center"/>
              <w:ind w:right="28"/>
              <w:spacing w:after="0" w:line="143" w:lineRule="exact"/>
              <w:rPr>
                <w:sz w:val="20"/>
                <w:szCs w:val="20"/>
                <w:color w:val="auto"/>
              </w:rPr>
            </w:pPr>
            <w:r>
              <w:rPr>
                <w:rFonts w:ascii="Arial" w:cs="Arial" w:eastAsia="Arial" w:hAnsi="Arial"/>
                <w:sz w:val="14"/>
                <w:szCs w:val="14"/>
                <w:b w:val="1"/>
                <w:bCs w:val="1"/>
                <w:color w:val="auto"/>
                <w:w w:val="84"/>
              </w:rPr>
              <w:t>Ended</w:t>
            </w:r>
          </w:p>
        </w:tc>
        <w:tc>
          <w:tcPr>
            <w:tcW w:w="4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80" w:type="dxa"/>
            <w:vAlign w:val="bottom"/>
          </w:tcPr>
          <w:p>
            <w:pPr>
              <w:jc w:val="center"/>
              <w:ind w:right="67"/>
              <w:spacing w:after="0" w:line="143" w:lineRule="exact"/>
              <w:rPr>
                <w:sz w:val="20"/>
                <w:szCs w:val="20"/>
                <w:color w:val="auto"/>
              </w:rPr>
            </w:pPr>
            <w:r>
              <w:rPr>
                <w:rFonts w:ascii="Arial" w:cs="Arial" w:eastAsia="Arial" w:hAnsi="Arial"/>
                <w:sz w:val="14"/>
                <w:szCs w:val="14"/>
                <w:b w:val="1"/>
                <w:bCs w:val="1"/>
                <w:color w:val="auto"/>
                <w:w w:val="91"/>
              </w:rPr>
              <w:t>Through</w:t>
            </w:r>
          </w:p>
        </w:tc>
        <w:tc>
          <w:tcPr>
            <w:tcW w:w="500" w:type="dxa"/>
            <w:vAlign w:val="bottom"/>
            <w:tcBorders>
              <w:right w:val="single" w:sz="8" w:color="auto"/>
            </w:tcBorders>
          </w:tcPr>
          <w:p>
            <w:pPr>
              <w:spacing w:after="0"/>
              <w:rPr>
                <w:sz w:val="12"/>
                <w:szCs w:val="12"/>
                <w:color w:val="auto"/>
              </w:rPr>
            </w:pPr>
          </w:p>
        </w:tc>
        <w:tc>
          <w:tcPr>
            <w:tcW w:w="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gridSpan w:val="2"/>
          </w:tcPr>
          <w:p>
            <w:pPr>
              <w:jc w:val="center"/>
              <w:ind w:right="300"/>
              <w:spacing w:after="0" w:line="143" w:lineRule="exact"/>
              <w:rPr>
                <w:sz w:val="20"/>
                <w:szCs w:val="20"/>
                <w:color w:val="auto"/>
              </w:rPr>
            </w:pPr>
            <w:r>
              <w:rPr>
                <w:rFonts w:ascii="Arial" w:cs="Arial" w:eastAsia="Arial" w:hAnsi="Arial"/>
                <w:sz w:val="14"/>
                <w:szCs w:val="14"/>
                <w:b w:val="1"/>
                <w:bCs w:val="1"/>
                <w:color w:val="auto"/>
                <w:w w:val="87"/>
              </w:rPr>
              <w:t>Through</w:t>
            </w:r>
          </w:p>
        </w:tc>
        <w:tc>
          <w:tcPr>
            <w:tcW w:w="20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620" w:type="dxa"/>
            <w:vAlign w:val="bottom"/>
            <w:tcBorders>
              <w:top w:val="single" w:sz="8" w:color="auto"/>
            </w:tcBorders>
          </w:tcPr>
          <w:p>
            <w:pPr>
              <w:spacing w:after="0"/>
              <w:rPr>
                <w:sz w:val="12"/>
                <w:szCs w:val="12"/>
                <w:color w:val="auto"/>
              </w:rPr>
            </w:pPr>
          </w:p>
        </w:tc>
        <w:tc>
          <w:tcPr>
            <w:tcW w:w="420" w:type="dxa"/>
            <w:vAlign w:val="bottom"/>
            <w:tcBorders>
              <w:top w:val="single" w:sz="8" w:color="auto"/>
            </w:tcBorders>
          </w:tcPr>
          <w:p>
            <w:pPr>
              <w:spacing w:after="0"/>
              <w:rPr>
                <w:sz w:val="12"/>
                <w:szCs w:val="12"/>
                <w:color w:val="auto"/>
              </w:rPr>
            </w:pPr>
          </w:p>
        </w:tc>
        <w:tc>
          <w:tcPr>
            <w:tcW w:w="50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3580" w:type="dxa"/>
            <w:vAlign w:val="bottom"/>
          </w:tcPr>
          <w:p>
            <w:pPr>
              <w:spacing w:after="0"/>
              <w:rPr>
                <w:sz w:val="14"/>
                <w:szCs w:val="14"/>
                <w:color w:val="auto"/>
              </w:rPr>
            </w:pPr>
          </w:p>
        </w:tc>
        <w:tc>
          <w:tcPr>
            <w:tcW w:w="114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85"/>
              </w:rPr>
              <w:t>September 30, 2010</w:t>
            </w:r>
          </w:p>
        </w:tc>
        <w:tc>
          <w:tcPr>
            <w:tcW w:w="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2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85"/>
              </w:rPr>
              <w:t>September 30, 2009</w:t>
            </w:r>
          </w:p>
        </w:tc>
        <w:tc>
          <w:tcPr>
            <w:tcW w:w="420" w:type="dxa"/>
            <w:vAlign w:val="bottom"/>
          </w:tcPr>
          <w:p>
            <w:pPr>
              <w:spacing w:after="0"/>
              <w:rPr>
                <w:sz w:val="14"/>
                <w:szCs w:val="14"/>
                <w:color w:val="auto"/>
              </w:rPr>
            </w:pPr>
          </w:p>
        </w:tc>
        <w:tc>
          <w:tcPr>
            <w:tcW w:w="112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85"/>
              </w:rPr>
              <w:t>September 30, 2009</w:t>
            </w:r>
          </w:p>
        </w:tc>
        <w:tc>
          <w:tcPr>
            <w:tcW w:w="500" w:type="dxa"/>
            <w:vAlign w:val="bottom"/>
            <w:tcBorders>
              <w:right w:val="single" w:sz="8" w:color="auto"/>
            </w:tcBorders>
          </w:tcPr>
          <w:p>
            <w:pPr>
              <w:spacing w:after="0"/>
              <w:rPr>
                <w:sz w:val="14"/>
                <w:szCs w:val="14"/>
                <w:color w:val="auto"/>
              </w:rPr>
            </w:pPr>
          </w:p>
        </w:tc>
        <w:tc>
          <w:tcPr>
            <w:tcW w:w="300" w:type="dxa"/>
            <w:vAlign w:val="bottom"/>
          </w:tcPr>
          <w:p>
            <w:pPr>
              <w:spacing w:after="0"/>
              <w:rPr>
                <w:sz w:val="14"/>
                <w:szCs w:val="14"/>
                <w:color w:val="auto"/>
              </w:rPr>
            </w:pPr>
          </w:p>
        </w:tc>
        <w:tc>
          <w:tcPr>
            <w:tcW w:w="68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86"/>
              </w:rPr>
              <w:t>July 9, 2009</w:t>
            </w:r>
          </w:p>
        </w:tc>
        <w:tc>
          <w:tcPr>
            <w:tcW w:w="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Amount</w:t>
            </w:r>
          </w:p>
        </w:tc>
        <w:tc>
          <w:tcPr>
            <w:tcW w:w="420" w:type="dxa"/>
            <w:vAlign w:val="bottom"/>
          </w:tcPr>
          <w:p>
            <w:pPr>
              <w:spacing w:after="0"/>
              <w:rPr>
                <w:sz w:val="14"/>
                <w:szCs w:val="14"/>
                <w:color w:val="auto"/>
              </w:rPr>
            </w:pPr>
          </w:p>
        </w:tc>
        <w:tc>
          <w:tcPr>
            <w:tcW w:w="500" w:type="dxa"/>
            <w:vAlign w:val="bottom"/>
            <w:tcBorders>
              <w:bottom w:val="single" w:sz="8" w:color="auto"/>
            </w:tcBorders>
          </w:tcPr>
          <w:p>
            <w:pPr>
              <w:jc w:val="right"/>
              <w:ind w:right="112"/>
              <w:spacing w:after="0"/>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3580" w:type="dxa"/>
            <w:vAlign w:val="bottom"/>
            <w:shd w:val="clear" w:color="auto" w:fill="CCEEFF"/>
          </w:tcPr>
          <w:p>
            <w:pPr>
              <w:spacing w:after="0"/>
              <w:rPr>
                <w:sz w:val="20"/>
                <w:szCs w:val="20"/>
                <w:color w:val="auto"/>
              </w:rPr>
            </w:pPr>
            <w:r>
              <w:rPr>
                <w:rFonts w:ascii="Arial" w:cs="Arial" w:eastAsia="Arial" w:hAnsi="Arial"/>
                <w:sz w:val="18"/>
                <w:szCs w:val="18"/>
                <w:color w:val="auto"/>
              </w:rPr>
              <w:t>Total net sales and revenue</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8,702</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6,938</w:t>
            </w: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6,395</w:t>
            </w:r>
          </w:p>
        </w:tc>
        <w:tc>
          <w:tcPr>
            <w:tcW w:w="500" w:type="dxa"/>
            <w:vAlign w:val="bottom"/>
            <w:tcBorders>
              <w:right w:val="single" w:sz="8" w:color="auto"/>
            </w:tcBorders>
            <w:shd w:val="clear" w:color="auto" w:fill="CCEEFF"/>
          </w:tcPr>
          <w:p>
            <w:pPr>
              <w:spacing w:after="0"/>
              <w:rPr>
                <w:sz w:val="18"/>
                <w:szCs w:val="18"/>
                <w:color w:val="auto"/>
              </w:rPr>
            </w:pP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543</w:t>
            </w:r>
          </w:p>
        </w:tc>
        <w:tc>
          <w:tcPr>
            <w:tcW w:w="3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1,764</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25.4%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154" w:lineRule="exact"/>
        <w:rPr>
          <w:sz w:val="20"/>
          <w:szCs w:val="20"/>
          <w:color w:val="auto"/>
        </w:rPr>
      </w:pPr>
    </w:p>
    <w:p>
      <w:pPr>
        <w:ind w:right="40" w:firstLine="228"/>
        <w:spacing w:after="0" w:line="287" w:lineRule="auto"/>
        <w:rPr>
          <w:sz w:val="20"/>
          <w:szCs w:val="20"/>
          <w:color w:val="auto"/>
        </w:rPr>
      </w:pPr>
      <w:r>
        <w:rPr>
          <w:rFonts w:ascii="Arial" w:cs="Arial" w:eastAsia="Arial" w:hAnsi="Arial"/>
          <w:sz w:val="16"/>
          <w:szCs w:val="16"/>
          <w:color w:val="auto"/>
        </w:rPr>
        <w:t>In the three months ended September 30, 2010 Total net sales and revenue increased compared to the corresponding period in 2009 by $1.8 billion (or 25.4%) primarily due to: (1) higher wholesale volumes of $1.3 billion representing 115,000 vehicles (or 27.8%). The primary driver was the global economic recovery as well as lower interest rates and availability of consumer credit to customers, together with the effect of launches of the Chevrolet Cruze, Chevrolet Spark and the Buick LaCrosse throughout the region. Wholesale volumes increased primarily from the market recovery in GM Daewoo by 32,000 vehicles or (29.2%), by 10,000 vehicles (or 51.7%) in Argentina, by 10,000 vehicles (or 40.1%) in the Middle East, by 8,000 vehicles (or 54.9%), in Colombia and by 10,000 vehicles (or 180.6%) in Venezuela; (2) favorable net foreign currency translation effect of $0.2 billion, primarily driven by the strengthening of major currencies in 2010 against the U.S. Dollar such as the Korean Won, Australian Dollar and Brazilian Real, partially offset by devaluation of the Venezuelan Bolivar; (3) favorable vehicle mix of $0.1 billion driven by launches of the Chevrolet Cruze, Chevrolet Spark and the Buick LaCrosse and increased sales of high priced sports utility vehicles; and (4) favorable pricing effect of $0.2 billion in GMIO, primarily in Venezuela of $0.1 billion driven by the hyperinflationary economy and strategic price increases of $0.1 billion in countries such as Argentina due to strong market demand for our vehicles.</w:t>
      </w:r>
    </w:p>
    <w:p>
      <w:pPr>
        <w:spacing w:after="0" w:line="123" w:lineRule="exact"/>
        <w:rPr>
          <w:sz w:val="20"/>
          <w:szCs w:val="20"/>
          <w:color w:val="auto"/>
        </w:rPr>
      </w:pPr>
    </w:p>
    <w:p>
      <w:pPr>
        <w:ind w:left="240"/>
        <w:spacing w:after="0"/>
        <w:rPr>
          <w:sz w:val="20"/>
          <w:szCs w:val="20"/>
          <w:color w:val="auto"/>
        </w:rPr>
      </w:pPr>
      <w:r>
        <w:rPr>
          <w:rFonts w:ascii="Arial" w:cs="Arial" w:eastAsia="Arial" w:hAnsi="Arial"/>
          <w:sz w:val="18"/>
          <w:szCs w:val="18"/>
          <w:color w:val="auto"/>
        </w:rPr>
        <w:t>We do not record revenue from our joint venture operations in China and India as their revenue is not consolidated in our financial results.</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4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60" w:type="dxa"/>
            <w:vAlign w:val="bottom"/>
            <w:gridSpan w:val="2"/>
          </w:tcPr>
          <w:p>
            <w:pPr>
              <w:jc w:val="center"/>
              <w:ind w:right="520"/>
              <w:spacing w:after="0"/>
              <w:rPr>
                <w:sz w:val="20"/>
                <w:szCs w:val="20"/>
                <w:color w:val="auto"/>
              </w:rPr>
            </w:pPr>
            <w:r>
              <w:rPr>
                <w:rFonts w:ascii="Arial" w:cs="Arial" w:eastAsia="Arial" w:hAnsi="Arial"/>
                <w:sz w:val="14"/>
                <w:szCs w:val="14"/>
                <w:b w:val="1"/>
                <w:bCs w:val="1"/>
                <w:color w:val="auto"/>
                <w:w w:val="90"/>
              </w:rPr>
              <w:t>Combined GM</w:t>
            </w:r>
          </w:p>
        </w:tc>
        <w:tc>
          <w:tcPr>
            <w:tcW w:w="1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520" w:type="dxa"/>
            <w:vAlign w:val="bottom"/>
            <w:tcBorders>
              <w:right w:val="single" w:sz="8" w:color="auto"/>
            </w:tcBorders>
          </w:tcPr>
          <w:p>
            <w:pPr>
              <w:spacing w:after="0"/>
              <w:rPr>
                <w:sz w:val="14"/>
                <w:szCs w:val="14"/>
                <w:color w:val="auto"/>
              </w:rPr>
            </w:pPr>
          </w:p>
        </w:tc>
        <w:tc>
          <w:tcPr>
            <w:tcW w:w="3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34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0" w:type="dxa"/>
            <w:vAlign w:val="bottom"/>
          </w:tcPr>
          <w:p>
            <w:pPr>
              <w:jc w:val="center"/>
              <w:ind w:right="47"/>
              <w:spacing w:after="0"/>
              <w:rPr>
                <w:sz w:val="20"/>
                <w:szCs w:val="20"/>
                <w:color w:val="auto"/>
              </w:rPr>
            </w:pPr>
            <w:r>
              <w:rPr>
                <w:rFonts w:ascii="Arial" w:cs="Arial" w:eastAsia="Arial" w:hAnsi="Arial"/>
                <w:sz w:val="14"/>
                <w:szCs w:val="14"/>
                <w:b w:val="1"/>
                <w:bCs w:val="1"/>
                <w:color w:val="auto"/>
                <w:w w:val="79"/>
              </w:rPr>
              <w:t>Successor</w:t>
            </w:r>
          </w:p>
        </w:tc>
        <w:tc>
          <w:tcPr>
            <w:tcW w:w="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60" w:type="dxa"/>
            <w:vAlign w:val="bottom"/>
            <w:gridSpan w:val="2"/>
          </w:tcPr>
          <w:p>
            <w:pPr>
              <w:jc w:val="center"/>
              <w:ind w:right="520"/>
              <w:spacing w:after="0"/>
              <w:rPr>
                <w:sz w:val="20"/>
                <w:szCs w:val="20"/>
                <w:color w:val="auto"/>
              </w:rPr>
            </w:pPr>
            <w:r>
              <w:rPr>
                <w:rFonts w:ascii="Arial" w:cs="Arial" w:eastAsia="Arial" w:hAnsi="Arial"/>
                <w:sz w:val="14"/>
                <w:szCs w:val="14"/>
                <w:b w:val="1"/>
                <w:bCs w:val="1"/>
                <w:color w:val="auto"/>
                <w:w w:val="94"/>
              </w:rPr>
              <w:t>and Old GM</w:t>
            </w:r>
          </w:p>
        </w:tc>
        <w:tc>
          <w:tcPr>
            <w:tcW w:w="140" w:type="dxa"/>
            <w:vAlign w:val="bottom"/>
          </w:tcPr>
          <w:p>
            <w:pPr>
              <w:spacing w:after="0"/>
              <w:rPr>
                <w:sz w:val="14"/>
                <w:szCs w:val="14"/>
                <w:color w:val="auto"/>
              </w:rPr>
            </w:pPr>
          </w:p>
        </w:tc>
        <w:tc>
          <w:tcPr>
            <w:tcW w:w="980" w:type="dxa"/>
            <w:vAlign w:val="bottom"/>
          </w:tcPr>
          <w:p>
            <w:pPr>
              <w:jc w:val="center"/>
              <w:ind w:right="67"/>
              <w:spacing w:after="0"/>
              <w:rPr>
                <w:sz w:val="20"/>
                <w:szCs w:val="20"/>
                <w:color w:val="auto"/>
              </w:rPr>
            </w:pPr>
            <w:r>
              <w:rPr>
                <w:rFonts w:ascii="Arial" w:cs="Arial" w:eastAsia="Arial" w:hAnsi="Arial"/>
                <w:sz w:val="14"/>
                <w:szCs w:val="14"/>
                <w:b w:val="1"/>
                <w:bCs w:val="1"/>
                <w:color w:val="auto"/>
                <w:w w:val="79"/>
              </w:rPr>
              <w:t>Successor</w:t>
            </w:r>
          </w:p>
        </w:tc>
        <w:tc>
          <w:tcPr>
            <w:tcW w:w="520" w:type="dxa"/>
            <w:vAlign w:val="bottom"/>
            <w:tcBorders>
              <w:right w:val="single" w:sz="8" w:color="auto"/>
            </w:tcBorders>
          </w:tcPr>
          <w:p>
            <w:pPr>
              <w:spacing w:after="0"/>
              <w:rPr>
                <w:sz w:val="14"/>
                <w:szCs w:val="14"/>
                <w:color w:val="auto"/>
              </w:rPr>
            </w:pPr>
          </w:p>
        </w:tc>
        <w:tc>
          <w:tcPr>
            <w:tcW w:w="320" w:type="dxa"/>
            <w:vAlign w:val="bottom"/>
          </w:tcPr>
          <w:p>
            <w:pPr>
              <w:spacing w:after="0"/>
              <w:rPr>
                <w:sz w:val="14"/>
                <w:szCs w:val="14"/>
                <w:color w:val="auto"/>
              </w:rPr>
            </w:pPr>
          </w:p>
        </w:tc>
        <w:tc>
          <w:tcPr>
            <w:tcW w:w="112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83"/>
              </w:rPr>
              <w:t>Predecessor</w:t>
            </w:r>
          </w:p>
        </w:tc>
        <w:tc>
          <w:tcPr>
            <w:tcW w:w="100" w:type="dxa"/>
            <w:vAlign w:val="bottom"/>
          </w:tcPr>
          <w:p>
            <w:pPr>
              <w:spacing w:after="0"/>
              <w:rPr>
                <w:sz w:val="14"/>
                <w:szCs w:val="14"/>
                <w:color w:val="auto"/>
              </w:rPr>
            </w:pPr>
          </w:p>
        </w:tc>
        <w:tc>
          <w:tcPr>
            <w:tcW w:w="1660" w:type="dxa"/>
            <w:vAlign w:val="bottom"/>
            <w:gridSpan w:val="4"/>
            <w:vMerge w:val="restart"/>
          </w:tcPr>
          <w:p>
            <w:pPr>
              <w:jc w:val="center"/>
              <w:ind w:right="200"/>
              <w:spacing w:after="0"/>
              <w:rPr>
                <w:sz w:val="20"/>
                <w:szCs w:val="20"/>
                <w:color w:val="auto"/>
              </w:rPr>
            </w:pPr>
            <w:r>
              <w:rPr>
                <w:rFonts w:ascii="Arial" w:cs="Arial" w:eastAsia="Arial" w:hAnsi="Arial"/>
                <w:sz w:val="14"/>
                <w:szCs w:val="14"/>
                <w:b w:val="1"/>
                <w:bCs w:val="1"/>
                <w:color w:val="auto"/>
                <w:w w:val="90"/>
              </w:rPr>
              <w:t>Nine Months Ended</w:t>
            </w:r>
          </w:p>
        </w:tc>
        <w:tc>
          <w:tcPr>
            <w:tcW w:w="0" w:type="dxa"/>
            <w:vAlign w:val="bottom"/>
          </w:tcPr>
          <w:p>
            <w:pPr>
              <w:spacing w:after="0"/>
              <w:rPr>
                <w:sz w:val="1"/>
                <w:szCs w:val="1"/>
                <w:color w:val="auto"/>
              </w:rPr>
            </w:pPr>
          </w:p>
        </w:tc>
      </w:tr>
      <w:tr>
        <w:trPr>
          <w:trHeight w:val="115"/>
        </w:trPr>
        <w:tc>
          <w:tcPr>
            <w:tcW w:w="3460" w:type="dxa"/>
            <w:vAlign w:val="bottom"/>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1000" w:type="dxa"/>
            <w:vAlign w:val="bottom"/>
            <w:tcBorders>
              <w:top w:val="single" w:sz="8" w:color="auto"/>
            </w:tcBorders>
          </w:tcPr>
          <w:p>
            <w:pPr>
              <w:spacing w:after="0"/>
              <w:rPr>
                <w:sz w:val="10"/>
                <w:szCs w:val="10"/>
                <w:color w:val="auto"/>
              </w:rPr>
            </w:pPr>
          </w:p>
        </w:tc>
        <w:tc>
          <w:tcPr>
            <w:tcW w:w="42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1040" w:type="dxa"/>
            <w:vAlign w:val="bottom"/>
            <w:tcBorders>
              <w:top w:val="single" w:sz="8" w:color="auto"/>
            </w:tcBorders>
          </w:tcPr>
          <w:p>
            <w:pPr>
              <w:spacing w:after="0"/>
              <w:rPr>
                <w:sz w:val="10"/>
                <w:szCs w:val="10"/>
                <w:color w:val="auto"/>
              </w:rPr>
            </w:pPr>
          </w:p>
        </w:tc>
        <w:tc>
          <w:tcPr>
            <w:tcW w:w="420" w:type="dxa"/>
            <w:vAlign w:val="bottom"/>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980" w:type="dxa"/>
            <w:vAlign w:val="bottom"/>
            <w:tcBorders>
              <w:top w:val="single" w:sz="8" w:color="auto"/>
            </w:tcBorders>
          </w:tcPr>
          <w:p>
            <w:pPr>
              <w:spacing w:after="0"/>
              <w:rPr>
                <w:sz w:val="10"/>
                <w:szCs w:val="10"/>
                <w:color w:val="auto"/>
              </w:rPr>
            </w:pPr>
          </w:p>
        </w:tc>
        <w:tc>
          <w:tcPr>
            <w:tcW w:w="520" w:type="dxa"/>
            <w:vAlign w:val="bottom"/>
            <w:tcBorders>
              <w:right w:val="single" w:sz="8" w:color="auto"/>
            </w:tcBorders>
          </w:tcPr>
          <w:p>
            <w:pPr>
              <w:spacing w:after="0"/>
              <w:rPr>
                <w:sz w:val="10"/>
                <w:szCs w:val="10"/>
                <w:color w:val="auto"/>
              </w:rPr>
            </w:pPr>
          </w:p>
        </w:tc>
        <w:tc>
          <w:tcPr>
            <w:tcW w:w="320" w:type="dxa"/>
            <w:vAlign w:val="bottom"/>
          </w:tcPr>
          <w:p>
            <w:pPr>
              <w:spacing w:after="0"/>
              <w:rPr>
                <w:sz w:val="10"/>
                <w:szCs w:val="10"/>
                <w:color w:val="auto"/>
              </w:rPr>
            </w:pPr>
          </w:p>
        </w:tc>
        <w:tc>
          <w:tcPr>
            <w:tcW w:w="700" w:type="dxa"/>
            <w:vAlign w:val="bottom"/>
            <w:tcBorders>
              <w:top w:val="single" w:sz="8" w:color="auto"/>
            </w:tcBorders>
          </w:tcPr>
          <w:p>
            <w:pPr>
              <w:jc w:val="center"/>
              <w:spacing w:after="0" w:line="115" w:lineRule="exact"/>
              <w:rPr>
                <w:sz w:val="20"/>
                <w:szCs w:val="20"/>
                <w:color w:val="auto"/>
              </w:rPr>
            </w:pPr>
            <w:r>
              <w:rPr>
                <w:rFonts w:ascii="Arial" w:cs="Arial" w:eastAsia="Arial" w:hAnsi="Arial"/>
                <w:sz w:val="12"/>
                <w:szCs w:val="12"/>
                <w:b w:val="1"/>
                <w:bCs w:val="1"/>
                <w:color w:val="auto"/>
              </w:rPr>
              <w:t>January 1,</w:t>
            </w:r>
          </w:p>
        </w:tc>
        <w:tc>
          <w:tcPr>
            <w:tcW w:w="4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660" w:type="dxa"/>
            <w:vAlign w:val="bottom"/>
            <w:gridSpan w:val="4"/>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34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0" w:type="dxa"/>
            <w:vAlign w:val="bottom"/>
          </w:tcPr>
          <w:p>
            <w:pPr>
              <w:jc w:val="center"/>
              <w:ind w:right="67"/>
              <w:spacing w:after="0" w:line="129" w:lineRule="exact"/>
              <w:rPr>
                <w:sz w:val="20"/>
                <w:szCs w:val="20"/>
                <w:color w:val="auto"/>
              </w:rPr>
            </w:pPr>
            <w:r>
              <w:rPr>
                <w:rFonts w:ascii="Arial" w:cs="Arial" w:eastAsia="Arial" w:hAnsi="Arial"/>
                <w:sz w:val="14"/>
                <w:szCs w:val="14"/>
                <w:b w:val="1"/>
                <w:bCs w:val="1"/>
                <w:color w:val="auto"/>
                <w:w w:val="88"/>
              </w:rPr>
              <w:t>Nine Months</w:t>
            </w:r>
          </w:p>
        </w:tc>
        <w:tc>
          <w:tcPr>
            <w:tcW w:w="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60" w:type="dxa"/>
            <w:vAlign w:val="bottom"/>
            <w:gridSpan w:val="2"/>
          </w:tcPr>
          <w:p>
            <w:pPr>
              <w:jc w:val="center"/>
              <w:ind w:right="520"/>
              <w:spacing w:after="0" w:line="129" w:lineRule="exact"/>
              <w:rPr>
                <w:sz w:val="20"/>
                <w:szCs w:val="20"/>
                <w:color w:val="auto"/>
              </w:rPr>
            </w:pPr>
            <w:r>
              <w:rPr>
                <w:rFonts w:ascii="Arial" w:cs="Arial" w:eastAsia="Arial" w:hAnsi="Arial"/>
                <w:sz w:val="14"/>
                <w:szCs w:val="14"/>
                <w:b w:val="1"/>
                <w:bCs w:val="1"/>
                <w:color w:val="auto"/>
                <w:w w:val="88"/>
              </w:rPr>
              <w:t>Nine Months</w:t>
            </w:r>
          </w:p>
        </w:tc>
        <w:tc>
          <w:tcPr>
            <w:tcW w:w="140" w:type="dxa"/>
            <w:vAlign w:val="bottom"/>
          </w:tcPr>
          <w:p>
            <w:pPr>
              <w:spacing w:after="0"/>
              <w:rPr>
                <w:sz w:val="12"/>
                <w:szCs w:val="12"/>
                <w:color w:val="auto"/>
              </w:rPr>
            </w:pPr>
          </w:p>
        </w:tc>
        <w:tc>
          <w:tcPr>
            <w:tcW w:w="980" w:type="dxa"/>
            <w:vAlign w:val="bottom"/>
          </w:tcPr>
          <w:p>
            <w:pPr>
              <w:jc w:val="center"/>
              <w:ind w:right="67"/>
              <w:spacing w:after="0" w:line="129" w:lineRule="exact"/>
              <w:rPr>
                <w:sz w:val="20"/>
                <w:szCs w:val="20"/>
                <w:color w:val="auto"/>
              </w:rPr>
            </w:pPr>
            <w:r>
              <w:rPr>
                <w:rFonts w:ascii="Arial" w:cs="Arial" w:eastAsia="Arial" w:hAnsi="Arial"/>
                <w:sz w:val="14"/>
                <w:szCs w:val="14"/>
                <w:b w:val="1"/>
                <w:bCs w:val="1"/>
                <w:color w:val="auto"/>
                <w:w w:val="87"/>
              </w:rPr>
              <w:t>July 10, 2009</w:t>
            </w:r>
          </w:p>
        </w:tc>
        <w:tc>
          <w:tcPr>
            <w:tcW w:w="520" w:type="dxa"/>
            <w:vAlign w:val="bottom"/>
            <w:tcBorders>
              <w:right w:val="single" w:sz="8" w:color="auto"/>
            </w:tcBorders>
          </w:tcPr>
          <w:p>
            <w:pPr>
              <w:spacing w:after="0"/>
              <w:rPr>
                <w:sz w:val="12"/>
                <w:szCs w:val="12"/>
                <w:color w:val="auto"/>
              </w:rPr>
            </w:pPr>
          </w:p>
        </w:tc>
        <w:tc>
          <w:tcPr>
            <w:tcW w:w="1020" w:type="dxa"/>
            <w:vAlign w:val="bottom"/>
            <w:gridSpan w:val="2"/>
          </w:tcPr>
          <w:p>
            <w:pPr>
              <w:jc w:val="right"/>
              <w:ind w:right="154"/>
              <w:spacing w:after="0" w:line="129" w:lineRule="exact"/>
              <w:rPr>
                <w:sz w:val="20"/>
                <w:szCs w:val="20"/>
                <w:color w:val="auto"/>
              </w:rPr>
            </w:pPr>
            <w:r>
              <w:rPr>
                <w:rFonts w:ascii="Arial" w:cs="Arial" w:eastAsia="Arial" w:hAnsi="Arial"/>
                <w:sz w:val="14"/>
                <w:szCs w:val="14"/>
                <w:b w:val="1"/>
                <w:bCs w:val="1"/>
                <w:color w:val="auto"/>
              </w:rPr>
              <w:t>2009</w:t>
            </w:r>
          </w:p>
        </w:tc>
        <w:tc>
          <w:tcPr>
            <w:tcW w:w="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60" w:type="dxa"/>
            <w:vAlign w:val="bottom"/>
            <w:gridSpan w:val="4"/>
          </w:tcPr>
          <w:p>
            <w:pPr>
              <w:jc w:val="center"/>
              <w:ind w:right="220"/>
              <w:spacing w:after="0" w:line="129" w:lineRule="exact"/>
              <w:rPr>
                <w:sz w:val="20"/>
                <w:szCs w:val="20"/>
                <w:color w:val="auto"/>
              </w:rPr>
            </w:pPr>
            <w:r>
              <w:rPr>
                <w:rFonts w:ascii="Arial" w:cs="Arial" w:eastAsia="Arial" w:hAnsi="Arial"/>
                <w:sz w:val="14"/>
                <w:szCs w:val="14"/>
                <w:b w:val="1"/>
                <w:bCs w:val="1"/>
                <w:color w:val="auto"/>
                <w:w w:val="85"/>
              </w:rPr>
              <w:t>2010 vs. 2009 Change</w:t>
            </w:r>
          </w:p>
        </w:tc>
        <w:tc>
          <w:tcPr>
            <w:tcW w:w="0" w:type="dxa"/>
            <w:vAlign w:val="bottom"/>
          </w:tcPr>
          <w:p>
            <w:pPr>
              <w:spacing w:after="0"/>
              <w:rPr>
                <w:sz w:val="1"/>
                <w:szCs w:val="1"/>
                <w:color w:val="auto"/>
              </w:rPr>
            </w:pPr>
          </w:p>
        </w:tc>
      </w:tr>
      <w:tr>
        <w:trPr>
          <w:trHeight w:val="143"/>
        </w:trPr>
        <w:tc>
          <w:tcPr>
            <w:tcW w:w="34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0" w:type="dxa"/>
            <w:vAlign w:val="bottom"/>
          </w:tcPr>
          <w:p>
            <w:pPr>
              <w:jc w:val="center"/>
              <w:ind w:right="67"/>
              <w:spacing w:after="0" w:line="143" w:lineRule="exact"/>
              <w:rPr>
                <w:sz w:val="20"/>
                <w:szCs w:val="20"/>
                <w:color w:val="auto"/>
              </w:rPr>
            </w:pPr>
            <w:r>
              <w:rPr>
                <w:rFonts w:ascii="Arial" w:cs="Arial" w:eastAsia="Arial" w:hAnsi="Arial"/>
                <w:sz w:val="14"/>
                <w:szCs w:val="14"/>
                <w:b w:val="1"/>
                <w:bCs w:val="1"/>
                <w:color w:val="auto"/>
                <w:w w:val="88"/>
              </w:rPr>
              <w:t>Ended</w:t>
            </w:r>
          </w:p>
        </w:tc>
        <w:tc>
          <w:tcPr>
            <w:tcW w:w="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60" w:type="dxa"/>
            <w:vAlign w:val="bottom"/>
            <w:gridSpan w:val="2"/>
          </w:tcPr>
          <w:p>
            <w:pPr>
              <w:jc w:val="center"/>
              <w:ind w:right="520"/>
              <w:spacing w:after="0" w:line="143" w:lineRule="exact"/>
              <w:rPr>
                <w:sz w:val="20"/>
                <w:szCs w:val="20"/>
                <w:color w:val="auto"/>
              </w:rPr>
            </w:pPr>
            <w:r>
              <w:rPr>
                <w:rFonts w:ascii="Arial" w:cs="Arial" w:eastAsia="Arial" w:hAnsi="Arial"/>
                <w:sz w:val="14"/>
                <w:szCs w:val="14"/>
                <w:b w:val="1"/>
                <w:bCs w:val="1"/>
                <w:color w:val="auto"/>
                <w:w w:val="88"/>
              </w:rPr>
              <w:t>Ended</w:t>
            </w:r>
          </w:p>
        </w:tc>
        <w:tc>
          <w:tcPr>
            <w:tcW w:w="140" w:type="dxa"/>
            <w:vAlign w:val="bottom"/>
          </w:tcPr>
          <w:p>
            <w:pPr>
              <w:spacing w:after="0"/>
              <w:rPr>
                <w:sz w:val="12"/>
                <w:szCs w:val="12"/>
                <w:color w:val="auto"/>
              </w:rPr>
            </w:pPr>
          </w:p>
        </w:tc>
        <w:tc>
          <w:tcPr>
            <w:tcW w:w="980" w:type="dxa"/>
            <w:vAlign w:val="bottom"/>
          </w:tcPr>
          <w:p>
            <w:pPr>
              <w:jc w:val="center"/>
              <w:ind w:right="67"/>
              <w:spacing w:after="0" w:line="143" w:lineRule="exact"/>
              <w:rPr>
                <w:sz w:val="20"/>
                <w:szCs w:val="20"/>
                <w:color w:val="auto"/>
              </w:rPr>
            </w:pPr>
            <w:r>
              <w:rPr>
                <w:rFonts w:ascii="Arial" w:cs="Arial" w:eastAsia="Arial" w:hAnsi="Arial"/>
                <w:sz w:val="14"/>
                <w:szCs w:val="14"/>
                <w:b w:val="1"/>
                <w:bCs w:val="1"/>
                <w:color w:val="auto"/>
                <w:w w:val="91"/>
              </w:rPr>
              <w:t>Through</w:t>
            </w:r>
          </w:p>
        </w:tc>
        <w:tc>
          <w:tcPr>
            <w:tcW w:w="520" w:type="dxa"/>
            <w:vAlign w:val="bottom"/>
            <w:tcBorders>
              <w:right w:val="single" w:sz="8" w:color="auto"/>
            </w:tcBorders>
          </w:tcPr>
          <w:p>
            <w:pPr>
              <w:spacing w:after="0"/>
              <w:rPr>
                <w:sz w:val="12"/>
                <w:szCs w:val="12"/>
                <w:color w:val="auto"/>
              </w:rPr>
            </w:pPr>
          </w:p>
        </w:tc>
        <w:tc>
          <w:tcPr>
            <w:tcW w:w="320" w:type="dxa"/>
            <w:vAlign w:val="bottom"/>
          </w:tcPr>
          <w:p>
            <w:pPr>
              <w:spacing w:after="0"/>
              <w:rPr>
                <w:sz w:val="12"/>
                <w:szCs w:val="12"/>
                <w:color w:val="auto"/>
              </w:rPr>
            </w:pPr>
          </w:p>
        </w:tc>
        <w:tc>
          <w:tcPr>
            <w:tcW w:w="1120" w:type="dxa"/>
            <w:vAlign w:val="bottom"/>
            <w:gridSpan w:val="2"/>
          </w:tcPr>
          <w:p>
            <w:pPr>
              <w:jc w:val="center"/>
              <w:ind w:right="420"/>
              <w:spacing w:after="0" w:line="143" w:lineRule="exact"/>
              <w:rPr>
                <w:sz w:val="20"/>
                <w:szCs w:val="20"/>
                <w:color w:val="auto"/>
              </w:rPr>
            </w:pPr>
            <w:r>
              <w:rPr>
                <w:rFonts w:ascii="Arial" w:cs="Arial" w:eastAsia="Arial" w:hAnsi="Arial"/>
                <w:sz w:val="14"/>
                <w:szCs w:val="14"/>
                <w:b w:val="1"/>
                <w:bCs w:val="1"/>
                <w:color w:val="auto"/>
                <w:w w:val="87"/>
              </w:rPr>
              <w:t>Through</w:t>
            </w:r>
          </w:p>
        </w:tc>
        <w:tc>
          <w:tcPr>
            <w:tcW w:w="100" w:type="dxa"/>
            <w:vAlign w:val="bottom"/>
            <w:tcBorders>
              <w:top w:val="single" w:sz="8" w:color="auto"/>
            </w:tcBorders>
          </w:tcPr>
          <w:p>
            <w:pPr>
              <w:spacing w:after="0"/>
              <w:rPr>
                <w:sz w:val="12"/>
                <w:szCs w:val="12"/>
                <w:color w:val="auto"/>
              </w:rPr>
            </w:pPr>
          </w:p>
        </w:tc>
        <w:tc>
          <w:tcPr>
            <w:tcW w:w="640" w:type="dxa"/>
            <w:vAlign w:val="bottom"/>
            <w:tcBorders>
              <w:top w:val="single" w:sz="8" w:color="auto"/>
            </w:tcBorders>
          </w:tcPr>
          <w:p>
            <w:pPr>
              <w:spacing w:after="0"/>
              <w:rPr>
                <w:sz w:val="12"/>
                <w:szCs w:val="12"/>
                <w:color w:val="auto"/>
              </w:rPr>
            </w:pPr>
          </w:p>
        </w:tc>
        <w:tc>
          <w:tcPr>
            <w:tcW w:w="420" w:type="dxa"/>
            <w:vAlign w:val="bottom"/>
            <w:tcBorders>
              <w:top w:val="single" w:sz="8" w:color="auto"/>
            </w:tcBorders>
          </w:tcPr>
          <w:p>
            <w:pPr>
              <w:spacing w:after="0"/>
              <w:rPr>
                <w:sz w:val="12"/>
                <w:szCs w:val="12"/>
                <w:color w:val="auto"/>
              </w:rPr>
            </w:pPr>
          </w:p>
        </w:tc>
        <w:tc>
          <w:tcPr>
            <w:tcW w:w="50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3460" w:type="dxa"/>
            <w:vAlign w:val="bottom"/>
          </w:tcPr>
          <w:p>
            <w:pPr>
              <w:spacing w:after="0"/>
              <w:rPr>
                <w:sz w:val="14"/>
                <w:szCs w:val="14"/>
                <w:color w:val="auto"/>
              </w:rPr>
            </w:pPr>
          </w:p>
        </w:tc>
        <w:tc>
          <w:tcPr>
            <w:tcW w:w="114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87"/>
              </w:rPr>
              <w:t>September 30, 2010</w:t>
            </w:r>
          </w:p>
        </w:tc>
        <w:tc>
          <w:tcPr>
            <w:tcW w:w="420" w:type="dxa"/>
            <w:vAlign w:val="bottom"/>
          </w:tcPr>
          <w:p>
            <w:pPr>
              <w:spacing w:after="0"/>
              <w:rPr>
                <w:sz w:val="14"/>
                <w:szCs w:val="14"/>
                <w:color w:val="auto"/>
              </w:rPr>
            </w:pPr>
          </w:p>
        </w:tc>
        <w:tc>
          <w:tcPr>
            <w:tcW w:w="114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85"/>
              </w:rPr>
              <w:t>September 30, 2009</w:t>
            </w:r>
          </w:p>
        </w:tc>
        <w:tc>
          <w:tcPr>
            <w:tcW w:w="420" w:type="dxa"/>
            <w:vAlign w:val="bottom"/>
          </w:tcPr>
          <w:p>
            <w:pPr>
              <w:spacing w:after="0"/>
              <w:rPr>
                <w:sz w:val="14"/>
                <w:szCs w:val="14"/>
                <w:color w:val="auto"/>
              </w:rPr>
            </w:pPr>
          </w:p>
        </w:tc>
        <w:tc>
          <w:tcPr>
            <w:tcW w:w="112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85"/>
              </w:rPr>
              <w:t>September 30, 2009</w:t>
            </w:r>
          </w:p>
        </w:tc>
        <w:tc>
          <w:tcPr>
            <w:tcW w:w="520" w:type="dxa"/>
            <w:vAlign w:val="bottom"/>
            <w:tcBorders>
              <w:right w:val="single" w:sz="8" w:color="auto"/>
            </w:tcBorders>
          </w:tcPr>
          <w:p>
            <w:pPr>
              <w:spacing w:after="0"/>
              <w:rPr>
                <w:sz w:val="14"/>
                <w:szCs w:val="14"/>
                <w:color w:val="auto"/>
              </w:rPr>
            </w:pPr>
          </w:p>
        </w:tc>
        <w:tc>
          <w:tcPr>
            <w:tcW w:w="320" w:type="dxa"/>
            <w:vAlign w:val="bottom"/>
          </w:tcPr>
          <w:p>
            <w:pPr>
              <w:spacing w:after="0"/>
              <w:rPr>
                <w:sz w:val="14"/>
                <w:szCs w:val="14"/>
                <w:color w:val="auto"/>
              </w:rPr>
            </w:pPr>
          </w:p>
        </w:tc>
        <w:tc>
          <w:tcPr>
            <w:tcW w:w="7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8"/>
              </w:rPr>
              <w:t>July 9, 2009</w:t>
            </w:r>
          </w:p>
        </w:tc>
        <w:tc>
          <w:tcPr>
            <w:tcW w:w="4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67"/>
              <w:spacing w:after="0"/>
              <w:rPr>
                <w:sz w:val="20"/>
                <w:szCs w:val="20"/>
                <w:color w:val="auto"/>
              </w:rPr>
            </w:pPr>
            <w:r>
              <w:rPr>
                <w:rFonts w:ascii="Arial" w:cs="Arial" w:eastAsia="Arial" w:hAnsi="Arial"/>
                <w:sz w:val="14"/>
                <w:szCs w:val="14"/>
                <w:b w:val="1"/>
                <w:bCs w:val="1"/>
                <w:color w:val="auto"/>
                <w:w w:val="90"/>
              </w:rPr>
              <w:t>Amount</w:t>
            </w:r>
          </w:p>
        </w:tc>
        <w:tc>
          <w:tcPr>
            <w:tcW w:w="420" w:type="dxa"/>
            <w:vAlign w:val="bottom"/>
          </w:tcPr>
          <w:p>
            <w:pPr>
              <w:spacing w:after="0"/>
              <w:rPr>
                <w:sz w:val="14"/>
                <w:szCs w:val="14"/>
                <w:color w:val="auto"/>
              </w:rPr>
            </w:pPr>
          </w:p>
        </w:tc>
        <w:tc>
          <w:tcPr>
            <w:tcW w:w="500" w:type="dxa"/>
            <w:vAlign w:val="bottom"/>
            <w:tcBorders>
              <w:bottom w:val="single" w:sz="8" w:color="auto"/>
            </w:tcBorders>
          </w:tcPr>
          <w:p>
            <w:pPr>
              <w:jc w:val="right"/>
              <w:ind w:right="102"/>
              <w:spacing w:after="0"/>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3460" w:type="dxa"/>
            <w:vAlign w:val="bottom"/>
            <w:shd w:val="clear" w:color="auto" w:fill="CCEEFF"/>
          </w:tcPr>
          <w:p>
            <w:pPr>
              <w:spacing w:after="0"/>
              <w:rPr>
                <w:sz w:val="20"/>
                <w:szCs w:val="20"/>
                <w:color w:val="auto"/>
              </w:rPr>
            </w:pPr>
            <w:r>
              <w:rPr>
                <w:rFonts w:ascii="Arial" w:cs="Arial" w:eastAsia="Arial" w:hAnsi="Arial"/>
                <w:sz w:val="18"/>
                <w:szCs w:val="18"/>
                <w:color w:val="auto"/>
              </w:rPr>
              <w:t>Total net sales and revenue</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25,366</w:t>
            </w: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6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18,093</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6,395</w:t>
            </w:r>
          </w:p>
        </w:tc>
        <w:tc>
          <w:tcPr>
            <w:tcW w:w="520" w:type="dxa"/>
            <w:vAlign w:val="bottom"/>
            <w:tcBorders>
              <w:right w:val="single" w:sz="8" w:color="auto"/>
            </w:tcBorders>
            <w:shd w:val="clear" w:color="auto" w:fill="CCEEFF"/>
          </w:tcPr>
          <w:p>
            <w:pPr>
              <w:spacing w:after="0"/>
              <w:rPr>
                <w:sz w:val="18"/>
                <w:szCs w:val="18"/>
                <w:color w:val="auto"/>
              </w:rPr>
            </w:pPr>
          </w:p>
        </w:tc>
        <w:tc>
          <w:tcPr>
            <w:tcW w:w="1440" w:type="dxa"/>
            <w:vAlign w:val="bottom"/>
            <w:gridSpan w:val="3"/>
            <w:shd w:val="clear" w:color="auto" w:fill="CCEEFF"/>
          </w:tcPr>
          <w:p>
            <w:pPr>
              <w:jc w:val="right"/>
              <w:ind w:right="420"/>
              <w:spacing w:after="0"/>
              <w:rPr>
                <w:sz w:val="20"/>
                <w:szCs w:val="20"/>
                <w:color w:val="auto"/>
              </w:rPr>
            </w:pPr>
            <w:r>
              <w:rPr>
                <w:rFonts w:ascii="Arial" w:cs="Arial" w:eastAsia="Arial" w:hAnsi="Arial"/>
                <w:sz w:val="18"/>
                <w:szCs w:val="18"/>
                <w:color w:val="auto"/>
              </w:rPr>
              <w:t>$  11,698</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7,273</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40.2%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154" w:lineRule="exact"/>
        <w:rPr>
          <w:sz w:val="20"/>
          <w:szCs w:val="20"/>
          <w:color w:val="auto"/>
        </w:rPr>
      </w:pPr>
    </w:p>
    <w:p>
      <w:pPr>
        <w:ind w:right="20" w:firstLine="228"/>
        <w:spacing w:after="0" w:line="282" w:lineRule="auto"/>
        <w:rPr>
          <w:sz w:val="20"/>
          <w:szCs w:val="20"/>
          <w:color w:val="auto"/>
        </w:rPr>
      </w:pPr>
      <w:r>
        <w:rPr>
          <w:rFonts w:ascii="Arial" w:cs="Arial" w:eastAsia="Arial" w:hAnsi="Arial"/>
          <w:sz w:val="16"/>
          <w:szCs w:val="16"/>
          <w:color w:val="auto"/>
        </w:rPr>
        <w:t>In the nine months ended September 30, 2010 Total net sales and revenue increased compared to the corresponding period in 2009 by $7.3 billion (or 40.2%) primarily due to: (1) higher wholesale volumes of $4.0 billion representing 315,000 vehicles (or 26.1%). Wholesale volumes increased primarily from the market recovery in GM Daewoo by 68,000 vehicles or (19.9%), by 26,000 vehicles (or 50.1%) in Argentina, by 43,000 vehicles (or 9.8%) in Brazil, by 26,000 vehicles (or 31.4%) in the Middle East and by 21,000 vehicles (or 25.4%) in Australia together with the effect of launches of the Chevrolet Cruze, Chevrolet Spark and the Buick LaCrosse throughout the region; (2) favorable net foreign currency translation effect of $1.2 billion, primarily driven by the strengthening of major currencies in 2010 against the U.S. Dollar such as the Korean Won, Australian Dollar and Brazilian Real, partially offset by devaluation of the Venezuelan Bolivar; (3) derivative losses of $0.9 billion that GMIO recorded in 2009, primarily driven by the depreciation of the Korean Won against the U.S. Dollar in that period. Subsequent to July 10, 2009, all gains and losses on non-designated derivatives were recorded in Interest income and other non-operating income, net;</w:t>
      </w:r>
    </w:p>
    <w:p>
      <w:pPr>
        <w:spacing w:after="0" w:line="6" w:lineRule="exact"/>
        <w:rPr>
          <w:sz w:val="20"/>
          <w:szCs w:val="20"/>
          <w:color w:val="auto"/>
        </w:rPr>
      </w:pPr>
    </w:p>
    <w:p>
      <w:pPr>
        <w:ind w:right="60" w:firstLine="8"/>
        <w:spacing w:after="0" w:line="302" w:lineRule="auto"/>
        <w:tabs>
          <w:tab w:leader="none" w:pos="249" w:val="left"/>
        </w:tabs>
        <w:numPr>
          <w:ilvl w:val="0"/>
          <w:numId w:val="86"/>
        </w:numPr>
        <w:rPr>
          <w:rFonts w:ascii="Arial" w:cs="Arial" w:eastAsia="Arial" w:hAnsi="Arial"/>
          <w:sz w:val="16"/>
          <w:szCs w:val="16"/>
          <w:color w:val="auto"/>
        </w:rPr>
      </w:pPr>
      <w:r>
        <w:rPr>
          <w:rFonts w:ascii="Arial" w:cs="Arial" w:eastAsia="Arial" w:hAnsi="Arial"/>
          <w:sz w:val="16"/>
          <w:szCs w:val="16"/>
          <w:color w:val="auto"/>
        </w:rPr>
        <w:t>favorable vehicle mix of $0.6 billion driven by launches of the Chevrolet Cruze, Chevrolet Spark and the Buick LaCrosse and increased sales of higher priced sports utility vehicles; and (5) the favorable pricing effect of $0.6 billion in GMIO, primarily in Venezuela of $0.3 billion driven by the hyperinflationary economy and strategic price increase of $0.3 billion in countries such as Brazil and Argentina due to strong market demand for our vehicles.</w:t>
      </w:r>
    </w:p>
    <w:p>
      <w:pPr>
        <w:spacing w:after="0" w:line="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118</w:t>
      </w:r>
    </w:p>
    <w:p>
      <w:pPr>
        <w:sectPr>
          <w:pgSz w:w="11900" w:h="16838" w:orient="portrait"/>
          <w:cols w:equalWidth="0" w:num="1">
            <w:col w:w="11420"/>
          </w:cols>
          <w:pgMar w:left="240" w:top="459" w:right="239" w:bottom="1440" w:gutter="0" w:footer="0" w:header="0"/>
        </w:sectPr>
      </w:pPr>
    </w:p>
    <w:bookmarkStart w:id="120" w:name="page121"/>
    <w:bookmarkEnd w:id="1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339"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Earnings (Loss) Before Interest and Income Taxes</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3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860" w:type="dxa"/>
            <w:vAlign w:val="bottom"/>
            <w:gridSpan w:val="2"/>
            <w:vMerge w:val="restart"/>
          </w:tcPr>
          <w:p>
            <w:pPr>
              <w:jc w:val="right"/>
              <w:ind w:right="152"/>
              <w:spacing w:after="0"/>
              <w:rPr>
                <w:sz w:val="20"/>
                <w:szCs w:val="20"/>
                <w:color w:val="auto"/>
              </w:rPr>
            </w:pPr>
            <w:r>
              <w:rPr>
                <w:rFonts w:ascii="Arial" w:cs="Arial" w:eastAsia="Arial" w:hAnsi="Arial"/>
                <w:sz w:val="14"/>
                <w:szCs w:val="14"/>
                <w:b w:val="1"/>
                <w:bCs w:val="1"/>
                <w:color w:val="auto"/>
                <w:w w:val="87"/>
              </w:rPr>
              <w:t>Successor</w:t>
            </w:r>
          </w:p>
        </w:tc>
        <w:tc>
          <w:tcPr>
            <w:tcW w:w="10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140" w:type="dxa"/>
            <w:vAlign w:val="bottom"/>
            <w:gridSpan w:val="5"/>
          </w:tcPr>
          <w:p>
            <w:pPr>
              <w:jc w:val="center"/>
              <w:ind w:right="240"/>
              <w:spacing w:after="0"/>
              <w:rPr>
                <w:sz w:val="20"/>
                <w:szCs w:val="20"/>
                <w:color w:val="auto"/>
              </w:rPr>
            </w:pPr>
            <w:r>
              <w:rPr>
                <w:rFonts w:ascii="Arial" w:cs="Arial" w:eastAsia="Arial" w:hAnsi="Arial"/>
                <w:sz w:val="14"/>
                <w:szCs w:val="14"/>
                <w:b w:val="1"/>
                <w:bCs w:val="1"/>
                <w:color w:val="auto"/>
                <w:w w:val="88"/>
              </w:rPr>
              <w:t>Three Months Ended</w:t>
            </w:r>
          </w:p>
        </w:tc>
        <w:tc>
          <w:tcPr>
            <w:tcW w:w="0" w:type="dxa"/>
            <w:vAlign w:val="bottom"/>
          </w:tcPr>
          <w:p>
            <w:pPr>
              <w:spacing w:after="0"/>
              <w:rPr>
                <w:sz w:val="1"/>
                <w:szCs w:val="1"/>
                <w:color w:val="auto"/>
              </w:rPr>
            </w:pPr>
          </w:p>
        </w:tc>
      </w:tr>
      <w:tr>
        <w:trPr>
          <w:trHeight w:val="107"/>
        </w:trPr>
        <w:tc>
          <w:tcPr>
            <w:tcW w:w="4380" w:type="dxa"/>
            <w:vAlign w:val="bottom"/>
          </w:tcPr>
          <w:p>
            <w:pPr>
              <w:spacing w:after="0"/>
              <w:rPr>
                <w:sz w:val="9"/>
                <w:szCs w:val="9"/>
                <w:color w:val="auto"/>
              </w:rPr>
            </w:pPr>
          </w:p>
        </w:tc>
        <w:tc>
          <w:tcPr>
            <w:tcW w:w="102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1020" w:type="dxa"/>
            <w:vAlign w:val="bottom"/>
            <w:tcBorders>
              <w:bottom w:val="single" w:sz="8" w:color="auto"/>
            </w:tcBorders>
          </w:tcPr>
          <w:p>
            <w:pPr>
              <w:spacing w:after="0"/>
              <w:rPr>
                <w:sz w:val="9"/>
                <w:szCs w:val="9"/>
                <w:color w:val="auto"/>
              </w:rPr>
            </w:pPr>
          </w:p>
        </w:tc>
        <w:tc>
          <w:tcPr>
            <w:tcW w:w="860" w:type="dxa"/>
            <w:vAlign w:val="bottom"/>
            <w:tcBorders>
              <w:bottom w:val="single" w:sz="8" w:color="auto"/>
            </w:tcBorders>
            <w:gridSpan w:val="2"/>
            <w:vMerge w:val="continue"/>
          </w:tcPr>
          <w:p>
            <w:pPr>
              <w:spacing w:after="0"/>
              <w:rPr>
                <w:sz w:val="9"/>
                <w:szCs w:val="9"/>
                <w:color w:val="auto"/>
              </w:rPr>
            </w:pPr>
          </w:p>
        </w:tc>
        <w:tc>
          <w:tcPr>
            <w:tcW w:w="1000" w:type="dxa"/>
            <w:vAlign w:val="bottom"/>
            <w:tcBorders>
              <w:bottom w:val="single" w:sz="8" w:color="auto"/>
            </w:tcBorders>
          </w:tcPr>
          <w:p>
            <w:pPr>
              <w:spacing w:after="0"/>
              <w:rPr>
                <w:sz w:val="9"/>
                <w:szCs w:val="9"/>
                <w:color w:val="auto"/>
              </w:rPr>
            </w:pPr>
          </w:p>
        </w:tc>
        <w:tc>
          <w:tcPr>
            <w:tcW w:w="740" w:type="dxa"/>
            <w:vAlign w:val="bottom"/>
          </w:tcPr>
          <w:p>
            <w:pPr>
              <w:spacing w:after="0"/>
              <w:rPr>
                <w:sz w:val="9"/>
                <w:szCs w:val="9"/>
                <w:color w:val="auto"/>
              </w:rPr>
            </w:pPr>
          </w:p>
        </w:tc>
        <w:tc>
          <w:tcPr>
            <w:tcW w:w="140" w:type="dxa"/>
            <w:vAlign w:val="bottom"/>
          </w:tcPr>
          <w:p>
            <w:pPr>
              <w:spacing w:after="0"/>
              <w:rPr>
                <w:sz w:val="9"/>
                <w:szCs w:val="9"/>
                <w:color w:val="auto"/>
              </w:rPr>
            </w:pPr>
          </w:p>
        </w:tc>
        <w:tc>
          <w:tcPr>
            <w:tcW w:w="2140" w:type="dxa"/>
            <w:vAlign w:val="bottom"/>
            <w:gridSpan w:val="5"/>
            <w:vMerge w:val="restart"/>
          </w:tcPr>
          <w:p>
            <w:pPr>
              <w:jc w:val="center"/>
              <w:ind w:right="240"/>
              <w:spacing w:after="0" w:line="149" w:lineRule="exact"/>
              <w:rPr>
                <w:sz w:val="20"/>
                <w:szCs w:val="20"/>
                <w:color w:val="auto"/>
              </w:rPr>
            </w:pPr>
            <w:r>
              <w:rPr>
                <w:rFonts w:ascii="Arial" w:cs="Arial" w:eastAsia="Arial" w:hAnsi="Arial"/>
                <w:sz w:val="14"/>
                <w:szCs w:val="14"/>
                <w:b w:val="1"/>
                <w:bCs w:val="1"/>
                <w:color w:val="auto"/>
                <w:w w:val="87"/>
              </w:rPr>
              <w:t>September 30, 2010</w:t>
            </w:r>
          </w:p>
        </w:tc>
        <w:tc>
          <w:tcPr>
            <w:tcW w:w="0" w:type="dxa"/>
            <w:vAlign w:val="bottom"/>
          </w:tcPr>
          <w:p>
            <w:pPr>
              <w:spacing w:after="0"/>
              <w:rPr>
                <w:sz w:val="1"/>
                <w:szCs w:val="1"/>
                <w:color w:val="auto"/>
              </w:rPr>
            </w:pPr>
          </w:p>
        </w:tc>
      </w:tr>
      <w:tr>
        <w:trPr>
          <w:trHeight w:val="21"/>
        </w:trPr>
        <w:tc>
          <w:tcPr>
            <w:tcW w:w="43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140" w:type="dxa"/>
            <w:vAlign w:val="bottom"/>
            <w:gridSpan w:val="5"/>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9"/>
        </w:trPr>
        <w:tc>
          <w:tcPr>
            <w:tcW w:w="438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40" w:type="dxa"/>
            <w:vAlign w:val="bottom"/>
            <w:gridSpan w:val="2"/>
          </w:tcPr>
          <w:p>
            <w:pPr>
              <w:ind w:left="260"/>
              <w:spacing w:after="0" w:line="149" w:lineRule="exact"/>
              <w:rPr>
                <w:sz w:val="20"/>
                <w:szCs w:val="20"/>
                <w:color w:val="auto"/>
              </w:rPr>
            </w:pPr>
            <w:r>
              <w:rPr>
                <w:rFonts w:ascii="Arial" w:cs="Arial" w:eastAsia="Arial" w:hAnsi="Arial"/>
                <w:sz w:val="14"/>
                <w:szCs w:val="14"/>
                <w:b w:val="1"/>
                <w:bCs w:val="1"/>
                <w:color w:val="auto"/>
                <w:w w:val="86"/>
              </w:rPr>
              <w:t>vs. Period July</w:t>
            </w:r>
          </w:p>
        </w:tc>
        <w:tc>
          <w:tcPr>
            <w:tcW w:w="900" w:type="dxa"/>
            <w:vAlign w:val="bottom"/>
            <w:gridSpan w:val="2"/>
          </w:tcPr>
          <w:p>
            <w:pPr>
              <w:jc w:val="right"/>
              <w:ind w:right="332"/>
              <w:spacing w:after="0" w:line="149" w:lineRule="exact"/>
              <w:rPr>
                <w:sz w:val="20"/>
                <w:szCs w:val="20"/>
                <w:color w:val="auto"/>
              </w:rPr>
            </w:pPr>
            <w:r>
              <w:rPr>
                <w:rFonts w:ascii="Arial" w:cs="Arial" w:eastAsia="Arial" w:hAnsi="Arial"/>
                <w:sz w:val="14"/>
                <w:szCs w:val="14"/>
                <w:b w:val="1"/>
                <w:bCs w:val="1"/>
                <w:color w:val="auto"/>
                <w:w w:val="88"/>
              </w:rPr>
              <w:t>10, 2009</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38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tcPr>
          <w:p>
            <w:pPr>
              <w:jc w:val="center"/>
              <w:ind w:right="46"/>
              <w:spacing w:after="0" w:line="149" w:lineRule="exact"/>
              <w:rPr>
                <w:sz w:val="20"/>
                <w:szCs w:val="20"/>
                <w:color w:val="auto"/>
              </w:rPr>
            </w:pPr>
            <w:r>
              <w:rPr>
                <w:rFonts w:ascii="Arial" w:cs="Arial" w:eastAsia="Arial" w:hAnsi="Arial"/>
                <w:sz w:val="14"/>
                <w:szCs w:val="14"/>
                <w:b w:val="1"/>
                <w:bCs w:val="1"/>
                <w:color w:val="auto"/>
                <w:w w:val="89"/>
              </w:rPr>
              <w:t>Three Months</w:t>
            </w:r>
          </w:p>
        </w:tc>
        <w:tc>
          <w:tcPr>
            <w:tcW w:w="7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740" w:type="dxa"/>
            <w:vAlign w:val="bottom"/>
            <w:gridSpan w:val="2"/>
          </w:tcPr>
          <w:p>
            <w:pPr>
              <w:jc w:val="center"/>
              <w:ind w:right="880"/>
              <w:spacing w:after="0" w:line="149" w:lineRule="exact"/>
              <w:rPr>
                <w:sz w:val="20"/>
                <w:szCs w:val="20"/>
                <w:color w:val="auto"/>
              </w:rPr>
            </w:pPr>
            <w:r>
              <w:rPr>
                <w:rFonts w:ascii="Arial" w:cs="Arial" w:eastAsia="Arial" w:hAnsi="Arial"/>
                <w:sz w:val="14"/>
                <w:szCs w:val="14"/>
                <w:b w:val="1"/>
                <w:bCs w:val="1"/>
                <w:color w:val="auto"/>
                <w:w w:val="85"/>
              </w:rPr>
              <w:t>July 10, 2009</w:t>
            </w:r>
          </w:p>
        </w:tc>
        <w:tc>
          <w:tcPr>
            <w:tcW w:w="140" w:type="dxa"/>
            <w:vAlign w:val="bottom"/>
          </w:tcPr>
          <w:p>
            <w:pPr>
              <w:spacing w:after="0"/>
              <w:rPr>
                <w:sz w:val="12"/>
                <w:szCs w:val="12"/>
                <w:color w:val="auto"/>
              </w:rPr>
            </w:pPr>
          </w:p>
        </w:tc>
        <w:tc>
          <w:tcPr>
            <w:tcW w:w="2140" w:type="dxa"/>
            <w:vAlign w:val="bottom"/>
            <w:gridSpan w:val="5"/>
          </w:tcPr>
          <w:p>
            <w:pPr>
              <w:jc w:val="center"/>
              <w:ind w:right="240"/>
              <w:spacing w:after="0" w:line="149" w:lineRule="exact"/>
              <w:rPr>
                <w:sz w:val="20"/>
                <w:szCs w:val="20"/>
                <w:color w:val="auto"/>
              </w:rPr>
            </w:pPr>
            <w:r>
              <w:rPr>
                <w:rFonts w:ascii="Arial" w:cs="Arial" w:eastAsia="Arial" w:hAnsi="Arial"/>
                <w:sz w:val="14"/>
                <w:szCs w:val="14"/>
                <w:b w:val="1"/>
                <w:bCs w:val="1"/>
                <w:color w:val="auto"/>
                <w:w w:val="87"/>
              </w:rPr>
              <w:t>Through</w:t>
            </w:r>
          </w:p>
        </w:tc>
        <w:tc>
          <w:tcPr>
            <w:tcW w:w="0" w:type="dxa"/>
            <w:vAlign w:val="bottom"/>
          </w:tcPr>
          <w:p>
            <w:pPr>
              <w:spacing w:after="0"/>
              <w:rPr>
                <w:sz w:val="1"/>
                <w:szCs w:val="1"/>
                <w:color w:val="auto"/>
              </w:rPr>
            </w:pPr>
          </w:p>
        </w:tc>
      </w:tr>
      <w:tr>
        <w:trPr>
          <w:trHeight w:val="161"/>
        </w:trPr>
        <w:tc>
          <w:tcPr>
            <w:tcW w:w="43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20" w:type="dxa"/>
            <w:vAlign w:val="bottom"/>
          </w:tcPr>
          <w:p>
            <w:pPr>
              <w:jc w:val="center"/>
              <w:ind w:right="46"/>
              <w:spacing w:after="0"/>
              <w:rPr>
                <w:sz w:val="20"/>
                <w:szCs w:val="20"/>
                <w:color w:val="auto"/>
              </w:rPr>
            </w:pPr>
            <w:r>
              <w:rPr>
                <w:rFonts w:ascii="Arial" w:cs="Arial" w:eastAsia="Arial" w:hAnsi="Arial"/>
                <w:sz w:val="14"/>
                <w:szCs w:val="14"/>
                <w:b w:val="1"/>
                <w:bCs w:val="1"/>
                <w:color w:val="auto"/>
                <w:w w:val="88"/>
              </w:rPr>
              <w:t>Ended</w:t>
            </w:r>
          </w:p>
        </w:tc>
        <w:tc>
          <w:tcPr>
            <w:tcW w:w="7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740" w:type="dxa"/>
            <w:vAlign w:val="bottom"/>
            <w:gridSpan w:val="2"/>
          </w:tcPr>
          <w:p>
            <w:pPr>
              <w:jc w:val="center"/>
              <w:ind w:right="880"/>
              <w:spacing w:after="0"/>
              <w:rPr>
                <w:sz w:val="20"/>
                <w:szCs w:val="20"/>
                <w:color w:val="auto"/>
              </w:rPr>
            </w:pPr>
            <w:r>
              <w:rPr>
                <w:rFonts w:ascii="Arial" w:cs="Arial" w:eastAsia="Arial" w:hAnsi="Arial"/>
                <w:sz w:val="14"/>
                <w:szCs w:val="14"/>
                <w:b w:val="1"/>
                <w:bCs w:val="1"/>
                <w:color w:val="auto"/>
                <w:w w:val="87"/>
              </w:rPr>
              <w:t>Through</w:t>
            </w:r>
          </w:p>
        </w:tc>
        <w:tc>
          <w:tcPr>
            <w:tcW w:w="140" w:type="dxa"/>
            <w:vAlign w:val="bottom"/>
          </w:tcPr>
          <w:p>
            <w:pPr>
              <w:spacing w:after="0"/>
              <w:rPr>
                <w:sz w:val="14"/>
                <w:szCs w:val="14"/>
                <w:color w:val="auto"/>
              </w:rPr>
            </w:pPr>
          </w:p>
        </w:tc>
        <w:tc>
          <w:tcPr>
            <w:tcW w:w="2140" w:type="dxa"/>
            <w:vAlign w:val="bottom"/>
            <w:gridSpan w:val="5"/>
          </w:tcPr>
          <w:p>
            <w:pPr>
              <w:jc w:val="center"/>
              <w:ind w:right="220"/>
              <w:spacing w:after="0"/>
              <w:rPr>
                <w:sz w:val="20"/>
                <w:szCs w:val="20"/>
                <w:color w:val="auto"/>
              </w:rPr>
            </w:pPr>
            <w:r>
              <w:rPr>
                <w:rFonts w:ascii="Arial" w:cs="Arial" w:eastAsia="Arial" w:hAnsi="Arial"/>
                <w:sz w:val="14"/>
                <w:szCs w:val="14"/>
                <w:b w:val="1"/>
                <w:bCs w:val="1"/>
                <w:color w:val="auto"/>
                <w:w w:val="86"/>
              </w:rPr>
              <w:t>September 30, 2009 Change</w:t>
            </w:r>
          </w:p>
        </w:tc>
        <w:tc>
          <w:tcPr>
            <w:tcW w:w="0" w:type="dxa"/>
            <w:vAlign w:val="bottom"/>
          </w:tcPr>
          <w:p>
            <w:pPr>
              <w:spacing w:after="0"/>
              <w:rPr>
                <w:sz w:val="1"/>
                <w:szCs w:val="1"/>
                <w:color w:val="auto"/>
              </w:rPr>
            </w:pPr>
          </w:p>
        </w:tc>
      </w:tr>
      <w:tr>
        <w:trPr>
          <w:trHeight w:val="142"/>
        </w:trPr>
        <w:tc>
          <w:tcPr>
            <w:tcW w:w="438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140" w:type="dxa"/>
            <w:vAlign w:val="bottom"/>
            <w:tcBorders>
              <w:bottom w:val="single" w:sz="8" w:color="auto"/>
            </w:tcBorders>
            <w:gridSpan w:val="2"/>
          </w:tcPr>
          <w:p>
            <w:pPr>
              <w:jc w:val="center"/>
              <w:spacing w:after="0" w:line="142" w:lineRule="exact"/>
              <w:rPr>
                <w:sz w:val="20"/>
                <w:szCs w:val="20"/>
                <w:color w:val="auto"/>
              </w:rPr>
            </w:pPr>
            <w:r>
              <w:rPr>
                <w:rFonts w:ascii="Arial" w:cs="Arial" w:eastAsia="Arial" w:hAnsi="Arial"/>
                <w:sz w:val="14"/>
                <w:szCs w:val="14"/>
                <w:b w:val="1"/>
                <w:bCs w:val="1"/>
                <w:color w:val="auto"/>
                <w:w w:val="85"/>
              </w:rPr>
              <w:t>September 30, 2010</w:t>
            </w:r>
          </w:p>
        </w:tc>
        <w:tc>
          <w:tcPr>
            <w:tcW w:w="720" w:type="dxa"/>
            <w:vAlign w:val="bottom"/>
          </w:tcPr>
          <w:p>
            <w:pPr>
              <w:spacing w:after="0"/>
              <w:rPr>
                <w:sz w:val="12"/>
                <w:szCs w:val="12"/>
                <w:color w:val="auto"/>
              </w:rPr>
            </w:pPr>
          </w:p>
        </w:tc>
        <w:tc>
          <w:tcPr>
            <w:tcW w:w="1140" w:type="dxa"/>
            <w:vAlign w:val="bottom"/>
            <w:tcBorders>
              <w:bottom w:val="single" w:sz="8" w:color="auto"/>
            </w:tcBorders>
            <w:gridSpan w:val="2"/>
          </w:tcPr>
          <w:p>
            <w:pPr>
              <w:jc w:val="center"/>
              <w:spacing w:after="0" w:line="142" w:lineRule="exact"/>
              <w:rPr>
                <w:sz w:val="20"/>
                <w:szCs w:val="20"/>
                <w:color w:val="auto"/>
              </w:rPr>
            </w:pPr>
            <w:r>
              <w:rPr>
                <w:rFonts w:ascii="Arial" w:cs="Arial" w:eastAsia="Arial" w:hAnsi="Arial"/>
                <w:sz w:val="14"/>
                <w:szCs w:val="14"/>
                <w:b w:val="1"/>
                <w:bCs w:val="1"/>
                <w:color w:val="auto"/>
                <w:w w:val="87"/>
              </w:rPr>
              <w:t>September 30, 2009</w:t>
            </w:r>
          </w:p>
        </w:tc>
        <w:tc>
          <w:tcPr>
            <w:tcW w:w="740" w:type="dxa"/>
            <w:vAlign w:val="bottom"/>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740" w:type="dxa"/>
            <w:vAlign w:val="bottom"/>
            <w:tcBorders>
              <w:top w:val="single" w:sz="8" w:color="auto"/>
              <w:bottom w:val="single" w:sz="8" w:color="auto"/>
            </w:tcBorders>
          </w:tcPr>
          <w:p>
            <w:pPr>
              <w:jc w:val="right"/>
              <w:ind w:right="150"/>
              <w:spacing w:after="0" w:line="142" w:lineRule="exact"/>
              <w:rPr>
                <w:sz w:val="20"/>
                <w:szCs w:val="20"/>
                <w:color w:val="auto"/>
              </w:rPr>
            </w:pPr>
            <w:r>
              <w:rPr>
                <w:rFonts w:ascii="Arial" w:cs="Arial" w:eastAsia="Arial" w:hAnsi="Arial"/>
                <w:sz w:val="14"/>
                <w:szCs w:val="14"/>
                <w:b w:val="1"/>
                <w:bCs w:val="1"/>
                <w:color w:val="auto"/>
                <w:w w:val="94"/>
              </w:rPr>
              <w:t>Amount</w:t>
            </w:r>
          </w:p>
        </w:tc>
        <w:tc>
          <w:tcPr>
            <w:tcW w:w="400" w:type="dxa"/>
            <w:vAlign w:val="bottom"/>
            <w:tcBorders>
              <w:top w:val="single" w:sz="8" w:color="auto"/>
            </w:tcBorders>
          </w:tcPr>
          <w:p>
            <w:pPr>
              <w:spacing w:after="0"/>
              <w:rPr>
                <w:sz w:val="12"/>
                <w:szCs w:val="12"/>
                <w:color w:val="auto"/>
              </w:rPr>
            </w:pPr>
          </w:p>
        </w:tc>
        <w:tc>
          <w:tcPr>
            <w:tcW w:w="340" w:type="dxa"/>
            <w:vAlign w:val="bottom"/>
            <w:tcBorders>
              <w:top w:val="single" w:sz="8" w:color="auto"/>
            </w:tcBorders>
          </w:tcPr>
          <w:p>
            <w:pPr>
              <w:spacing w:after="0"/>
              <w:rPr>
                <w:sz w:val="12"/>
                <w:szCs w:val="12"/>
                <w:color w:val="auto"/>
              </w:rPr>
            </w:pPr>
          </w:p>
        </w:tc>
        <w:tc>
          <w:tcPr>
            <w:tcW w:w="560" w:type="dxa"/>
            <w:vAlign w:val="bottom"/>
            <w:tcBorders>
              <w:top w:val="single" w:sz="8" w:color="auto"/>
              <w:bottom w:val="single" w:sz="8" w:color="auto"/>
            </w:tcBorders>
          </w:tcPr>
          <w:p>
            <w:pPr>
              <w:jc w:val="right"/>
              <w:ind w:right="152"/>
              <w:spacing w:after="0" w:line="142" w:lineRule="exact"/>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4380" w:type="dxa"/>
            <w:vAlign w:val="bottom"/>
            <w:shd w:val="clear" w:color="auto" w:fill="CCEEFF"/>
          </w:tcPr>
          <w:p>
            <w:pPr>
              <w:spacing w:after="0"/>
              <w:rPr>
                <w:sz w:val="20"/>
                <w:szCs w:val="20"/>
                <w:color w:val="auto"/>
              </w:rPr>
            </w:pPr>
            <w:r>
              <w:rPr>
                <w:rFonts w:ascii="Arial" w:cs="Arial" w:eastAsia="Arial" w:hAnsi="Arial"/>
                <w:sz w:val="18"/>
                <w:szCs w:val="18"/>
                <w:color w:val="auto"/>
              </w:rPr>
              <w:t>Earnings (loss) before interest and income taxes</w:t>
            </w: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646</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740" w:type="dxa"/>
            <w:vAlign w:val="bottom"/>
            <w:gridSpan w:val="2"/>
            <w:shd w:val="clear" w:color="auto" w:fill="CCEEFF"/>
          </w:tcPr>
          <w:p>
            <w:pPr>
              <w:jc w:val="right"/>
              <w:ind w:right="740"/>
              <w:spacing w:after="0"/>
              <w:rPr>
                <w:sz w:val="20"/>
                <w:szCs w:val="20"/>
                <w:color w:val="auto"/>
              </w:rPr>
            </w:pPr>
            <w:r>
              <w:rPr>
                <w:rFonts w:ascii="Arial" w:cs="Arial" w:eastAsia="Arial" w:hAnsi="Arial"/>
                <w:sz w:val="18"/>
                <w:szCs w:val="18"/>
                <w:color w:val="auto"/>
              </w:rPr>
              <w:t>474</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172</w:t>
            </w:r>
          </w:p>
        </w:tc>
        <w:tc>
          <w:tcPr>
            <w:tcW w:w="4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36.3%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154" w:lineRule="exact"/>
        <w:rPr>
          <w:sz w:val="20"/>
          <w:szCs w:val="20"/>
          <w:color w:val="auto"/>
        </w:rPr>
      </w:pPr>
    </w:p>
    <w:p>
      <w:pPr>
        <w:ind w:right="60" w:firstLine="228"/>
        <w:spacing w:after="0" w:line="298" w:lineRule="auto"/>
        <w:rPr>
          <w:sz w:val="20"/>
          <w:szCs w:val="20"/>
          <w:color w:val="auto"/>
        </w:rPr>
      </w:pPr>
      <w:r>
        <w:rPr>
          <w:rFonts w:ascii="Arial" w:cs="Arial" w:eastAsia="Arial" w:hAnsi="Arial"/>
          <w:sz w:val="16"/>
          <w:szCs w:val="16"/>
          <w:color w:val="auto"/>
        </w:rPr>
        <w:t>In the three months ended September 30, 2010 results increased compared to the period July 10, 2009 through September 30, 2009 by $0.2 billion (or 36.3%) primarily due to: (1) improved operating results at Argentina, Australia, South Africa and the Middle East of $0.2 billion; and (2) increased Equity income, net of tax, of $0.1 billion from the operating results of our China joint ventures; partially offset by (3) decreased income attributable to noncontrolling interests at GM Daewoo of $0.1 billion due to the increase in our ownership from 50.9% to 70.1% and a decline in GM Daewoo’s income.</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320" w:type="dxa"/>
            <w:vAlign w:val="bottom"/>
          </w:tcPr>
          <w:p>
            <w:pPr>
              <w:spacing w:after="0"/>
              <w:rPr>
                <w:sz w:val="14"/>
                <w:szCs w:val="14"/>
                <w:color w:val="auto"/>
              </w:rPr>
            </w:pPr>
          </w:p>
        </w:tc>
        <w:tc>
          <w:tcPr>
            <w:tcW w:w="192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center"/>
              <w:ind w:right="47"/>
              <w:spacing w:after="0"/>
              <w:rPr>
                <w:sz w:val="20"/>
                <w:szCs w:val="20"/>
                <w:color w:val="auto"/>
              </w:rPr>
            </w:pPr>
            <w:r>
              <w:rPr>
                <w:rFonts w:ascii="Arial" w:cs="Arial" w:eastAsia="Arial" w:hAnsi="Arial"/>
                <w:sz w:val="14"/>
                <w:szCs w:val="14"/>
                <w:b w:val="1"/>
                <w:bCs w:val="1"/>
                <w:color w:val="auto"/>
                <w:w w:val="79"/>
              </w:rPr>
              <w:t>Successor</w:t>
            </w:r>
          </w:p>
        </w:tc>
        <w:tc>
          <w:tcPr>
            <w:tcW w:w="680" w:type="dxa"/>
            <w:vAlign w:val="bottom"/>
            <w:tcBorders>
              <w:right w:val="single" w:sz="8" w:color="auto"/>
            </w:tcBorders>
          </w:tcPr>
          <w:p>
            <w:pPr>
              <w:spacing w:after="0"/>
              <w:rPr>
                <w:sz w:val="14"/>
                <w:szCs w:val="14"/>
                <w:color w:val="auto"/>
              </w:rPr>
            </w:pPr>
          </w:p>
        </w:tc>
        <w:tc>
          <w:tcPr>
            <w:tcW w:w="480" w:type="dxa"/>
            <w:vAlign w:val="bottom"/>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w w:val="83"/>
              </w:rPr>
              <w:t>Predecessor</w:t>
            </w:r>
          </w:p>
        </w:tc>
        <w:tc>
          <w:tcPr>
            <w:tcW w:w="5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29"/>
        </w:trPr>
        <w:tc>
          <w:tcPr>
            <w:tcW w:w="5320" w:type="dxa"/>
            <w:vAlign w:val="bottom"/>
          </w:tcPr>
          <w:p>
            <w:pPr>
              <w:spacing w:after="0"/>
              <w:rPr>
                <w:sz w:val="11"/>
                <w:szCs w:val="11"/>
                <w:color w:val="auto"/>
              </w:rPr>
            </w:pPr>
          </w:p>
        </w:tc>
        <w:tc>
          <w:tcPr>
            <w:tcW w:w="19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680" w:type="dxa"/>
            <w:vAlign w:val="bottom"/>
            <w:tcBorders>
              <w:right w:val="single" w:sz="8" w:color="auto"/>
            </w:tcBorders>
          </w:tcPr>
          <w:p>
            <w:pPr>
              <w:spacing w:after="0"/>
              <w:rPr>
                <w:sz w:val="11"/>
                <w:szCs w:val="11"/>
                <w:color w:val="auto"/>
              </w:rPr>
            </w:pPr>
          </w:p>
        </w:tc>
        <w:tc>
          <w:tcPr>
            <w:tcW w:w="480" w:type="dxa"/>
            <w:vAlign w:val="bottom"/>
          </w:tcPr>
          <w:p>
            <w:pPr>
              <w:spacing w:after="0"/>
              <w:rPr>
                <w:sz w:val="11"/>
                <w:szCs w:val="11"/>
                <w:color w:val="auto"/>
              </w:rPr>
            </w:pPr>
          </w:p>
        </w:tc>
        <w:tc>
          <w:tcPr>
            <w:tcW w:w="520" w:type="dxa"/>
            <w:vAlign w:val="bottom"/>
          </w:tcPr>
          <w:p>
            <w:pPr>
              <w:jc w:val="center"/>
              <w:spacing w:after="0" w:line="129" w:lineRule="exact"/>
              <w:rPr>
                <w:sz w:val="20"/>
                <w:szCs w:val="20"/>
                <w:color w:val="auto"/>
              </w:rPr>
            </w:pPr>
            <w:r>
              <w:rPr>
                <w:rFonts w:ascii="Arial" w:cs="Arial" w:eastAsia="Arial" w:hAnsi="Arial"/>
                <w:sz w:val="14"/>
                <w:szCs w:val="14"/>
                <w:b w:val="1"/>
                <w:bCs w:val="1"/>
                <w:color w:val="auto"/>
                <w:w w:val="87"/>
              </w:rPr>
              <w:t>July 1,</w:t>
            </w:r>
          </w:p>
        </w:tc>
        <w:tc>
          <w:tcPr>
            <w:tcW w:w="600" w:type="dxa"/>
            <w:vAlign w:val="bottom"/>
          </w:tcPr>
          <w:p>
            <w:pPr>
              <w:spacing w:after="0"/>
              <w:rPr>
                <w:sz w:val="11"/>
                <w:szCs w:val="11"/>
                <w:color w:val="auto"/>
              </w:rPr>
            </w:pPr>
          </w:p>
        </w:tc>
        <w:tc>
          <w:tcPr>
            <w:tcW w:w="660" w:type="dxa"/>
            <w:vAlign w:val="bottom"/>
            <w:gridSpan w:val="2"/>
          </w:tcPr>
          <w:p>
            <w:pPr>
              <w:jc w:val="center"/>
              <w:spacing w:after="0" w:line="129" w:lineRule="exact"/>
              <w:rPr>
                <w:sz w:val="20"/>
                <w:szCs w:val="20"/>
                <w:color w:val="auto"/>
              </w:rPr>
            </w:pPr>
            <w:r>
              <w:rPr>
                <w:rFonts w:ascii="Arial" w:cs="Arial" w:eastAsia="Arial" w:hAnsi="Arial"/>
                <w:sz w:val="14"/>
                <w:szCs w:val="14"/>
                <w:b w:val="1"/>
                <w:bCs w:val="1"/>
                <w:color w:val="auto"/>
                <w:w w:val="89"/>
              </w:rPr>
              <w:t>January 1,</w:t>
            </w:r>
          </w:p>
        </w:tc>
        <w:tc>
          <w:tcPr>
            <w:tcW w:w="100" w:type="dxa"/>
            <w:vAlign w:val="bottom"/>
          </w:tcPr>
          <w:p>
            <w:pPr>
              <w:spacing w:after="0"/>
              <w:rPr>
                <w:sz w:val="11"/>
                <w:szCs w:val="11"/>
                <w:color w:val="auto"/>
              </w:rPr>
            </w:pPr>
          </w:p>
        </w:tc>
      </w:tr>
      <w:tr>
        <w:trPr>
          <w:trHeight w:val="149"/>
        </w:trPr>
        <w:tc>
          <w:tcPr>
            <w:tcW w:w="5320" w:type="dxa"/>
            <w:vAlign w:val="bottom"/>
          </w:tcPr>
          <w:p>
            <w:pPr>
              <w:spacing w:after="0"/>
              <w:rPr>
                <w:sz w:val="12"/>
                <w:szCs w:val="12"/>
                <w:color w:val="auto"/>
              </w:rPr>
            </w:pPr>
          </w:p>
        </w:tc>
        <w:tc>
          <w:tcPr>
            <w:tcW w:w="19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680" w:type="dxa"/>
            <w:vAlign w:val="bottom"/>
            <w:tcBorders>
              <w:right w:val="single" w:sz="8" w:color="auto"/>
            </w:tcBorders>
          </w:tcPr>
          <w:p>
            <w:pPr>
              <w:spacing w:after="0"/>
              <w:rPr>
                <w:sz w:val="12"/>
                <w:szCs w:val="12"/>
                <w:color w:val="auto"/>
              </w:rPr>
            </w:pPr>
          </w:p>
        </w:tc>
        <w:tc>
          <w:tcPr>
            <w:tcW w:w="1000" w:type="dxa"/>
            <w:vAlign w:val="bottom"/>
            <w:gridSpan w:val="2"/>
          </w:tcPr>
          <w:p>
            <w:pPr>
              <w:jc w:val="center"/>
              <w:ind w:left="402"/>
              <w:spacing w:after="0" w:line="149" w:lineRule="exact"/>
              <w:rPr>
                <w:sz w:val="20"/>
                <w:szCs w:val="20"/>
                <w:color w:val="auto"/>
              </w:rPr>
            </w:pPr>
            <w:r>
              <w:rPr>
                <w:rFonts w:ascii="Arial" w:cs="Arial" w:eastAsia="Arial" w:hAnsi="Arial"/>
                <w:sz w:val="14"/>
                <w:szCs w:val="14"/>
                <w:b w:val="1"/>
                <w:bCs w:val="1"/>
                <w:color w:val="auto"/>
                <w:w w:val="89"/>
              </w:rPr>
              <w:t>2009</w:t>
            </w:r>
          </w:p>
        </w:tc>
        <w:tc>
          <w:tcPr>
            <w:tcW w:w="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jc w:val="center"/>
              <w:ind w:right="67"/>
              <w:spacing w:after="0" w:line="149" w:lineRule="exact"/>
              <w:rPr>
                <w:sz w:val="20"/>
                <w:szCs w:val="20"/>
                <w:color w:val="auto"/>
              </w:rPr>
            </w:pPr>
            <w:r>
              <w:rPr>
                <w:rFonts w:ascii="Arial" w:cs="Arial" w:eastAsia="Arial" w:hAnsi="Arial"/>
                <w:sz w:val="14"/>
                <w:szCs w:val="14"/>
                <w:b w:val="1"/>
                <w:bCs w:val="1"/>
                <w:color w:val="auto"/>
                <w:w w:val="89"/>
              </w:rPr>
              <w:t>2009</w:t>
            </w:r>
          </w:p>
        </w:tc>
        <w:tc>
          <w:tcPr>
            <w:tcW w:w="100" w:type="dxa"/>
            <w:vAlign w:val="bottom"/>
          </w:tcPr>
          <w:p>
            <w:pPr>
              <w:spacing w:after="0"/>
              <w:rPr>
                <w:sz w:val="12"/>
                <w:szCs w:val="12"/>
                <w:color w:val="auto"/>
              </w:rPr>
            </w:pPr>
          </w:p>
        </w:tc>
      </w:tr>
      <w:tr>
        <w:trPr>
          <w:trHeight w:val="149"/>
        </w:trPr>
        <w:tc>
          <w:tcPr>
            <w:tcW w:w="5320" w:type="dxa"/>
            <w:vAlign w:val="bottom"/>
          </w:tcPr>
          <w:p>
            <w:pPr>
              <w:spacing w:after="0"/>
              <w:rPr>
                <w:sz w:val="12"/>
                <w:szCs w:val="12"/>
                <w:color w:val="auto"/>
              </w:rPr>
            </w:pPr>
          </w:p>
        </w:tc>
        <w:tc>
          <w:tcPr>
            <w:tcW w:w="19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0" w:type="dxa"/>
            <w:vAlign w:val="bottom"/>
          </w:tcPr>
          <w:p>
            <w:pPr>
              <w:jc w:val="center"/>
              <w:ind w:right="67"/>
              <w:spacing w:after="0" w:line="149" w:lineRule="exact"/>
              <w:rPr>
                <w:sz w:val="20"/>
                <w:szCs w:val="20"/>
                <w:color w:val="auto"/>
              </w:rPr>
            </w:pPr>
            <w:r>
              <w:rPr>
                <w:rFonts w:ascii="Arial" w:cs="Arial" w:eastAsia="Arial" w:hAnsi="Arial"/>
                <w:sz w:val="14"/>
                <w:szCs w:val="14"/>
                <w:b w:val="1"/>
                <w:bCs w:val="1"/>
                <w:color w:val="auto"/>
                <w:w w:val="88"/>
              </w:rPr>
              <w:t>Nine Months</w:t>
            </w:r>
          </w:p>
        </w:tc>
        <w:tc>
          <w:tcPr>
            <w:tcW w:w="680" w:type="dxa"/>
            <w:vAlign w:val="bottom"/>
            <w:tcBorders>
              <w:right w:val="single" w:sz="8" w:color="auto"/>
            </w:tcBorders>
          </w:tcPr>
          <w:p>
            <w:pPr>
              <w:spacing w:after="0"/>
              <w:rPr>
                <w:sz w:val="12"/>
                <w:szCs w:val="12"/>
                <w:color w:val="auto"/>
              </w:rPr>
            </w:pPr>
          </w:p>
        </w:tc>
        <w:tc>
          <w:tcPr>
            <w:tcW w:w="480" w:type="dxa"/>
            <w:vAlign w:val="bottom"/>
          </w:tcPr>
          <w:p>
            <w:pPr>
              <w:spacing w:after="0"/>
              <w:rPr>
                <w:sz w:val="12"/>
                <w:szCs w:val="12"/>
                <w:color w:val="auto"/>
              </w:rPr>
            </w:pPr>
          </w:p>
        </w:tc>
        <w:tc>
          <w:tcPr>
            <w:tcW w:w="5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1"/>
              </w:rPr>
              <w:t>Through</w:t>
            </w:r>
          </w:p>
        </w:tc>
        <w:tc>
          <w:tcPr>
            <w:tcW w:w="600" w:type="dxa"/>
            <w:vAlign w:val="bottom"/>
          </w:tcPr>
          <w:p>
            <w:pPr>
              <w:spacing w:after="0"/>
              <w:rPr>
                <w:sz w:val="12"/>
                <w:szCs w:val="12"/>
                <w:color w:val="auto"/>
              </w:rPr>
            </w:pPr>
          </w:p>
        </w:tc>
        <w:tc>
          <w:tcPr>
            <w:tcW w:w="760" w:type="dxa"/>
            <w:vAlign w:val="bottom"/>
            <w:gridSpan w:val="3"/>
          </w:tcPr>
          <w:p>
            <w:pPr>
              <w:jc w:val="center"/>
              <w:ind w:right="120"/>
              <w:spacing w:after="0" w:line="149" w:lineRule="exact"/>
              <w:rPr>
                <w:sz w:val="20"/>
                <w:szCs w:val="20"/>
                <w:color w:val="auto"/>
              </w:rPr>
            </w:pPr>
            <w:r>
              <w:rPr>
                <w:rFonts w:ascii="Arial" w:cs="Arial" w:eastAsia="Arial" w:hAnsi="Arial"/>
                <w:sz w:val="14"/>
                <w:szCs w:val="14"/>
                <w:b w:val="1"/>
                <w:bCs w:val="1"/>
                <w:color w:val="auto"/>
                <w:w w:val="91"/>
              </w:rPr>
              <w:t>Through</w:t>
            </w:r>
          </w:p>
        </w:tc>
      </w:tr>
      <w:tr>
        <w:trPr>
          <w:trHeight w:val="149"/>
        </w:trPr>
        <w:tc>
          <w:tcPr>
            <w:tcW w:w="5320" w:type="dxa"/>
            <w:vAlign w:val="bottom"/>
          </w:tcPr>
          <w:p>
            <w:pPr>
              <w:spacing w:after="0"/>
              <w:rPr>
                <w:sz w:val="12"/>
                <w:szCs w:val="12"/>
                <w:color w:val="auto"/>
              </w:rPr>
            </w:pPr>
          </w:p>
        </w:tc>
        <w:tc>
          <w:tcPr>
            <w:tcW w:w="19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0" w:type="dxa"/>
            <w:vAlign w:val="bottom"/>
          </w:tcPr>
          <w:p>
            <w:pPr>
              <w:jc w:val="center"/>
              <w:ind w:right="67"/>
              <w:spacing w:after="0" w:line="149" w:lineRule="exact"/>
              <w:rPr>
                <w:sz w:val="20"/>
                <w:szCs w:val="20"/>
                <w:color w:val="auto"/>
              </w:rPr>
            </w:pPr>
            <w:r>
              <w:rPr>
                <w:rFonts w:ascii="Arial" w:cs="Arial" w:eastAsia="Arial" w:hAnsi="Arial"/>
                <w:sz w:val="14"/>
                <w:szCs w:val="14"/>
                <w:b w:val="1"/>
                <w:bCs w:val="1"/>
                <w:color w:val="auto"/>
                <w:w w:val="88"/>
              </w:rPr>
              <w:t>Ended</w:t>
            </w:r>
          </w:p>
        </w:tc>
        <w:tc>
          <w:tcPr>
            <w:tcW w:w="680" w:type="dxa"/>
            <w:vAlign w:val="bottom"/>
            <w:tcBorders>
              <w:right w:val="single" w:sz="8" w:color="auto"/>
            </w:tcBorders>
          </w:tcPr>
          <w:p>
            <w:pPr>
              <w:spacing w:after="0"/>
              <w:rPr>
                <w:sz w:val="12"/>
                <w:szCs w:val="12"/>
                <w:color w:val="auto"/>
              </w:rPr>
            </w:pPr>
          </w:p>
        </w:tc>
        <w:tc>
          <w:tcPr>
            <w:tcW w:w="480" w:type="dxa"/>
            <w:vAlign w:val="bottom"/>
          </w:tcPr>
          <w:p>
            <w:pPr>
              <w:spacing w:after="0"/>
              <w:rPr>
                <w:sz w:val="12"/>
                <w:szCs w:val="12"/>
                <w:color w:val="auto"/>
              </w:rPr>
            </w:pPr>
          </w:p>
        </w:tc>
        <w:tc>
          <w:tcPr>
            <w:tcW w:w="5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1"/>
              </w:rPr>
              <w:t>July 9,</w:t>
            </w:r>
          </w:p>
        </w:tc>
        <w:tc>
          <w:tcPr>
            <w:tcW w:w="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1"/>
              </w:rPr>
              <w:t>July 9,</w:t>
            </w:r>
          </w:p>
        </w:tc>
      </w:tr>
      <w:tr>
        <w:trPr>
          <w:trHeight w:val="161"/>
        </w:trPr>
        <w:tc>
          <w:tcPr>
            <w:tcW w:w="5320" w:type="dxa"/>
            <w:vAlign w:val="bottom"/>
          </w:tcPr>
          <w:p>
            <w:pPr>
              <w:spacing w:after="0"/>
              <w:rPr>
                <w:sz w:val="14"/>
                <w:szCs w:val="14"/>
                <w:color w:val="auto"/>
              </w:rPr>
            </w:pPr>
          </w:p>
        </w:tc>
        <w:tc>
          <w:tcPr>
            <w:tcW w:w="1920" w:type="dxa"/>
            <w:vAlign w:val="bottom"/>
          </w:tcPr>
          <w:p>
            <w:pPr>
              <w:spacing w:after="0"/>
              <w:rPr>
                <w:sz w:val="14"/>
                <w:szCs w:val="14"/>
                <w:color w:val="auto"/>
              </w:rPr>
            </w:pPr>
          </w:p>
        </w:tc>
        <w:tc>
          <w:tcPr>
            <w:tcW w:w="114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85"/>
              </w:rPr>
              <w:t>September 30, 2010</w:t>
            </w:r>
          </w:p>
        </w:tc>
        <w:tc>
          <w:tcPr>
            <w:tcW w:w="680" w:type="dxa"/>
            <w:vAlign w:val="bottom"/>
            <w:tcBorders>
              <w:right w:val="single" w:sz="8" w:color="auto"/>
            </w:tcBorders>
          </w:tcPr>
          <w:p>
            <w:pPr>
              <w:spacing w:after="0"/>
              <w:rPr>
                <w:sz w:val="14"/>
                <w:szCs w:val="14"/>
                <w:color w:val="auto"/>
              </w:rPr>
            </w:pPr>
          </w:p>
        </w:tc>
        <w:tc>
          <w:tcPr>
            <w:tcW w:w="480" w:type="dxa"/>
            <w:vAlign w:val="bottom"/>
          </w:tcPr>
          <w:p>
            <w:pPr>
              <w:spacing w:after="0"/>
              <w:rPr>
                <w:sz w:val="14"/>
                <w:szCs w:val="14"/>
                <w:color w:val="auto"/>
              </w:rPr>
            </w:pPr>
          </w:p>
        </w:tc>
        <w:tc>
          <w:tcPr>
            <w:tcW w:w="5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2009</w:t>
            </w:r>
          </w:p>
        </w:tc>
        <w:tc>
          <w:tcPr>
            <w:tcW w:w="60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center"/>
              <w:ind w:right="67"/>
              <w:spacing w:after="0"/>
              <w:rPr>
                <w:sz w:val="20"/>
                <w:szCs w:val="20"/>
                <w:color w:val="auto"/>
              </w:rPr>
            </w:pPr>
            <w:r>
              <w:rPr>
                <w:rFonts w:ascii="Arial" w:cs="Arial" w:eastAsia="Arial" w:hAnsi="Arial"/>
                <w:sz w:val="14"/>
                <w:szCs w:val="14"/>
                <w:b w:val="1"/>
                <w:bCs w:val="1"/>
                <w:color w:val="auto"/>
                <w:w w:val="89"/>
              </w:rPr>
              <w:t>2009</w:t>
            </w:r>
          </w:p>
        </w:tc>
        <w:tc>
          <w:tcPr>
            <w:tcW w:w="100" w:type="dxa"/>
            <w:vAlign w:val="bottom"/>
          </w:tcPr>
          <w:p>
            <w:pPr>
              <w:spacing w:after="0"/>
              <w:rPr>
                <w:sz w:val="14"/>
                <w:szCs w:val="14"/>
                <w:color w:val="auto"/>
              </w:rPr>
            </w:pPr>
          </w:p>
        </w:tc>
      </w:tr>
      <w:tr>
        <w:trPr>
          <w:trHeight w:val="210"/>
        </w:trPr>
        <w:tc>
          <w:tcPr>
            <w:tcW w:w="5320" w:type="dxa"/>
            <w:vAlign w:val="bottom"/>
            <w:shd w:val="clear" w:color="auto" w:fill="CCEEFF"/>
          </w:tcPr>
          <w:p>
            <w:pPr>
              <w:spacing w:after="0"/>
              <w:rPr>
                <w:sz w:val="20"/>
                <w:szCs w:val="20"/>
                <w:color w:val="auto"/>
              </w:rPr>
            </w:pPr>
            <w:r>
              <w:rPr>
                <w:rFonts w:ascii="Arial" w:cs="Arial" w:eastAsia="Arial" w:hAnsi="Arial"/>
                <w:sz w:val="18"/>
                <w:szCs w:val="18"/>
                <w:color w:val="auto"/>
              </w:rPr>
              <w:t>Earnings (loss) before interest and income taxes</w:t>
            </w:r>
          </w:p>
        </w:tc>
        <w:tc>
          <w:tcPr>
            <w:tcW w:w="20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2,484</w:t>
            </w:r>
          </w:p>
        </w:tc>
        <w:tc>
          <w:tcPr>
            <w:tcW w:w="680" w:type="dxa"/>
            <w:vAlign w:val="bottom"/>
            <w:tcBorders>
              <w:right w:val="single" w:sz="8" w:color="auto"/>
            </w:tcBorders>
            <w:shd w:val="clear" w:color="auto" w:fill="CCEEFF"/>
          </w:tcPr>
          <w:p>
            <w:pPr>
              <w:spacing w:after="0"/>
              <w:rPr>
                <w:sz w:val="18"/>
                <w:szCs w:val="18"/>
                <w:color w:val="auto"/>
              </w:rPr>
            </w:pPr>
          </w:p>
        </w:tc>
        <w:tc>
          <w:tcPr>
            <w:tcW w:w="1600" w:type="dxa"/>
            <w:vAlign w:val="bottom"/>
            <w:gridSpan w:val="3"/>
            <w:shd w:val="clear" w:color="auto" w:fill="CCEEFF"/>
          </w:tcPr>
          <w:p>
            <w:pPr>
              <w:jc w:val="right"/>
              <w:ind w:right="472"/>
              <w:spacing w:after="0"/>
              <w:rPr>
                <w:sz w:val="20"/>
                <w:szCs w:val="20"/>
                <w:color w:val="auto"/>
              </w:rPr>
            </w:pPr>
            <w:r>
              <w:rPr>
                <w:rFonts w:ascii="Arial" w:cs="Arial" w:eastAsia="Arial" w:hAnsi="Arial"/>
                <w:sz w:val="18"/>
                <w:szCs w:val="18"/>
                <w:color w:val="auto"/>
              </w:rPr>
              <w:t>$ (265)</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(964)</w:t>
            </w:r>
          </w:p>
        </w:tc>
      </w:tr>
    </w:tbl>
    <w:p>
      <w:pPr>
        <w:spacing w:after="0" w:line="154"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GM</w:t>
      </w:r>
    </w:p>
    <w:p>
      <w:pPr>
        <w:spacing w:after="0" w:line="171" w:lineRule="exact"/>
        <w:rPr>
          <w:sz w:val="20"/>
          <w:szCs w:val="20"/>
          <w:color w:val="auto"/>
        </w:rPr>
      </w:pPr>
    </w:p>
    <w:p>
      <w:pPr>
        <w:ind w:left="240"/>
        <w:spacing w:after="0"/>
        <w:rPr>
          <w:sz w:val="20"/>
          <w:szCs w:val="20"/>
          <w:color w:val="auto"/>
        </w:rPr>
      </w:pPr>
      <w:r>
        <w:rPr>
          <w:rFonts w:ascii="Arial" w:cs="Arial" w:eastAsia="Arial" w:hAnsi="Arial"/>
          <w:sz w:val="16"/>
          <w:szCs w:val="16"/>
          <w:color w:val="auto"/>
        </w:rPr>
        <w:t>In the nine months ended September 30, 2010 results reflected operating income of $1.5 billion on wholesale volume of 1.5 million vehicles and include:</w:t>
      </w:r>
    </w:p>
    <w:p>
      <w:pPr>
        <w:spacing w:after="0" w:line="38" w:lineRule="exact"/>
        <w:rPr>
          <w:sz w:val="20"/>
          <w:szCs w:val="20"/>
          <w:color w:val="auto"/>
        </w:rPr>
      </w:pPr>
    </w:p>
    <w:p>
      <w:pPr>
        <w:ind w:left="260" w:hanging="252"/>
        <w:spacing w:after="0"/>
        <w:tabs>
          <w:tab w:leader="none" w:pos="260" w:val="left"/>
        </w:tabs>
        <w:numPr>
          <w:ilvl w:val="0"/>
          <w:numId w:val="87"/>
        </w:numPr>
        <w:rPr>
          <w:rFonts w:ascii="Arial" w:cs="Arial" w:eastAsia="Arial" w:hAnsi="Arial"/>
          <w:sz w:val="16"/>
          <w:szCs w:val="16"/>
          <w:color w:val="auto"/>
        </w:rPr>
      </w:pPr>
      <w:r>
        <w:rPr>
          <w:rFonts w:ascii="Arial" w:cs="Arial" w:eastAsia="Arial" w:hAnsi="Arial"/>
          <w:sz w:val="16"/>
          <w:szCs w:val="16"/>
          <w:color w:val="auto"/>
        </w:rPr>
        <w:t>administrative expenses of $1.1 billion; (2) advertising and sales promotion expenses of $0.6 billion primarily to support media campaigns for our products;</w:t>
      </w:r>
    </w:p>
    <w:p>
      <w:pPr>
        <w:spacing w:after="0" w:line="32" w:lineRule="exact"/>
        <w:rPr>
          <w:rFonts w:ascii="Arial" w:cs="Arial" w:eastAsia="Arial" w:hAnsi="Arial"/>
          <w:sz w:val="16"/>
          <w:szCs w:val="16"/>
          <w:color w:val="auto"/>
        </w:rPr>
      </w:pPr>
    </w:p>
    <w:p>
      <w:pPr>
        <w:ind w:firstLine="8"/>
        <w:spacing w:after="0" w:line="295" w:lineRule="auto"/>
        <w:tabs>
          <w:tab w:leader="none" w:pos="249" w:val="left"/>
        </w:tabs>
        <w:numPr>
          <w:ilvl w:val="0"/>
          <w:numId w:val="88"/>
        </w:numPr>
        <w:rPr>
          <w:rFonts w:ascii="Arial" w:cs="Arial" w:eastAsia="Arial" w:hAnsi="Arial"/>
          <w:sz w:val="16"/>
          <w:szCs w:val="16"/>
          <w:color w:val="auto"/>
        </w:rPr>
      </w:pPr>
      <w:r>
        <w:rPr>
          <w:rFonts w:ascii="Arial" w:cs="Arial" w:eastAsia="Arial" w:hAnsi="Arial"/>
          <w:sz w:val="16"/>
          <w:szCs w:val="16"/>
          <w:color w:val="auto"/>
        </w:rPr>
        <w:t>selling and marketing expenses of $0.2 billion related to our dealerships; and (4) favorable foreign currency transaction gain, net of $0.1 billion primarily due to favorable foreign currency exchanges that were processed by CADIVI. EBIT also included: (1) Equity income, net of tax, of $1.1 billion from the operating results of our China joint ventures; (2) the noncontrolling interest attributable to minority shareholders of GM Daewoo of $0.2 billion; and (3) favorable change in fair value of $0.1 billion from derivatives driven by stronger Korean Won versus the U.S. Dollar.</w:t>
      </w:r>
    </w:p>
    <w:p>
      <w:pPr>
        <w:spacing w:after="0" w:line="115"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Old GM</w:t>
      </w:r>
    </w:p>
    <w:p>
      <w:pPr>
        <w:spacing w:after="0" w:line="171" w:lineRule="exact"/>
        <w:rPr>
          <w:sz w:val="20"/>
          <w:szCs w:val="20"/>
          <w:color w:val="auto"/>
        </w:rPr>
      </w:pPr>
    </w:p>
    <w:p>
      <w:pPr>
        <w:jc w:val="both"/>
        <w:ind w:right="360" w:firstLine="228"/>
        <w:spacing w:after="0" w:line="306" w:lineRule="auto"/>
        <w:rPr>
          <w:sz w:val="20"/>
          <w:szCs w:val="20"/>
          <w:color w:val="auto"/>
        </w:rPr>
      </w:pPr>
      <w:r>
        <w:rPr>
          <w:rFonts w:ascii="Arial" w:cs="Arial" w:eastAsia="Arial" w:hAnsi="Arial"/>
          <w:sz w:val="16"/>
          <w:szCs w:val="16"/>
          <w:color w:val="auto"/>
        </w:rPr>
        <w:t>In the period January 1, 2009 through July 9, 2009 results included: (1) loss on derivative instruments of $0.8 billion at GM Daewoo, (2) foreign currency transaction loss of $0.5 billion primarily due to foreign currency exchanges that were processed outside the CADIVI process in Venezuela, partially offset by (3) favorable equity income, net of tax of $0.3 billion from the operating results of our China joint ventures.</w:t>
      </w:r>
    </w:p>
    <w:p>
      <w:pPr>
        <w:spacing w:after="0" w:line="107"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GM Europe</w:t>
      </w:r>
    </w:p>
    <w:p>
      <w:pPr>
        <w:spacing w:after="0" w:line="15"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(Dollars in millions)</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8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520" w:type="dxa"/>
            <w:vAlign w:val="bottom"/>
            <w:gridSpan w:val="2"/>
          </w:tcPr>
          <w:p>
            <w:pPr>
              <w:jc w:val="center"/>
              <w:ind w:right="680"/>
              <w:spacing w:after="0"/>
              <w:rPr>
                <w:sz w:val="20"/>
                <w:szCs w:val="20"/>
                <w:color w:val="auto"/>
              </w:rPr>
            </w:pPr>
            <w:r>
              <w:rPr>
                <w:rFonts w:ascii="Arial" w:cs="Arial" w:eastAsia="Arial" w:hAnsi="Arial"/>
                <w:sz w:val="14"/>
                <w:szCs w:val="14"/>
                <w:b w:val="1"/>
                <w:bCs w:val="1"/>
                <w:color w:val="auto"/>
                <w:w w:val="79"/>
              </w:rPr>
              <w:t>Successor</w:t>
            </w:r>
          </w:p>
        </w:tc>
        <w:tc>
          <w:tcPr>
            <w:tcW w:w="1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620" w:type="dxa"/>
            <w:vAlign w:val="bottom"/>
            <w:tcBorders>
              <w:right w:val="single" w:sz="8" w:color="auto"/>
            </w:tcBorders>
          </w:tcPr>
          <w:p>
            <w:pPr>
              <w:spacing w:after="0"/>
              <w:rPr>
                <w:sz w:val="14"/>
                <w:szCs w:val="14"/>
                <w:color w:val="auto"/>
              </w:rPr>
            </w:pPr>
          </w:p>
        </w:tc>
        <w:tc>
          <w:tcPr>
            <w:tcW w:w="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00" w:type="dxa"/>
            <w:vAlign w:val="bottom"/>
            <w:gridSpan w:val="5"/>
          </w:tcPr>
          <w:p>
            <w:pPr>
              <w:jc w:val="right"/>
              <w:ind w:right="620"/>
              <w:spacing w:after="0"/>
              <w:rPr>
                <w:sz w:val="20"/>
                <w:szCs w:val="20"/>
                <w:color w:val="auto"/>
              </w:rPr>
            </w:pPr>
            <w:r>
              <w:rPr>
                <w:rFonts w:ascii="Arial" w:cs="Arial" w:eastAsia="Arial" w:hAnsi="Arial"/>
                <w:sz w:val="14"/>
                <w:szCs w:val="14"/>
                <w:b w:val="1"/>
                <w:bCs w:val="1"/>
                <w:color w:val="auto"/>
              </w:rPr>
              <w:t>Predecessor</w:t>
            </w:r>
          </w:p>
        </w:tc>
      </w:tr>
      <w:tr>
        <w:trPr>
          <w:trHeight w:val="129"/>
        </w:trPr>
        <w:tc>
          <w:tcPr>
            <w:tcW w:w="38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1000" w:type="dxa"/>
            <w:vAlign w:val="bottom"/>
            <w:tcBorders>
              <w:top w:val="single" w:sz="8" w:color="auto"/>
            </w:tcBorders>
          </w:tcPr>
          <w:p>
            <w:pPr>
              <w:spacing w:after="0"/>
              <w:rPr>
                <w:sz w:val="11"/>
                <w:szCs w:val="11"/>
                <w:color w:val="auto"/>
              </w:rPr>
            </w:pPr>
          </w:p>
        </w:tc>
        <w:tc>
          <w:tcPr>
            <w:tcW w:w="200" w:type="dxa"/>
            <w:vAlign w:val="bottom"/>
            <w:tcBorders>
              <w:top w:val="single" w:sz="8" w:color="auto"/>
            </w:tcBorders>
          </w:tcPr>
          <w:p>
            <w:pPr>
              <w:spacing w:after="0"/>
              <w:rPr>
                <w:sz w:val="11"/>
                <w:szCs w:val="11"/>
                <w:color w:val="auto"/>
              </w:rPr>
            </w:pPr>
          </w:p>
        </w:tc>
        <w:tc>
          <w:tcPr>
            <w:tcW w:w="340" w:type="dxa"/>
            <w:vAlign w:val="bottom"/>
            <w:tcBorders>
              <w:top w:val="single" w:sz="8" w:color="auto"/>
            </w:tcBorders>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980" w:type="dxa"/>
            <w:vAlign w:val="bottom"/>
            <w:tcBorders>
              <w:top w:val="single" w:sz="8" w:color="auto"/>
            </w:tcBorders>
          </w:tcPr>
          <w:p>
            <w:pPr>
              <w:spacing w:after="0"/>
              <w:rPr>
                <w:sz w:val="11"/>
                <w:szCs w:val="11"/>
                <w:color w:val="auto"/>
              </w:rPr>
            </w:pPr>
          </w:p>
        </w:tc>
        <w:tc>
          <w:tcPr>
            <w:tcW w:w="540" w:type="dxa"/>
            <w:vAlign w:val="bottom"/>
            <w:tcBorders>
              <w:top w:val="single" w:sz="8" w:color="auto"/>
            </w:tcBorders>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1000" w:type="dxa"/>
            <w:vAlign w:val="bottom"/>
            <w:tcBorders>
              <w:top w:val="single" w:sz="8" w:color="auto"/>
            </w:tcBorders>
          </w:tcPr>
          <w:p>
            <w:pPr>
              <w:spacing w:after="0"/>
              <w:rPr>
                <w:sz w:val="11"/>
                <w:szCs w:val="11"/>
                <w:color w:val="auto"/>
              </w:rPr>
            </w:pPr>
          </w:p>
        </w:tc>
        <w:tc>
          <w:tcPr>
            <w:tcW w:w="620" w:type="dxa"/>
            <w:vAlign w:val="bottom"/>
            <w:tcBorders>
              <w:right w:val="single" w:sz="8" w:color="auto"/>
            </w:tcBorders>
          </w:tcPr>
          <w:p>
            <w:pPr>
              <w:spacing w:after="0"/>
              <w:rPr>
                <w:sz w:val="11"/>
                <w:szCs w:val="11"/>
                <w:color w:val="auto"/>
              </w:rPr>
            </w:pPr>
          </w:p>
        </w:tc>
        <w:tc>
          <w:tcPr>
            <w:tcW w:w="420" w:type="dxa"/>
            <w:vAlign w:val="bottom"/>
          </w:tcPr>
          <w:p>
            <w:pPr>
              <w:spacing w:after="0"/>
              <w:rPr>
                <w:sz w:val="11"/>
                <w:szCs w:val="11"/>
                <w:color w:val="auto"/>
              </w:rPr>
            </w:pPr>
          </w:p>
        </w:tc>
        <w:tc>
          <w:tcPr>
            <w:tcW w:w="1040" w:type="dxa"/>
            <w:vAlign w:val="bottom"/>
            <w:tcBorders>
              <w:top w:val="single" w:sz="8" w:color="auto"/>
            </w:tcBorders>
            <w:gridSpan w:val="3"/>
          </w:tcPr>
          <w:p>
            <w:pPr>
              <w:jc w:val="center"/>
              <w:ind w:right="580"/>
              <w:spacing w:after="0" w:line="129" w:lineRule="exact"/>
              <w:rPr>
                <w:sz w:val="20"/>
                <w:szCs w:val="20"/>
                <w:color w:val="auto"/>
              </w:rPr>
            </w:pPr>
            <w:r>
              <w:rPr>
                <w:rFonts w:ascii="Arial" w:cs="Arial" w:eastAsia="Arial" w:hAnsi="Arial"/>
                <w:sz w:val="14"/>
                <w:szCs w:val="14"/>
                <w:b w:val="1"/>
                <w:bCs w:val="1"/>
                <w:color w:val="auto"/>
                <w:w w:val="87"/>
              </w:rPr>
              <w:t>July 1,</w:t>
            </w:r>
          </w:p>
        </w:tc>
        <w:tc>
          <w:tcPr>
            <w:tcW w:w="660" w:type="dxa"/>
            <w:vAlign w:val="bottom"/>
            <w:tcBorders>
              <w:top w:val="single" w:sz="8" w:color="auto"/>
            </w:tcBorders>
            <w:gridSpan w:val="2"/>
          </w:tcPr>
          <w:p>
            <w:pPr>
              <w:jc w:val="center"/>
              <w:spacing w:after="0" w:line="129" w:lineRule="exact"/>
              <w:rPr>
                <w:sz w:val="20"/>
                <w:szCs w:val="20"/>
                <w:color w:val="auto"/>
              </w:rPr>
            </w:pPr>
            <w:r>
              <w:rPr>
                <w:rFonts w:ascii="Arial" w:cs="Arial" w:eastAsia="Arial" w:hAnsi="Arial"/>
                <w:sz w:val="14"/>
                <w:szCs w:val="14"/>
                <w:b w:val="1"/>
                <w:bCs w:val="1"/>
                <w:color w:val="auto"/>
                <w:w w:val="89"/>
              </w:rPr>
              <w:t>January 1,</w:t>
            </w:r>
          </w:p>
        </w:tc>
        <w:tc>
          <w:tcPr>
            <w:tcW w:w="100" w:type="dxa"/>
            <w:vAlign w:val="bottom"/>
          </w:tcPr>
          <w:p>
            <w:pPr>
              <w:spacing w:after="0"/>
              <w:rPr>
                <w:sz w:val="11"/>
                <w:szCs w:val="11"/>
                <w:color w:val="auto"/>
              </w:rPr>
            </w:pPr>
          </w:p>
        </w:tc>
      </w:tr>
      <w:tr>
        <w:trPr>
          <w:trHeight w:val="149"/>
        </w:trPr>
        <w:tc>
          <w:tcPr>
            <w:tcW w:w="38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620" w:type="dxa"/>
            <w:vAlign w:val="bottom"/>
            <w:tcBorders>
              <w:right w:val="single" w:sz="8" w:color="auto"/>
            </w:tcBorders>
          </w:tcPr>
          <w:p>
            <w:pPr>
              <w:spacing w:after="0"/>
              <w:rPr>
                <w:sz w:val="12"/>
                <w:szCs w:val="12"/>
                <w:color w:val="auto"/>
              </w:rPr>
            </w:pPr>
          </w:p>
        </w:tc>
        <w:tc>
          <w:tcPr>
            <w:tcW w:w="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tcPr>
          <w:p>
            <w:pPr>
              <w:jc w:val="center"/>
              <w:ind w:right="24"/>
              <w:spacing w:after="0" w:line="149" w:lineRule="exact"/>
              <w:rPr>
                <w:sz w:val="20"/>
                <w:szCs w:val="20"/>
                <w:color w:val="auto"/>
              </w:rPr>
            </w:pPr>
            <w:r>
              <w:rPr>
                <w:rFonts w:ascii="Arial" w:cs="Arial" w:eastAsia="Arial" w:hAnsi="Arial"/>
                <w:sz w:val="14"/>
                <w:szCs w:val="14"/>
                <w:b w:val="1"/>
                <w:bCs w:val="1"/>
                <w:color w:val="auto"/>
                <w:w w:val="83"/>
              </w:rPr>
              <w:t>2009</w:t>
            </w: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jc w:val="center"/>
              <w:ind w:right="44"/>
              <w:spacing w:after="0" w:line="149" w:lineRule="exact"/>
              <w:rPr>
                <w:sz w:val="20"/>
                <w:szCs w:val="20"/>
                <w:color w:val="auto"/>
              </w:rPr>
            </w:pPr>
            <w:r>
              <w:rPr>
                <w:rFonts w:ascii="Arial" w:cs="Arial" w:eastAsia="Arial" w:hAnsi="Arial"/>
                <w:sz w:val="14"/>
                <w:szCs w:val="14"/>
                <w:b w:val="1"/>
                <w:bCs w:val="1"/>
                <w:color w:val="auto"/>
                <w:w w:val="89"/>
              </w:rPr>
              <w:t>2009</w:t>
            </w:r>
          </w:p>
        </w:tc>
        <w:tc>
          <w:tcPr>
            <w:tcW w:w="100" w:type="dxa"/>
            <w:vAlign w:val="bottom"/>
          </w:tcPr>
          <w:p>
            <w:pPr>
              <w:spacing w:after="0"/>
              <w:rPr>
                <w:sz w:val="12"/>
                <w:szCs w:val="12"/>
                <w:color w:val="auto"/>
              </w:rPr>
            </w:pPr>
          </w:p>
        </w:tc>
      </w:tr>
      <w:tr>
        <w:trPr>
          <w:trHeight w:val="149"/>
        </w:trPr>
        <w:tc>
          <w:tcPr>
            <w:tcW w:w="38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89"/>
              </w:rPr>
              <w:t>Three Months</w:t>
            </w:r>
          </w:p>
        </w:tc>
        <w:tc>
          <w:tcPr>
            <w:tcW w:w="3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520" w:type="dxa"/>
            <w:vAlign w:val="bottom"/>
            <w:gridSpan w:val="2"/>
          </w:tcPr>
          <w:p>
            <w:pPr>
              <w:jc w:val="center"/>
              <w:ind w:right="680"/>
              <w:spacing w:after="0" w:line="149" w:lineRule="exact"/>
              <w:rPr>
                <w:sz w:val="20"/>
                <w:szCs w:val="20"/>
                <w:color w:val="auto"/>
              </w:rPr>
            </w:pPr>
            <w:r>
              <w:rPr>
                <w:rFonts w:ascii="Arial" w:cs="Arial" w:eastAsia="Arial" w:hAnsi="Arial"/>
                <w:sz w:val="14"/>
                <w:szCs w:val="14"/>
                <w:b w:val="1"/>
                <w:bCs w:val="1"/>
                <w:color w:val="auto"/>
                <w:w w:val="90"/>
              </w:rPr>
              <w:t>Nine Months</w:t>
            </w:r>
          </w:p>
        </w:tc>
        <w:tc>
          <w:tcPr>
            <w:tcW w:w="140" w:type="dxa"/>
            <w:vAlign w:val="bottom"/>
          </w:tcPr>
          <w:p>
            <w:pPr>
              <w:spacing w:after="0"/>
              <w:rPr>
                <w:sz w:val="12"/>
                <w:szCs w:val="12"/>
                <w:color w:val="auto"/>
              </w:rPr>
            </w:pPr>
          </w:p>
        </w:tc>
        <w:tc>
          <w:tcPr>
            <w:tcW w:w="1620" w:type="dxa"/>
            <w:vAlign w:val="bottom"/>
            <w:tcBorders>
              <w:right w:val="single" w:sz="8" w:color="auto"/>
            </w:tcBorders>
            <w:gridSpan w:val="2"/>
          </w:tcPr>
          <w:p>
            <w:pPr>
              <w:jc w:val="right"/>
              <w:ind w:right="820"/>
              <w:spacing w:after="0" w:line="149" w:lineRule="exact"/>
              <w:rPr>
                <w:sz w:val="20"/>
                <w:szCs w:val="20"/>
                <w:color w:val="auto"/>
              </w:rPr>
            </w:pPr>
            <w:r>
              <w:rPr>
                <w:rFonts w:ascii="Arial" w:cs="Arial" w:eastAsia="Arial" w:hAnsi="Arial"/>
                <w:sz w:val="14"/>
                <w:szCs w:val="14"/>
                <w:b w:val="1"/>
                <w:bCs w:val="1"/>
                <w:color w:val="auto"/>
                <w:w w:val="90"/>
              </w:rPr>
              <w:t>July 10, 2009</w:t>
            </w:r>
          </w:p>
        </w:tc>
        <w:tc>
          <w:tcPr>
            <w:tcW w:w="420" w:type="dxa"/>
            <w:vAlign w:val="bottom"/>
          </w:tcPr>
          <w:p>
            <w:pPr>
              <w:spacing w:after="0"/>
              <w:rPr>
                <w:sz w:val="12"/>
                <w:szCs w:val="12"/>
                <w:color w:val="auto"/>
              </w:rPr>
            </w:pPr>
          </w:p>
        </w:tc>
        <w:tc>
          <w:tcPr>
            <w:tcW w:w="1040" w:type="dxa"/>
            <w:vAlign w:val="bottom"/>
            <w:gridSpan w:val="3"/>
          </w:tcPr>
          <w:p>
            <w:pPr>
              <w:jc w:val="center"/>
              <w:ind w:right="540"/>
              <w:spacing w:after="0" w:line="149" w:lineRule="exact"/>
              <w:rPr>
                <w:sz w:val="20"/>
                <w:szCs w:val="20"/>
                <w:color w:val="auto"/>
              </w:rPr>
            </w:pPr>
            <w:r>
              <w:rPr>
                <w:rFonts w:ascii="Arial" w:cs="Arial" w:eastAsia="Arial" w:hAnsi="Arial"/>
                <w:sz w:val="14"/>
                <w:szCs w:val="14"/>
                <w:b w:val="1"/>
                <w:bCs w:val="1"/>
                <w:color w:val="auto"/>
                <w:w w:val="87"/>
              </w:rPr>
              <w:t>Through</w:t>
            </w:r>
          </w:p>
        </w:tc>
        <w:tc>
          <w:tcPr>
            <w:tcW w:w="760" w:type="dxa"/>
            <w:vAlign w:val="bottom"/>
            <w:gridSpan w:val="3"/>
          </w:tcPr>
          <w:p>
            <w:pPr>
              <w:jc w:val="center"/>
              <w:ind w:right="120"/>
              <w:spacing w:after="0" w:line="149" w:lineRule="exact"/>
              <w:rPr>
                <w:sz w:val="20"/>
                <w:szCs w:val="20"/>
                <w:color w:val="auto"/>
              </w:rPr>
            </w:pPr>
            <w:r>
              <w:rPr>
                <w:rFonts w:ascii="Arial" w:cs="Arial" w:eastAsia="Arial" w:hAnsi="Arial"/>
                <w:sz w:val="14"/>
                <w:szCs w:val="14"/>
                <w:b w:val="1"/>
                <w:bCs w:val="1"/>
                <w:color w:val="auto"/>
                <w:w w:val="91"/>
              </w:rPr>
              <w:t>Through</w:t>
            </w:r>
          </w:p>
        </w:tc>
      </w:tr>
      <w:tr>
        <w:trPr>
          <w:trHeight w:val="149"/>
        </w:trPr>
        <w:tc>
          <w:tcPr>
            <w:tcW w:w="38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84"/>
              </w:rPr>
              <w:t>Ended</w:t>
            </w:r>
          </w:p>
        </w:tc>
        <w:tc>
          <w:tcPr>
            <w:tcW w:w="3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520" w:type="dxa"/>
            <w:vAlign w:val="bottom"/>
            <w:gridSpan w:val="2"/>
          </w:tcPr>
          <w:p>
            <w:pPr>
              <w:jc w:val="center"/>
              <w:ind w:right="680"/>
              <w:spacing w:after="0" w:line="149" w:lineRule="exact"/>
              <w:rPr>
                <w:sz w:val="20"/>
                <w:szCs w:val="20"/>
                <w:color w:val="auto"/>
              </w:rPr>
            </w:pPr>
            <w:r>
              <w:rPr>
                <w:rFonts w:ascii="Arial" w:cs="Arial" w:eastAsia="Arial" w:hAnsi="Arial"/>
                <w:sz w:val="14"/>
                <w:szCs w:val="14"/>
                <w:b w:val="1"/>
                <w:bCs w:val="1"/>
                <w:color w:val="auto"/>
                <w:w w:val="84"/>
              </w:rPr>
              <w:t>Ended</w:t>
            </w:r>
          </w:p>
        </w:tc>
        <w:tc>
          <w:tcPr>
            <w:tcW w:w="140" w:type="dxa"/>
            <w:vAlign w:val="bottom"/>
          </w:tcPr>
          <w:p>
            <w:pPr>
              <w:spacing w:after="0"/>
              <w:rPr>
                <w:sz w:val="12"/>
                <w:szCs w:val="12"/>
                <w:color w:val="auto"/>
              </w:rPr>
            </w:pPr>
          </w:p>
        </w:tc>
        <w:tc>
          <w:tcPr>
            <w:tcW w:w="1620" w:type="dxa"/>
            <w:vAlign w:val="bottom"/>
            <w:tcBorders>
              <w:right w:val="single" w:sz="8" w:color="auto"/>
            </w:tcBorders>
            <w:gridSpan w:val="2"/>
          </w:tcPr>
          <w:p>
            <w:pPr>
              <w:jc w:val="right"/>
              <w:ind w:right="940"/>
              <w:spacing w:after="0" w:line="149" w:lineRule="exact"/>
              <w:rPr>
                <w:sz w:val="20"/>
                <w:szCs w:val="20"/>
                <w:color w:val="auto"/>
              </w:rPr>
            </w:pPr>
            <w:r>
              <w:rPr>
                <w:rFonts w:ascii="Arial" w:cs="Arial" w:eastAsia="Arial" w:hAnsi="Arial"/>
                <w:sz w:val="14"/>
                <w:szCs w:val="14"/>
                <w:b w:val="1"/>
                <w:bCs w:val="1"/>
                <w:color w:val="auto"/>
              </w:rPr>
              <w:t>Through</w:t>
            </w:r>
          </w:p>
        </w:tc>
        <w:tc>
          <w:tcPr>
            <w:tcW w:w="420" w:type="dxa"/>
            <w:vAlign w:val="bottom"/>
          </w:tcPr>
          <w:p>
            <w:pPr>
              <w:spacing w:after="0"/>
              <w:rPr>
                <w:sz w:val="12"/>
                <w:szCs w:val="12"/>
                <w:color w:val="auto"/>
              </w:rPr>
            </w:pPr>
          </w:p>
        </w:tc>
        <w:tc>
          <w:tcPr>
            <w:tcW w:w="1040" w:type="dxa"/>
            <w:vAlign w:val="bottom"/>
            <w:gridSpan w:val="3"/>
          </w:tcPr>
          <w:p>
            <w:pPr>
              <w:jc w:val="center"/>
              <w:ind w:right="540"/>
              <w:spacing w:after="0" w:line="149" w:lineRule="exact"/>
              <w:rPr>
                <w:sz w:val="20"/>
                <w:szCs w:val="20"/>
                <w:color w:val="auto"/>
              </w:rPr>
            </w:pPr>
            <w:r>
              <w:rPr>
                <w:rFonts w:ascii="Arial" w:cs="Arial" w:eastAsia="Arial" w:hAnsi="Arial"/>
                <w:sz w:val="14"/>
                <w:szCs w:val="14"/>
                <w:b w:val="1"/>
                <w:bCs w:val="1"/>
                <w:color w:val="auto"/>
                <w:w w:val="87"/>
              </w:rPr>
              <w:t>July 9,</w:t>
            </w:r>
          </w:p>
        </w:tc>
        <w:tc>
          <w:tcPr>
            <w:tcW w:w="100" w:type="dxa"/>
            <w:vAlign w:val="bottom"/>
          </w:tcPr>
          <w:p>
            <w:pPr>
              <w:spacing w:after="0"/>
              <w:rPr>
                <w:sz w:val="12"/>
                <w:szCs w:val="12"/>
                <w:color w:val="auto"/>
              </w:rPr>
            </w:pPr>
          </w:p>
        </w:tc>
        <w:tc>
          <w:tcPr>
            <w:tcW w:w="66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1"/>
              </w:rPr>
              <w:t>July 9,</w:t>
            </w:r>
          </w:p>
        </w:tc>
      </w:tr>
      <w:tr>
        <w:trPr>
          <w:trHeight w:val="161"/>
        </w:trPr>
        <w:tc>
          <w:tcPr>
            <w:tcW w:w="38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320" w:type="dxa"/>
            <w:vAlign w:val="bottom"/>
            <w:gridSpan w:val="3"/>
          </w:tcPr>
          <w:p>
            <w:pPr>
              <w:spacing w:after="0"/>
              <w:rPr>
                <w:sz w:val="20"/>
                <w:szCs w:val="20"/>
                <w:color w:val="auto"/>
              </w:rPr>
            </w:pPr>
            <w:r>
              <w:rPr>
                <w:rFonts w:ascii="Arial" w:cs="Arial" w:eastAsia="Arial" w:hAnsi="Arial"/>
                <w:sz w:val="14"/>
                <w:szCs w:val="14"/>
                <w:b w:val="1"/>
                <w:bCs w:val="1"/>
                <w:color w:val="auto"/>
                <w:w w:val="99"/>
              </w:rPr>
              <w:t>September 30, 2010</w:t>
            </w:r>
          </w:p>
        </w:tc>
        <w:tc>
          <w:tcPr>
            <w:tcW w:w="340" w:type="dxa"/>
            <w:vAlign w:val="bottom"/>
          </w:tcPr>
          <w:p>
            <w:pPr>
              <w:spacing w:after="0"/>
              <w:rPr>
                <w:sz w:val="14"/>
                <w:szCs w:val="14"/>
                <w:color w:val="auto"/>
              </w:rPr>
            </w:pPr>
          </w:p>
        </w:tc>
        <w:tc>
          <w:tcPr>
            <w:tcW w:w="1660" w:type="dxa"/>
            <w:vAlign w:val="bottom"/>
            <w:gridSpan w:val="3"/>
          </w:tcPr>
          <w:p>
            <w:pPr>
              <w:jc w:val="center"/>
              <w:ind w:right="540"/>
              <w:spacing w:after="0"/>
              <w:rPr>
                <w:sz w:val="20"/>
                <w:szCs w:val="20"/>
                <w:color w:val="auto"/>
              </w:rPr>
            </w:pPr>
            <w:r>
              <w:rPr>
                <w:rFonts w:ascii="Arial" w:cs="Arial" w:eastAsia="Arial" w:hAnsi="Arial"/>
                <w:sz w:val="14"/>
                <w:szCs w:val="14"/>
                <w:b w:val="1"/>
                <w:bCs w:val="1"/>
                <w:color w:val="auto"/>
                <w:w w:val="85"/>
              </w:rPr>
              <w:t>September 30, 2010</w:t>
            </w:r>
          </w:p>
        </w:tc>
        <w:tc>
          <w:tcPr>
            <w:tcW w:w="1760" w:type="dxa"/>
            <w:vAlign w:val="bottom"/>
            <w:tcBorders>
              <w:right w:val="single" w:sz="8" w:color="auto"/>
            </w:tcBorders>
            <w:gridSpan w:val="3"/>
          </w:tcPr>
          <w:p>
            <w:pPr>
              <w:spacing w:after="0"/>
              <w:rPr>
                <w:sz w:val="20"/>
                <w:szCs w:val="20"/>
                <w:color w:val="auto"/>
              </w:rPr>
            </w:pPr>
            <w:r>
              <w:rPr>
                <w:rFonts w:ascii="Arial" w:cs="Arial" w:eastAsia="Arial" w:hAnsi="Arial"/>
                <w:sz w:val="14"/>
                <w:szCs w:val="14"/>
                <w:b w:val="1"/>
                <w:bCs w:val="1"/>
                <w:color w:val="auto"/>
              </w:rPr>
              <w:t>September 30, 2009</w:t>
            </w:r>
          </w:p>
        </w:tc>
        <w:tc>
          <w:tcPr>
            <w:tcW w:w="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0" w:type="dxa"/>
            <w:vAlign w:val="bottom"/>
          </w:tcPr>
          <w:p>
            <w:pPr>
              <w:jc w:val="center"/>
              <w:ind w:right="24"/>
              <w:spacing w:after="0"/>
              <w:rPr>
                <w:sz w:val="20"/>
                <w:szCs w:val="20"/>
                <w:color w:val="auto"/>
              </w:rPr>
            </w:pPr>
            <w:r>
              <w:rPr>
                <w:rFonts w:ascii="Arial" w:cs="Arial" w:eastAsia="Arial" w:hAnsi="Arial"/>
                <w:sz w:val="14"/>
                <w:szCs w:val="14"/>
                <w:b w:val="1"/>
                <w:bCs w:val="1"/>
                <w:color w:val="auto"/>
                <w:w w:val="83"/>
              </w:rPr>
              <w:t>2009</w:t>
            </w:r>
          </w:p>
        </w:tc>
        <w:tc>
          <w:tcPr>
            <w:tcW w:w="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jc w:val="center"/>
              <w:ind w:right="44"/>
              <w:spacing w:after="0"/>
              <w:rPr>
                <w:sz w:val="20"/>
                <w:szCs w:val="20"/>
                <w:color w:val="auto"/>
              </w:rPr>
            </w:pPr>
            <w:r>
              <w:rPr>
                <w:rFonts w:ascii="Arial" w:cs="Arial" w:eastAsia="Arial" w:hAnsi="Arial"/>
                <w:sz w:val="14"/>
                <w:szCs w:val="14"/>
                <w:b w:val="1"/>
                <w:bCs w:val="1"/>
                <w:color w:val="auto"/>
                <w:w w:val="89"/>
              </w:rPr>
              <w:t>2009</w:t>
            </w:r>
          </w:p>
        </w:tc>
        <w:tc>
          <w:tcPr>
            <w:tcW w:w="100" w:type="dxa"/>
            <w:vAlign w:val="bottom"/>
          </w:tcPr>
          <w:p>
            <w:pPr>
              <w:spacing w:after="0"/>
              <w:rPr>
                <w:sz w:val="14"/>
                <w:szCs w:val="14"/>
                <w:color w:val="auto"/>
              </w:rPr>
            </w:pPr>
          </w:p>
        </w:tc>
      </w:tr>
      <w:tr>
        <w:trPr>
          <w:trHeight w:val="20"/>
        </w:trPr>
        <w:tc>
          <w:tcPr>
            <w:tcW w:w="38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620" w:type="dxa"/>
            <w:vAlign w:val="bottom"/>
            <w:tcBorders>
              <w:right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38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net sales and revenue</w:t>
            </w:r>
          </w:p>
        </w:tc>
        <w:tc>
          <w:tcPr>
            <w:tcW w:w="40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w w:val="9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5,657</w:t>
            </w:r>
          </w:p>
        </w:tc>
        <w:tc>
          <w:tcPr>
            <w:tcW w:w="20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17,162</w:t>
            </w:r>
          </w:p>
        </w:tc>
        <w:tc>
          <w:tcPr>
            <w:tcW w:w="5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620" w:type="dxa"/>
            <w:vAlign w:val="bottom"/>
            <w:tcBorders>
              <w:right w:val="single" w:sz="8" w:color="auto"/>
            </w:tcBorders>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5,238</w:t>
            </w: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606</w:t>
            </w: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8"/>
              </w:rPr>
              <w:t>12,552</w:t>
            </w:r>
          </w:p>
        </w:tc>
      </w:tr>
      <w:tr>
        <w:trPr>
          <w:trHeight w:val="216"/>
        </w:trPr>
        <w:tc>
          <w:tcPr>
            <w:tcW w:w="3840" w:type="dxa"/>
            <w:vAlign w:val="bottom"/>
          </w:tcPr>
          <w:p>
            <w:pPr>
              <w:spacing w:after="0"/>
              <w:rPr>
                <w:sz w:val="20"/>
                <w:szCs w:val="20"/>
                <w:color w:val="auto"/>
              </w:rPr>
            </w:pPr>
            <w:r>
              <w:rPr>
                <w:rFonts w:ascii="Arial" w:cs="Arial" w:eastAsia="Arial" w:hAnsi="Arial"/>
                <w:sz w:val="18"/>
                <w:szCs w:val="18"/>
                <w:b w:val="1"/>
                <w:bCs w:val="1"/>
                <w:color w:val="auto"/>
                <w:w w:val="91"/>
              </w:rPr>
              <w:t>Earnings (loss) before interest and income taxes</w:t>
            </w:r>
          </w:p>
        </w:tc>
        <w:tc>
          <w:tcPr>
            <w:tcW w:w="400" w:type="dxa"/>
            <w:vAlign w:val="bottom"/>
            <w:gridSpan w:val="2"/>
          </w:tcPr>
          <w:p>
            <w:pPr>
              <w:ind w:left="280"/>
              <w:spacing w:after="0"/>
              <w:rPr>
                <w:sz w:val="20"/>
                <w:szCs w:val="20"/>
                <w:color w:val="auto"/>
              </w:rPr>
            </w:pPr>
            <w:r>
              <w:rPr>
                <w:rFonts w:ascii="Arial" w:cs="Arial" w:eastAsia="Arial" w:hAnsi="Arial"/>
                <w:sz w:val="18"/>
                <w:szCs w:val="18"/>
                <w:color w:val="auto"/>
                <w:w w:val="99"/>
              </w:rPr>
              <w:t>$</w:t>
            </w:r>
          </w:p>
        </w:tc>
        <w:tc>
          <w:tcPr>
            <w:tcW w:w="1200" w:type="dxa"/>
            <w:vAlign w:val="bottom"/>
            <w:gridSpan w:val="2"/>
          </w:tcPr>
          <w:p>
            <w:pPr>
              <w:jc w:val="right"/>
              <w:ind w:right="140"/>
              <w:spacing w:after="0"/>
              <w:rPr>
                <w:sz w:val="20"/>
                <w:szCs w:val="20"/>
                <w:color w:val="auto"/>
              </w:rPr>
            </w:pPr>
            <w:r>
              <w:rPr>
                <w:rFonts w:ascii="Arial" w:cs="Arial" w:eastAsia="Arial" w:hAnsi="Arial"/>
                <w:sz w:val="18"/>
                <w:szCs w:val="18"/>
                <w:color w:val="auto"/>
              </w:rPr>
              <w:t>(559)</w:t>
            </w:r>
          </w:p>
        </w:tc>
        <w:tc>
          <w:tcPr>
            <w:tcW w:w="4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520" w:type="dxa"/>
            <w:vAlign w:val="bottom"/>
            <w:gridSpan w:val="2"/>
          </w:tcPr>
          <w:p>
            <w:pPr>
              <w:jc w:val="right"/>
              <w:ind w:right="480"/>
              <w:spacing w:after="0"/>
              <w:rPr>
                <w:sz w:val="20"/>
                <w:szCs w:val="20"/>
                <w:color w:val="auto"/>
              </w:rPr>
            </w:pPr>
            <w:r>
              <w:rPr>
                <w:rFonts w:ascii="Arial" w:cs="Arial" w:eastAsia="Arial" w:hAnsi="Arial"/>
                <w:sz w:val="18"/>
                <w:szCs w:val="18"/>
                <w:color w:val="auto"/>
              </w:rPr>
              <w:t>(1,196)</w:t>
            </w: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1620" w:type="dxa"/>
            <w:vAlign w:val="bottom"/>
            <w:tcBorders>
              <w:right w:val="single" w:sz="8" w:color="auto"/>
            </w:tcBorders>
            <w:gridSpan w:val="2"/>
          </w:tcPr>
          <w:p>
            <w:pPr>
              <w:jc w:val="right"/>
              <w:ind w:right="580"/>
              <w:spacing w:after="0"/>
              <w:rPr>
                <w:sz w:val="20"/>
                <w:szCs w:val="20"/>
                <w:color w:val="auto"/>
              </w:rPr>
            </w:pPr>
            <w:r>
              <w:rPr>
                <w:rFonts w:ascii="Arial" w:cs="Arial" w:eastAsia="Arial" w:hAnsi="Arial"/>
                <w:sz w:val="18"/>
                <w:szCs w:val="18"/>
                <w:color w:val="auto"/>
              </w:rPr>
              <w:t>(15)</w:t>
            </w:r>
          </w:p>
        </w:tc>
        <w:tc>
          <w:tcPr>
            <w:tcW w:w="5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480"/>
              <w:spacing w:after="0"/>
              <w:rPr>
                <w:sz w:val="20"/>
                <w:szCs w:val="20"/>
                <w:color w:val="auto"/>
              </w:rPr>
            </w:pPr>
            <w:r>
              <w:rPr>
                <w:rFonts w:ascii="Arial" w:cs="Arial" w:eastAsia="Arial" w:hAnsi="Arial"/>
                <w:sz w:val="18"/>
                <w:szCs w:val="18"/>
                <w:color w:val="auto"/>
              </w:rPr>
              <w:t>(104)</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gridSpan w:val="2"/>
          </w:tcPr>
          <w:p>
            <w:pPr>
              <w:jc w:val="right"/>
              <w:ind w:right="40"/>
              <w:spacing w:after="0"/>
              <w:rPr>
                <w:sz w:val="20"/>
                <w:szCs w:val="20"/>
                <w:color w:val="auto"/>
              </w:rPr>
            </w:pPr>
            <w:r>
              <w:rPr>
                <w:rFonts w:ascii="Arial" w:cs="Arial" w:eastAsia="Arial" w:hAnsi="Arial"/>
                <w:sz w:val="18"/>
                <w:szCs w:val="18"/>
                <w:color w:val="auto"/>
              </w:rPr>
              <w:t>(2,815)</w:t>
            </w:r>
          </w:p>
        </w:tc>
      </w:tr>
      <w:tr>
        <w:trPr>
          <w:trHeight w:val="363"/>
        </w:trPr>
        <w:tc>
          <w:tcPr>
            <w:tcW w:w="38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80" w:type="dxa"/>
            <w:vAlign w:val="bottom"/>
            <w:gridSpan w:val="2"/>
          </w:tcPr>
          <w:p>
            <w:pPr>
              <w:jc w:val="right"/>
              <w:ind w:right="12"/>
              <w:spacing w:after="0"/>
              <w:rPr>
                <w:sz w:val="20"/>
                <w:szCs w:val="20"/>
                <w:color w:val="auto"/>
              </w:rPr>
            </w:pPr>
            <w:r>
              <w:rPr>
                <w:rFonts w:ascii="Arial" w:cs="Arial" w:eastAsia="Arial" w:hAnsi="Arial"/>
                <w:sz w:val="18"/>
                <w:szCs w:val="18"/>
                <w:color w:val="auto"/>
              </w:rPr>
              <w:t>119</w:t>
            </w:r>
          </w:p>
        </w:tc>
        <w:tc>
          <w:tcPr>
            <w:tcW w:w="9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r>
    </w:tbl>
    <w:p>
      <w:pPr>
        <w:sectPr>
          <w:pgSz w:w="11900" w:h="16838" w:orient="portrait"/>
          <w:cols w:equalWidth="0" w:num="1">
            <w:col w:w="11420"/>
          </w:cols>
          <w:pgMar w:left="240" w:top="459" w:right="239" w:bottom="1440" w:gutter="0" w:footer="0" w:header="0"/>
        </w:sectPr>
      </w:pPr>
    </w:p>
    <w:bookmarkStart w:id="121" w:name="page122"/>
    <w:bookmarkEnd w:id="1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339"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Production and Vehicle Sales Volume</w:t>
      </w:r>
    </w:p>
    <w:p>
      <w:pPr>
        <w:spacing w:after="0" w:line="171" w:lineRule="exact"/>
        <w:rPr>
          <w:sz w:val="20"/>
          <w:szCs w:val="20"/>
          <w:color w:val="auto"/>
        </w:rPr>
      </w:pPr>
    </w:p>
    <w:p>
      <w:pPr>
        <w:ind w:left="240"/>
        <w:spacing w:after="0"/>
        <w:rPr>
          <w:sz w:val="20"/>
          <w:szCs w:val="20"/>
          <w:color w:val="auto"/>
        </w:rPr>
      </w:pPr>
      <w:r>
        <w:rPr>
          <w:rFonts w:ascii="Arial" w:cs="Arial" w:eastAsia="Arial" w:hAnsi="Arial"/>
          <w:sz w:val="18"/>
          <w:szCs w:val="18"/>
          <w:color w:val="auto"/>
        </w:rPr>
        <w:t>The following tables summarize total production volume and sales of new motor vehicles and competitive position (in thousands):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2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900" w:type="dxa"/>
            <w:vAlign w:val="bottom"/>
            <w:gridSpan w:val="2"/>
          </w:tcPr>
          <w:p>
            <w:pPr>
              <w:jc w:val="right"/>
              <w:ind w:right="1187"/>
              <w:spacing w:after="0"/>
              <w:rPr>
                <w:sz w:val="20"/>
                <w:szCs w:val="20"/>
                <w:color w:val="auto"/>
              </w:rPr>
            </w:pPr>
            <w:r>
              <w:rPr>
                <w:rFonts w:ascii="Arial" w:cs="Arial" w:eastAsia="Arial" w:hAnsi="Arial"/>
                <w:sz w:val="14"/>
                <w:szCs w:val="14"/>
                <w:b w:val="1"/>
                <w:bCs w:val="1"/>
                <w:color w:val="auto"/>
                <w:w w:val="87"/>
              </w:rPr>
              <w:t>Successor</w:t>
            </w:r>
          </w:p>
        </w:tc>
        <w:tc>
          <w:tcPr>
            <w:tcW w:w="840" w:type="dxa"/>
            <w:vAlign w:val="bottom"/>
          </w:tcPr>
          <w:p>
            <w:pPr>
              <w:spacing w:after="0"/>
              <w:rPr>
                <w:sz w:val="14"/>
                <w:szCs w:val="14"/>
                <w:color w:val="auto"/>
              </w:rPr>
            </w:pPr>
          </w:p>
        </w:tc>
        <w:tc>
          <w:tcPr>
            <w:tcW w:w="3200" w:type="dxa"/>
            <w:vAlign w:val="bottom"/>
            <w:gridSpan w:val="4"/>
          </w:tcPr>
          <w:p>
            <w:pPr>
              <w:ind w:left="740"/>
              <w:spacing w:after="0"/>
              <w:rPr>
                <w:sz w:val="20"/>
                <w:szCs w:val="20"/>
                <w:color w:val="auto"/>
              </w:rPr>
            </w:pPr>
            <w:r>
              <w:rPr>
                <w:rFonts w:ascii="Arial" w:cs="Arial" w:eastAsia="Arial" w:hAnsi="Arial"/>
                <w:sz w:val="14"/>
                <w:szCs w:val="14"/>
                <w:b w:val="1"/>
                <w:bCs w:val="1"/>
                <w:color w:val="auto"/>
              </w:rPr>
              <w:t>Combined GM and Old GM</w:t>
            </w:r>
          </w:p>
        </w:tc>
      </w:tr>
      <w:tr>
        <w:trPr>
          <w:trHeight w:val="129"/>
        </w:trPr>
        <w:tc>
          <w:tcPr>
            <w:tcW w:w="4280" w:type="dxa"/>
            <w:vAlign w:val="bottom"/>
          </w:tcPr>
          <w:p>
            <w:pPr>
              <w:spacing w:after="0"/>
              <w:rPr>
                <w:sz w:val="11"/>
                <w:szCs w:val="11"/>
                <w:color w:val="auto"/>
              </w:rPr>
            </w:pPr>
          </w:p>
        </w:tc>
        <w:tc>
          <w:tcPr>
            <w:tcW w:w="1200" w:type="dxa"/>
            <w:vAlign w:val="bottom"/>
            <w:tcBorders>
              <w:top w:val="single" w:sz="8" w:color="auto"/>
            </w:tcBorders>
            <w:gridSpan w:val="2"/>
          </w:tcPr>
          <w:p>
            <w:pPr>
              <w:jc w:val="center"/>
              <w:ind w:right="60"/>
              <w:spacing w:after="0" w:line="129" w:lineRule="exact"/>
              <w:rPr>
                <w:sz w:val="20"/>
                <w:szCs w:val="20"/>
                <w:color w:val="auto"/>
              </w:rPr>
            </w:pPr>
            <w:r>
              <w:rPr>
                <w:rFonts w:ascii="Arial" w:cs="Arial" w:eastAsia="Arial" w:hAnsi="Arial"/>
                <w:sz w:val="14"/>
                <w:szCs w:val="14"/>
                <w:b w:val="1"/>
                <w:bCs w:val="1"/>
                <w:color w:val="auto"/>
                <w:w w:val="89"/>
              </w:rPr>
              <w:t>Three Months</w:t>
            </w:r>
          </w:p>
        </w:tc>
        <w:tc>
          <w:tcPr>
            <w:tcW w:w="760" w:type="dxa"/>
            <w:vAlign w:val="bottom"/>
            <w:tcBorders>
              <w:top w:val="single" w:sz="8" w:color="auto"/>
            </w:tcBorders>
          </w:tcPr>
          <w:p>
            <w:pPr>
              <w:spacing w:after="0"/>
              <w:rPr>
                <w:sz w:val="11"/>
                <w:szCs w:val="11"/>
                <w:color w:val="auto"/>
              </w:rPr>
            </w:pPr>
          </w:p>
        </w:tc>
        <w:tc>
          <w:tcPr>
            <w:tcW w:w="1140" w:type="dxa"/>
            <w:vAlign w:val="bottom"/>
            <w:tcBorders>
              <w:top w:val="single" w:sz="8" w:color="auto"/>
            </w:tcBorders>
          </w:tcPr>
          <w:p>
            <w:pPr>
              <w:jc w:val="center"/>
              <w:spacing w:after="0" w:line="129" w:lineRule="exact"/>
              <w:rPr>
                <w:sz w:val="20"/>
                <w:szCs w:val="20"/>
                <w:color w:val="auto"/>
              </w:rPr>
            </w:pPr>
            <w:r>
              <w:rPr>
                <w:rFonts w:ascii="Arial" w:cs="Arial" w:eastAsia="Arial" w:hAnsi="Arial"/>
                <w:sz w:val="14"/>
                <w:szCs w:val="14"/>
                <w:b w:val="1"/>
                <w:bCs w:val="1"/>
                <w:color w:val="auto"/>
                <w:w w:val="88"/>
              </w:rPr>
              <w:t>Nine Months</w:t>
            </w:r>
          </w:p>
        </w:tc>
        <w:tc>
          <w:tcPr>
            <w:tcW w:w="840" w:type="dxa"/>
            <w:vAlign w:val="bottom"/>
          </w:tcPr>
          <w:p>
            <w:pPr>
              <w:spacing w:after="0"/>
              <w:rPr>
                <w:sz w:val="11"/>
                <w:szCs w:val="11"/>
                <w:color w:val="auto"/>
              </w:rPr>
            </w:pPr>
          </w:p>
        </w:tc>
        <w:tc>
          <w:tcPr>
            <w:tcW w:w="1140" w:type="dxa"/>
            <w:vAlign w:val="bottom"/>
            <w:tcBorders>
              <w:top w:val="single" w:sz="8" w:color="auto"/>
            </w:tcBorders>
          </w:tcPr>
          <w:p>
            <w:pPr>
              <w:jc w:val="center"/>
              <w:spacing w:after="0" w:line="129" w:lineRule="exact"/>
              <w:rPr>
                <w:sz w:val="20"/>
                <w:szCs w:val="20"/>
                <w:color w:val="auto"/>
              </w:rPr>
            </w:pPr>
            <w:r>
              <w:rPr>
                <w:rFonts w:ascii="Arial" w:cs="Arial" w:eastAsia="Arial" w:hAnsi="Arial"/>
                <w:sz w:val="14"/>
                <w:szCs w:val="14"/>
                <w:b w:val="1"/>
                <w:bCs w:val="1"/>
                <w:color w:val="auto"/>
                <w:w w:val="89"/>
              </w:rPr>
              <w:t>Three Months</w:t>
            </w:r>
          </w:p>
        </w:tc>
        <w:tc>
          <w:tcPr>
            <w:tcW w:w="840" w:type="dxa"/>
            <w:vAlign w:val="bottom"/>
            <w:tcBorders>
              <w:top w:val="single" w:sz="8" w:color="auto"/>
            </w:tcBorders>
          </w:tcPr>
          <w:p>
            <w:pPr>
              <w:spacing w:after="0"/>
              <w:rPr>
                <w:sz w:val="11"/>
                <w:szCs w:val="11"/>
                <w:color w:val="auto"/>
              </w:rPr>
            </w:pPr>
          </w:p>
        </w:tc>
        <w:tc>
          <w:tcPr>
            <w:tcW w:w="1120" w:type="dxa"/>
            <w:vAlign w:val="bottom"/>
            <w:tcBorders>
              <w:top w:val="single" w:sz="8" w:color="auto"/>
            </w:tcBorders>
          </w:tcPr>
          <w:p>
            <w:pPr>
              <w:jc w:val="center"/>
              <w:spacing w:after="0" w:line="129" w:lineRule="exact"/>
              <w:rPr>
                <w:sz w:val="20"/>
                <w:szCs w:val="20"/>
                <w:color w:val="auto"/>
              </w:rPr>
            </w:pPr>
            <w:r>
              <w:rPr>
                <w:rFonts w:ascii="Arial" w:cs="Arial" w:eastAsia="Arial" w:hAnsi="Arial"/>
                <w:sz w:val="14"/>
                <w:szCs w:val="14"/>
                <w:b w:val="1"/>
                <w:bCs w:val="1"/>
                <w:color w:val="auto"/>
                <w:w w:val="90"/>
              </w:rPr>
              <w:t>Nine Months</w:t>
            </w:r>
          </w:p>
        </w:tc>
        <w:tc>
          <w:tcPr>
            <w:tcW w:w="100" w:type="dxa"/>
            <w:vAlign w:val="bottom"/>
          </w:tcPr>
          <w:p>
            <w:pPr>
              <w:spacing w:after="0"/>
              <w:rPr>
                <w:sz w:val="11"/>
                <w:szCs w:val="11"/>
                <w:color w:val="auto"/>
              </w:rPr>
            </w:pPr>
          </w:p>
        </w:tc>
      </w:tr>
      <w:tr>
        <w:trPr>
          <w:trHeight w:val="149"/>
        </w:trPr>
        <w:tc>
          <w:tcPr>
            <w:tcW w:w="4280" w:type="dxa"/>
            <w:vAlign w:val="bottom"/>
          </w:tcPr>
          <w:p>
            <w:pPr>
              <w:spacing w:after="0"/>
              <w:rPr>
                <w:sz w:val="12"/>
                <w:szCs w:val="12"/>
                <w:color w:val="auto"/>
              </w:rPr>
            </w:pPr>
          </w:p>
        </w:tc>
        <w:tc>
          <w:tcPr>
            <w:tcW w:w="1200" w:type="dxa"/>
            <w:vAlign w:val="bottom"/>
            <w:gridSpan w:val="2"/>
          </w:tcPr>
          <w:p>
            <w:pPr>
              <w:jc w:val="center"/>
              <w:ind w:right="60"/>
              <w:spacing w:after="0" w:line="149" w:lineRule="exact"/>
              <w:rPr>
                <w:sz w:val="20"/>
                <w:szCs w:val="20"/>
                <w:color w:val="auto"/>
              </w:rPr>
            </w:pPr>
            <w:r>
              <w:rPr>
                <w:rFonts w:ascii="Arial" w:cs="Arial" w:eastAsia="Arial" w:hAnsi="Arial"/>
                <w:sz w:val="14"/>
                <w:szCs w:val="14"/>
                <w:b w:val="1"/>
                <w:bCs w:val="1"/>
                <w:color w:val="auto"/>
                <w:w w:val="88"/>
              </w:rPr>
              <w:t>Ended</w:t>
            </w:r>
          </w:p>
        </w:tc>
        <w:tc>
          <w:tcPr>
            <w:tcW w:w="760" w:type="dxa"/>
            <w:vAlign w:val="bottom"/>
          </w:tcPr>
          <w:p>
            <w:pPr>
              <w:spacing w:after="0"/>
              <w:rPr>
                <w:sz w:val="12"/>
                <w:szCs w:val="12"/>
                <w:color w:val="auto"/>
              </w:rPr>
            </w:pPr>
          </w:p>
        </w:tc>
        <w:tc>
          <w:tcPr>
            <w:tcW w:w="11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Ended</w:t>
            </w:r>
          </w:p>
        </w:tc>
        <w:tc>
          <w:tcPr>
            <w:tcW w:w="840" w:type="dxa"/>
            <w:vAlign w:val="bottom"/>
          </w:tcPr>
          <w:p>
            <w:pPr>
              <w:spacing w:after="0"/>
              <w:rPr>
                <w:sz w:val="12"/>
                <w:szCs w:val="12"/>
                <w:color w:val="auto"/>
              </w:rPr>
            </w:pPr>
          </w:p>
        </w:tc>
        <w:tc>
          <w:tcPr>
            <w:tcW w:w="11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Ended</w:t>
            </w:r>
          </w:p>
        </w:tc>
        <w:tc>
          <w:tcPr>
            <w:tcW w:w="840" w:type="dxa"/>
            <w:vAlign w:val="bottom"/>
          </w:tcPr>
          <w:p>
            <w:pPr>
              <w:spacing w:after="0"/>
              <w:rPr>
                <w:sz w:val="12"/>
                <w:szCs w:val="12"/>
                <w:color w:val="auto"/>
              </w:rPr>
            </w:pPr>
          </w:p>
        </w:tc>
        <w:tc>
          <w:tcPr>
            <w:tcW w:w="122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84"/>
              </w:rPr>
              <w:t>Ended</w:t>
            </w:r>
          </w:p>
        </w:tc>
      </w:tr>
      <w:tr>
        <w:trPr>
          <w:trHeight w:val="161"/>
        </w:trPr>
        <w:tc>
          <w:tcPr>
            <w:tcW w:w="4280" w:type="dxa"/>
            <w:vAlign w:val="bottom"/>
          </w:tcPr>
          <w:p>
            <w:pPr>
              <w:spacing w:after="0"/>
              <w:rPr>
                <w:sz w:val="14"/>
                <w:szCs w:val="14"/>
                <w:color w:val="auto"/>
              </w:rPr>
            </w:pPr>
          </w:p>
        </w:tc>
        <w:tc>
          <w:tcPr>
            <w:tcW w:w="1140" w:type="dxa"/>
            <w:vAlign w:val="bottom"/>
          </w:tcPr>
          <w:p>
            <w:pPr>
              <w:jc w:val="center"/>
              <w:spacing w:after="0"/>
              <w:rPr>
                <w:sz w:val="20"/>
                <w:szCs w:val="20"/>
                <w:color w:val="auto"/>
              </w:rPr>
            </w:pPr>
            <w:r>
              <w:rPr>
                <w:rFonts w:ascii="Arial" w:cs="Arial" w:eastAsia="Arial" w:hAnsi="Arial"/>
                <w:sz w:val="14"/>
                <w:szCs w:val="14"/>
                <w:b w:val="1"/>
                <w:bCs w:val="1"/>
                <w:color w:val="auto"/>
                <w:w w:val="85"/>
              </w:rPr>
              <w:t>September 30, 2010</w:t>
            </w:r>
          </w:p>
        </w:tc>
        <w:tc>
          <w:tcPr>
            <w:tcW w:w="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140" w:type="dxa"/>
            <w:vAlign w:val="bottom"/>
          </w:tcPr>
          <w:p>
            <w:pPr>
              <w:jc w:val="center"/>
              <w:spacing w:after="0"/>
              <w:rPr>
                <w:sz w:val="20"/>
                <w:szCs w:val="20"/>
                <w:color w:val="auto"/>
              </w:rPr>
            </w:pPr>
            <w:r>
              <w:rPr>
                <w:rFonts w:ascii="Arial" w:cs="Arial" w:eastAsia="Arial" w:hAnsi="Arial"/>
                <w:sz w:val="14"/>
                <w:szCs w:val="14"/>
                <w:b w:val="1"/>
                <w:bCs w:val="1"/>
                <w:color w:val="auto"/>
                <w:w w:val="85"/>
              </w:rPr>
              <w:t>September 30, 2010</w:t>
            </w:r>
          </w:p>
        </w:tc>
        <w:tc>
          <w:tcPr>
            <w:tcW w:w="840" w:type="dxa"/>
            <w:vAlign w:val="bottom"/>
          </w:tcPr>
          <w:p>
            <w:pPr>
              <w:spacing w:after="0"/>
              <w:rPr>
                <w:sz w:val="14"/>
                <w:szCs w:val="14"/>
                <w:color w:val="auto"/>
              </w:rPr>
            </w:pPr>
          </w:p>
        </w:tc>
        <w:tc>
          <w:tcPr>
            <w:tcW w:w="1140" w:type="dxa"/>
            <w:vAlign w:val="bottom"/>
          </w:tcPr>
          <w:p>
            <w:pPr>
              <w:jc w:val="center"/>
              <w:spacing w:after="0"/>
              <w:rPr>
                <w:sz w:val="20"/>
                <w:szCs w:val="20"/>
                <w:color w:val="auto"/>
              </w:rPr>
            </w:pPr>
            <w:r>
              <w:rPr>
                <w:rFonts w:ascii="Arial" w:cs="Arial" w:eastAsia="Arial" w:hAnsi="Arial"/>
                <w:sz w:val="14"/>
                <w:szCs w:val="14"/>
                <w:b w:val="1"/>
                <w:bCs w:val="1"/>
                <w:color w:val="auto"/>
                <w:w w:val="85"/>
              </w:rPr>
              <w:t>September 30, 2009</w:t>
            </w:r>
          </w:p>
        </w:tc>
        <w:tc>
          <w:tcPr>
            <w:tcW w:w="840" w:type="dxa"/>
            <w:vAlign w:val="bottom"/>
          </w:tcPr>
          <w:p>
            <w:pPr>
              <w:spacing w:after="0"/>
              <w:rPr>
                <w:sz w:val="14"/>
                <w:szCs w:val="14"/>
                <w:color w:val="auto"/>
              </w:rPr>
            </w:pPr>
          </w:p>
        </w:tc>
        <w:tc>
          <w:tcPr>
            <w:tcW w:w="12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5"/>
              </w:rPr>
              <w:t>September 30, 2009</w:t>
            </w:r>
          </w:p>
        </w:tc>
      </w:tr>
      <w:tr>
        <w:trPr>
          <w:trHeight w:val="210"/>
        </w:trPr>
        <w:tc>
          <w:tcPr>
            <w:tcW w:w="4280" w:type="dxa"/>
            <w:vAlign w:val="bottom"/>
            <w:shd w:val="clear" w:color="auto" w:fill="CCEEFF"/>
          </w:tcPr>
          <w:p>
            <w:pPr>
              <w:spacing w:after="0"/>
              <w:rPr>
                <w:sz w:val="20"/>
                <w:szCs w:val="20"/>
                <w:color w:val="auto"/>
              </w:rPr>
            </w:pPr>
            <w:r>
              <w:rPr>
                <w:rFonts w:ascii="Arial" w:cs="Arial" w:eastAsia="Arial" w:hAnsi="Arial"/>
                <w:sz w:val="18"/>
                <w:szCs w:val="18"/>
                <w:color w:val="auto"/>
              </w:rPr>
              <w:t>Production Volume (a)</w:t>
            </w: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286</w:t>
            </w:r>
          </w:p>
        </w:tc>
        <w:tc>
          <w:tcPr>
            <w:tcW w:w="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921</w:t>
            </w:r>
          </w:p>
        </w:tc>
        <w:tc>
          <w:tcPr>
            <w:tcW w:w="840" w:type="dxa"/>
            <w:vAlign w:val="bottom"/>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272</w:t>
            </w:r>
          </w:p>
        </w:tc>
        <w:tc>
          <w:tcPr>
            <w:tcW w:w="840" w:type="dxa"/>
            <w:vAlign w:val="bottom"/>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851</w:t>
            </w:r>
          </w:p>
        </w:tc>
        <w:tc>
          <w:tcPr>
            <w:tcW w:w="100" w:type="dxa"/>
            <w:vAlign w:val="bottom"/>
            <w:shd w:val="clear" w:color="auto" w:fill="CCEEFF"/>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728980" cy="889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20" w:lineRule="exact"/>
        <w:rPr>
          <w:sz w:val="20"/>
          <w:szCs w:val="20"/>
          <w:color w:val="auto"/>
        </w:rPr>
      </w:pPr>
    </w:p>
    <w:p>
      <w:pPr>
        <w:ind w:left="460" w:right="20" w:hanging="452"/>
        <w:spacing w:after="0" w:line="268" w:lineRule="auto"/>
        <w:tabs>
          <w:tab w:leader="none" w:pos="460" w:val="left"/>
        </w:tabs>
        <w:numPr>
          <w:ilvl w:val="0"/>
          <w:numId w:val="89"/>
        </w:numPr>
        <w:rPr>
          <w:rFonts w:ascii="Arial" w:cs="Arial" w:eastAsia="Arial" w:hAnsi="Arial"/>
          <w:sz w:val="18"/>
          <w:szCs w:val="18"/>
          <w:color w:val="auto"/>
        </w:rPr>
      </w:pPr>
      <w:r>
        <w:rPr>
          <w:rFonts w:ascii="Arial" w:cs="Arial" w:eastAsia="Arial" w:hAnsi="Arial"/>
          <w:sz w:val="18"/>
          <w:szCs w:val="18"/>
          <w:color w:val="auto"/>
        </w:rPr>
        <w:t>Production volume represents the number of vehicles manufactured by our and Old GM’s assembly facilities and also includes vehicles produced by certain joint ventures.</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860" w:type="dxa"/>
            <w:vAlign w:val="bottom"/>
          </w:tcPr>
          <w:p>
            <w:pPr>
              <w:spacing w:after="0"/>
              <w:rPr>
                <w:sz w:val="14"/>
                <w:szCs w:val="14"/>
                <w:color w:val="auto"/>
              </w:rPr>
            </w:pPr>
          </w:p>
        </w:tc>
        <w:tc>
          <w:tcPr>
            <w:tcW w:w="1280" w:type="dxa"/>
            <w:vAlign w:val="bottom"/>
            <w:gridSpan w:val="4"/>
          </w:tcPr>
          <w:p>
            <w:pPr>
              <w:jc w:val="right"/>
              <w:ind w:right="152"/>
              <w:spacing w:after="0"/>
              <w:rPr>
                <w:sz w:val="20"/>
                <w:szCs w:val="20"/>
                <w:color w:val="auto"/>
              </w:rPr>
            </w:pPr>
            <w:r>
              <w:rPr>
                <w:rFonts w:ascii="Arial" w:cs="Arial" w:eastAsia="Arial" w:hAnsi="Arial"/>
                <w:sz w:val="14"/>
                <w:szCs w:val="14"/>
                <w:b w:val="1"/>
                <w:bCs w:val="1"/>
                <w:color w:val="auto"/>
              </w:rPr>
              <w:t>Three Months</w:t>
            </w:r>
          </w:p>
        </w:tc>
        <w:tc>
          <w:tcPr>
            <w:tcW w:w="300" w:type="dxa"/>
            <w:vAlign w:val="bottom"/>
          </w:tcPr>
          <w:p>
            <w:pPr>
              <w:spacing w:after="0"/>
              <w:rPr>
                <w:sz w:val="14"/>
                <w:szCs w:val="14"/>
                <w:color w:val="auto"/>
              </w:rPr>
            </w:pPr>
          </w:p>
        </w:tc>
        <w:tc>
          <w:tcPr>
            <w:tcW w:w="1260" w:type="dxa"/>
            <w:vAlign w:val="bottom"/>
            <w:gridSpan w:val="3"/>
          </w:tcPr>
          <w:p>
            <w:pPr>
              <w:jc w:val="center"/>
              <w:spacing w:after="0"/>
              <w:rPr>
                <w:sz w:val="20"/>
                <w:szCs w:val="20"/>
                <w:color w:val="auto"/>
              </w:rPr>
            </w:pPr>
            <w:r>
              <w:rPr>
                <w:rFonts w:ascii="Arial" w:cs="Arial" w:eastAsia="Arial" w:hAnsi="Arial"/>
                <w:sz w:val="14"/>
                <w:szCs w:val="14"/>
                <w:b w:val="1"/>
                <w:bCs w:val="1"/>
                <w:color w:val="auto"/>
                <w:w w:val="88"/>
              </w:rPr>
              <w:t>Nine Months</w:t>
            </w:r>
          </w:p>
        </w:tc>
        <w:tc>
          <w:tcPr>
            <w:tcW w:w="300" w:type="dxa"/>
            <w:vAlign w:val="bottom"/>
          </w:tcPr>
          <w:p>
            <w:pPr>
              <w:spacing w:after="0"/>
              <w:rPr>
                <w:sz w:val="14"/>
                <w:szCs w:val="14"/>
                <w:color w:val="auto"/>
              </w:rPr>
            </w:pPr>
          </w:p>
        </w:tc>
        <w:tc>
          <w:tcPr>
            <w:tcW w:w="1820" w:type="dxa"/>
            <w:vAlign w:val="bottom"/>
            <w:gridSpan w:val="4"/>
          </w:tcPr>
          <w:p>
            <w:pPr>
              <w:jc w:val="center"/>
              <w:ind w:right="320"/>
              <w:spacing w:after="0"/>
              <w:rPr>
                <w:sz w:val="20"/>
                <w:szCs w:val="20"/>
                <w:color w:val="auto"/>
              </w:rPr>
            </w:pPr>
            <w:r>
              <w:rPr>
                <w:rFonts w:ascii="Arial" w:cs="Arial" w:eastAsia="Arial" w:hAnsi="Arial"/>
                <w:sz w:val="14"/>
                <w:szCs w:val="14"/>
                <w:b w:val="1"/>
                <w:bCs w:val="1"/>
                <w:color w:val="auto"/>
                <w:w w:val="89"/>
              </w:rPr>
              <w:t>Three Months</w:t>
            </w:r>
          </w:p>
        </w:tc>
        <w:tc>
          <w:tcPr>
            <w:tcW w:w="1600" w:type="dxa"/>
            <w:vAlign w:val="bottom"/>
            <w:gridSpan w:val="4"/>
          </w:tcPr>
          <w:p>
            <w:pPr>
              <w:jc w:val="center"/>
              <w:ind w:right="100"/>
              <w:spacing w:after="0"/>
              <w:rPr>
                <w:sz w:val="20"/>
                <w:szCs w:val="20"/>
                <w:color w:val="auto"/>
              </w:rPr>
            </w:pPr>
            <w:r>
              <w:rPr>
                <w:rFonts w:ascii="Arial" w:cs="Arial" w:eastAsia="Arial" w:hAnsi="Arial"/>
                <w:sz w:val="14"/>
                <w:szCs w:val="14"/>
                <w:b w:val="1"/>
                <w:bCs w:val="1"/>
                <w:color w:val="auto"/>
                <w:w w:val="88"/>
              </w:rPr>
              <w:t>Nine Months</w:t>
            </w:r>
          </w:p>
        </w:tc>
      </w:tr>
      <w:tr>
        <w:trPr>
          <w:trHeight w:val="149"/>
        </w:trPr>
        <w:tc>
          <w:tcPr>
            <w:tcW w:w="48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80" w:type="dxa"/>
            <w:vAlign w:val="bottom"/>
            <w:gridSpan w:val="2"/>
          </w:tcPr>
          <w:p>
            <w:pPr>
              <w:jc w:val="right"/>
              <w:ind w:right="372"/>
              <w:spacing w:after="0" w:line="149" w:lineRule="exact"/>
              <w:rPr>
                <w:sz w:val="20"/>
                <w:szCs w:val="20"/>
                <w:color w:val="auto"/>
              </w:rPr>
            </w:pPr>
            <w:r>
              <w:rPr>
                <w:rFonts w:ascii="Arial" w:cs="Arial" w:eastAsia="Arial" w:hAnsi="Arial"/>
                <w:sz w:val="14"/>
                <w:szCs w:val="14"/>
                <w:b w:val="1"/>
                <w:bCs w:val="1"/>
                <w:color w:val="auto"/>
                <w:w w:val="98"/>
              </w:rPr>
              <w:t>Ended</w:t>
            </w:r>
          </w:p>
        </w:tc>
        <w:tc>
          <w:tcPr>
            <w:tcW w:w="300" w:type="dxa"/>
            <w:vAlign w:val="bottom"/>
          </w:tcPr>
          <w:p>
            <w:pPr>
              <w:spacing w:after="0"/>
              <w:rPr>
                <w:sz w:val="12"/>
                <w:szCs w:val="12"/>
                <w:color w:val="auto"/>
              </w:rPr>
            </w:pPr>
          </w:p>
        </w:tc>
        <w:tc>
          <w:tcPr>
            <w:tcW w:w="1260" w:type="dxa"/>
            <w:vAlign w:val="bottom"/>
            <w:gridSpan w:val="3"/>
          </w:tcPr>
          <w:p>
            <w:pPr>
              <w:jc w:val="center"/>
              <w:spacing w:after="0" w:line="149" w:lineRule="exact"/>
              <w:rPr>
                <w:sz w:val="20"/>
                <w:szCs w:val="20"/>
                <w:color w:val="auto"/>
              </w:rPr>
            </w:pPr>
            <w:r>
              <w:rPr>
                <w:rFonts w:ascii="Arial" w:cs="Arial" w:eastAsia="Arial" w:hAnsi="Arial"/>
                <w:sz w:val="14"/>
                <w:szCs w:val="14"/>
                <w:b w:val="1"/>
                <w:bCs w:val="1"/>
                <w:color w:val="auto"/>
                <w:w w:val="88"/>
              </w:rPr>
              <w:t>Ended</w:t>
            </w:r>
          </w:p>
        </w:tc>
        <w:tc>
          <w:tcPr>
            <w:tcW w:w="300" w:type="dxa"/>
            <w:vAlign w:val="bottom"/>
          </w:tcPr>
          <w:p>
            <w:pPr>
              <w:spacing w:after="0"/>
              <w:rPr>
                <w:sz w:val="12"/>
                <w:szCs w:val="12"/>
                <w:color w:val="auto"/>
              </w:rPr>
            </w:pPr>
          </w:p>
        </w:tc>
        <w:tc>
          <w:tcPr>
            <w:tcW w:w="1820" w:type="dxa"/>
            <w:vAlign w:val="bottom"/>
            <w:gridSpan w:val="4"/>
          </w:tcPr>
          <w:p>
            <w:pPr>
              <w:jc w:val="center"/>
              <w:ind w:right="300"/>
              <w:spacing w:after="0" w:line="149" w:lineRule="exact"/>
              <w:rPr>
                <w:sz w:val="20"/>
                <w:szCs w:val="20"/>
                <w:color w:val="auto"/>
              </w:rPr>
            </w:pPr>
            <w:r>
              <w:rPr>
                <w:rFonts w:ascii="Arial" w:cs="Arial" w:eastAsia="Arial" w:hAnsi="Arial"/>
                <w:sz w:val="14"/>
                <w:szCs w:val="14"/>
                <w:b w:val="1"/>
                <w:bCs w:val="1"/>
                <w:color w:val="auto"/>
                <w:w w:val="84"/>
              </w:rPr>
              <w:t>Ended</w:t>
            </w:r>
          </w:p>
        </w:tc>
        <w:tc>
          <w:tcPr>
            <w:tcW w:w="1600" w:type="dxa"/>
            <w:vAlign w:val="bottom"/>
            <w:gridSpan w:val="4"/>
          </w:tcPr>
          <w:p>
            <w:pPr>
              <w:jc w:val="center"/>
              <w:ind w:right="100"/>
              <w:spacing w:after="0" w:line="149" w:lineRule="exact"/>
              <w:rPr>
                <w:sz w:val="20"/>
                <w:szCs w:val="20"/>
                <w:color w:val="auto"/>
              </w:rPr>
            </w:pPr>
            <w:r>
              <w:rPr>
                <w:rFonts w:ascii="Arial" w:cs="Arial" w:eastAsia="Arial" w:hAnsi="Arial"/>
                <w:sz w:val="14"/>
                <w:szCs w:val="14"/>
                <w:b w:val="1"/>
                <w:bCs w:val="1"/>
                <w:color w:val="auto"/>
                <w:w w:val="88"/>
              </w:rPr>
              <w:t>Ended</w:t>
            </w:r>
          </w:p>
        </w:tc>
      </w:tr>
      <w:tr>
        <w:trPr>
          <w:trHeight w:val="161"/>
        </w:trPr>
        <w:tc>
          <w:tcPr>
            <w:tcW w:w="4860" w:type="dxa"/>
            <w:vAlign w:val="bottom"/>
          </w:tcPr>
          <w:p>
            <w:pPr>
              <w:spacing w:after="0"/>
              <w:rPr>
                <w:sz w:val="14"/>
                <w:szCs w:val="14"/>
                <w:color w:val="auto"/>
              </w:rPr>
            </w:pPr>
          </w:p>
        </w:tc>
        <w:tc>
          <w:tcPr>
            <w:tcW w:w="1280" w:type="dxa"/>
            <w:vAlign w:val="bottom"/>
            <w:gridSpan w:val="4"/>
          </w:tcPr>
          <w:p>
            <w:pPr>
              <w:jc w:val="right"/>
              <w:ind w:right="12"/>
              <w:spacing w:after="0"/>
              <w:rPr>
                <w:sz w:val="20"/>
                <w:szCs w:val="20"/>
                <w:color w:val="auto"/>
              </w:rPr>
            </w:pPr>
            <w:r>
              <w:rPr>
                <w:rFonts w:ascii="Arial" w:cs="Arial" w:eastAsia="Arial" w:hAnsi="Arial"/>
                <w:sz w:val="14"/>
                <w:szCs w:val="14"/>
                <w:b w:val="1"/>
                <w:bCs w:val="1"/>
                <w:color w:val="auto"/>
                <w:w w:val="90"/>
              </w:rPr>
              <w:t>September 30, 2010</w:t>
            </w:r>
          </w:p>
        </w:tc>
        <w:tc>
          <w:tcPr>
            <w:tcW w:w="300" w:type="dxa"/>
            <w:vAlign w:val="bottom"/>
          </w:tcPr>
          <w:p>
            <w:pPr>
              <w:spacing w:after="0"/>
              <w:rPr>
                <w:sz w:val="14"/>
                <w:szCs w:val="14"/>
                <w:color w:val="auto"/>
              </w:rPr>
            </w:pPr>
          </w:p>
        </w:tc>
        <w:tc>
          <w:tcPr>
            <w:tcW w:w="1260" w:type="dxa"/>
            <w:vAlign w:val="bottom"/>
            <w:gridSpan w:val="3"/>
          </w:tcPr>
          <w:p>
            <w:pPr>
              <w:jc w:val="center"/>
              <w:spacing w:after="0"/>
              <w:rPr>
                <w:sz w:val="20"/>
                <w:szCs w:val="20"/>
                <w:color w:val="auto"/>
              </w:rPr>
            </w:pPr>
            <w:r>
              <w:rPr>
                <w:rFonts w:ascii="Arial" w:cs="Arial" w:eastAsia="Arial" w:hAnsi="Arial"/>
                <w:sz w:val="14"/>
                <w:szCs w:val="14"/>
                <w:b w:val="1"/>
                <w:bCs w:val="1"/>
                <w:color w:val="auto"/>
                <w:w w:val="87"/>
              </w:rPr>
              <w:t>September 30, 2010</w:t>
            </w:r>
          </w:p>
        </w:tc>
        <w:tc>
          <w:tcPr>
            <w:tcW w:w="300" w:type="dxa"/>
            <w:vAlign w:val="bottom"/>
          </w:tcPr>
          <w:p>
            <w:pPr>
              <w:spacing w:after="0"/>
              <w:rPr>
                <w:sz w:val="14"/>
                <w:szCs w:val="14"/>
                <w:color w:val="auto"/>
              </w:rPr>
            </w:pPr>
          </w:p>
        </w:tc>
        <w:tc>
          <w:tcPr>
            <w:tcW w:w="1820" w:type="dxa"/>
            <w:vAlign w:val="bottom"/>
            <w:gridSpan w:val="4"/>
          </w:tcPr>
          <w:p>
            <w:pPr>
              <w:jc w:val="center"/>
              <w:ind w:right="300"/>
              <w:spacing w:after="0"/>
              <w:rPr>
                <w:sz w:val="20"/>
                <w:szCs w:val="20"/>
                <w:color w:val="auto"/>
              </w:rPr>
            </w:pPr>
            <w:r>
              <w:rPr>
                <w:rFonts w:ascii="Arial" w:cs="Arial" w:eastAsia="Arial" w:hAnsi="Arial"/>
                <w:sz w:val="14"/>
                <w:szCs w:val="14"/>
                <w:b w:val="1"/>
                <w:bCs w:val="1"/>
                <w:color w:val="auto"/>
                <w:w w:val="85"/>
              </w:rPr>
              <w:t>September 30, 2009</w:t>
            </w:r>
          </w:p>
        </w:tc>
        <w:tc>
          <w:tcPr>
            <w:tcW w:w="1600" w:type="dxa"/>
            <w:vAlign w:val="bottom"/>
            <w:gridSpan w:val="4"/>
          </w:tcPr>
          <w:p>
            <w:pPr>
              <w:jc w:val="center"/>
              <w:ind w:right="100"/>
              <w:spacing w:after="0"/>
              <w:rPr>
                <w:sz w:val="20"/>
                <w:szCs w:val="20"/>
                <w:color w:val="auto"/>
              </w:rPr>
            </w:pPr>
            <w:r>
              <w:rPr>
                <w:rFonts w:ascii="Arial" w:cs="Arial" w:eastAsia="Arial" w:hAnsi="Arial"/>
                <w:sz w:val="14"/>
                <w:szCs w:val="14"/>
                <w:b w:val="1"/>
                <w:bCs w:val="1"/>
                <w:color w:val="auto"/>
                <w:w w:val="87"/>
              </w:rPr>
              <w:t>September 30, 2009</w:t>
            </w:r>
          </w:p>
        </w:tc>
      </w:tr>
      <w:tr>
        <w:trPr>
          <w:trHeight w:val="129"/>
        </w:trPr>
        <w:tc>
          <w:tcPr>
            <w:tcW w:w="4860" w:type="dxa"/>
            <w:vAlign w:val="bottom"/>
          </w:tcPr>
          <w:p>
            <w:pPr>
              <w:spacing w:after="0"/>
              <w:rPr>
                <w:sz w:val="11"/>
                <w:szCs w:val="11"/>
                <w:color w:val="auto"/>
              </w:rPr>
            </w:pPr>
          </w:p>
        </w:tc>
        <w:tc>
          <w:tcPr>
            <w:tcW w:w="340" w:type="dxa"/>
            <w:vAlign w:val="bottom"/>
            <w:tcBorders>
              <w:top w:val="single" w:sz="8" w:color="auto"/>
            </w:tcBorders>
          </w:tcPr>
          <w:p>
            <w:pPr>
              <w:spacing w:after="0"/>
              <w:rPr>
                <w:sz w:val="11"/>
                <w:szCs w:val="11"/>
                <w:color w:val="auto"/>
              </w:rPr>
            </w:pPr>
          </w:p>
        </w:tc>
        <w:tc>
          <w:tcPr>
            <w:tcW w:w="60" w:type="dxa"/>
            <w:vAlign w:val="bottom"/>
            <w:tcBorders>
              <w:top w:val="single" w:sz="8" w:color="auto"/>
            </w:tcBorders>
          </w:tcPr>
          <w:p>
            <w:pPr>
              <w:spacing w:after="0"/>
              <w:rPr>
                <w:sz w:val="11"/>
                <w:szCs w:val="11"/>
                <w:color w:val="auto"/>
              </w:rPr>
            </w:pPr>
          </w:p>
        </w:tc>
        <w:tc>
          <w:tcPr>
            <w:tcW w:w="240" w:type="dxa"/>
            <w:vAlign w:val="bottom"/>
            <w:tcBorders>
              <w:top w:val="single" w:sz="8" w:color="auto"/>
            </w:tcBorders>
          </w:tcPr>
          <w:p>
            <w:pPr>
              <w:spacing w:after="0"/>
              <w:rPr>
                <w:sz w:val="11"/>
                <w:szCs w:val="11"/>
                <w:color w:val="auto"/>
              </w:rPr>
            </w:pPr>
          </w:p>
        </w:tc>
        <w:tc>
          <w:tcPr>
            <w:tcW w:w="640" w:type="dxa"/>
            <w:vAlign w:val="bottom"/>
            <w:tcBorders>
              <w:top w:val="single" w:sz="8" w:color="auto"/>
            </w:tcBorders>
          </w:tcPr>
          <w:p>
            <w:pPr>
              <w:spacing w:after="0"/>
              <w:rPr>
                <w:sz w:val="11"/>
                <w:szCs w:val="11"/>
                <w:color w:val="auto"/>
              </w:rPr>
            </w:pPr>
          </w:p>
        </w:tc>
        <w:tc>
          <w:tcPr>
            <w:tcW w:w="300" w:type="dxa"/>
            <w:vAlign w:val="bottom"/>
          </w:tcPr>
          <w:p>
            <w:pPr>
              <w:spacing w:after="0"/>
              <w:rPr>
                <w:sz w:val="11"/>
                <w:szCs w:val="11"/>
                <w:color w:val="auto"/>
              </w:rPr>
            </w:pPr>
          </w:p>
        </w:tc>
        <w:tc>
          <w:tcPr>
            <w:tcW w:w="460" w:type="dxa"/>
            <w:vAlign w:val="bottom"/>
            <w:tcBorders>
              <w:top w:val="single" w:sz="8" w:color="auto"/>
            </w:tcBorders>
          </w:tcPr>
          <w:p>
            <w:pPr>
              <w:spacing w:after="0"/>
              <w:rPr>
                <w:sz w:val="11"/>
                <w:szCs w:val="11"/>
                <w:color w:val="auto"/>
              </w:rPr>
            </w:pPr>
          </w:p>
        </w:tc>
        <w:tc>
          <w:tcPr>
            <w:tcW w:w="300" w:type="dxa"/>
            <w:vAlign w:val="bottom"/>
            <w:tcBorders>
              <w:top w:val="single" w:sz="8" w:color="auto"/>
            </w:tcBorders>
          </w:tcPr>
          <w:p>
            <w:pPr>
              <w:spacing w:after="0"/>
              <w:rPr>
                <w:sz w:val="11"/>
                <w:szCs w:val="11"/>
                <w:color w:val="auto"/>
              </w:rPr>
            </w:pPr>
          </w:p>
        </w:tc>
        <w:tc>
          <w:tcPr>
            <w:tcW w:w="500" w:type="dxa"/>
            <w:vAlign w:val="bottom"/>
            <w:tcBorders>
              <w:top w:val="single" w:sz="8" w:color="auto"/>
            </w:tcBorders>
          </w:tcPr>
          <w:p>
            <w:pPr>
              <w:spacing w:after="0"/>
              <w:rPr>
                <w:sz w:val="11"/>
                <w:szCs w:val="11"/>
                <w:color w:val="auto"/>
              </w:rPr>
            </w:pPr>
          </w:p>
        </w:tc>
        <w:tc>
          <w:tcPr>
            <w:tcW w:w="300" w:type="dxa"/>
            <w:vAlign w:val="bottom"/>
          </w:tcPr>
          <w:p>
            <w:pPr>
              <w:spacing w:after="0"/>
              <w:rPr>
                <w:sz w:val="11"/>
                <w:szCs w:val="11"/>
                <w:color w:val="auto"/>
              </w:rPr>
            </w:pPr>
          </w:p>
        </w:tc>
        <w:tc>
          <w:tcPr>
            <w:tcW w:w="620" w:type="dxa"/>
            <w:vAlign w:val="bottom"/>
            <w:tcBorders>
              <w:top w:val="single" w:sz="8" w:color="auto"/>
            </w:tcBorders>
          </w:tcPr>
          <w:p>
            <w:pPr>
              <w:spacing w:after="0"/>
              <w:rPr>
                <w:sz w:val="11"/>
                <w:szCs w:val="11"/>
                <w:color w:val="auto"/>
              </w:rPr>
            </w:pPr>
          </w:p>
        </w:tc>
        <w:tc>
          <w:tcPr>
            <w:tcW w:w="280" w:type="dxa"/>
            <w:vAlign w:val="bottom"/>
            <w:tcBorders>
              <w:top w:val="single" w:sz="8" w:color="auto"/>
            </w:tcBorders>
          </w:tcPr>
          <w:p>
            <w:pPr>
              <w:spacing w:after="0"/>
              <w:rPr>
                <w:sz w:val="11"/>
                <w:szCs w:val="11"/>
                <w:color w:val="auto"/>
              </w:rPr>
            </w:pPr>
          </w:p>
        </w:tc>
        <w:tc>
          <w:tcPr>
            <w:tcW w:w="620" w:type="dxa"/>
            <w:vAlign w:val="bottom"/>
            <w:tcBorders>
              <w:top w:val="single" w:sz="8" w:color="auto"/>
            </w:tcBorders>
          </w:tcPr>
          <w:p>
            <w:pPr>
              <w:jc w:val="center"/>
              <w:spacing w:after="0" w:line="129" w:lineRule="exact"/>
              <w:rPr>
                <w:sz w:val="20"/>
                <w:szCs w:val="20"/>
                <w:color w:val="auto"/>
              </w:rPr>
            </w:pPr>
            <w:r>
              <w:rPr>
                <w:rFonts w:ascii="Arial" w:cs="Arial" w:eastAsia="Arial" w:hAnsi="Arial"/>
                <w:sz w:val="14"/>
                <w:szCs w:val="14"/>
                <w:b w:val="1"/>
                <w:bCs w:val="1"/>
                <w:color w:val="auto"/>
                <w:w w:val="87"/>
              </w:rPr>
              <w:t>Combined</w:t>
            </w:r>
          </w:p>
        </w:tc>
        <w:tc>
          <w:tcPr>
            <w:tcW w:w="300" w:type="dxa"/>
            <w:vAlign w:val="bottom"/>
          </w:tcPr>
          <w:p>
            <w:pPr>
              <w:spacing w:after="0"/>
              <w:rPr>
                <w:sz w:val="11"/>
                <w:szCs w:val="11"/>
                <w:color w:val="auto"/>
              </w:rPr>
            </w:pPr>
          </w:p>
        </w:tc>
        <w:tc>
          <w:tcPr>
            <w:tcW w:w="600" w:type="dxa"/>
            <w:vAlign w:val="bottom"/>
            <w:tcBorders>
              <w:top w:val="single" w:sz="8" w:color="auto"/>
            </w:tcBorders>
          </w:tcPr>
          <w:p>
            <w:pPr>
              <w:spacing w:after="0"/>
              <w:rPr>
                <w:sz w:val="11"/>
                <w:szCs w:val="11"/>
                <w:color w:val="auto"/>
              </w:rPr>
            </w:pPr>
          </w:p>
        </w:tc>
        <w:tc>
          <w:tcPr>
            <w:tcW w:w="300" w:type="dxa"/>
            <w:vAlign w:val="bottom"/>
            <w:tcBorders>
              <w:top w:val="single" w:sz="8" w:color="auto"/>
            </w:tcBorders>
          </w:tcPr>
          <w:p>
            <w:pPr>
              <w:spacing w:after="0"/>
              <w:rPr>
                <w:sz w:val="11"/>
                <w:szCs w:val="11"/>
                <w:color w:val="auto"/>
              </w:rPr>
            </w:pPr>
          </w:p>
        </w:tc>
        <w:tc>
          <w:tcPr>
            <w:tcW w:w="600" w:type="dxa"/>
            <w:vAlign w:val="bottom"/>
            <w:tcBorders>
              <w:top w:val="single" w:sz="8" w:color="auto"/>
            </w:tcBorders>
          </w:tcPr>
          <w:p>
            <w:pPr>
              <w:jc w:val="center"/>
              <w:spacing w:after="0" w:line="129" w:lineRule="exact"/>
              <w:rPr>
                <w:sz w:val="20"/>
                <w:szCs w:val="20"/>
                <w:color w:val="auto"/>
              </w:rPr>
            </w:pPr>
            <w:r>
              <w:rPr>
                <w:rFonts w:ascii="Arial" w:cs="Arial" w:eastAsia="Arial" w:hAnsi="Arial"/>
                <w:sz w:val="14"/>
                <w:szCs w:val="14"/>
                <w:b w:val="1"/>
                <w:bCs w:val="1"/>
                <w:color w:val="auto"/>
                <w:w w:val="87"/>
              </w:rPr>
              <w:t>Combined</w:t>
            </w:r>
          </w:p>
        </w:tc>
        <w:tc>
          <w:tcPr>
            <w:tcW w:w="100" w:type="dxa"/>
            <w:vAlign w:val="bottom"/>
          </w:tcPr>
          <w:p>
            <w:pPr>
              <w:spacing w:after="0"/>
              <w:rPr>
                <w:sz w:val="11"/>
                <w:szCs w:val="11"/>
                <w:color w:val="auto"/>
              </w:rPr>
            </w:pPr>
          </w:p>
        </w:tc>
      </w:tr>
      <w:tr>
        <w:trPr>
          <w:trHeight w:val="149"/>
        </w:trPr>
        <w:tc>
          <w:tcPr>
            <w:tcW w:w="48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5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7"/>
              </w:rPr>
              <w:t>GM</w:t>
            </w:r>
          </w:p>
        </w:tc>
        <w:tc>
          <w:tcPr>
            <w:tcW w:w="3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2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7"/>
              </w:rPr>
              <w:t>GM and</w:t>
            </w:r>
          </w:p>
        </w:tc>
        <w:tc>
          <w:tcPr>
            <w:tcW w:w="6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0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3"/>
              </w:rPr>
              <w:t>GM and</w:t>
            </w:r>
          </w:p>
        </w:tc>
      </w:tr>
      <w:tr>
        <w:trPr>
          <w:trHeight w:val="149"/>
        </w:trPr>
        <w:tc>
          <w:tcPr>
            <w:tcW w:w="48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40" w:type="dxa"/>
            <w:vAlign w:val="bottom"/>
          </w:tcPr>
          <w:p>
            <w:pPr>
              <w:jc w:val="right"/>
              <w:ind w:right="132"/>
              <w:spacing w:after="0" w:line="149" w:lineRule="exact"/>
              <w:rPr>
                <w:sz w:val="20"/>
                <w:szCs w:val="20"/>
                <w:color w:val="auto"/>
              </w:rPr>
            </w:pPr>
            <w:r>
              <w:rPr>
                <w:rFonts w:ascii="Arial" w:cs="Arial" w:eastAsia="Arial" w:hAnsi="Arial"/>
                <w:sz w:val="14"/>
                <w:szCs w:val="14"/>
                <w:b w:val="1"/>
                <w:bCs w:val="1"/>
                <w:color w:val="auto"/>
              </w:rPr>
              <w:t>GM</w:t>
            </w:r>
          </w:p>
        </w:tc>
        <w:tc>
          <w:tcPr>
            <w:tcW w:w="3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5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7"/>
              </w:rPr>
              <w:t>as a %</w:t>
            </w:r>
          </w:p>
        </w:tc>
        <w:tc>
          <w:tcPr>
            <w:tcW w:w="300" w:type="dxa"/>
            <w:vAlign w:val="bottom"/>
          </w:tcPr>
          <w:p>
            <w:pPr>
              <w:spacing w:after="0"/>
              <w:rPr>
                <w:sz w:val="12"/>
                <w:szCs w:val="12"/>
                <w:color w:val="auto"/>
              </w:rPr>
            </w:pPr>
          </w:p>
        </w:tc>
        <w:tc>
          <w:tcPr>
            <w:tcW w:w="620" w:type="dxa"/>
            <w:vAlign w:val="bottom"/>
          </w:tcPr>
          <w:p>
            <w:pPr>
              <w:jc w:val="right"/>
              <w:spacing w:after="0" w:line="149" w:lineRule="exact"/>
              <w:rPr>
                <w:sz w:val="20"/>
                <w:szCs w:val="20"/>
                <w:color w:val="auto"/>
              </w:rPr>
            </w:pPr>
            <w:r>
              <w:rPr>
                <w:rFonts w:ascii="Arial" w:cs="Arial" w:eastAsia="Arial" w:hAnsi="Arial"/>
                <w:sz w:val="14"/>
                <w:szCs w:val="14"/>
                <w:b w:val="1"/>
                <w:bCs w:val="1"/>
                <w:color w:val="auto"/>
                <w:w w:val="84"/>
              </w:rPr>
              <w:t>Combined</w:t>
            </w:r>
          </w:p>
        </w:tc>
        <w:tc>
          <w:tcPr>
            <w:tcW w:w="280" w:type="dxa"/>
            <w:vAlign w:val="bottom"/>
          </w:tcPr>
          <w:p>
            <w:pPr>
              <w:spacing w:after="0"/>
              <w:rPr>
                <w:sz w:val="12"/>
                <w:szCs w:val="12"/>
                <w:color w:val="auto"/>
              </w:rPr>
            </w:pPr>
          </w:p>
        </w:tc>
        <w:tc>
          <w:tcPr>
            <w:tcW w:w="92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rPr>
              <w:t>Old GM</w:t>
            </w:r>
          </w:p>
        </w:tc>
        <w:tc>
          <w:tcPr>
            <w:tcW w:w="900" w:type="dxa"/>
            <w:vAlign w:val="bottom"/>
            <w:gridSpan w:val="2"/>
          </w:tcPr>
          <w:p>
            <w:pPr>
              <w:jc w:val="right"/>
              <w:ind w:right="300"/>
              <w:spacing w:after="0" w:line="149" w:lineRule="exact"/>
              <w:rPr>
                <w:sz w:val="20"/>
                <w:szCs w:val="20"/>
                <w:color w:val="auto"/>
              </w:rPr>
            </w:pPr>
            <w:r>
              <w:rPr>
                <w:rFonts w:ascii="Arial" w:cs="Arial" w:eastAsia="Arial" w:hAnsi="Arial"/>
                <w:sz w:val="14"/>
                <w:szCs w:val="14"/>
                <w:b w:val="1"/>
                <w:bCs w:val="1"/>
                <w:color w:val="auto"/>
                <w:w w:val="84"/>
              </w:rPr>
              <w:t>Combined</w:t>
            </w:r>
          </w:p>
        </w:tc>
        <w:tc>
          <w:tcPr>
            <w:tcW w:w="70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6"/>
              </w:rPr>
              <w:t>Old GM</w:t>
            </w:r>
          </w:p>
        </w:tc>
      </w:tr>
      <w:tr>
        <w:trPr>
          <w:trHeight w:val="149"/>
        </w:trPr>
        <w:tc>
          <w:tcPr>
            <w:tcW w:w="48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40" w:type="dxa"/>
            <w:vAlign w:val="bottom"/>
          </w:tcPr>
          <w:p>
            <w:pPr>
              <w:jc w:val="right"/>
              <w:spacing w:after="0" w:line="149" w:lineRule="exact"/>
              <w:rPr>
                <w:sz w:val="20"/>
                <w:szCs w:val="20"/>
                <w:color w:val="auto"/>
              </w:rPr>
            </w:pPr>
            <w:r>
              <w:rPr>
                <w:rFonts w:ascii="Arial" w:cs="Arial" w:eastAsia="Arial" w:hAnsi="Arial"/>
                <w:sz w:val="14"/>
                <w:szCs w:val="14"/>
                <w:b w:val="1"/>
                <w:bCs w:val="1"/>
                <w:color w:val="auto"/>
                <w:w w:val="95"/>
              </w:rPr>
              <w:t>as a % of</w:t>
            </w:r>
          </w:p>
        </w:tc>
        <w:tc>
          <w:tcPr>
            <w:tcW w:w="3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5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75"/>
              </w:rPr>
              <w:t>of</w:t>
            </w:r>
          </w:p>
        </w:tc>
        <w:tc>
          <w:tcPr>
            <w:tcW w:w="300" w:type="dxa"/>
            <w:vAlign w:val="bottom"/>
          </w:tcPr>
          <w:p>
            <w:pPr>
              <w:spacing w:after="0"/>
              <w:rPr>
                <w:sz w:val="12"/>
                <w:szCs w:val="12"/>
                <w:color w:val="auto"/>
              </w:rPr>
            </w:pPr>
          </w:p>
        </w:tc>
        <w:tc>
          <w:tcPr>
            <w:tcW w:w="620" w:type="dxa"/>
            <w:vAlign w:val="bottom"/>
          </w:tcPr>
          <w:p>
            <w:pPr>
              <w:jc w:val="right"/>
              <w:ind w:right="12"/>
              <w:spacing w:after="0" w:line="149" w:lineRule="exact"/>
              <w:rPr>
                <w:sz w:val="20"/>
                <w:szCs w:val="20"/>
                <w:color w:val="auto"/>
              </w:rPr>
            </w:pPr>
            <w:r>
              <w:rPr>
                <w:rFonts w:ascii="Arial" w:cs="Arial" w:eastAsia="Arial" w:hAnsi="Arial"/>
                <w:sz w:val="14"/>
                <w:szCs w:val="14"/>
                <w:b w:val="1"/>
                <w:bCs w:val="1"/>
                <w:color w:val="auto"/>
              </w:rPr>
              <w:t>GM and</w:t>
            </w:r>
          </w:p>
        </w:tc>
        <w:tc>
          <w:tcPr>
            <w:tcW w:w="280" w:type="dxa"/>
            <w:vAlign w:val="bottom"/>
          </w:tcPr>
          <w:p>
            <w:pPr>
              <w:spacing w:after="0"/>
              <w:rPr>
                <w:sz w:val="12"/>
                <w:szCs w:val="12"/>
                <w:color w:val="auto"/>
              </w:rPr>
            </w:pPr>
          </w:p>
        </w:tc>
        <w:tc>
          <w:tcPr>
            <w:tcW w:w="92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88"/>
              </w:rPr>
              <w:t>as a % of</w:t>
            </w:r>
          </w:p>
        </w:tc>
        <w:tc>
          <w:tcPr>
            <w:tcW w:w="900" w:type="dxa"/>
            <w:vAlign w:val="bottom"/>
            <w:gridSpan w:val="2"/>
          </w:tcPr>
          <w:p>
            <w:pPr>
              <w:jc w:val="right"/>
              <w:ind w:right="360"/>
              <w:spacing w:after="0" w:line="149" w:lineRule="exact"/>
              <w:rPr>
                <w:sz w:val="20"/>
                <w:szCs w:val="20"/>
                <w:color w:val="auto"/>
              </w:rPr>
            </w:pPr>
            <w:r>
              <w:rPr>
                <w:rFonts w:ascii="Arial" w:cs="Arial" w:eastAsia="Arial" w:hAnsi="Arial"/>
                <w:sz w:val="14"/>
                <w:szCs w:val="14"/>
                <w:b w:val="1"/>
                <w:bCs w:val="1"/>
                <w:color w:val="auto"/>
              </w:rPr>
              <w:t>GM and</w:t>
            </w:r>
          </w:p>
        </w:tc>
        <w:tc>
          <w:tcPr>
            <w:tcW w:w="70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85"/>
              </w:rPr>
              <w:t>as a % of</w:t>
            </w:r>
          </w:p>
        </w:tc>
      </w:tr>
      <w:tr>
        <w:trPr>
          <w:trHeight w:val="161"/>
        </w:trPr>
        <w:tc>
          <w:tcPr>
            <w:tcW w:w="4860" w:type="dxa"/>
            <w:vAlign w:val="bottom"/>
          </w:tcPr>
          <w:p>
            <w:pPr>
              <w:spacing w:after="0"/>
              <w:rPr>
                <w:sz w:val="14"/>
                <w:szCs w:val="14"/>
                <w:color w:val="auto"/>
              </w:rPr>
            </w:pPr>
          </w:p>
        </w:tc>
        <w:tc>
          <w:tcPr>
            <w:tcW w:w="400" w:type="dxa"/>
            <w:vAlign w:val="bottom"/>
            <w:gridSpan w:val="2"/>
          </w:tcPr>
          <w:p>
            <w:pPr>
              <w:jc w:val="right"/>
              <w:ind w:right="100"/>
              <w:spacing w:after="0"/>
              <w:rPr>
                <w:sz w:val="20"/>
                <w:szCs w:val="20"/>
                <w:color w:val="auto"/>
              </w:rPr>
            </w:pPr>
            <w:r>
              <w:rPr>
                <w:rFonts w:ascii="Arial" w:cs="Arial" w:eastAsia="Arial" w:hAnsi="Arial"/>
                <w:sz w:val="14"/>
                <w:szCs w:val="14"/>
                <w:b w:val="1"/>
                <w:bCs w:val="1"/>
                <w:color w:val="auto"/>
              </w:rPr>
              <w:t>GM</w:t>
            </w:r>
          </w:p>
        </w:tc>
        <w:tc>
          <w:tcPr>
            <w:tcW w:w="24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Arial" w:cs="Arial" w:eastAsia="Arial" w:hAnsi="Arial"/>
                <w:sz w:val="14"/>
                <w:szCs w:val="14"/>
                <w:b w:val="1"/>
                <w:bCs w:val="1"/>
                <w:color w:val="auto"/>
              </w:rPr>
              <w:t>Industry</w:t>
            </w:r>
          </w:p>
        </w:tc>
        <w:tc>
          <w:tcPr>
            <w:tcW w:w="300" w:type="dxa"/>
            <w:vAlign w:val="bottom"/>
          </w:tcPr>
          <w:p>
            <w:pPr>
              <w:spacing w:after="0"/>
              <w:rPr>
                <w:sz w:val="14"/>
                <w:szCs w:val="14"/>
                <w:color w:val="auto"/>
              </w:rPr>
            </w:pPr>
          </w:p>
        </w:tc>
        <w:tc>
          <w:tcPr>
            <w:tcW w:w="760" w:type="dxa"/>
            <w:vAlign w:val="bottom"/>
            <w:gridSpan w:val="2"/>
          </w:tcPr>
          <w:p>
            <w:pPr>
              <w:ind w:left="100"/>
              <w:spacing w:after="0"/>
              <w:rPr>
                <w:sz w:val="20"/>
                <w:szCs w:val="20"/>
                <w:color w:val="auto"/>
              </w:rPr>
            </w:pPr>
            <w:r>
              <w:rPr>
                <w:rFonts w:ascii="Arial" w:cs="Arial" w:eastAsia="Arial" w:hAnsi="Arial"/>
                <w:sz w:val="14"/>
                <w:szCs w:val="14"/>
                <w:b w:val="1"/>
                <w:bCs w:val="1"/>
                <w:color w:val="auto"/>
              </w:rPr>
              <w:t>GM</w:t>
            </w:r>
          </w:p>
        </w:tc>
        <w:tc>
          <w:tcPr>
            <w:tcW w:w="500" w:type="dxa"/>
            <w:vAlign w:val="bottom"/>
          </w:tcPr>
          <w:p>
            <w:pPr>
              <w:jc w:val="center"/>
              <w:spacing w:after="0"/>
              <w:rPr>
                <w:sz w:val="20"/>
                <w:szCs w:val="20"/>
                <w:color w:val="auto"/>
              </w:rPr>
            </w:pPr>
            <w:r>
              <w:rPr>
                <w:rFonts w:ascii="Arial" w:cs="Arial" w:eastAsia="Arial" w:hAnsi="Arial"/>
                <w:sz w:val="14"/>
                <w:szCs w:val="14"/>
                <w:b w:val="1"/>
                <w:bCs w:val="1"/>
                <w:color w:val="auto"/>
                <w:w w:val="90"/>
              </w:rPr>
              <w:t>Industry</w:t>
            </w:r>
          </w:p>
        </w:tc>
        <w:tc>
          <w:tcPr>
            <w:tcW w:w="300" w:type="dxa"/>
            <w:vAlign w:val="bottom"/>
          </w:tcPr>
          <w:p>
            <w:pPr>
              <w:spacing w:after="0"/>
              <w:rPr>
                <w:sz w:val="14"/>
                <w:szCs w:val="14"/>
                <w:color w:val="auto"/>
              </w:rPr>
            </w:pPr>
          </w:p>
        </w:tc>
        <w:tc>
          <w:tcPr>
            <w:tcW w:w="620" w:type="dxa"/>
            <w:vAlign w:val="bottom"/>
          </w:tcPr>
          <w:p>
            <w:pPr>
              <w:jc w:val="right"/>
              <w:ind w:right="12"/>
              <w:spacing w:after="0"/>
              <w:rPr>
                <w:sz w:val="20"/>
                <w:szCs w:val="20"/>
                <w:color w:val="auto"/>
              </w:rPr>
            </w:pPr>
            <w:r>
              <w:rPr>
                <w:rFonts w:ascii="Arial" w:cs="Arial" w:eastAsia="Arial" w:hAnsi="Arial"/>
                <w:sz w:val="14"/>
                <w:szCs w:val="14"/>
                <w:b w:val="1"/>
                <w:bCs w:val="1"/>
                <w:color w:val="auto"/>
              </w:rPr>
              <w:t>Old GM</w:t>
            </w:r>
          </w:p>
        </w:tc>
        <w:tc>
          <w:tcPr>
            <w:tcW w:w="280" w:type="dxa"/>
            <w:vAlign w:val="bottom"/>
          </w:tcPr>
          <w:p>
            <w:pPr>
              <w:spacing w:after="0"/>
              <w:rPr>
                <w:sz w:val="14"/>
                <w:szCs w:val="14"/>
                <w:color w:val="auto"/>
              </w:rPr>
            </w:pPr>
          </w:p>
        </w:tc>
        <w:tc>
          <w:tcPr>
            <w:tcW w:w="92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0"/>
              </w:rPr>
              <w:t>Industry</w:t>
            </w:r>
          </w:p>
        </w:tc>
        <w:tc>
          <w:tcPr>
            <w:tcW w:w="900" w:type="dxa"/>
            <w:vAlign w:val="bottom"/>
            <w:gridSpan w:val="2"/>
          </w:tcPr>
          <w:p>
            <w:pPr>
              <w:jc w:val="right"/>
              <w:ind w:right="360"/>
              <w:spacing w:after="0"/>
              <w:rPr>
                <w:sz w:val="20"/>
                <w:szCs w:val="20"/>
                <w:color w:val="auto"/>
              </w:rPr>
            </w:pPr>
            <w:r>
              <w:rPr>
                <w:rFonts w:ascii="Arial" w:cs="Arial" w:eastAsia="Arial" w:hAnsi="Arial"/>
                <w:sz w:val="14"/>
                <w:szCs w:val="14"/>
                <w:b w:val="1"/>
                <w:bCs w:val="1"/>
                <w:color w:val="auto"/>
              </w:rPr>
              <w:t>Old GM</w:t>
            </w:r>
          </w:p>
        </w:tc>
        <w:tc>
          <w:tcPr>
            <w:tcW w:w="70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90"/>
              </w:rPr>
              <w:t>Industry</w:t>
            </w:r>
          </w:p>
        </w:tc>
      </w:tr>
      <w:tr>
        <w:trPr>
          <w:trHeight w:val="210"/>
        </w:trPr>
        <w:tc>
          <w:tcPr>
            <w:tcW w:w="4860" w:type="dxa"/>
            <w:vAlign w:val="bottom"/>
            <w:shd w:val="clear" w:color="auto" w:fill="CCEEFF"/>
          </w:tcPr>
          <w:p>
            <w:pPr>
              <w:spacing w:after="0"/>
              <w:rPr>
                <w:sz w:val="20"/>
                <w:szCs w:val="20"/>
                <w:color w:val="auto"/>
              </w:rPr>
            </w:pPr>
            <w:r>
              <w:rPr>
                <w:rFonts w:ascii="Arial" w:cs="Arial" w:eastAsia="Arial" w:hAnsi="Arial"/>
                <w:sz w:val="18"/>
                <w:szCs w:val="18"/>
                <w:color w:val="auto"/>
              </w:rPr>
              <w:t>Vehicle Sales (a)(b)(c)(d)(e)</w:t>
            </w:r>
          </w:p>
        </w:tc>
        <w:tc>
          <w:tcPr>
            <w:tcW w:w="340" w:type="dxa"/>
            <w:vAlign w:val="bottom"/>
            <w:tcBorders>
              <w:top w:val="single" w:sz="8" w:color="auto"/>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4860" w:type="dxa"/>
            <w:vAlign w:val="bottom"/>
          </w:tcPr>
          <w:p>
            <w:pPr>
              <w:spacing w:after="0"/>
              <w:rPr>
                <w:sz w:val="20"/>
                <w:szCs w:val="20"/>
                <w:color w:val="auto"/>
              </w:rPr>
            </w:pPr>
            <w:r>
              <w:rPr>
                <w:rFonts w:ascii="Arial" w:cs="Arial" w:eastAsia="Arial" w:hAnsi="Arial"/>
                <w:sz w:val="18"/>
                <w:szCs w:val="18"/>
                <w:color w:val="auto"/>
              </w:rPr>
              <w:t>Total GME</w:t>
            </w:r>
          </w:p>
        </w:tc>
        <w:tc>
          <w:tcPr>
            <w:tcW w:w="400" w:type="dxa"/>
            <w:vAlign w:val="bottom"/>
            <w:gridSpan w:val="2"/>
          </w:tcPr>
          <w:p>
            <w:pPr>
              <w:jc w:val="right"/>
              <w:ind w:right="60"/>
              <w:spacing w:after="0"/>
              <w:rPr>
                <w:sz w:val="20"/>
                <w:szCs w:val="20"/>
                <w:color w:val="auto"/>
              </w:rPr>
            </w:pPr>
            <w:r>
              <w:rPr>
                <w:rFonts w:ascii="Arial" w:cs="Arial" w:eastAsia="Arial" w:hAnsi="Arial"/>
                <w:sz w:val="18"/>
                <w:szCs w:val="18"/>
                <w:color w:val="auto"/>
              </w:rPr>
              <w:t>391</w:t>
            </w: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8.9%</w:t>
            </w:r>
          </w:p>
        </w:tc>
        <w:tc>
          <w:tcPr>
            <w:tcW w:w="1060" w:type="dxa"/>
            <w:vAlign w:val="bottom"/>
            <w:gridSpan w:val="3"/>
          </w:tcPr>
          <w:p>
            <w:pPr>
              <w:jc w:val="right"/>
              <w:ind w:right="300"/>
              <w:spacing w:after="0"/>
              <w:rPr>
                <w:sz w:val="20"/>
                <w:szCs w:val="20"/>
                <w:color w:val="auto"/>
              </w:rPr>
            </w:pPr>
            <w:r>
              <w:rPr>
                <w:rFonts w:ascii="Arial" w:cs="Arial" w:eastAsia="Arial" w:hAnsi="Arial"/>
                <w:sz w:val="18"/>
                <w:szCs w:val="18"/>
                <w:color w:val="auto"/>
              </w:rPr>
              <w:t>1,238</w:t>
            </w:r>
          </w:p>
        </w:tc>
        <w:tc>
          <w:tcPr>
            <w:tcW w:w="500" w:type="dxa"/>
            <w:vAlign w:val="bottom"/>
          </w:tcPr>
          <w:p>
            <w:pPr>
              <w:jc w:val="right"/>
              <w:spacing w:after="0"/>
              <w:rPr>
                <w:sz w:val="20"/>
                <w:szCs w:val="20"/>
                <w:color w:val="auto"/>
              </w:rPr>
            </w:pPr>
            <w:r>
              <w:rPr>
                <w:rFonts w:ascii="Arial" w:cs="Arial" w:eastAsia="Arial" w:hAnsi="Arial"/>
                <w:sz w:val="18"/>
                <w:szCs w:val="18"/>
                <w:color w:val="auto"/>
              </w:rPr>
              <w:t>8.7%</w:t>
            </w: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409</w:t>
            </w:r>
          </w:p>
        </w:tc>
        <w:tc>
          <w:tcPr>
            <w:tcW w:w="1200" w:type="dxa"/>
            <w:vAlign w:val="bottom"/>
            <w:gridSpan w:val="3"/>
          </w:tcPr>
          <w:p>
            <w:pPr>
              <w:jc w:val="right"/>
              <w:ind w:right="300"/>
              <w:spacing w:after="0"/>
              <w:rPr>
                <w:sz w:val="20"/>
                <w:szCs w:val="20"/>
                <w:color w:val="auto"/>
              </w:rPr>
            </w:pPr>
            <w:r>
              <w:rPr>
                <w:rFonts w:ascii="Arial" w:cs="Arial" w:eastAsia="Arial" w:hAnsi="Arial"/>
                <w:sz w:val="18"/>
                <w:szCs w:val="18"/>
                <w:color w:val="auto"/>
              </w:rPr>
              <w:t>9.0%</w:t>
            </w:r>
          </w:p>
        </w:tc>
        <w:tc>
          <w:tcPr>
            <w:tcW w:w="900" w:type="dxa"/>
            <w:vAlign w:val="bottom"/>
            <w:gridSpan w:val="2"/>
          </w:tcPr>
          <w:p>
            <w:pPr>
              <w:jc w:val="right"/>
              <w:ind w:right="300"/>
              <w:spacing w:after="0"/>
              <w:rPr>
                <w:sz w:val="20"/>
                <w:szCs w:val="20"/>
                <w:color w:val="auto"/>
              </w:rPr>
            </w:pPr>
            <w:r>
              <w:rPr>
                <w:rFonts w:ascii="Arial" w:cs="Arial" w:eastAsia="Arial" w:hAnsi="Arial"/>
                <w:sz w:val="18"/>
                <w:szCs w:val="18"/>
                <w:color w:val="auto"/>
              </w:rPr>
              <w:t>1,290</w:t>
            </w:r>
          </w:p>
        </w:tc>
        <w:tc>
          <w:tcPr>
            <w:tcW w:w="600" w:type="dxa"/>
            <w:vAlign w:val="bottom"/>
          </w:tcPr>
          <w:p>
            <w:pPr>
              <w:jc w:val="right"/>
              <w:spacing w:after="0"/>
              <w:rPr>
                <w:sz w:val="20"/>
                <w:szCs w:val="20"/>
                <w:color w:val="auto"/>
              </w:rPr>
            </w:pPr>
            <w:r>
              <w:rPr>
                <w:rFonts w:ascii="Arial" w:cs="Arial" w:eastAsia="Arial" w:hAnsi="Arial"/>
                <w:sz w:val="18"/>
                <w:szCs w:val="18"/>
                <w:color w:val="auto"/>
              </w:rPr>
              <w:t>9.1%</w:t>
            </w:r>
          </w:p>
        </w:tc>
        <w:tc>
          <w:tcPr>
            <w:tcW w:w="100" w:type="dxa"/>
            <w:vAlign w:val="bottom"/>
          </w:tcPr>
          <w:p>
            <w:pPr>
              <w:spacing w:after="0"/>
              <w:rPr>
                <w:sz w:val="18"/>
                <w:szCs w:val="18"/>
                <w:color w:val="auto"/>
              </w:rPr>
            </w:pPr>
          </w:p>
        </w:tc>
      </w:tr>
      <w:tr>
        <w:trPr>
          <w:trHeight w:val="216"/>
        </w:trPr>
        <w:tc>
          <w:tcPr>
            <w:tcW w:w="4860" w:type="dxa"/>
            <w:vAlign w:val="bottom"/>
            <w:shd w:val="clear" w:color="auto" w:fill="CCEEFF"/>
          </w:tcPr>
          <w:p>
            <w:pPr>
              <w:spacing w:after="0"/>
              <w:rPr>
                <w:sz w:val="20"/>
                <w:szCs w:val="20"/>
                <w:color w:val="auto"/>
              </w:rPr>
            </w:pPr>
            <w:r>
              <w:rPr>
                <w:rFonts w:ascii="Arial" w:cs="Arial" w:eastAsia="Arial" w:hAnsi="Arial"/>
                <w:sz w:val="18"/>
                <w:szCs w:val="18"/>
                <w:color w:val="auto"/>
              </w:rPr>
              <w:t>United Kingdom</w:t>
            </w:r>
          </w:p>
        </w:tc>
        <w:tc>
          <w:tcPr>
            <w:tcW w:w="4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76</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12.6%</w:t>
            </w:r>
          </w:p>
        </w:tc>
        <w:tc>
          <w:tcPr>
            <w:tcW w:w="106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233</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12.7%</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78</w:t>
            </w:r>
          </w:p>
        </w:tc>
        <w:tc>
          <w:tcPr>
            <w:tcW w:w="120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12.0%</w:t>
            </w:r>
          </w:p>
        </w:tc>
        <w:tc>
          <w:tcPr>
            <w:tcW w:w="9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228</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13.5%</w:t>
            </w:r>
          </w:p>
        </w:tc>
        <w:tc>
          <w:tcPr>
            <w:tcW w:w="100" w:type="dxa"/>
            <w:vAlign w:val="bottom"/>
            <w:shd w:val="clear" w:color="auto" w:fill="CCEEFF"/>
          </w:tcPr>
          <w:p>
            <w:pPr>
              <w:spacing w:after="0"/>
              <w:rPr>
                <w:sz w:val="18"/>
                <w:szCs w:val="18"/>
                <w:color w:val="auto"/>
              </w:rPr>
            </w:pPr>
          </w:p>
        </w:tc>
      </w:tr>
      <w:tr>
        <w:trPr>
          <w:trHeight w:val="216"/>
        </w:trPr>
        <w:tc>
          <w:tcPr>
            <w:tcW w:w="4860" w:type="dxa"/>
            <w:vAlign w:val="bottom"/>
          </w:tcPr>
          <w:p>
            <w:pPr>
              <w:spacing w:after="0"/>
              <w:rPr>
                <w:sz w:val="20"/>
                <w:szCs w:val="20"/>
                <w:color w:val="auto"/>
              </w:rPr>
            </w:pPr>
            <w:r>
              <w:rPr>
                <w:rFonts w:ascii="Arial" w:cs="Arial" w:eastAsia="Arial" w:hAnsi="Arial"/>
                <w:sz w:val="18"/>
                <w:szCs w:val="18"/>
                <w:color w:val="auto"/>
              </w:rPr>
              <w:t>Germany</w:t>
            </w:r>
          </w:p>
        </w:tc>
        <w:tc>
          <w:tcPr>
            <w:tcW w:w="400" w:type="dxa"/>
            <w:vAlign w:val="bottom"/>
            <w:gridSpan w:val="2"/>
          </w:tcPr>
          <w:p>
            <w:pPr>
              <w:jc w:val="right"/>
              <w:ind w:right="60"/>
              <w:spacing w:after="0"/>
              <w:rPr>
                <w:sz w:val="20"/>
                <w:szCs w:val="20"/>
                <w:color w:val="auto"/>
              </w:rPr>
            </w:pPr>
            <w:r>
              <w:rPr>
                <w:rFonts w:ascii="Arial" w:cs="Arial" w:eastAsia="Arial" w:hAnsi="Arial"/>
                <w:sz w:val="18"/>
                <w:szCs w:val="18"/>
                <w:color w:val="auto"/>
              </w:rPr>
              <w:t>66</w:t>
            </w: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8.5%</w:t>
            </w:r>
          </w:p>
        </w:tc>
        <w:tc>
          <w:tcPr>
            <w:tcW w:w="1060" w:type="dxa"/>
            <w:vAlign w:val="bottom"/>
            <w:gridSpan w:val="3"/>
          </w:tcPr>
          <w:p>
            <w:pPr>
              <w:jc w:val="right"/>
              <w:ind w:right="300"/>
              <w:spacing w:after="0"/>
              <w:rPr>
                <w:sz w:val="20"/>
                <w:szCs w:val="20"/>
                <w:color w:val="auto"/>
              </w:rPr>
            </w:pPr>
            <w:r>
              <w:rPr>
                <w:rFonts w:ascii="Arial" w:cs="Arial" w:eastAsia="Arial" w:hAnsi="Arial"/>
                <w:sz w:val="18"/>
                <w:szCs w:val="18"/>
                <w:color w:val="auto"/>
              </w:rPr>
              <w:t>195</w:t>
            </w:r>
          </w:p>
        </w:tc>
        <w:tc>
          <w:tcPr>
            <w:tcW w:w="500" w:type="dxa"/>
            <w:vAlign w:val="bottom"/>
          </w:tcPr>
          <w:p>
            <w:pPr>
              <w:jc w:val="right"/>
              <w:spacing w:after="0"/>
              <w:rPr>
                <w:sz w:val="20"/>
                <w:szCs w:val="20"/>
                <w:color w:val="auto"/>
              </w:rPr>
            </w:pPr>
            <w:r>
              <w:rPr>
                <w:rFonts w:ascii="Arial" w:cs="Arial" w:eastAsia="Arial" w:hAnsi="Arial"/>
                <w:sz w:val="18"/>
                <w:szCs w:val="18"/>
                <w:color w:val="auto"/>
              </w:rPr>
              <w:t>8.2%</w:t>
            </w: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93</w:t>
            </w:r>
          </w:p>
        </w:tc>
        <w:tc>
          <w:tcPr>
            <w:tcW w:w="1200" w:type="dxa"/>
            <w:vAlign w:val="bottom"/>
            <w:gridSpan w:val="3"/>
          </w:tcPr>
          <w:p>
            <w:pPr>
              <w:jc w:val="right"/>
              <w:ind w:right="300"/>
              <w:spacing w:after="0"/>
              <w:rPr>
                <w:sz w:val="20"/>
                <w:szCs w:val="20"/>
                <w:color w:val="auto"/>
              </w:rPr>
            </w:pPr>
            <w:r>
              <w:rPr>
                <w:rFonts w:ascii="Arial" w:cs="Arial" w:eastAsia="Arial" w:hAnsi="Arial"/>
                <w:sz w:val="18"/>
                <w:szCs w:val="18"/>
                <w:color w:val="auto"/>
              </w:rPr>
              <w:t>9.4%</w:t>
            </w:r>
          </w:p>
        </w:tc>
        <w:tc>
          <w:tcPr>
            <w:tcW w:w="900" w:type="dxa"/>
            <w:vAlign w:val="bottom"/>
            <w:gridSpan w:val="2"/>
          </w:tcPr>
          <w:p>
            <w:pPr>
              <w:jc w:val="right"/>
              <w:ind w:right="300"/>
              <w:spacing w:after="0"/>
              <w:rPr>
                <w:sz w:val="20"/>
                <w:szCs w:val="20"/>
                <w:color w:val="auto"/>
              </w:rPr>
            </w:pPr>
            <w:r>
              <w:rPr>
                <w:rFonts w:ascii="Arial" w:cs="Arial" w:eastAsia="Arial" w:hAnsi="Arial"/>
                <w:sz w:val="18"/>
                <w:szCs w:val="18"/>
                <w:color w:val="auto"/>
              </w:rPr>
              <w:t>304</w:t>
            </w:r>
          </w:p>
        </w:tc>
        <w:tc>
          <w:tcPr>
            <w:tcW w:w="600" w:type="dxa"/>
            <w:vAlign w:val="bottom"/>
          </w:tcPr>
          <w:p>
            <w:pPr>
              <w:jc w:val="right"/>
              <w:spacing w:after="0"/>
              <w:rPr>
                <w:sz w:val="20"/>
                <w:szCs w:val="20"/>
                <w:color w:val="auto"/>
              </w:rPr>
            </w:pPr>
            <w:r>
              <w:rPr>
                <w:rFonts w:ascii="Arial" w:cs="Arial" w:eastAsia="Arial" w:hAnsi="Arial"/>
                <w:sz w:val="18"/>
                <w:szCs w:val="18"/>
                <w:color w:val="auto"/>
              </w:rPr>
              <w:t>9.6%</w:t>
            </w:r>
          </w:p>
        </w:tc>
        <w:tc>
          <w:tcPr>
            <w:tcW w:w="100" w:type="dxa"/>
            <w:vAlign w:val="bottom"/>
          </w:tcPr>
          <w:p>
            <w:pPr>
              <w:spacing w:after="0"/>
              <w:rPr>
                <w:sz w:val="18"/>
                <w:szCs w:val="18"/>
                <w:color w:val="auto"/>
              </w:rPr>
            </w:pPr>
          </w:p>
        </w:tc>
      </w:tr>
      <w:tr>
        <w:trPr>
          <w:trHeight w:val="216"/>
        </w:trPr>
        <w:tc>
          <w:tcPr>
            <w:tcW w:w="4860" w:type="dxa"/>
            <w:vAlign w:val="bottom"/>
            <w:shd w:val="clear" w:color="auto" w:fill="CCEEFF"/>
          </w:tcPr>
          <w:p>
            <w:pPr>
              <w:spacing w:after="0"/>
              <w:rPr>
                <w:sz w:val="20"/>
                <w:szCs w:val="20"/>
                <w:color w:val="auto"/>
              </w:rPr>
            </w:pPr>
            <w:r>
              <w:rPr>
                <w:rFonts w:ascii="Arial" w:cs="Arial" w:eastAsia="Arial" w:hAnsi="Arial"/>
                <w:sz w:val="18"/>
                <w:szCs w:val="18"/>
                <w:color w:val="auto"/>
              </w:rPr>
              <w:t>Italy</w:t>
            </w:r>
          </w:p>
        </w:tc>
        <w:tc>
          <w:tcPr>
            <w:tcW w:w="4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34</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8.3%</w:t>
            </w:r>
          </w:p>
        </w:tc>
        <w:tc>
          <w:tcPr>
            <w:tcW w:w="106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130</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42</w:t>
            </w:r>
          </w:p>
        </w:tc>
        <w:tc>
          <w:tcPr>
            <w:tcW w:w="120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8.0%</w:t>
            </w:r>
          </w:p>
        </w:tc>
        <w:tc>
          <w:tcPr>
            <w:tcW w:w="9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144</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w:t>
            </w:r>
          </w:p>
        </w:tc>
        <w:tc>
          <w:tcPr>
            <w:tcW w:w="100" w:type="dxa"/>
            <w:vAlign w:val="bottom"/>
            <w:shd w:val="clear" w:color="auto" w:fill="CCEEFF"/>
          </w:tcPr>
          <w:p>
            <w:pPr>
              <w:spacing w:after="0"/>
              <w:rPr>
                <w:sz w:val="18"/>
                <w:szCs w:val="18"/>
                <w:color w:val="auto"/>
              </w:rPr>
            </w:pPr>
          </w:p>
        </w:tc>
      </w:tr>
      <w:tr>
        <w:trPr>
          <w:trHeight w:val="216"/>
        </w:trPr>
        <w:tc>
          <w:tcPr>
            <w:tcW w:w="4860" w:type="dxa"/>
            <w:vAlign w:val="bottom"/>
          </w:tcPr>
          <w:p>
            <w:pPr>
              <w:spacing w:after="0"/>
              <w:rPr>
                <w:sz w:val="20"/>
                <w:szCs w:val="20"/>
                <w:color w:val="auto"/>
              </w:rPr>
            </w:pPr>
            <w:r>
              <w:rPr>
                <w:rFonts w:ascii="Arial" w:cs="Arial" w:eastAsia="Arial" w:hAnsi="Arial"/>
                <w:sz w:val="18"/>
                <w:szCs w:val="18"/>
                <w:color w:val="auto"/>
              </w:rPr>
              <w:t>Spain</w:t>
            </w:r>
          </w:p>
        </w:tc>
        <w:tc>
          <w:tcPr>
            <w:tcW w:w="400" w:type="dxa"/>
            <w:vAlign w:val="bottom"/>
            <w:gridSpan w:val="2"/>
          </w:tcPr>
          <w:p>
            <w:pPr>
              <w:jc w:val="right"/>
              <w:ind w:right="60"/>
              <w:spacing w:after="0"/>
              <w:rPr>
                <w:sz w:val="20"/>
                <w:szCs w:val="20"/>
                <w:color w:val="auto"/>
              </w:rPr>
            </w:pPr>
            <w:r>
              <w:rPr>
                <w:rFonts w:ascii="Arial" w:cs="Arial" w:eastAsia="Arial" w:hAnsi="Arial"/>
                <w:sz w:val="18"/>
                <w:szCs w:val="18"/>
                <w:color w:val="auto"/>
              </w:rPr>
              <w:t>17</w:t>
            </w: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8.3%</w:t>
            </w:r>
          </w:p>
        </w:tc>
        <w:tc>
          <w:tcPr>
            <w:tcW w:w="1060" w:type="dxa"/>
            <w:vAlign w:val="bottom"/>
            <w:gridSpan w:val="3"/>
          </w:tcPr>
          <w:p>
            <w:pPr>
              <w:jc w:val="right"/>
              <w:ind w:right="300"/>
              <w:spacing w:after="0"/>
              <w:rPr>
                <w:sz w:val="20"/>
                <w:szCs w:val="20"/>
                <w:color w:val="auto"/>
              </w:rPr>
            </w:pPr>
            <w:r>
              <w:rPr>
                <w:rFonts w:ascii="Arial" w:cs="Arial" w:eastAsia="Arial" w:hAnsi="Arial"/>
                <w:sz w:val="18"/>
                <w:szCs w:val="18"/>
                <w:color w:val="auto"/>
              </w:rPr>
              <w:t>80</w:t>
            </w:r>
          </w:p>
        </w:tc>
        <w:tc>
          <w:tcPr>
            <w:tcW w:w="500" w:type="dxa"/>
            <w:vAlign w:val="bottom"/>
          </w:tcPr>
          <w:p>
            <w:pPr>
              <w:jc w:val="right"/>
              <w:spacing w:after="0"/>
              <w:rPr>
                <w:sz w:val="20"/>
                <w:szCs w:val="20"/>
                <w:color w:val="auto"/>
              </w:rPr>
            </w:pPr>
            <w:r>
              <w:rPr>
                <w:rFonts w:ascii="Arial" w:cs="Arial" w:eastAsia="Arial" w:hAnsi="Arial"/>
                <w:sz w:val="18"/>
                <w:szCs w:val="18"/>
                <w:color w:val="auto"/>
              </w:rPr>
              <w:t>9.0%</w:t>
            </w: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25</w:t>
            </w:r>
          </w:p>
        </w:tc>
        <w:tc>
          <w:tcPr>
            <w:tcW w:w="1200" w:type="dxa"/>
            <w:vAlign w:val="bottom"/>
            <w:gridSpan w:val="3"/>
          </w:tcPr>
          <w:p>
            <w:pPr>
              <w:jc w:val="right"/>
              <w:ind w:right="300"/>
              <w:spacing w:after="0"/>
              <w:rPr>
                <w:sz w:val="20"/>
                <w:szCs w:val="20"/>
                <w:color w:val="auto"/>
              </w:rPr>
            </w:pPr>
            <w:r>
              <w:rPr>
                <w:rFonts w:ascii="Arial" w:cs="Arial" w:eastAsia="Arial" w:hAnsi="Arial"/>
                <w:sz w:val="18"/>
                <w:szCs w:val="18"/>
                <w:color w:val="auto"/>
              </w:rPr>
              <w:t>9.1%</w:t>
            </w:r>
          </w:p>
        </w:tc>
        <w:tc>
          <w:tcPr>
            <w:tcW w:w="900" w:type="dxa"/>
            <w:vAlign w:val="bottom"/>
            <w:gridSpan w:val="2"/>
          </w:tcPr>
          <w:p>
            <w:pPr>
              <w:jc w:val="right"/>
              <w:ind w:right="300"/>
              <w:spacing w:after="0"/>
              <w:rPr>
                <w:sz w:val="20"/>
                <w:szCs w:val="20"/>
                <w:color w:val="auto"/>
              </w:rPr>
            </w:pPr>
            <w:r>
              <w:rPr>
                <w:rFonts w:ascii="Arial" w:cs="Arial" w:eastAsia="Arial" w:hAnsi="Arial"/>
                <w:sz w:val="18"/>
                <w:szCs w:val="18"/>
                <w:color w:val="auto"/>
              </w:rPr>
              <w:t>66</w:t>
            </w:r>
          </w:p>
        </w:tc>
        <w:tc>
          <w:tcPr>
            <w:tcW w:w="600" w:type="dxa"/>
            <w:vAlign w:val="bottom"/>
          </w:tcPr>
          <w:p>
            <w:pPr>
              <w:jc w:val="right"/>
              <w:spacing w:after="0"/>
              <w:rPr>
                <w:sz w:val="20"/>
                <w:szCs w:val="20"/>
                <w:color w:val="auto"/>
              </w:rPr>
            </w:pPr>
            <w:r>
              <w:rPr>
                <w:rFonts w:ascii="Arial" w:cs="Arial" w:eastAsia="Arial" w:hAnsi="Arial"/>
                <w:sz w:val="18"/>
                <w:szCs w:val="18"/>
                <w:color w:val="auto"/>
              </w:rPr>
              <w:t>8.7%</w:t>
            </w:r>
          </w:p>
        </w:tc>
        <w:tc>
          <w:tcPr>
            <w:tcW w:w="100" w:type="dxa"/>
            <w:vAlign w:val="bottom"/>
          </w:tcPr>
          <w:p>
            <w:pPr>
              <w:spacing w:after="0"/>
              <w:rPr>
                <w:sz w:val="18"/>
                <w:szCs w:val="18"/>
                <w:color w:val="auto"/>
              </w:rPr>
            </w:pPr>
          </w:p>
        </w:tc>
      </w:tr>
      <w:tr>
        <w:trPr>
          <w:trHeight w:val="216"/>
        </w:trPr>
        <w:tc>
          <w:tcPr>
            <w:tcW w:w="4860" w:type="dxa"/>
            <w:vAlign w:val="bottom"/>
            <w:shd w:val="clear" w:color="auto" w:fill="CCEEFF"/>
          </w:tcPr>
          <w:p>
            <w:pPr>
              <w:spacing w:after="0"/>
              <w:rPr>
                <w:sz w:val="20"/>
                <w:szCs w:val="20"/>
                <w:color w:val="auto"/>
              </w:rPr>
            </w:pPr>
            <w:r>
              <w:rPr>
                <w:rFonts w:ascii="Arial" w:cs="Arial" w:eastAsia="Arial" w:hAnsi="Arial"/>
                <w:sz w:val="18"/>
                <w:szCs w:val="18"/>
                <w:color w:val="auto"/>
              </w:rPr>
              <w:t>Russia</w:t>
            </w:r>
          </w:p>
        </w:tc>
        <w:tc>
          <w:tcPr>
            <w:tcW w:w="4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40</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7.3%</w:t>
            </w:r>
          </w:p>
        </w:tc>
        <w:tc>
          <w:tcPr>
            <w:tcW w:w="106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107</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120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8.3%</w:t>
            </w:r>
          </w:p>
        </w:tc>
        <w:tc>
          <w:tcPr>
            <w:tcW w:w="9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114</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w:t>
            </w:r>
          </w:p>
        </w:tc>
        <w:tc>
          <w:tcPr>
            <w:tcW w:w="100" w:type="dxa"/>
            <w:vAlign w:val="bottom"/>
            <w:shd w:val="clear" w:color="auto" w:fill="CCEEFF"/>
          </w:tcPr>
          <w:p>
            <w:pPr>
              <w:spacing w:after="0"/>
              <w:rPr>
                <w:sz w:val="18"/>
                <w:szCs w:val="18"/>
                <w:color w:val="auto"/>
              </w:rPr>
            </w:pPr>
          </w:p>
        </w:tc>
      </w:tr>
      <w:tr>
        <w:trPr>
          <w:trHeight w:val="222"/>
        </w:trPr>
        <w:tc>
          <w:tcPr>
            <w:tcW w:w="4860" w:type="dxa"/>
            <w:vAlign w:val="bottom"/>
          </w:tcPr>
          <w:p>
            <w:pPr>
              <w:spacing w:after="0"/>
              <w:rPr>
                <w:sz w:val="20"/>
                <w:szCs w:val="20"/>
                <w:color w:val="auto"/>
              </w:rPr>
            </w:pPr>
            <w:r>
              <w:rPr>
                <w:rFonts w:ascii="Arial" w:cs="Arial" w:eastAsia="Arial" w:hAnsi="Arial"/>
                <w:sz w:val="18"/>
                <w:szCs w:val="18"/>
                <w:color w:val="auto"/>
              </w:rPr>
              <w:t>France</w:t>
            </w:r>
          </w:p>
        </w:tc>
        <w:tc>
          <w:tcPr>
            <w:tcW w:w="400" w:type="dxa"/>
            <w:vAlign w:val="bottom"/>
            <w:gridSpan w:val="2"/>
          </w:tcPr>
          <w:p>
            <w:pPr>
              <w:jc w:val="right"/>
              <w:ind w:right="60"/>
              <w:spacing w:after="0"/>
              <w:rPr>
                <w:sz w:val="20"/>
                <w:szCs w:val="20"/>
                <w:color w:val="auto"/>
              </w:rPr>
            </w:pPr>
            <w:r>
              <w:rPr>
                <w:rFonts w:ascii="Arial" w:cs="Arial" w:eastAsia="Arial" w:hAnsi="Arial"/>
                <w:sz w:val="18"/>
                <w:szCs w:val="18"/>
                <w:color w:val="auto"/>
              </w:rPr>
              <w:t>23</w:t>
            </w: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4.3%</w:t>
            </w:r>
          </w:p>
        </w:tc>
        <w:tc>
          <w:tcPr>
            <w:tcW w:w="1060" w:type="dxa"/>
            <w:vAlign w:val="bottom"/>
            <w:gridSpan w:val="3"/>
          </w:tcPr>
          <w:p>
            <w:pPr>
              <w:jc w:val="right"/>
              <w:ind w:right="300"/>
              <w:spacing w:after="0"/>
              <w:rPr>
                <w:sz w:val="20"/>
                <w:szCs w:val="20"/>
                <w:color w:val="auto"/>
              </w:rPr>
            </w:pPr>
            <w:r>
              <w:rPr>
                <w:rFonts w:ascii="Arial" w:cs="Arial" w:eastAsia="Arial" w:hAnsi="Arial"/>
                <w:sz w:val="18"/>
                <w:szCs w:val="18"/>
                <w:color w:val="auto"/>
              </w:rPr>
              <w:t>87</w:t>
            </w:r>
          </w:p>
        </w:tc>
        <w:tc>
          <w:tcPr>
            <w:tcW w:w="500" w:type="dxa"/>
            <w:vAlign w:val="bottom"/>
          </w:tcPr>
          <w:p>
            <w:pPr>
              <w:jc w:val="right"/>
              <w:spacing w:after="0"/>
              <w:rPr>
                <w:sz w:val="20"/>
                <w:szCs w:val="20"/>
                <w:color w:val="auto"/>
              </w:rPr>
            </w:pPr>
            <w:r>
              <w:rPr>
                <w:rFonts w:ascii="Arial" w:cs="Arial" w:eastAsia="Arial" w:hAnsi="Arial"/>
                <w:sz w:val="18"/>
                <w:szCs w:val="18"/>
                <w:color w:val="auto"/>
              </w:rPr>
              <w:t>4.4%</w:t>
            </w: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29</w:t>
            </w:r>
          </w:p>
        </w:tc>
        <w:tc>
          <w:tcPr>
            <w:tcW w:w="1200" w:type="dxa"/>
            <w:vAlign w:val="bottom"/>
            <w:gridSpan w:val="3"/>
          </w:tcPr>
          <w:p>
            <w:pPr>
              <w:jc w:val="right"/>
              <w:ind w:right="300"/>
              <w:spacing w:after="0"/>
              <w:rPr>
                <w:sz w:val="20"/>
                <w:szCs w:val="20"/>
                <w:color w:val="auto"/>
              </w:rPr>
            </w:pPr>
            <w:r>
              <w:rPr>
                <w:rFonts w:ascii="Arial" w:cs="Arial" w:eastAsia="Arial" w:hAnsi="Arial"/>
                <w:sz w:val="18"/>
                <w:szCs w:val="18"/>
                <w:color w:val="auto"/>
              </w:rPr>
              <w:t>5.0%</w:t>
            </w:r>
          </w:p>
        </w:tc>
        <w:tc>
          <w:tcPr>
            <w:tcW w:w="900" w:type="dxa"/>
            <w:vAlign w:val="bottom"/>
            <w:gridSpan w:val="2"/>
          </w:tcPr>
          <w:p>
            <w:pPr>
              <w:jc w:val="right"/>
              <w:ind w:right="300"/>
              <w:spacing w:after="0"/>
              <w:rPr>
                <w:sz w:val="20"/>
                <w:szCs w:val="20"/>
                <w:color w:val="auto"/>
              </w:rPr>
            </w:pPr>
            <w:r>
              <w:rPr>
                <w:rFonts w:ascii="Arial" w:cs="Arial" w:eastAsia="Arial" w:hAnsi="Arial"/>
                <w:sz w:val="18"/>
                <w:szCs w:val="18"/>
                <w:color w:val="auto"/>
              </w:rPr>
              <w:t>84</w:t>
            </w:r>
          </w:p>
        </w:tc>
        <w:tc>
          <w:tcPr>
            <w:tcW w:w="600" w:type="dxa"/>
            <w:vAlign w:val="bottom"/>
          </w:tcPr>
          <w:p>
            <w:pPr>
              <w:jc w:val="right"/>
              <w:spacing w:after="0"/>
              <w:rPr>
                <w:sz w:val="20"/>
                <w:szCs w:val="20"/>
                <w:color w:val="auto"/>
              </w:rPr>
            </w:pPr>
            <w:r>
              <w:rPr>
                <w:rFonts w:ascii="Arial" w:cs="Arial" w:eastAsia="Arial" w:hAnsi="Arial"/>
                <w:sz w:val="18"/>
                <w:szCs w:val="18"/>
                <w:color w:val="auto"/>
              </w:rPr>
              <w:t>4.4%</w:t>
            </w:r>
          </w:p>
        </w:tc>
        <w:tc>
          <w:tcPr>
            <w:tcW w:w="100" w:type="dxa"/>
            <w:vAlign w:val="bottom"/>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64770</wp:posOffset>
            </wp:positionV>
            <wp:extent cx="728980" cy="889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14" w:lineRule="exact"/>
        <w:rPr>
          <w:sz w:val="20"/>
          <w:szCs w:val="20"/>
          <w:color w:val="auto"/>
        </w:rPr>
      </w:pPr>
    </w:p>
    <w:p>
      <w:pPr>
        <w:ind w:left="460" w:hanging="452"/>
        <w:spacing w:after="0"/>
        <w:tabs>
          <w:tab w:leader="none" w:pos="460" w:val="left"/>
        </w:tabs>
        <w:numPr>
          <w:ilvl w:val="0"/>
          <w:numId w:val="90"/>
        </w:numPr>
        <w:rPr>
          <w:rFonts w:ascii="Arial" w:cs="Arial" w:eastAsia="Arial" w:hAnsi="Arial"/>
          <w:sz w:val="18"/>
          <w:szCs w:val="18"/>
          <w:color w:val="auto"/>
        </w:rPr>
      </w:pPr>
      <w:r>
        <w:rPr>
          <w:rFonts w:ascii="Arial" w:cs="Arial" w:eastAsia="Arial" w:hAnsi="Arial"/>
          <w:sz w:val="18"/>
          <w:szCs w:val="18"/>
          <w:color w:val="auto"/>
        </w:rPr>
        <w:t>Vehicle sales primarily represent estimated sales to the ultimate customer.</w:t>
      </w:r>
    </w:p>
    <w:p>
      <w:pPr>
        <w:spacing w:after="0" w:line="90" w:lineRule="exact"/>
        <w:rPr>
          <w:rFonts w:ascii="Arial" w:cs="Arial" w:eastAsia="Arial" w:hAnsi="Arial"/>
          <w:sz w:val="18"/>
          <w:szCs w:val="18"/>
          <w:color w:val="auto"/>
        </w:rPr>
      </w:pPr>
    </w:p>
    <w:p>
      <w:pPr>
        <w:ind w:left="460" w:right="80" w:hanging="452"/>
        <w:spacing w:after="0" w:line="298" w:lineRule="auto"/>
        <w:tabs>
          <w:tab w:leader="none" w:pos="460" w:val="left"/>
        </w:tabs>
        <w:numPr>
          <w:ilvl w:val="0"/>
          <w:numId w:val="90"/>
        </w:numPr>
        <w:rPr>
          <w:rFonts w:ascii="Arial" w:cs="Arial" w:eastAsia="Arial" w:hAnsi="Arial"/>
          <w:sz w:val="16"/>
          <w:szCs w:val="16"/>
          <w:color w:val="auto"/>
        </w:rPr>
      </w:pPr>
      <w:r>
        <w:rPr>
          <w:rFonts w:ascii="Arial" w:cs="Arial" w:eastAsia="Arial" w:hAnsi="Arial"/>
          <w:sz w:val="16"/>
          <w:szCs w:val="16"/>
          <w:color w:val="auto"/>
        </w:rPr>
        <w:t>The financial results from sales of GM Daewoo produced Chevrolet brand products are reported as part of GMIO. Sales of GM Daewoo produced Chevrolet brand products included in vehicle sales and market share data was 84,000 vehicles and 250,000 vehicles in the three and nine months ended September 30, 2010. Combined GM and Old GM sales of GM Daewoo produced Chevrolet brand products included in vehicle sales and market share data was 88,000 vehicles and 273,000 vehicles in the three and nine months ended September 30, 2009.</w:t>
      </w:r>
    </w:p>
    <w:p>
      <w:pPr>
        <w:spacing w:after="0" w:line="31" w:lineRule="exact"/>
        <w:rPr>
          <w:rFonts w:ascii="Arial" w:cs="Arial" w:eastAsia="Arial" w:hAnsi="Arial"/>
          <w:sz w:val="16"/>
          <w:szCs w:val="16"/>
          <w:color w:val="auto"/>
        </w:rPr>
      </w:pPr>
    </w:p>
    <w:p>
      <w:pPr>
        <w:ind w:left="460" w:hanging="452"/>
        <w:spacing w:after="0"/>
        <w:tabs>
          <w:tab w:leader="none" w:pos="460" w:val="left"/>
        </w:tabs>
        <w:numPr>
          <w:ilvl w:val="0"/>
          <w:numId w:val="90"/>
        </w:numPr>
        <w:rPr>
          <w:rFonts w:ascii="Arial" w:cs="Arial" w:eastAsia="Arial" w:hAnsi="Arial"/>
          <w:sz w:val="18"/>
          <w:szCs w:val="18"/>
          <w:color w:val="auto"/>
        </w:rPr>
      </w:pPr>
      <w:r>
        <w:rPr>
          <w:rFonts w:ascii="Arial" w:cs="Arial" w:eastAsia="Arial" w:hAnsi="Arial"/>
          <w:sz w:val="18"/>
          <w:szCs w:val="18"/>
          <w:color w:val="auto"/>
        </w:rPr>
        <w:t>Includes Saab vehicle sales data through February 2010.</w:t>
      </w:r>
    </w:p>
    <w:p>
      <w:pPr>
        <w:spacing w:after="0" w:line="90" w:lineRule="exact"/>
        <w:rPr>
          <w:rFonts w:ascii="Arial" w:cs="Arial" w:eastAsia="Arial" w:hAnsi="Arial"/>
          <w:sz w:val="18"/>
          <w:szCs w:val="18"/>
          <w:color w:val="auto"/>
        </w:rPr>
      </w:pPr>
    </w:p>
    <w:p>
      <w:pPr>
        <w:ind w:left="460" w:hanging="452"/>
        <w:spacing w:after="0"/>
        <w:tabs>
          <w:tab w:leader="none" w:pos="460" w:val="left"/>
        </w:tabs>
        <w:numPr>
          <w:ilvl w:val="0"/>
          <w:numId w:val="90"/>
        </w:numPr>
        <w:rPr>
          <w:rFonts w:ascii="Arial" w:cs="Arial" w:eastAsia="Arial" w:hAnsi="Arial"/>
          <w:sz w:val="18"/>
          <w:szCs w:val="18"/>
          <w:color w:val="auto"/>
        </w:rPr>
      </w:pPr>
      <w:r>
        <w:rPr>
          <w:rFonts w:ascii="Arial" w:cs="Arial" w:eastAsia="Arial" w:hAnsi="Arial"/>
          <w:sz w:val="18"/>
          <w:szCs w:val="18"/>
          <w:color w:val="auto"/>
        </w:rPr>
        <w:t>Vehicle sales data may include rounding differences.</w:t>
      </w:r>
    </w:p>
    <w:p>
      <w:pPr>
        <w:spacing w:after="0" w:line="90" w:lineRule="exact"/>
        <w:rPr>
          <w:rFonts w:ascii="Arial" w:cs="Arial" w:eastAsia="Arial" w:hAnsi="Arial"/>
          <w:sz w:val="18"/>
          <w:szCs w:val="18"/>
          <w:color w:val="auto"/>
        </w:rPr>
      </w:pPr>
    </w:p>
    <w:p>
      <w:pPr>
        <w:ind w:left="460" w:hanging="452"/>
        <w:spacing w:after="0"/>
        <w:tabs>
          <w:tab w:leader="none" w:pos="460" w:val="left"/>
        </w:tabs>
        <w:numPr>
          <w:ilvl w:val="0"/>
          <w:numId w:val="90"/>
        </w:numPr>
        <w:rPr>
          <w:rFonts w:ascii="Arial" w:cs="Arial" w:eastAsia="Arial" w:hAnsi="Arial"/>
          <w:sz w:val="16"/>
          <w:szCs w:val="16"/>
          <w:color w:val="auto"/>
        </w:rPr>
      </w:pPr>
      <w:r>
        <w:rPr>
          <w:rFonts w:ascii="Arial" w:cs="Arial" w:eastAsia="Arial" w:hAnsi="Arial"/>
          <w:sz w:val="16"/>
          <w:szCs w:val="16"/>
          <w:color w:val="auto"/>
        </w:rPr>
        <w:t>Certain fleet sales that are accounted for as operating leases are included in vehicle sales at the time of delivery to the daily rental car companies.</w:t>
      </w:r>
    </w:p>
    <w:p>
      <w:pPr>
        <w:spacing w:after="0" w:line="194" w:lineRule="exact"/>
        <w:rPr>
          <w:sz w:val="20"/>
          <w:szCs w:val="20"/>
          <w:color w:val="auto"/>
        </w:rPr>
      </w:pPr>
    </w:p>
    <w:p>
      <w:pPr>
        <w:ind w:left="240"/>
        <w:spacing w:after="0"/>
        <w:rPr>
          <w:sz w:val="20"/>
          <w:szCs w:val="20"/>
          <w:color w:val="auto"/>
        </w:rPr>
      </w:pPr>
      <w:r>
        <w:rPr>
          <w:rFonts w:ascii="Arial" w:cs="Arial" w:eastAsia="Arial" w:hAnsi="Arial"/>
          <w:sz w:val="15"/>
          <w:szCs w:val="15"/>
          <w:b w:val="1"/>
          <w:bCs w:val="1"/>
          <w:i w:val="1"/>
          <w:iCs w:val="1"/>
          <w:color w:val="auto"/>
        </w:rPr>
        <w:t>Three and Nine Months Ended September 30, 2010, July 10, 2009 Through September 30, 2009, July 1, 2009 Through July 9, 2009 and January 1, 2009</w:t>
      </w:r>
    </w:p>
    <w:p>
      <w:pPr>
        <w:spacing w:after="0" w:line="50"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Through July 9, 2009</w:t>
      </w:r>
    </w:p>
    <w:p>
      <w:pPr>
        <w:spacing w:after="0" w:line="9"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(Dollars in millions)</w:t>
      </w:r>
    </w:p>
    <w:p>
      <w:pPr>
        <w:spacing w:after="0" w:line="165"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Total Net Sales and Revenue</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60" w:type="dxa"/>
            <w:vAlign w:val="bottom"/>
            <w:gridSpan w:val="3"/>
          </w:tcPr>
          <w:p>
            <w:pPr>
              <w:jc w:val="center"/>
              <w:ind w:right="160"/>
              <w:spacing w:after="0"/>
              <w:rPr>
                <w:sz w:val="20"/>
                <w:szCs w:val="20"/>
                <w:color w:val="auto"/>
              </w:rPr>
            </w:pPr>
            <w:r>
              <w:rPr>
                <w:rFonts w:ascii="Arial" w:cs="Arial" w:eastAsia="Arial" w:hAnsi="Arial"/>
                <w:sz w:val="14"/>
                <w:szCs w:val="14"/>
                <w:b w:val="1"/>
                <w:bCs w:val="1"/>
                <w:color w:val="auto"/>
                <w:w w:val="90"/>
              </w:rPr>
              <w:t>Combined GM</w:t>
            </w: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40" w:type="dxa"/>
            <w:vAlign w:val="bottom"/>
            <w:tcBorders>
              <w:right w:val="single" w:sz="8" w:color="auto"/>
            </w:tcBorders>
          </w:tcPr>
          <w:p>
            <w:pPr>
              <w:spacing w:after="0"/>
              <w:rPr>
                <w:sz w:val="14"/>
                <w:szCs w:val="14"/>
                <w:color w:val="auto"/>
              </w:rPr>
            </w:pPr>
          </w:p>
        </w:tc>
        <w:tc>
          <w:tcPr>
            <w:tcW w:w="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4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60" w:type="dxa"/>
            <w:vAlign w:val="bottom"/>
            <w:gridSpan w:val="2"/>
          </w:tcPr>
          <w:p>
            <w:pPr>
              <w:jc w:val="center"/>
              <w:ind w:right="460"/>
              <w:spacing w:after="0"/>
              <w:rPr>
                <w:sz w:val="20"/>
                <w:szCs w:val="20"/>
                <w:color w:val="auto"/>
              </w:rPr>
            </w:pPr>
            <w:r>
              <w:rPr>
                <w:rFonts w:ascii="Arial" w:cs="Arial" w:eastAsia="Arial" w:hAnsi="Arial"/>
                <w:sz w:val="14"/>
                <w:szCs w:val="14"/>
                <w:b w:val="1"/>
                <w:bCs w:val="1"/>
                <w:color w:val="auto"/>
                <w:w w:val="79"/>
              </w:rPr>
              <w:t>Successor</w:t>
            </w:r>
          </w:p>
        </w:tc>
        <w:tc>
          <w:tcPr>
            <w:tcW w:w="1060" w:type="dxa"/>
            <w:vAlign w:val="bottom"/>
            <w:gridSpan w:val="3"/>
          </w:tcPr>
          <w:p>
            <w:pPr>
              <w:jc w:val="center"/>
              <w:ind w:right="160"/>
              <w:spacing w:after="0"/>
              <w:rPr>
                <w:sz w:val="20"/>
                <w:szCs w:val="20"/>
                <w:color w:val="auto"/>
              </w:rPr>
            </w:pPr>
            <w:r>
              <w:rPr>
                <w:rFonts w:ascii="Arial" w:cs="Arial" w:eastAsia="Arial" w:hAnsi="Arial"/>
                <w:sz w:val="14"/>
                <w:szCs w:val="14"/>
                <w:b w:val="1"/>
                <w:bCs w:val="1"/>
                <w:color w:val="auto"/>
                <w:w w:val="94"/>
              </w:rPr>
              <w:t>and Old GM</w:t>
            </w: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60" w:type="dxa"/>
            <w:vAlign w:val="bottom"/>
            <w:tcBorders>
              <w:right w:val="single" w:sz="8" w:color="auto"/>
            </w:tcBorders>
            <w:gridSpan w:val="2"/>
          </w:tcPr>
          <w:p>
            <w:pPr>
              <w:jc w:val="center"/>
              <w:ind w:right="540"/>
              <w:spacing w:after="0"/>
              <w:rPr>
                <w:sz w:val="20"/>
                <w:szCs w:val="20"/>
                <w:color w:val="auto"/>
              </w:rPr>
            </w:pPr>
            <w:r>
              <w:rPr>
                <w:rFonts w:ascii="Arial" w:cs="Arial" w:eastAsia="Arial" w:hAnsi="Arial"/>
                <w:sz w:val="14"/>
                <w:szCs w:val="14"/>
                <w:b w:val="1"/>
                <w:bCs w:val="1"/>
                <w:color w:val="auto"/>
                <w:w w:val="81"/>
              </w:rPr>
              <w:t>Successor</w:t>
            </w:r>
          </w:p>
        </w:tc>
        <w:tc>
          <w:tcPr>
            <w:tcW w:w="260" w:type="dxa"/>
            <w:vAlign w:val="bottom"/>
          </w:tcPr>
          <w:p>
            <w:pPr>
              <w:spacing w:after="0"/>
              <w:rPr>
                <w:sz w:val="14"/>
                <w:szCs w:val="14"/>
                <w:color w:val="auto"/>
              </w:rPr>
            </w:pPr>
          </w:p>
        </w:tc>
        <w:tc>
          <w:tcPr>
            <w:tcW w:w="680" w:type="dxa"/>
            <w:vAlign w:val="bottom"/>
            <w:gridSpan w:val="2"/>
          </w:tcPr>
          <w:p>
            <w:pPr>
              <w:jc w:val="right"/>
              <w:spacing w:after="0"/>
              <w:rPr>
                <w:sz w:val="20"/>
                <w:szCs w:val="20"/>
                <w:color w:val="auto"/>
              </w:rPr>
            </w:pPr>
            <w:r>
              <w:rPr>
                <w:rFonts w:ascii="Arial" w:cs="Arial" w:eastAsia="Arial" w:hAnsi="Arial"/>
                <w:sz w:val="14"/>
                <w:szCs w:val="14"/>
                <w:b w:val="1"/>
                <w:bCs w:val="1"/>
                <w:color w:val="auto"/>
                <w:w w:val="78"/>
              </w:rPr>
              <w:t>Predecessor</w:t>
            </w:r>
          </w:p>
        </w:tc>
        <w:tc>
          <w:tcPr>
            <w:tcW w:w="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4700" w:type="dxa"/>
            <w:vAlign w:val="bottom"/>
          </w:tcPr>
          <w:p>
            <w:pPr>
              <w:spacing w:after="0"/>
              <w:rPr>
                <w:sz w:val="11"/>
                <w:szCs w:val="11"/>
                <w:color w:val="auto"/>
              </w:rPr>
            </w:pPr>
          </w:p>
        </w:tc>
        <w:tc>
          <w:tcPr>
            <w:tcW w:w="820" w:type="dxa"/>
            <w:vAlign w:val="bottom"/>
            <w:tcBorders>
              <w:top w:val="single" w:sz="8" w:color="auto"/>
            </w:tcBorders>
            <w:gridSpan w:val="2"/>
          </w:tcPr>
          <w:p>
            <w:pPr>
              <w:jc w:val="center"/>
              <w:spacing w:after="0" w:line="129" w:lineRule="exact"/>
              <w:rPr>
                <w:sz w:val="20"/>
                <w:szCs w:val="20"/>
                <w:color w:val="auto"/>
              </w:rPr>
            </w:pPr>
            <w:r>
              <w:rPr>
                <w:rFonts w:ascii="Arial" w:cs="Arial" w:eastAsia="Arial" w:hAnsi="Arial"/>
                <w:sz w:val="14"/>
                <w:szCs w:val="14"/>
                <w:b w:val="1"/>
                <w:bCs w:val="1"/>
                <w:color w:val="auto"/>
                <w:w w:val="89"/>
              </w:rPr>
              <w:t>Three Months</w:t>
            </w:r>
          </w:p>
        </w:tc>
        <w:tc>
          <w:tcPr>
            <w:tcW w:w="340" w:type="dxa"/>
            <w:vAlign w:val="bottom"/>
          </w:tcPr>
          <w:p>
            <w:pPr>
              <w:spacing w:after="0"/>
              <w:rPr>
                <w:sz w:val="11"/>
                <w:szCs w:val="11"/>
                <w:color w:val="auto"/>
              </w:rPr>
            </w:pPr>
          </w:p>
        </w:tc>
        <w:tc>
          <w:tcPr>
            <w:tcW w:w="880" w:type="dxa"/>
            <w:vAlign w:val="bottom"/>
            <w:tcBorders>
              <w:top w:val="single" w:sz="8" w:color="auto"/>
            </w:tcBorders>
            <w:gridSpan w:val="2"/>
          </w:tcPr>
          <w:p>
            <w:pPr>
              <w:jc w:val="center"/>
              <w:spacing w:after="0" w:line="129" w:lineRule="exact"/>
              <w:rPr>
                <w:sz w:val="20"/>
                <w:szCs w:val="20"/>
                <w:color w:val="auto"/>
              </w:rPr>
            </w:pPr>
            <w:r>
              <w:rPr>
                <w:rFonts w:ascii="Arial" w:cs="Arial" w:eastAsia="Arial" w:hAnsi="Arial"/>
                <w:sz w:val="14"/>
                <w:szCs w:val="14"/>
                <w:b w:val="1"/>
                <w:bCs w:val="1"/>
                <w:color w:val="auto"/>
                <w:w w:val="89"/>
              </w:rPr>
              <w:t>Three Months</w:t>
            </w:r>
          </w:p>
        </w:tc>
        <w:tc>
          <w:tcPr>
            <w:tcW w:w="1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Borders>
              <w:top w:val="single" w:sz="8" w:color="auto"/>
            </w:tcBorders>
            <w:gridSpan w:val="2"/>
          </w:tcPr>
          <w:p>
            <w:pPr>
              <w:jc w:val="center"/>
              <w:spacing w:after="0" w:line="129" w:lineRule="exact"/>
              <w:rPr>
                <w:sz w:val="20"/>
                <w:szCs w:val="20"/>
                <w:color w:val="auto"/>
              </w:rPr>
            </w:pPr>
            <w:r>
              <w:rPr>
                <w:rFonts w:ascii="Arial" w:cs="Arial" w:eastAsia="Arial" w:hAnsi="Arial"/>
                <w:sz w:val="14"/>
                <w:szCs w:val="14"/>
                <w:b w:val="1"/>
                <w:bCs w:val="1"/>
                <w:color w:val="auto"/>
                <w:w w:val="85"/>
              </w:rPr>
              <w:t>July 10, 2009</w:t>
            </w:r>
          </w:p>
        </w:tc>
        <w:tc>
          <w:tcPr>
            <w:tcW w:w="440" w:type="dxa"/>
            <w:vAlign w:val="bottom"/>
            <w:tcBorders>
              <w:right w:val="single" w:sz="8" w:color="auto"/>
            </w:tcBorders>
          </w:tcPr>
          <w:p>
            <w:pPr>
              <w:spacing w:after="0"/>
              <w:rPr>
                <w:sz w:val="11"/>
                <w:szCs w:val="11"/>
                <w:color w:val="auto"/>
              </w:rPr>
            </w:pPr>
          </w:p>
        </w:tc>
        <w:tc>
          <w:tcPr>
            <w:tcW w:w="26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600" w:type="dxa"/>
            <w:vAlign w:val="bottom"/>
            <w:tcBorders>
              <w:top w:val="single" w:sz="8" w:color="auto"/>
            </w:tcBorders>
          </w:tcPr>
          <w:p>
            <w:pPr>
              <w:spacing w:after="0"/>
              <w:rPr>
                <w:sz w:val="11"/>
                <w:szCs w:val="11"/>
                <w:color w:val="auto"/>
              </w:rPr>
            </w:pPr>
          </w:p>
        </w:tc>
        <w:tc>
          <w:tcPr>
            <w:tcW w:w="3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60" w:type="dxa"/>
            <w:vAlign w:val="bottom"/>
            <w:gridSpan w:val="4"/>
            <w:vMerge w:val="restart"/>
          </w:tcPr>
          <w:p>
            <w:pPr>
              <w:ind w:left="40"/>
              <w:spacing w:after="0"/>
              <w:rPr>
                <w:sz w:val="20"/>
                <w:szCs w:val="20"/>
                <w:color w:val="auto"/>
              </w:rPr>
            </w:pPr>
            <w:r>
              <w:rPr>
                <w:rFonts w:ascii="Arial" w:cs="Arial" w:eastAsia="Arial" w:hAnsi="Arial"/>
                <w:sz w:val="14"/>
                <w:szCs w:val="14"/>
                <w:b w:val="1"/>
                <w:bCs w:val="1"/>
                <w:color w:val="auto"/>
              </w:rPr>
              <w:t>Three Months Ended</w:t>
            </w:r>
          </w:p>
        </w:tc>
        <w:tc>
          <w:tcPr>
            <w:tcW w:w="0" w:type="dxa"/>
            <w:vAlign w:val="bottom"/>
          </w:tcPr>
          <w:p>
            <w:pPr>
              <w:spacing w:after="0"/>
              <w:rPr>
                <w:sz w:val="1"/>
                <w:szCs w:val="1"/>
                <w:color w:val="auto"/>
              </w:rPr>
            </w:pPr>
          </w:p>
        </w:tc>
      </w:tr>
      <w:tr>
        <w:trPr>
          <w:trHeight w:val="81"/>
        </w:trPr>
        <w:tc>
          <w:tcPr>
            <w:tcW w:w="4700" w:type="dxa"/>
            <w:vAlign w:val="bottom"/>
          </w:tcPr>
          <w:p>
            <w:pPr>
              <w:spacing w:after="0"/>
              <w:rPr>
                <w:sz w:val="7"/>
                <w:szCs w:val="7"/>
                <w:color w:val="auto"/>
              </w:rPr>
            </w:pPr>
          </w:p>
        </w:tc>
        <w:tc>
          <w:tcPr>
            <w:tcW w:w="100" w:type="dxa"/>
            <w:vAlign w:val="bottom"/>
          </w:tcPr>
          <w:p>
            <w:pPr>
              <w:spacing w:after="0"/>
              <w:rPr>
                <w:sz w:val="7"/>
                <w:szCs w:val="7"/>
                <w:color w:val="auto"/>
              </w:rPr>
            </w:pPr>
          </w:p>
        </w:tc>
        <w:tc>
          <w:tcPr>
            <w:tcW w:w="1060" w:type="dxa"/>
            <w:vAlign w:val="bottom"/>
            <w:gridSpan w:val="2"/>
            <w:vMerge w:val="restart"/>
          </w:tcPr>
          <w:p>
            <w:pPr>
              <w:jc w:val="center"/>
              <w:ind w:right="440"/>
              <w:spacing w:after="0" w:line="149" w:lineRule="exact"/>
              <w:rPr>
                <w:sz w:val="20"/>
                <w:szCs w:val="20"/>
                <w:color w:val="auto"/>
              </w:rPr>
            </w:pPr>
            <w:r>
              <w:rPr>
                <w:rFonts w:ascii="Arial" w:cs="Arial" w:eastAsia="Arial" w:hAnsi="Arial"/>
                <w:sz w:val="14"/>
                <w:szCs w:val="14"/>
                <w:b w:val="1"/>
                <w:bCs w:val="1"/>
                <w:color w:val="auto"/>
                <w:w w:val="88"/>
              </w:rPr>
              <w:t>Ended</w:t>
            </w:r>
          </w:p>
        </w:tc>
        <w:tc>
          <w:tcPr>
            <w:tcW w:w="180" w:type="dxa"/>
            <w:vAlign w:val="bottom"/>
          </w:tcPr>
          <w:p>
            <w:pPr>
              <w:spacing w:after="0"/>
              <w:rPr>
                <w:sz w:val="7"/>
                <w:szCs w:val="7"/>
                <w:color w:val="auto"/>
              </w:rPr>
            </w:pPr>
          </w:p>
        </w:tc>
        <w:tc>
          <w:tcPr>
            <w:tcW w:w="880" w:type="dxa"/>
            <w:vAlign w:val="bottom"/>
            <w:gridSpan w:val="2"/>
            <w:vMerge w:val="restart"/>
          </w:tcPr>
          <w:p>
            <w:pPr>
              <w:jc w:val="center"/>
              <w:ind w:right="340"/>
              <w:spacing w:after="0" w:line="149" w:lineRule="exact"/>
              <w:rPr>
                <w:sz w:val="20"/>
                <w:szCs w:val="20"/>
                <w:color w:val="auto"/>
              </w:rPr>
            </w:pPr>
            <w:r>
              <w:rPr>
                <w:rFonts w:ascii="Arial" w:cs="Arial" w:eastAsia="Arial" w:hAnsi="Arial"/>
                <w:sz w:val="14"/>
                <w:szCs w:val="14"/>
                <w:b w:val="1"/>
                <w:bCs w:val="1"/>
                <w:color w:val="auto"/>
                <w:w w:val="88"/>
              </w:rPr>
              <w:t>Ended</w:t>
            </w:r>
          </w:p>
        </w:tc>
        <w:tc>
          <w:tcPr>
            <w:tcW w:w="180" w:type="dxa"/>
            <w:vAlign w:val="bottom"/>
          </w:tcPr>
          <w:p>
            <w:pPr>
              <w:spacing w:after="0"/>
              <w:rPr>
                <w:sz w:val="7"/>
                <w:szCs w:val="7"/>
                <w:color w:val="auto"/>
              </w:rPr>
            </w:pPr>
          </w:p>
        </w:tc>
        <w:tc>
          <w:tcPr>
            <w:tcW w:w="100" w:type="dxa"/>
            <w:vAlign w:val="bottom"/>
          </w:tcPr>
          <w:p>
            <w:pPr>
              <w:spacing w:after="0"/>
              <w:rPr>
                <w:sz w:val="7"/>
                <w:szCs w:val="7"/>
                <w:color w:val="auto"/>
              </w:rPr>
            </w:pPr>
          </w:p>
        </w:tc>
        <w:tc>
          <w:tcPr>
            <w:tcW w:w="1160" w:type="dxa"/>
            <w:vAlign w:val="bottom"/>
            <w:tcBorders>
              <w:right w:val="single" w:sz="8" w:color="auto"/>
            </w:tcBorders>
            <w:gridSpan w:val="2"/>
            <w:vMerge w:val="restart"/>
          </w:tcPr>
          <w:p>
            <w:pPr>
              <w:jc w:val="center"/>
              <w:ind w:right="540"/>
              <w:spacing w:after="0" w:line="149" w:lineRule="exact"/>
              <w:rPr>
                <w:sz w:val="20"/>
                <w:szCs w:val="20"/>
                <w:color w:val="auto"/>
              </w:rPr>
            </w:pPr>
            <w:r>
              <w:rPr>
                <w:rFonts w:ascii="Arial" w:cs="Arial" w:eastAsia="Arial" w:hAnsi="Arial"/>
                <w:sz w:val="14"/>
                <w:szCs w:val="14"/>
                <w:b w:val="1"/>
                <w:bCs w:val="1"/>
                <w:color w:val="auto"/>
                <w:w w:val="87"/>
              </w:rPr>
              <w:t>Through</w:t>
            </w:r>
          </w:p>
        </w:tc>
        <w:tc>
          <w:tcPr>
            <w:tcW w:w="260" w:type="dxa"/>
            <w:vAlign w:val="bottom"/>
          </w:tcPr>
          <w:p>
            <w:pPr>
              <w:spacing w:after="0"/>
              <w:rPr>
                <w:sz w:val="7"/>
                <w:szCs w:val="7"/>
                <w:color w:val="auto"/>
              </w:rPr>
            </w:pPr>
          </w:p>
        </w:tc>
        <w:tc>
          <w:tcPr>
            <w:tcW w:w="680" w:type="dxa"/>
            <w:vAlign w:val="bottom"/>
            <w:gridSpan w:val="2"/>
            <w:vMerge w:val="restart"/>
          </w:tcPr>
          <w:p>
            <w:pPr>
              <w:jc w:val="right"/>
              <w:spacing w:after="0" w:line="149" w:lineRule="exact"/>
              <w:rPr>
                <w:sz w:val="20"/>
                <w:szCs w:val="20"/>
                <w:color w:val="auto"/>
              </w:rPr>
            </w:pPr>
            <w:r>
              <w:rPr>
                <w:rFonts w:ascii="Arial" w:cs="Arial" w:eastAsia="Arial" w:hAnsi="Arial"/>
                <w:sz w:val="14"/>
                <w:szCs w:val="14"/>
                <w:b w:val="1"/>
                <w:bCs w:val="1"/>
                <w:color w:val="auto"/>
                <w:w w:val="83"/>
              </w:rPr>
              <w:t>July 1, 2009</w:t>
            </w:r>
          </w:p>
        </w:tc>
        <w:tc>
          <w:tcPr>
            <w:tcW w:w="360" w:type="dxa"/>
            <w:vAlign w:val="bottom"/>
          </w:tcPr>
          <w:p>
            <w:pPr>
              <w:spacing w:after="0"/>
              <w:rPr>
                <w:sz w:val="7"/>
                <w:szCs w:val="7"/>
                <w:color w:val="auto"/>
              </w:rPr>
            </w:pPr>
          </w:p>
        </w:tc>
        <w:tc>
          <w:tcPr>
            <w:tcW w:w="100" w:type="dxa"/>
            <w:vAlign w:val="bottom"/>
          </w:tcPr>
          <w:p>
            <w:pPr>
              <w:spacing w:after="0"/>
              <w:rPr>
                <w:sz w:val="7"/>
                <w:szCs w:val="7"/>
                <w:color w:val="auto"/>
              </w:rPr>
            </w:pPr>
          </w:p>
        </w:tc>
        <w:tc>
          <w:tcPr>
            <w:tcW w:w="1660" w:type="dxa"/>
            <w:vAlign w:val="bottom"/>
            <w:gridSpan w:val="4"/>
            <w:vMerge w:val="continue"/>
          </w:tcPr>
          <w:p>
            <w:pPr>
              <w:spacing w:after="0"/>
              <w:rPr>
                <w:sz w:val="7"/>
                <w:szCs w:val="7"/>
                <w:color w:val="auto"/>
              </w:rPr>
            </w:pPr>
          </w:p>
        </w:tc>
        <w:tc>
          <w:tcPr>
            <w:tcW w:w="0" w:type="dxa"/>
            <w:vAlign w:val="bottom"/>
          </w:tcPr>
          <w:p>
            <w:pPr>
              <w:spacing w:after="0"/>
              <w:rPr>
                <w:sz w:val="1"/>
                <w:szCs w:val="1"/>
                <w:color w:val="auto"/>
              </w:rPr>
            </w:pPr>
          </w:p>
        </w:tc>
      </w:tr>
      <w:tr>
        <w:trPr>
          <w:trHeight w:val="68"/>
        </w:trPr>
        <w:tc>
          <w:tcPr>
            <w:tcW w:w="4700" w:type="dxa"/>
            <w:vAlign w:val="bottom"/>
          </w:tcPr>
          <w:p>
            <w:pPr>
              <w:spacing w:after="0"/>
              <w:rPr>
                <w:sz w:val="5"/>
                <w:szCs w:val="5"/>
                <w:color w:val="auto"/>
              </w:rPr>
            </w:pPr>
          </w:p>
        </w:tc>
        <w:tc>
          <w:tcPr>
            <w:tcW w:w="100" w:type="dxa"/>
            <w:vAlign w:val="bottom"/>
          </w:tcPr>
          <w:p>
            <w:pPr>
              <w:spacing w:after="0"/>
              <w:rPr>
                <w:sz w:val="5"/>
                <w:szCs w:val="5"/>
                <w:color w:val="auto"/>
              </w:rPr>
            </w:pPr>
          </w:p>
        </w:tc>
        <w:tc>
          <w:tcPr>
            <w:tcW w:w="1060" w:type="dxa"/>
            <w:vAlign w:val="bottom"/>
            <w:gridSpan w:val="2"/>
            <w:vMerge w:val="continue"/>
          </w:tcPr>
          <w:p>
            <w:pPr>
              <w:spacing w:after="0"/>
              <w:rPr>
                <w:sz w:val="5"/>
                <w:szCs w:val="5"/>
                <w:color w:val="auto"/>
              </w:rPr>
            </w:pPr>
          </w:p>
        </w:tc>
        <w:tc>
          <w:tcPr>
            <w:tcW w:w="180" w:type="dxa"/>
            <w:vAlign w:val="bottom"/>
          </w:tcPr>
          <w:p>
            <w:pPr>
              <w:spacing w:after="0"/>
              <w:rPr>
                <w:sz w:val="5"/>
                <w:szCs w:val="5"/>
                <w:color w:val="auto"/>
              </w:rPr>
            </w:pPr>
          </w:p>
        </w:tc>
        <w:tc>
          <w:tcPr>
            <w:tcW w:w="880" w:type="dxa"/>
            <w:vAlign w:val="bottom"/>
            <w:gridSpan w:val="2"/>
            <w:vMerge w:val="continue"/>
          </w:tcPr>
          <w:p>
            <w:pPr>
              <w:spacing w:after="0"/>
              <w:rPr>
                <w:sz w:val="5"/>
                <w:szCs w:val="5"/>
                <w:color w:val="auto"/>
              </w:rPr>
            </w:pPr>
          </w:p>
        </w:tc>
        <w:tc>
          <w:tcPr>
            <w:tcW w:w="180" w:type="dxa"/>
            <w:vAlign w:val="bottom"/>
          </w:tcPr>
          <w:p>
            <w:pPr>
              <w:spacing w:after="0"/>
              <w:rPr>
                <w:sz w:val="5"/>
                <w:szCs w:val="5"/>
                <w:color w:val="auto"/>
              </w:rPr>
            </w:pPr>
          </w:p>
        </w:tc>
        <w:tc>
          <w:tcPr>
            <w:tcW w:w="100" w:type="dxa"/>
            <w:vAlign w:val="bottom"/>
          </w:tcPr>
          <w:p>
            <w:pPr>
              <w:spacing w:after="0"/>
              <w:rPr>
                <w:sz w:val="5"/>
                <w:szCs w:val="5"/>
                <w:color w:val="auto"/>
              </w:rPr>
            </w:pPr>
          </w:p>
        </w:tc>
        <w:tc>
          <w:tcPr>
            <w:tcW w:w="1160" w:type="dxa"/>
            <w:vAlign w:val="bottom"/>
            <w:tcBorders>
              <w:right w:val="single" w:sz="8" w:color="auto"/>
            </w:tcBorders>
            <w:gridSpan w:val="2"/>
            <w:vMerge w:val="continue"/>
          </w:tcPr>
          <w:p>
            <w:pPr>
              <w:spacing w:after="0"/>
              <w:rPr>
                <w:sz w:val="5"/>
                <w:szCs w:val="5"/>
                <w:color w:val="auto"/>
              </w:rPr>
            </w:pPr>
          </w:p>
        </w:tc>
        <w:tc>
          <w:tcPr>
            <w:tcW w:w="260" w:type="dxa"/>
            <w:vAlign w:val="bottom"/>
          </w:tcPr>
          <w:p>
            <w:pPr>
              <w:spacing w:after="0"/>
              <w:rPr>
                <w:sz w:val="5"/>
                <w:szCs w:val="5"/>
                <w:color w:val="auto"/>
              </w:rPr>
            </w:pPr>
          </w:p>
        </w:tc>
        <w:tc>
          <w:tcPr>
            <w:tcW w:w="680" w:type="dxa"/>
            <w:vAlign w:val="bottom"/>
            <w:gridSpan w:val="2"/>
            <w:vMerge w:val="continue"/>
          </w:tcPr>
          <w:p>
            <w:pPr>
              <w:spacing w:after="0"/>
              <w:rPr>
                <w:sz w:val="5"/>
                <w:szCs w:val="5"/>
                <w:color w:val="auto"/>
              </w:rPr>
            </w:pPr>
          </w:p>
        </w:tc>
        <w:tc>
          <w:tcPr>
            <w:tcW w:w="360" w:type="dxa"/>
            <w:vAlign w:val="bottom"/>
          </w:tcPr>
          <w:p>
            <w:pPr>
              <w:spacing w:after="0"/>
              <w:rPr>
                <w:sz w:val="5"/>
                <w:szCs w:val="5"/>
                <w:color w:val="auto"/>
              </w:rPr>
            </w:pPr>
          </w:p>
        </w:tc>
        <w:tc>
          <w:tcPr>
            <w:tcW w:w="100" w:type="dxa"/>
            <w:vAlign w:val="bottom"/>
          </w:tcPr>
          <w:p>
            <w:pPr>
              <w:spacing w:after="0"/>
              <w:rPr>
                <w:sz w:val="5"/>
                <w:szCs w:val="5"/>
                <w:color w:val="auto"/>
              </w:rPr>
            </w:pPr>
          </w:p>
        </w:tc>
        <w:tc>
          <w:tcPr>
            <w:tcW w:w="1660" w:type="dxa"/>
            <w:vAlign w:val="bottom"/>
            <w:gridSpan w:val="4"/>
            <w:vMerge w:val="restart"/>
          </w:tcPr>
          <w:p>
            <w:pPr>
              <w:ind w:left="20"/>
              <w:spacing w:after="0"/>
              <w:rPr>
                <w:sz w:val="20"/>
                <w:szCs w:val="20"/>
                <w:color w:val="auto"/>
              </w:rPr>
            </w:pPr>
            <w:r>
              <w:rPr>
                <w:rFonts w:ascii="Arial" w:cs="Arial" w:eastAsia="Arial" w:hAnsi="Arial"/>
                <w:sz w:val="14"/>
                <w:szCs w:val="14"/>
                <w:b w:val="1"/>
                <w:bCs w:val="1"/>
                <w:color w:val="auto"/>
              </w:rPr>
              <w:t>2010 vs. 2009 Change</w:t>
            </w:r>
          </w:p>
        </w:tc>
        <w:tc>
          <w:tcPr>
            <w:tcW w:w="0" w:type="dxa"/>
            <w:vAlign w:val="bottom"/>
          </w:tcPr>
          <w:p>
            <w:pPr>
              <w:spacing w:after="0"/>
              <w:rPr>
                <w:sz w:val="1"/>
                <w:szCs w:val="1"/>
                <w:color w:val="auto"/>
              </w:rPr>
            </w:pPr>
          </w:p>
        </w:tc>
      </w:tr>
      <w:tr>
        <w:trPr>
          <w:trHeight w:val="94"/>
        </w:trPr>
        <w:tc>
          <w:tcPr>
            <w:tcW w:w="4700" w:type="dxa"/>
            <w:vAlign w:val="bottom"/>
          </w:tcPr>
          <w:p>
            <w:pPr>
              <w:spacing w:after="0"/>
              <w:rPr>
                <w:sz w:val="8"/>
                <w:szCs w:val="8"/>
                <w:color w:val="auto"/>
              </w:rPr>
            </w:pPr>
          </w:p>
        </w:tc>
        <w:tc>
          <w:tcPr>
            <w:tcW w:w="1160" w:type="dxa"/>
            <w:vAlign w:val="bottom"/>
            <w:gridSpan w:val="3"/>
            <w:vMerge w:val="restart"/>
          </w:tcPr>
          <w:p>
            <w:pPr>
              <w:jc w:val="center"/>
              <w:ind w:right="340"/>
              <w:spacing w:after="0" w:line="149" w:lineRule="exact"/>
              <w:rPr>
                <w:sz w:val="20"/>
                <w:szCs w:val="20"/>
                <w:color w:val="auto"/>
              </w:rPr>
            </w:pPr>
            <w:r>
              <w:rPr>
                <w:rFonts w:ascii="Arial" w:cs="Arial" w:eastAsia="Arial" w:hAnsi="Arial"/>
                <w:sz w:val="14"/>
                <w:szCs w:val="14"/>
                <w:b w:val="1"/>
                <w:bCs w:val="1"/>
                <w:color w:val="auto"/>
                <w:w w:val="85"/>
              </w:rPr>
              <w:t>September 30,</w:t>
            </w:r>
          </w:p>
        </w:tc>
        <w:tc>
          <w:tcPr>
            <w:tcW w:w="1060" w:type="dxa"/>
            <w:vAlign w:val="bottom"/>
            <w:gridSpan w:val="3"/>
            <w:vMerge w:val="restart"/>
          </w:tcPr>
          <w:p>
            <w:pPr>
              <w:jc w:val="center"/>
              <w:ind w:right="160"/>
              <w:spacing w:after="0" w:line="149" w:lineRule="exact"/>
              <w:rPr>
                <w:sz w:val="20"/>
                <w:szCs w:val="20"/>
                <w:color w:val="auto"/>
              </w:rPr>
            </w:pPr>
            <w:r>
              <w:rPr>
                <w:rFonts w:ascii="Arial" w:cs="Arial" w:eastAsia="Arial" w:hAnsi="Arial"/>
                <w:sz w:val="14"/>
                <w:szCs w:val="14"/>
                <w:b w:val="1"/>
                <w:bCs w:val="1"/>
                <w:color w:val="auto"/>
                <w:w w:val="85"/>
              </w:rPr>
              <w:t>September 30,</w:t>
            </w:r>
          </w:p>
        </w:tc>
        <w:tc>
          <w:tcPr>
            <w:tcW w:w="180" w:type="dxa"/>
            <w:vAlign w:val="bottom"/>
          </w:tcPr>
          <w:p>
            <w:pPr>
              <w:spacing w:after="0"/>
              <w:rPr>
                <w:sz w:val="8"/>
                <w:szCs w:val="8"/>
                <w:color w:val="auto"/>
              </w:rPr>
            </w:pPr>
          </w:p>
        </w:tc>
        <w:tc>
          <w:tcPr>
            <w:tcW w:w="1260" w:type="dxa"/>
            <w:vAlign w:val="bottom"/>
            <w:tcBorders>
              <w:right w:val="single" w:sz="8" w:color="auto"/>
            </w:tcBorders>
            <w:gridSpan w:val="3"/>
            <w:vMerge w:val="restart"/>
          </w:tcPr>
          <w:p>
            <w:pPr>
              <w:jc w:val="center"/>
              <w:ind w:right="440"/>
              <w:spacing w:after="0" w:line="149" w:lineRule="exact"/>
              <w:rPr>
                <w:sz w:val="20"/>
                <w:szCs w:val="20"/>
                <w:color w:val="auto"/>
              </w:rPr>
            </w:pPr>
            <w:r>
              <w:rPr>
                <w:rFonts w:ascii="Arial" w:cs="Arial" w:eastAsia="Arial" w:hAnsi="Arial"/>
                <w:sz w:val="14"/>
                <w:szCs w:val="14"/>
                <w:b w:val="1"/>
                <w:bCs w:val="1"/>
                <w:color w:val="auto"/>
                <w:w w:val="85"/>
              </w:rPr>
              <w:t>September 30,</w:t>
            </w:r>
          </w:p>
        </w:tc>
        <w:tc>
          <w:tcPr>
            <w:tcW w:w="260" w:type="dxa"/>
            <w:vAlign w:val="bottom"/>
          </w:tcPr>
          <w:p>
            <w:pPr>
              <w:spacing w:after="0"/>
              <w:rPr>
                <w:sz w:val="8"/>
                <w:szCs w:val="8"/>
                <w:color w:val="auto"/>
              </w:rPr>
            </w:pPr>
          </w:p>
        </w:tc>
        <w:tc>
          <w:tcPr>
            <w:tcW w:w="80" w:type="dxa"/>
            <w:vAlign w:val="bottom"/>
          </w:tcPr>
          <w:p>
            <w:pPr>
              <w:spacing w:after="0"/>
              <w:rPr>
                <w:sz w:val="8"/>
                <w:szCs w:val="8"/>
                <w:color w:val="auto"/>
              </w:rPr>
            </w:pPr>
          </w:p>
        </w:tc>
        <w:tc>
          <w:tcPr>
            <w:tcW w:w="600" w:type="dxa"/>
            <w:vAlign w:val="bottom"/>
            <w:vMerge w:val="restart"/>
          </w:tcPr>
          <w:p>
            <w:pPr>
              <w:jc w:val="right"/>
              <w:ind w:right="22"/>
              <w:spacing w:after="0" w:line="149" w:lineRule="exact"/>
              <w:rPr>
                <w:sz w:val="20"/>
                <w:szCs w:val="20"/>
                <w:color w:val="auto"/>
              </w:rPr>
            </w:pPr>
            <w:r>
              <w:rPr>
                <w:rFonts w:ascii="Arial" w:cs="Arial" w:eastAsia="Arial" w:hAnsi="Arial"/>
                <w:sz w:val="14"/>
                <w:szCs w:val="14"/>
                <w:b w:val="1"/>
                <w:bCs w:val="1"/>
                <w:color w:val="auto"/>
                <w:w w:val="84"/>
              </w:rPr>
              <w:t>Through</w:t>
            </w:r>
          </w:p>
        </w:tc>
        <w:tc>
          <w:tcPr>
            <w:tcW w:w="360" w:type="dxa"/>
            <w:vAlign w:val="bottom"/>
          </w:tcPr>
          <w:p>
            <w:pPr>
              <w:spacing w:after="0"/>
              <w:rPr>
                <w:sz w:val="8"/>
                <w:szCs w:val="8"/>
                <w:color w:val="auto"/>
              </w:rPr>
            </w:pPr>
          </w:p>
        </w:tc>
        <w:tc>
          <w:tcPr>
            <w:tcW w:w="100" w:type="dxa"/>
            <w:vAlign w:val="bottom"/>
          </w:tcPr>
          <w:p>
            <w:pPr>
              <w:spacing w:after="0"/>
              <w:rPr>
                <w:sz w:val="8"/>
                <w:szCs w:val="8"/>
                <w:color w:val="auto"/>
              </w:rPr>
            </w:pPr>
          </w:p>
        </w:tc>
        <w:tc>
          <w:tcPr>
            <w:tcW w:w="1660" w:type="dxa"/>
            <w:vAlign w:val="bottom"/>
            <w:gridSpan w:val="4"/>
            <w:vMerge w:val="continue"/>
          </w:tcPr>
          <w:p>
            <w:pPr>
              <w:spacing w:after="0"/>
              <w:rPr>
                <w:sz w:val="8"/>
                <w:szCs w:val="8"/>
                <w:color w:val="auto"/>
              </w:rPr>
            </w:pPr>
          </w:p>
        </w:tc>
        <w:tc>
          <w:tcPr>
            <w:tcW w:w="0" w:type="dxa"/>
            <w:vAlign w:val="bottom"/>
          </w:tcPr>
          <w:p>
            <w:pPr>
              <w:spacing w:after="0"/>
              <w:rPr>
                <w:sz w:val="1"/>
                <w:szCs w:val="1"/>
                <w:color w:val="auto"/>
              </w:rPr>
            </w:pPr>
          </w:p>
        </w:tc>
      </w:tr>
      <w:tr>
        <w:trPr>
          <w:trHeight w:val="35"/>
        </w:trPr>
        <w:tc>
          <w:tcPr>
            <w:tcW w:w="4700" w:type="dxa"/>
            <w:vAlign w:val="bottom"/>
          </w:tcPr>
          <w:p>
            <w:pPr>
              <w:spacing w:after="0"/>
              <w:rPr>
                <w:sz w:val="3"/>
                <w:szCs w:val="3"/>
                <w:color w:val="auto"/>
              </w:rPr>
            </w:pPr>
          </w:p>
        </w:tc>
        <w:tc>
          <w:tcPr>
            <w:tcW w:w="1160" w:type="dxa"/>
            <w:vAlign w:val="bottom"/>
            <w:gridSpan w:val="3"/>
            <w:vMerge w:val="continue"/>
          </w:tcPr>
          <w:p>
            <w:pPr>
              <w:spacing w:after="0"/>
              <w:rPr>
                <w:sz w:val="3"/>
                <w:szCs w:val="3"/>
                <w:color w:val="auto"/>
              </w:rPr>
            </w:pPr>
          </w:p>
        </w:tc>
        <w:tc>
          <w:tcPr>
            <w:tcW w:w="1060" w:type="dxa"/>
            <w:vAlign w:val="bottom"/>
            <w:gridSpan w:val="3"/>
            <w:vMerge w:val="continue"/>
          </w:tcPr>
          <w:p>
            <w:pPr>
              <w:spacing w:after="0"/>
              <w:rPr>
                <w:sz w:val="3"/>
                <w:szCs w:val="3"/>
                <w:color w:val="auto"/>
              </w:rPr>
            </w:pPr>
          </w:p>
        </w:tc>
        <w:tc>
          <w:tcPr>
            <w:tcW w:w="180" w:type="dxa"/>
            <w:vAlign w:val="bottom"/>
          </w:tcPr>
          <w:p>
            <w:pPr>
              <w:spacing w:after="0"/>
              <w:rPr>
                <w:sz w:val="3"/>
                <w:szCs w:val="3"/>
                <w:color w:val="auto"/>
              </w:rPr>
            </w:pPr>
          </w:p>
        </w:tc>
        <w:tc>
          <w:tcPr>
            <w:tcW w:w="1260" w:type="dxa"/>
            <w:vAlign w:val="bottom"/>
            <w:tcBorders>
              <w:right w:val="single" w:sz="8" w:color="auto"/>
            </w:tcBorders>
            <w:gridSpan w:val="3"/>
            <w:vMerge w:val="continue"/>
          </w:tcPr>
          <w:p>
            <w:pPr>
              <w:spacing w:after="0"/>
              <w:rPr>
                <w:sz w:val="3"/>
                <w:szCs w:val="3"/>
                <w:color w:val="auto"/>
              </w:rPr>
            </w:pPr>
          </w:p>
        </w:tc>
        <w:tc>
          <w:tcPr>
            <w:tcW w:w="26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vMerge w:val="continue"/>
          </w:tcPr>
          <w:p>
            <w:pPr>
              <w:spacing w:after="0"/>
              <w:rPr>
                <w:sz w:val="3"/>
                <w:szCs w:val="3"/>
                <w:color w:val="auto"/>
              </w:rPr>
            </w:pPr>
          </w:p>
        </w:tc>
        <w:tc>
          <w:tcPr>
            <w:tcW w:w="360" w:type="dxa"/>
            <w:vAlign w:val="bottom"/>
          </w:tcPr>
          <w:p>
            <w:pPr>
              <w:spacing w:after="0"/>
              <w:rPr>
                <w:sz w:val="3"/>
                <w:szCs w:val="3"/>
                <w:color w:val="auto"/>
              </w:rPr>
            </w:pPr>
          </w:p>
        </w:tc>
        <w:tc>
          <w:tcPr>
            <w:tcW w:w="100" w:type="dxa"/>
            <w:vAlign w:val="bottom"/>
            <w:tcBorders>
              <w:top w:val="single" w:sz="8" w:color="auto"/>
            </w:tcBorders>
          </w:tcPr>
          <w:p>
            <w:pPr>
              <w:spacing w:after="0"/>
              <w:rPr>
                <w:sz w:val="3"/>
                <w:szCs w:val="3"/>
                <w:color w:val="auto"/>
              </w:rPr>
            </w:pPr>
          </w:p>
        </w:tc>
        <w:tc>
          <w:tcPr>
            <w:tcW w:w="640" w:type="dxa"/>
            <w:vAlign w:val="bottom"/>
            <w:tcBorders>
              <w:top w:val="single" w:sz="8" w:color="auto"/>
            </w:tcBorders>
          </w:tcPr>
          <w:p>
            <w:pPr>
              <w:spacing w:after="0"/>
              <w:rPr>
                <w:sz w:val="3"/>
                <w:szCs w:val="3"/>
                <w:color w:val="auto"/>
              </w:rPr>
            </w:pPr>
          </w:p>
        </w:tc>
        <w:tc>
          <w:tcPr>
            <w:tcW w:w="360" w:type="dxa"/>
            <w:vAlign w:val="bottom"/>
            <w:tcBorders>
              <w:top w:val="single" w:sz="8" w:color="auto"/>
            </w:tcBorders>
          </w:tcPr>
          <w:p>
            <w:pPr>
              <w:spacing w:after="0"/>
              <w:rPr>
                <w:sz w:val="3"/>
                <w:szCs w:val="3"/>
                <w:color w:val="auto"/>
              </w:rPr>
            </w:pPr>
          </w:p>
        </w:tc>
        <w:tc>
          <w:tcPr>
            <w:tcW w:w="400" w:type="dxa"/>
            <w:vAlign w:val="bottom"/>
            <w:tcBorders>
              <w:top w:val="single" w:sz="8" w:color="auto"/>
            </w:tcBorders>
          </w:tcPr>
          <w:p>
            <w:pPr>
              <w:spacing w:after="0"/>
              <w:rPr>
                <w:sz w:val="3"/>
                <w:szCs w:val="3"/>
                <w:color w:val="auto"/>
              </w:rPr>
            </w:pPr>
          </w:p>
        </w:tc>
        <w:tc>
          <w:tcPr>
            <w:tcW w:w="2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61"/>
        </w:trPr>
        <w:tc>
          <w:tcPr>
            <w:tcW w:w="47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center"/>
              <w:ind w:right="27"/>
              <w:spacing w:after="0"/>
              <w:rPr>
                <w:sz w:val="20"/>
                <w:szCs w:val="20"/>
                <w:color w:val="auto"/>
              </w:rPr>
            </w:pPr>
            <w:r>
              <w:rPr>
                <w:rFonts w:ascii="Arial" w:cs="Arial" w:eastAsia="Arial" w:hAnsi="Arial"/>
                <w:sz w:val="14"/>
                <w:szCs w:val="14"/>
                <w:b w:val="1"/>
                <w:bCs w:val="1"/>
                <w:color w:val="auto"/>
                <w:w w:val="83"/>
              </w:rPr>
              <w:t>2010</w:t>
            </w:r>
          </w:p>
        </w:tc>
        <w:tc>
          <w:tcPr>
            <w:tcW w:w="34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center"/>
              <w:ind w:right="86"/>
              <w:spacing w:after="0"/>
              <w:rPr>
                <w:sz w:val="20"/>
                <w:szCs w:val="20"/>
                <w:color w:val="auto"/>
              </w:rPr>
            </w:pPr>
            <w:r>
              <w:rPr>
                <w:rFonts w:ascii="Arial" w:cs="Arial" w:eastAsia="Arial" w:hAnsi="Arial"/>
                <w:sz w:val="14"/>
                <w:szCs w:val="14"/>
                <w:b w:val="1"/>
                <w:bCs w:val="1"/>
                <w:color w:val="auto"/>
                <w:w w:val="83"/>
              </w:rPr>
              <w:t>2009</w:t>
            </w:r>
          </w:p>
        </w:tc>
        <w:tc>
          <w:tcPr>
            <w:tcW w:w="1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center"/>
              <w:ind w:right="27"/>
              <w:spacing w:after="0"/>
              <w:rPr>
                <w:sz w:val="20"/>
                <w:szCs w:val="20"/>
                <w:color w:val="auto"/>
              </w:rPr>
            </w:pPr>
            <w:r>
              <w:rPr>
                <w:rFonts w:ascii="Arial" w:cs="Arial" w:eastAsia="Arial" w:hAnsi="Arial"/>
                <w:sz w:val="14"/>
                <w:szCs w:val="14"/>
                <w:b w:val="1"/>
                <w:bCs w:val="1"/>
                <w:color w:val="auto"/>
                <w:w w:val="83"/>
              </w:rPr>
              <w:t>2009</w:t>
            </w:r>
          </w:p>
        </w:tc>
        <w:tc>
          <w:tcPr>
            <w:tcW w:w="440" w:type="dxa"/>
            <w:vAlign w:val="bottom"/>
            <w:tcBorders>
              <w:right w:val="single" w:sz="8" w:color="auto"/>
            </w:tcBorders>
          </w:tcPr>
          <w:p>
            <w:pPr>
              <w:spacing w:after="0"/>
              <w:rPr>
                <w:sz w:val="14"/>
                <w:szCs w:val="14"/>
                <w:color w:val="auto"/>
              </w:rPr>
            </w:pPr>
          </w:p>
        </w:tc>
        <w:tc>
          <w:tcPr>
            <w:tcW w:w="260" w:type="dxa"/>
            <w:vAlign w:val="bottom"/>
          </w:tcPr>
          <w:p>
            <w:pPr>
              <w:spacing w:after="0"/>
              <w:rPr>
                <w:sz w:val="14"/>
                <w:szCs w:val="14"/>
                <w:color w:val="auto"/>
              </w:rPr>
            </w:pPr>
          </w:p>
        </w:tc>
        <w:tc>
          <w:tcPr>
            <w:tcW w:w="68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w w:val="83"/>
              </w:rPr>
              <w:t>July 9, 2009</w:t>
            </w:r>
          </w:p>
        </w:tc>
        <w:tc>
          <w:tcPr>
            <w:tcW w:w="3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Amount</w:t>
            </w:r>
          </w:p>
        </w:tc>
        <w:tc>
          <w:tcPr>
            <w:tcW w:w="360" w:type="dxa"/>
            <w:vAlign w:val="bottom"/>
          </w:tcPr>
          <w:p>
            <w:pPr>
              <w:spacing w:after="0"/>
              <w:rPr>
                <w:sz w:val="14"/>
                <w:szCs w:val="14"/>
                <w:color w:val="auto"/>
              </w:rPr>
            </w:pPr>
          </w:p>
        </w:tc>
        <w:tc>
          <w:tcPr>
            <w:tcW w:w="400" w:type="dxa"/>
            <w:vAlign w:val="bottom"/>
            <w:tcBorders>
              <w:bottom w:val="single" w:sz="8" w:color="auto"/>
            </w:tcBorders>
          </w:tcPr>
          <w:p>
            <w:pPr>
              <w:ind w:left="140"/>
              <w:spacing w:after="0"/>
              <w:rPr>
                <w:sz w:val="20"/>
                <w:szCs w:val="20"/>
                <w:color w:val="auto"/>
              </w:rPr>
            </w:pPr>
            <w:r>
              <w:rPr>
                <w:rFonts w:ascii="Arial" w:cs="Arial" w:eastAsia="Arial" w:hAnsi="Arial"/>
                <w:sz w:val="14"/>
                <w:szCs w:val="14"/>
                <w:b w:val="1"/>
                <w:bCs w:val="1"/>
                <w:color w:val="auto"/>
              </w:rPr>
              <w:t>%</w:t>
            </w:r>
          </w:p>
        </w:tc>
        <w:tc>
          <w:tcPr>
            <w:tcW w:w="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4700" w:type="dxa"/>
            <w:vAlign w:val="bottom"/>
            <w:shd w:val="clear" w:color="auto" w:fill="CCEEFF"/>
          </w:tcPr>
          <w:p>
            <w:pPr>
              <w:spacing w:after="0"/>
              <w:rPr>
                <w:sz w:val="20"/>
                <w:szCs w:val="20"/>
                <w:color w:val="auto"/>
              </w:rPr>
            </w:pPr>
            <w:r>
              <w:rPr>
                <w:rFonts w:ascii="Arial" w:cs="Arial" w:eastAsia="Arial" w:hAnsi="Arial"/>
                <w:sz w:val="18"/>
                <w:szCs w:val="18"/>
                <w:color w:val="auto"/>
              </w:rPr>
              <w:t>Total net sales and revenue</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5,657</w:t>
            </w:r>
          </w:p>
        </w:tc>
        <w:tc>
          <w:tcPr>
            <w:tcW w:w="180" w:type="dxa"/>
            <w:vAlign w:val="bottom"/>
            <w:shd w:val="clear" w:color="auto" w:fill="CCEEFF"/>
          </w:tcPr>
          <w:p>
            <w:pPr>
              <w:jc w:val="right"/>
              <w:ind w:right="8"/>
              <w:spacing w:after="0"/>
              <w:rPr>
                <w:sz w:val="20"/>
                <w:szCs w:val="20"/>
                <w:color w:val="auto"/>
              </w:rPr>
            </w:pPr>
            <w:r>
              <w:rPr>
                <w:rFonts w:ascii="Arial" w:cs="Arial" w:eastAsia="Arial" w:hAnsi="Arial"/>
                <w:sz w:val="18"/>
                <w:szCs w:val="18"/>
                <w:color w:val="auto"/>
                <w:w w:val="79"/>
              </w:rPr>
              <w:t>$</w:t>
            </w:r>
          </w:p>
        </w:tc>
        <w:tc>
          <w:tcPr>
            <w:tcW w:w="8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5,844</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60" w:type="dxa"/>
            <w:vAlign w:val="bottom"/>
            <w:tcBorders>
              <w:right w:val="single" w:sz="8" w:color="auto"/>
            </w:tcBorders>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5,238</w:t>
            </w: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606</w:t>
            </w:r>
          </w:p>
        </w:tc>
        <w:tc>
          <w:tcPr>
            <w:tcW w:w="4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(187)</w:t>
            </w:r>
          </w:p>
        </w:tc>
        <w:tc>
          <w:tcPr>
            <w:tcW w:w="66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w w:val="98"/>
              </w:rPr>
              <w:t>(3.2)%</w:t>
            </w:r>
          </w:p>
        </w:tc>
        <w:tc>
          <w:tcPr>
            <w:tcW w:w="0" w:type="dxa"/>
            <w:vAlign w:val="bottom"/>
          </w:tcPr>
          <w:p>
            <w:pPr>
              <w:spacing w:after="0"/>
              <w:rPr>
                <w:sz w:val="1"/>
                <w:szCs w:val="1"/>
                <w:color w:val="auto"/>
              </w:rPr>
            </w:pPr>
          </w:p>
        </w:tc>
      </w:tr>
    </w:tbl>
    <w:p>
      <w:pPr>
        <w:spacing w:after="0" w:line="1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120</w:t>
      </w:r>
    </w:p>
    <w:p>
      <w:pPr>
        <w:sectPr>
          <w:pgSz w:w="11900" w:h="16838" w:orient="portrait"/>
          <w:cols w:equalWidth="0" w:num="1">
            <w:col w:w="11420"/>
          </w:cols>
          <w:pgMar w:left="240" w:top="459" w:right="239" w:bottom="1440" w:gutter="0" w:footer="0" w:header="0"/>
        </w:sectPr>
      </w:pPr>
    </w:p>
    <w:bookmarkStart w:id="122" w:name="page123"/>
    <w:bookmarkEnd w:id="1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339" w:lineRule="exact"/>
        <w:rPr>
          <w:sz w:val="20"/>
          <w:szCs w:val="20"/>
          <w:color w:val="auto"/>
        </w:rPr>
      </w:pPr>
    </w:p>
    <w:p>
      <w:pPr>
        <w:ind w:right="140" w:firstLine="228"/>
        <w:spacing w:after="0" w:line="289" w:lineRule="auto"/>
        <w:rPr>
          <w:sz w:val="20"/>
          <w:szCs w:val="20"/>
          <w:color w:val="auto"/>
        </w:rPr>
      </w:pPr>
      <w:r>
        <w:rPr>
          <w:rFonts w:ascii="Arial" w:cs="Arial" w:eastAsia="Arial" w:hAnsi="Arial"/>
          <w:sz w:val="16"/>
          <w:szCs w:val="16"/>
          <w:color w:val="auto"/>
        </w:rPr>
        <w:t>In the three months ended September 30, 2010 Total net sales and revenue decreased compared to the corresponding period in 2009 by $0.2 billion (or 3.2%) primarily due to: (1) unfavorable net foreign currency translation of $0.4 billion, driven primarily by the weakening of the Euro and British Pound against the U.S. Dollar; (2) lower wholesale volumes of $0.1 billion representing 6,000 vehicles (or 2.0%). Wholesale volumes decreased by 25,000 vehicles (or 32.1%) in Germany, by 5,000 vehicles (or 27.0%) in Spain, and by 5,000 vehicles (or 74.4%) in Greece. These wholesale volume decreases were partially offset as wholesale volumes increased by 8,000 vehicles (or 129.5%) in Russia, by 6,000 vehicles (or 100.0%) in the United States primarily related to the Buick Regal and by 15,000 vehicles in various other European countries; partially offset by (3) favorable vehicle mix of $0.1 billion due to increased sales of higher priced vehicles partially offset by the end of government subsidies for vehicle purchases in higher retail priced countries; and (4) increased powertrain sales to external customers of $0.1 billion.</w:t>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7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40" w:type="dxa"/>
            <w:vAlign w:val="bottom"/>
            <w:gridSpan w:val="2"/>
          </w:tcPr>
          <w:p>
            <w:pPr>
              <w:jc w:val="center"/>
              <w:ind w:right="540"/>
              <w:spacing w:after="0"/>
              <w:rPr>
                <w:sz w:val="20"/>
                <w:szCs w:val="20"/>
                <w:color w:val="auto"/>
              </w:rPr>
            </w:pPr>
            <w:r>
              <w:rPr>
                <w:rFonts w:ascii="Arial" w:cs="Arial" w:eastAsia="Arial" w:hAnsi="Arial"/>
                <w:sz w:val="14"/>
                <w:szCs w:val="14"/>
                <w:b w:val="1"/>
                <w:bCs w:val="1"/>
                <w:color w:val="auto"/>
                <w:w w:val="90"/>
              </w:rPr>
              <w:t>Combined GM</w:t>
            </w:r>
          </w:p>
        </w:tc>
        <w:tc>
          <w:tcPr>
            <w:tcW w:w="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500" w:type="dxa"/>
            <w:vAlign w:val="bottom"/>
            <w:tcBorders>
              <w:right w:val="single" w:sz="8" w:color="auto"/>
            </w:tcBorders>
          </w:tcPr>
          <w:p>
            <w:pPr>
              <w:spacing w:after="0"/>
              <w:rPr>
                <w:sz w:val="14"/>
                <w:szCs w:val="14"/>
                <w:color w:val="auto"/>
              </w:rPr>
            </w:pPr>
          </w:p>
        </w:tc>
        <w:tc>
          <w:tcPr>
            <w:tcW w:w="3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37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0" w:type="dxa"/>
            <w:vAlign w:val="bottom"/>
          </w:tcPr>
          <w:p>
            <w:pPr>
              <w:jc w:val="center"/>
              <w:ind w:right="47"/>
              <w:spacing w:after="0"/>
              <w:rPr>
                <w:sz w:val="20"/>
                <w:szCs w:val="20"/>
                <w:color w:val="auto"/>
              </w:rPr>
            </w:pPr>
            <w:r>
              <w:rPr>
                <w:rFonts w:ascii="Arial" w:cs="Arial" w:eastAsia="Arial" w:hAnsi="Arial"/>
                <w:sz w:val="14"/>
                <w:szCs w:val="14"/>
                <w:b w:val="1"/>
                <w:bCs w:val="1"/>
                <w:color w:val="auto"/>
                <w:w w:val="79"/>
              </w:rPr>
              <w:t>Successor</w:t>
            </w:r>
          </w:p>
        </w:tc>
        <w:tc>
          <w:tcPr>
            <w:tcW w:w="4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40" w:type="dxa"/>
            <w:vAlign w:val="bottom"/>
            <w:gridSpan w:val="2"/>
          </w:tcPr>
          <w:p>
            <w:pPr>
              <w:jc w:val="center"/>
              <w:ind w:right="540"/>
              <w:spacing w:after="0"/>
              <w:rPr>
                <w:sz w:val="20"/>
                <w:szCs w:val="20"/>
                <w:color w:val="auto"/>
              </w:rPr>
            </w:pPr>
            <w:r>
              <w:rPr>
                <w:rFonts w:ascii="Arial" w:cs="Arial" w:eastAsia="Arial" w:hAnsi="Arial"/>
                <w:sz w:val="14"/>
                <w:szCs w:val="14"/>
                <w:b w:val="1"/>
                <w:bCs w:val="1"/>
                <w:color w:val="auto"/>
                <w:w w:val="94"/>
              </w:rPr>
              <w:t>and Old GM</w:t>
            </w:r>
          </w:p>
        </w:tc>
        <w:tc>
          <w:tcPr>
            <w:tcW w:w="100" w:type="dxa"/>
            <w:vAlign w:val="bottom"/>
          </w:tcPr>
          <w:p>
            <w:pPr>
              <w:spacing w:after="0"/>
              <w:rPr>
                <w:sz w:val="14"/>
                <w:szCs w:val="14"/>
                <w:color w:val="auto"/>
              </w:rPr>
            </w:pPr>
          </w:p>
        </w:tc>
        <w:tc>
          <w:tcPr>
            <w:tcW w:w="720" w:type="dxa"/>
            <w:vAlign w:val="bottom"/>
          </w:tcPr>
          <w:p>
            <w:pPr>
              <w:jc w:val="center"/>
              <w:ind w:right="47"/>
              <w:spacing w:after="0"/>
              <w:rPr>
                <w:sz w:val="20"/>
                <w:szCs w:val="20"/>
                <w:color w:val="auto"/>
              </w:rPr>
            </w:pPr>
            <w:r>
              <w:rPr>
                <w:rFonts w:ascii="Arial" w:cs="Arial" w:eastAsia="Arial" w:hAnsi="Arial"/>
                <w:sz w:val="14"/>
                <w:szCs w:val="14"/>
                <w:b w:val="1"/>
                <w:bCs w:val="1"/>
                <w:color w:val="auto"/>
                <w:w w:val="79"/>
              </w:rPr>
              <w:t>Successor</w:t>
            </w:r>
          </w:p>
        </w:tc>
        <w:tc>
          <w:tcPr>
            <w:tcW w:w="500" w:type="dxa"/>
            <w:vAlign w:val="bottom"/>
            <w:tcBorders>
              <w:right w:val="single" w:sz="8" w:color="auto"/>
            </w:tcBorders>
          </w:tcPr>
          <w:p>
            <w:pPr>
              <w:spacing w:after="0"/>
              <w:rPr>
                <w:sz w:val="14"/>
                <w:szCs w:val="14"/>
                <w:color w:val="auto"/>
              </w:rPr>
            </w:pPr>
          </w:p>
        </w:tc>
        <w:tc>
          <w:tcPr>
            <w:tcW w:w="300" w:type="dxa"/>
            <w:vAlign w:val="bottom"/>
          </w:tcPr>
          <w:p>
            <w:pPr>
              <w:spacing w:after="0"/>
              <w:rPr>
                <w:sz w:val="14"/>
                <w:szCs w:val="14"/>
                <w:color w:val="auto"/>
              </w:rPr>
            </w:pPr>
          </w:p>
        </w:tc>
        <w:tc>
          <w:tcPr>
            <w:tcW w:w="700" w:type="dxa"/>
            <w:vAlign w:val="bottom"/>
          </w:tcPr>
          <w:p>
            <w:pPr>
              <w:jc w:val="center"/>
              <w:spacing w:after="0"/>
              <w:rPr>
                <w:sz w:val="20"/>
                <w:szCs w:val="20"/>
                <w:color w:val="auto"/>
              </w:rPr>
            </w:pPr>
            <w:r>
              <w:rPr>
                <w:rFonts w:ascii="Arial" w:cs="Arial" w:eastAsia="Arial" w:hAnsi="Arial"/>
                <w:sz w:val="14"/>
                <w:szCs w:val="14"/>
                <w:b w:val="1"/>
                <w:bCs w:val="1"/>
                <w:color w:val="auto"/>
                <w:w w:val="80"/>
              </w:rPr>
              <w:t>Predecessor</w:t>
            </w:r>
          </w:p>
        </w:tc>
        <w:tc>
          <w:tcPr>
            <w:tcW w:w="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3740" w:type="dxa"/>
            <w:vAlign w:val="bottom"/>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1000" w:type="dxa"/>
            <w:vAlign w:val="bottom"/>
            <w:tcBorders>
              <w:top w:val="single" w:sz="8" w:color="auto"/>
            </w:tcBorders>
          </w:tcPr>
          <w:p>
            <w:pPr>
              <w:spacing w:after="0"/>
              <w:rPr>
                <w:sz w:val="11"/>
                <w:szCs w:val="11"/>
                <w:color w:val="auto"/>
              </w:rPr>
            </w:pPr>
          </w:p>
        </w:tc>
        <w:tc>
          <w:tcPr>
            <w:tcW w:w="42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1020" w:type="dxa"/>
            <w:vAlign w:val="bottom"/>
            <w:tcBorders>
              <w:top w:val="single" w:sz="8" w:color="auto"/>
            </w:tcBorders>
          </w:tcPr>
          <w:p>
            <w:pPr>
              <w:spacing w:after="0"/>
              <w:rPr>
                <w:sz w:val="11"/>
                <w:szCs w:val="11"/>
                <w:color w:val="auto"/>
              </w:rPr>
            </w:pPr>
          </w:p>
        </w:tc>
        <w:tc>
          <w:tcPr>
            <w:tcW w:w="420" w:type="dxa"/>
            <w:vAlign w:val="bottom"/>
          </w:tcPr>
          <w:p>
            <w:pPr>
              <w:spacing w:after="0"/>
              <w:rPr>
                <w:sz w:val="11"/>
                <w:szCs w:val="11"/>
                <w:color w:val="auto"/>
              </w:rPr>
            </w:pPr>
          </w:p>
        </w:tc>
        <w:tc>
          <w:tcPr>
            <w:tcW w:w="820" w:type="dxa"/>
            <w:vAlign w:val="bottom"/>
            <w:tcBorders>
              <w:top w:val="single" w:sz="8" w:color="auto"/>
            </w:tcBorders>
            <w:gridSpan w:val="2"/>
          </w:tcPr>
          <w:p>
            <w:pPr>
              <w:jc w:val="center"/>
              <w:spacing w:after="0" w:line="129" w:lineRule="exact"/>
              <w:rPr>
                <w:sz w:val="20"/>
                <w:szCs w:val="20"/>
                <w:color w:val="auto"/>
              </w:rPr>
            </w:pPr>
            <w:r>
              <w:rPr>
                <w:rFonts w:ascii="Arial" w:cs="Arial" w:eastAsia="Arial" w:hAnsi="Arial"/>
                <w:sz w:val="14"/>
                <w:szCs w:val="14"/>
                <w:b w:val="1"/>
                <w:bCs w:val="1"/>
                <w:color w:val="auto"/>
                <w:w w:val="85"/>
              </w:rPr>
              <w:t>July 10, 2009</w:t>
            </w:r>
          </w:p>
        </w:tc>
        <w:tc>
          <w:tcPr>
            <w:tcW w:w="500" w:type="dxa"/>
            <w:vAlign w:val="bottom"/>
            <w:tcBorders>
              <w:right w:val="single" w:sz="8" w:color="auto"/>
            </w:tcBorders>
          </w:tcPr>
          <w:p>
            <w:pPr>
              <w:spacing w:after="0"/>
              <w:rPr>
                <w:sz w:val="11"/>
                <w:szCs w:val="11"/>
                <w:color w:val="auto"/>
              </w:rPr>
            </w:pPr>
          </w:p>
        </w:tc>
        <w:tc>
          <w:tcPr>
            <w:tcW w:w="300" w:type="dxa"/>
            <w:vAlign w:val="bottom"/>
          </w:tcPr>
          <w:p>
            <w:pPr>
              <w:spacing w:after="0"/>
              <w:rPr>
                <w:sz w:val="11"/>
                <w:szCs w:val="11"/>
                <w:color w:val="auto"/>
              </w:rPr>
            </w:pPr>
          </w:p>
        </w:tc>
        <w:tc>
          <w:tcPr>
            <w:tcW w:w="700" w:type="dxa"/>
            <w:vAlign w:val="bottom"/>
            <w:tcBorders>
              <w:top w:val="single" w:sz="8" w:color="auto"/>
            </w:tcBorders>
          </w:tcPr>
          <w:p>
            <w:pPr>
              <w:jc w:val="center"/>
              <w:spacing w:after="0" w:line="129" w:lineRule="exact"/>
              <w:rPr>
                <w:sz w:val="20"/>
                <w:szCs w:val="20"/>
                <w:color w:val="auto"/>
              </w:rPr>
            </w:pPr>
            <w:r>
              <w:rPr>
                <w:rFonts w:ascii="Arial" w:cs="Arial" w:eastAsia="Arial" w:hAnsi="Arial"/>
                <w:sz w:val="14"/>
                <w:szCs w:val="14"/>
                <w:b w:val="1"/>
                <w:bCs w:val="1"/>
                <w:color w:val="auto"/>
                <w:w w:val="95"/>
              </w:rPr>
              <w:t>January 1,</w:t>
            </w:r>
          </w:p>
        </w:tc>
        <w:tc>
          <w:tcPr>
            <w:tcW w:w="4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720" w:type="dxa"/>
            <w:vAlign w:val="bottom"/>
            <w:gridSpan w:val="4"/>
            <w:vMerge w:val="restart"/>
          </w:tcPr>
          <w:p>
            <w:pPr>
              <w:ind w:left="100"/>
              <w:spacing w:after="0"/>
              <w:rPr>
                <w:sz w:val="20"/>
                <w:szCs w:val="20"/>
                <w:color w:val="auto"/>
              </w:rPr>
            </w:pPr>
            <w:r>
              <w:rPr>
                <w:rFonts w:ascii="Arial" w:cs="Arial" w:eastAsia="Arial" w:hAnsi="Arial"/>
                <w:sz w:val="14"/>
                <w:szCs w:val="14"/>
                <w:b w:val="1"/>
                <w:bCs w:val="1"/>
                <w:color w:val="auto"/>
              </w:rPr>
              <w:t>Nine Months Ended</w:t>
            </w:r>
          </w:p>
        </w:tc>
        <w:tc>
          <w:tcPr>
            <w:tcW w:w="0" w:type="dxa"/>
            <w:vAlign w:val="bottom"/>
          </w:tcPr>
          <w:p>
            <w:pPr>
              <w:spacing w:after="0"/>
              <w:rPr>
                <w:sz w:val="1"/>
                <w:szCs w:val="1"/>
                <w:color w:val="auto"/>
              </w:rPr>
            </w:pPr>
          </w:p>
        </w:tc>
      </w:tr>
      <w:tr>
        <w:trPr>
          <w:trHeight w:val="81"/>
        </w:trPr>
        <w:tc>
          <w:tcPr>
            <w:tcW w:w="3740" w:type="dxa"/>
            <w:vAlign w:val="bottom"/>
          </w:tcPr>
          <w:p>
            <w:pPr>
              <w:spacing w:after="0"/>
              <w:rPr>
                <w:sz w:val="7"/>
                <w:szCs w:val="7"/>
                <w:color w:val="auto"/>
              </w:rPr>
            </w:pPr>
          </w:p>
        </w:tc>
        <w:tc>
          <w:tcPr>
            <w:tcW w:w="140" w:type="dxa"/>
            <w:vAlign w:val="bottom"/>
          </w:tcPr>
          <w:p>
            <w:pPr>
              <w:spacing w:after="0"/>
              <w:rPr>
                <w:sz w:val="7"/>
                <w:szCs w:val="7"/>
                <w:color w:val="auto"/>
              </w:rPr>
            </w:pPr>
          </w:p>
        </w:tc>
        <w:tc>
          <w:tcPr>
            <w:tcW w:w="1000" w:type="dxa"/>
            <w:vAlign w:val="bottom"/>
            <w:vMerge w:val="restart"/>
          </w:tcPr>
          <w:p>
            <w:pPr>
              <w:jc w:val="center"/>
              <w:ind w:right="67"/>
              <w:spacing w:after="0" w:line="149" w:lineRule="exact"/>
              <w:rPr>
                <w:sz w:val="20"/>
                <w:szCs w:val="20"/>
                <w:color w:val="auto"/>
              </w:rPr>
            </w:pPr>
            <w:r>
              <w:rPr>
                <w:rFonts w:ascii="Arial" w:cs="Arial" w:eastAsia="Arial" w:hAnsi="Arial"/>
                <w:sz w:val="14"/>
                <w:szCs w:val="14"/>
                <w:b w:val="1"/>
                <w:bCs w:val="1"/>
                <w:color w:val="auto"/>
                <w:w w:val="88"/>
              </w:rPr>
              <w:t>Nine Months</w:t>
            </w:r>
          </w:p>
        </w:tc>
        <w:tc>
          <w:tcPr>
            <w:tcW w:w="420" w:type="dxa"/>
            <w:vAlign w:val="bottom"/>
          </w:tcPr>
          <w:p>
            <w:pPr>
              <w:spacing w:after="0"/>
              <w:rPr>
                <w:sz w:val="7"/>
                <w:szCs w:val="7"/>
                <w:color w:val="auto"/>
              </w:rPr>
            </w:pPr>
          </w:p>
        </w:tc>
        <w:tc>
          <w:tcPr>
            <w:tcW w:w="120" w:type="dxa"/>
            <w:vAlign w:val="bottom"/>
          </w:tcPr>
          <w:p>
            <w:pPr>
              <w:spacing w:after="0"/>
              <w:rPr>
                <w:sz w:val="7"/>
                <w:szCs w:val="7"/>
                <w:color w:val="auto"/>
              </w:rPr>
            </w:pPr>
          </w:p>
        </w:tc>
        <w:tc>
          <w:tcPr>
            <w:tcW w:w="1440" w:type="dxa"/>
            <w:vAlign w:val="bottom"/>
            <w:gridSpan w:val="2"/>
            <w:vMerge w:val="restart"/>
          </w:tcPr>
          <w:p>
            <w:pPr>
              <w:jc w:val="center"/>
              <w:ind w:right="540"/>
              <w:spacing w:after="0" w:line="149" w:lineRule="exact"/>
              <w:rPr>
                <w:sz w:val="20"/>
                <w:szCs w:val="20"/>
                <w:color w:val="auto"/>
              </w:rPr>
            </w:pPr>
            <w:r>
              <w:rPr>
                <w:rFonts w:ascii="Arial" w:cs="Arial" w:eastAsia="Arial" w:hAnsi="Arial"/>
                <w:sz w:val="14"/>
                <w:szCs w:val="14"/>
                <w:b w:val="1"/>
                <w:bCs w:val="1"/>
                <w:color w:val="auto"/>
                <w:w w:val="88"/>
              </w:rPr>
              <w:t>Nine Months</w:t>
            </w:r>
          </w:p>
        </w:tc>
        <w:tc>
          <w:tcPr>
            <w:tcW w:w="100" w:type="dxa"/>
            <w:vAlign w:val="bottom"/>
          </w:tcPr>
          <w:p>
            <w:pPr>
              <w:spacing w:after="0"/>
              <w:rPr>
                <w:sz w:val="7"/>
                <w:szCs w:val="7"/>
                <w:color w:val="auto"/>
              </w:rPr>
            </w:pPr>
          </w:p>
        </w:tc>
        <w:tc>
          <w:tcPr>
            <w:tcW w:w="720" w:type="dxa"/>
            <w:vAlign w:val="bottom"/>
            <w:vMerge w:val="restart"/>
          </w:tcPr>
          <w:p>
            <w:pPr>
              <w:jc w:val="center"/>
              <w:ind w:right="27"/>
              <w:spacing w:after="0" w:line="149" w:lineRule="exact"/>
              <w:rPr>
                <w:sz w:val="20"/>
                <w:szCs w:val="20"/>
                <w:color w:val="auto"/>
              </w:rPr>
            </w:pPr>
            <w:r>
              <w:rPr>
                <w:rFonts w:ascii="Arial" w:cs="Arial" w:eastAsia="Arial" w:hAnsi="Arial"/>
                <w:sz w:val="14"/>
                <w:szCs w:val="14"/>
                <w:b w:val="1"/>
                <w:bCs w:val="1"/>
                <w:color w:val="auto"/>
                <w:w w:val="87"/>
              </w:rPr>
              <w:t>Through</w:t>
            </w:r>
          </w:p>
        </w:tc>
        <w:tc>
          <w:tcPr>
            <w:tcW w:w="500" w:type="dxa"/>
            <w:vAlign w:val="bottom"/>
            <w:tcBorders>
              <w:right w:val="single" w:sz="8" w:color="auto"/>
            </w:tcBorders>
          </w:tcPr>
          <w:p>
            <w:pPr>
              <w:spacing w:after="0"/>
              <w:rPr>
                <w:sz w:val="7"/>
                <w:szCs w:val="7"/>
                <w:color w:val="auto"/>
              </w:rPr>
            </w:pPr>
          </w:p>
        </w:tc>
        <w:tc>
          <w:tcPr>
            <w:tcW w:w="1000" w:type="dxa"/>
            <w:vAlign w:val="bottom"/>
            <w:gridSpan w:val="2"/>
            <w:vMerge w:val="restart"/>
          </w:tcPr>
          <w:p>
            <w:pPr>
              <w:jc w:val="right"/>
              <w:ind w:right="152"/>
              <w:spacing w:after="0" w:line="149" w:lineRule="exact"/>
              <w:rPr>
                <w:sz w:val="20"/>
                <w:szCs w:val="20"/>
                <w:color w:val="auto"/>
              </w:rPr>
            </w:pPr>
            <w:r>
              <w:rPr>
                <w:rFonts w:ascii="Arial" w:cs="Arial" w:eastAsia="Arial" w:hAnsi="Arial"/>
                <w:sz w:val="14"/>
                <w:szCs w:val="14"/>
                <w:b w:val="1"/>
                <w:bCs w:val="1"/>
                <w:color w:val="auto"/>
              </w:rPr>
              <w:t>2009</w:t>
            </w:r>
          </w:p>
        </w:tc>
        <w:tc>
          <w:tcPr>
            <w:tcW w:w="420" w:type="dxa"/>
            <w:vAlign w:val="bottom"/>
          </w:tcPr>
          <w:p>
            <w:pPr>
              <w:spacing w:after="0"/>
              <w:rPr>
                <w:sz w:val="7"/>
                <w:szCs w:val="7"/>
                <w:color w:val="auto"/>
              </w:rPr>
            </w:pPr>
          </w:p>
        </w:tc>
        <w:tc>
          <w:tcPr>
            <w:tcW w:w="100" w:type="dxa"/>
            <w:vAlign w:val="bottom"/>
          </w:tcPr>
          <w:p>
            <w:pPr>
              <w:spacing w:after="0"/>
              <w:rPr>
                <w:sz w:val="7"/>
                <w:szCs w:val="7"/>
                <w:color w:val="auto"/>
              </w:rPr>
            </w:pPr>
          </w:p>
        </w:tc>
        <w:tc>
          <w:tcPr>
            <w:tcW w:w="1720" w:type="dxa"/>
            <w:vAlign w:val="bottom"/>
            <w:gridSpan w:val="4"/>
            <w:vMerge w:val="continue"/>
          </w:tcPr>
          <w:p>
            <w:pPr>
              <w:spacing w:after="0"/>
              <w:rPr>
                <w:sz w:val="7"/>
                <w:szCs w:val="7"/>
                <w:color w:val="auto"/>
              </w:rPr>
            </w:pPr>
          </w:p>
        </w:tc>
        <w:tc>
          <w:tcPr>
            <w:tcW w:w="0" w:type="dxa"/>
            <w:vAlign w:val="bottom"/>
          </w:tcPr>
          <w:p>
            <w:pPr>
              <w:spacing w:after="0"/>
              <w:rPr>
                <w:sz w:val="1"/>
                <w:szCs w:val="1"/>
                <w:color w:val="auto"/>
              </w:rPr>
            </w:pPr>
          </w:p>
        </w:tc>
      </w:tr>
      <w:tr>
        <w:trPr>
          <w:trHeight w:val="68"/>
        </w:trPr>
        <w:tc>
          <w:tcPr>
            <w:tcW w:w="374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00" w:type="dxa"/>
            <w:vAlign w:val="bottom"/>
            <w:vMerge w:val="continue"/>
          </w:tcPr>
          <w:p>
            <w:pPr>
              <w:spacing w:after="0"/>
              <w:rPr>
                <w:sz w:val="5"/>
                <w:szCs w:val="5"/>
                <w:color w:val="auto"/>
              </w:rPr>
            </w:pPr>
          </w:p>
        </w:tc>
        <w:tc>
          <w:tcPr>
            <w:tcW w:w="420" w:type="dxa"/>
            <w:vAlign w:val="bottom"/>
          </w:tcPr>
          <w:p>
            <w:pPr>
              <w:spacing w:after="0"/>
              <w:rPr>
                <w:sz w:val="5"/>
                <w:szCs w:val="5"/>
                <w:color w:val="auto"/>
              </w:rPr>
            </w:pPr>
          </w:p>
        </w:tc>
        <w:tc>
          <w:tcPr>
            <w:tcW w:w="120" w:type="dxa"/>
            <w:vAlign w:val="bottom"/>
          </w:tcPr>
          <w:p>
            <w:pPr>
              <w:spacing w:after="0"/>
              <w:rPr>
                <w:sz w:val="5"/>
                <w:szCs w:val="5"/>
                <w:color w:val="auto"/>
              </w:rPr>
            </w:pPr>
          </w:p>
        </w:tc>
        <w:tc>
          <w:tcPr>
            <w:tcW w:w="1440" w:type="dxa"/>
            <w:vAlign w:val="bottom"/>
            <w:gridSpan w:val="2"/>
            <w:vMerge w:val="continue"/>
          </w:tcPr>
          <w:p>
            <w:pPr>
              <w:spacing w:after="0"/>
              <w:rPr>
                <w:sz w:val="5"/>
                <w:szCs w:val="5"/>
                <w:color w:val="auto"/>
              </w:rPr>
            </w:pPr>
          </w:p>
        </w:tc>
        <w:tc>
          <w:tcPr>
            <w:tcW w:w="100" w:type="dxa"/>
            <w:vAlign w:val="bottom"/>
          </w:tcPr>
          <w:p>
            <w:pPr>
              <w:spacing w:after="0"/>
              <w:rPr>
                <w:sz w:val="5"/>
                <w:szCs w:val="5"/>
                <w:color w:val="auto"/>
              </w:rPr>
            </w:pPr>
          </w:p>
        </w:tc>
        <w:tc>
          <w:tcPr>
            <w:tcW w:w="720" w:type="dxa"/>
            <w:vAlign w:val="bottom"/>
            <w:vMerge w:val="continue"/>
          </w:tcPr>
          <w:p>
            <w:pPr>
              <w:spacing w:after="0"/>
              <w:rPr>
                <w:sz w:val="5"/>
                <w:szCs w:val="5"/>
                <w:color w:val="auto"/>
              </w:rPr>
            </w:pPr>
          </w:p>
        </w:tc>
        <w:tc>
          <w:tcPr>
            <w:tcW w:w="500" w:type="dxa"/>
            <w:vAlign w:val="bottom"/>
            <w:tcBorders>
              <w:right w:val="single" w:sz="8" w:color="auto"/>
            </w:tcBorders>
          </w:tcPr>
          <w:p>
            <w:pPr>
              <w:spacing w:after="0"/>
              <w:rPr>
                <w:sz w:val="5"/>
                <w:szCs w:val="5"/>
                <w:color w:val="auto"/>
              </w:rPr>
            </w:pPr>
          </w:p>
        </w:tc>
        <w:tc>
          <w:tcPr>
            <w:tcW w:w="1000" w:type="dxa"/>
            <w:vAlign w:val="bottom"/>
            <w:gridSpan w:val="2"/>
            <w:vMerge w:val="continue"/>
          </w:tcPr>
          <w:p>
            <w:pPr>
              <w:spacing w:after="0"/>
              <w:rPr>
                <w:sz w:val="5"/>
                <w:szCs w:val="5"/>
                <w:color w:val="auto"/>
              </w:rPr>
            </w:pPr>
          </w:p>
        </w:tc>
        <w:tc>
          <w:tcPr>
            <w:tcW w:w="4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720" w:type="dxa"/>
            <w:vAlign w:val="bottom"/>
            <w:gridSpan w:val="4"/>
            <w:vMerge w:val="restart"/>
          </w:tcPr>
          <w:p>
            <w:pPr>
              <w:ind w:left="40"/>
              <w:spacing w:after="0"/>
              <w:rPr>
                <w:sz w:val="20"/>
                <w:szCs w:val="20"/>
                <w:color w:val="auto"/>
              </w:rPr>
            </w:pPr>
            <w:r>
              <w:rPr>
                <w:rFonts w:ascii="Arial" w:cs="Arial" w:eastAsia="Arial" w:hAnsi="Arial"/>
                <w:sz w:val="14"/>
                <w:szCs w:val="14"/>
                <w:b w:val="1"/>
                <w:bCs w:val="1"/>
                <w:color w:val="auto"/>
              </w:rPr>
              <w:t>2010 vs. 2009 Change</w:t>
            </w:r>
          </w:p>
        </w:tc>
        <w:tc>
          <w:tcPr>
            <w:tcW w:w="0" w:type="dxa"/>
            <w:vAlign w:val="bottom"/>
          </w:tcPr>
          <w:p>
            <w:pPr>
              <w:spacing w:after="0"/>
              <w:rPr>
                <w:sz w:val="1"/>
                <w:szCs w:val="1"/>
                <w:color w:val="auto"/>
              </w:rPr>
            </w:pPr>
          </w:p>
        </w:tc>
      </w:tr>
      <w:tr>
        <w:trPr>
          <w:trHeight w:val="94"/>
        </w:trPr>
        <w:tc>
          <w:tcPr>
            <w:tcW w:w="374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00" w:type="dxa"/>
            <w:vAlign w:val="bottom"/>
            <w:vMerge w:val="restart"/>
          </w:tcPr>
          <w:p>
            <w:pPr>
              <w:jc w:val="center"/>
              <w:ind w:right="67"/>
              <w:spacing w:after="0" w:line="149" w:lineRule="exact"/>
              <w:rPr>
                <w:sz w:val="20"/>
                <w:szCs w:val="20"/>
                <w:color w:val="auto"/>
              </w:rPr>
            </w:pPr>
            <w:r>
              <w:rPr>
                <w:rFonts w:ascii="Arial" w:cs="Arial" w:eastAsia="Arial" w:hAnsi="Arial"/>
                <w:sz w:val="14"/>
                <w:szCs w:val="14"/>
                <w:b w:val="1"/>
                <w:bCs w:val="1"/>
                <w:color w:val="auto"/>
                <w:w w:val="88"/>
              </w:rPr>
              <w:t>Ended</w:t>
            </w:r>
          </w:p>
        </w:tc>
        <w:tc>
          <w:tcPr>
            <w:tcW w:w="420" w:type="dxa"/>
            <w:vAlign w:val="bottom"/>
          </w:tcPr>
          <w:p>
            <w:pPr>
              <w:spacing w:after="0"/>
              <w:rPr>
                <w:sz w:val="8"/>
                <w:szCs w:val="8"/>
                <w:color w:val="auto"/>
              </w:rPr>
            </w:pPr>
          </w:p>
        </w:tc>
        <w:tc>
          <w:tcPr>
            <w:tcW w:w="120" w:type="dxa"/>
            <w:vAlign w:val="bottom"/>
          </w:tcPr>
          <w:p>
            <w:pPr>
              <w:spacing w:after="0"/>
              <w:rPr>
                <w:sz w:val="8"/>
                <w:szCs w:val="8"/>
                <w:color w:val="auto"/>
              </w:rPr>
            </w:pPr>
          </w:p>
        </w:tc>
        <w:tc>
          <w:tcPr>
            <w:tcW w:w="1440" w:type="dxa"/>
            <w:vAlign w:val="bottom"/>
            <w:gridSpan w:val="2"/>
            <w:vMerge w:val="restart"/>
          </w:tcPr>
          <w:p>
            <w:pPr>
              <w:jc w:val="center"/>
              <w:ind w:right="540"/>
              <w:spacing w:after="0" w:line="149" w:lineRule="exact"/>
              <w:rPr>
                <w:sz w:val="20"/>
                <w:szCs w:val="20"/>
                <w:color w:val="auto"/>
              </w:rPr>
            </w:pPr>
            <w:r>
              <w:rPr>
                <w:rFonts w:ascii="Arial" w:cs="Arial" w:eastAsia="Arial" w:hAnsi="Arial"/>
                <w:sz w:val="14"/>
                <w:szCs w:val="14"/>
                <w:b w:val="1"/>
                <w:bCs w:val="1"/>
                <w:color w:val="auto"/>
                <w:w w:val="88"/>
              </w:rPr>
              <w:t>Ended</w:t>
            </w:r>
          </w:p>
        </w:tc>
        <w:tc>
          <w:tcPr>
            <w:tcW w:w="820" w:type="dxa"/>
            <w:vAlign w:val="bottom"/>
            <w:gridSpan w:val="2"/>
            <w:vMerge w:val="restart"/>
          </w:tcPr>
          <w:p>
            <w:pPr>
              <w:jc w:val="center"/>
              <w:spacing w:after="0" w:line="149" w:lineRule="exact"/>
              <w:rPr>
                <w:sz w:val="20"/>
                <w:szCs w:val="20"/>
                <w:color w:val="auto"/>
              </w:rPr>
            </w:pPr>
            <w:r>
              <w:rPr>
                <w:rFonts w:ascii="Arial" w:cs="Arial" w:eastAsia="Arial" w:hAnsi="Arial"/>
                <w:sz w:val="14"/>
                <w:szCs w:val="14"/>
                <w:b w:val="1"/>
                <w:bCs w:val="1"/>
                <w:color w:val="auto"/>
                <w:w w:val="85"/>
              </w:rPr>
              <w:t>September 30,</w:t>
            </w:r>
          </w:p>
        </w:tc>
        <w:tc>
          <w:tcPr>
            <w:tcW w:w="500" w:type="dxa"/>
            <w:vAlign w:val="bottom"/>
            <w:tcBorders>
              <w:right w:val="single" w:sz="8" w:color="auto"/>
            </w:tcBorders>
          </w:tcPr>
          <w:p>
            <w:pPr>
              <w:spacing w:after="0"/>
              <w:rPr>
                <w:sz w:val="8"/>
                <w:szCs w:val="8"/>
                <w:color w:val="auto"/>
              </w:rPr>
            </w:pPr>
          </w:p>
        </w:tc>
        <w:tc>
          <w:tcPr>
            <w:tcW w:w="300" w:type="dxa"/>
            <w:vAlign w:val="bottom"/>
          </w:tcPr>
          <w:p>
            <w:pPr>
              <w:spacing w:after="0"/>
              <w:rPr>
                <w:sz w:val="8"/>
                <w:szCs w:val="8"/>
                <w:color w:val="auto"/>
              </w:rPr>
            </w:pPr>
          </w:p>
        </w:tc>
        <w:tc>
          <w:tcPr>
            <w:tcW w:w="700" w:type="dxa"/>
            <w:vAlign w:val="bottom"/>
            <w:vMerge w:val="restart"/>
          </w:tcPr>
          <w:p>
            <w:pPr>
              <w:jc w:val="center"/>
              <w:spacing w:after="0" w:line="149" w:lineRule="exact"/>
              <w:rPr>
                <w:sz w:val="20"/>
                <w:szCs w:val="20"/>
                <w:color w:val="auto"/>
              </w:rPr>
            </w:pPr>
            <w:r>
              <w:rPr>
                <w:rFonts w:ascii="Arial" w:cs="Arial" w:eastAsia="Arial" w:hAnsi="Arial"/>
                <w:sz w:val="14"/>
                <w:szCs w:val="14"/>
                <w:b w:val="1"/>
                <w:bCs w:val="1"/>
                <w:color w:val="auto"/>
                <w:w w:val="87"/>
              </w:rPr>
              <w:t>Through</w:t>
            </w:r>
          </w:p>
        </w:tc>
        <w:tc>
          <w:tcPr>
            <w:tcW w:w="4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720" w:type="dxa"/>
            <w:vAlign w:val="bottom"/>
            <w:gridSpan w:val="4"/>
            <w:vMerge w:val="continue"/>
          </w:tcPr>
          <w:p>
            <w:pPr>
              <w:spacing w:after="0"/>
              <w:rPr>
                <w:sz w:val="8"/>
                <w:szCs w:val="8"/>
                <w:color w:val="auto"/>
              </w:rPr>
            </w:pPr>
          </w:p>
        </w:tc>
        <w:tc>
          <w:tcPr>
            <w:tcW w:w="0" w:type="dxa"/>
            <w:vAlign w:val="bottom"/>
          </w:tcPr>
          <w:p>
            <w:pPr>
              <w:spacing w:after="0"/>
              <w:rPr>
                <w:sz w:val="1"/>
                <w:szCs w:val="1"/>
                <w:color w:val="auto"/>
              </w:rPr>
            </w:pPr>
          </w:p>
        </w:tc>
      </w:tr>
      <w:tr>
        <w:trPr>
          <w:trHeight w:val="35"/>
        </w:trPr>
        <w:tc>
          <w:tcPr>
            <w:tcW w:w="37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0" w:type="dxa"/>
            <w:vAlign w:val="bottom"/>
            <w:vMerge w:val="continue"/>
          </w:tcPr>
          <w:p>
            <w:pPr>
              <w:spacing w:after="0"/>
              <w:rPr>
                <w:sz w:val="3"/>
                <w:szCs w:val="3"/>
                <w:color w:val="auto"/>
              </w:rPr>
            </w:pPr>
          </w:p>
        </w:tc>
        <w:tc>
          <w:tcPr>
            <w:tcW w:w="420" w:type="dxa"/>
            <w:vAlign w:val="bottom"/>
          </w:tcPr>
          <w:p>
            <w:pPr>
              <w:spacing w:after="0"/>
              <w:rPr>
                <w:sz w:val="3"/>
                <w:szCs w:val="3"/>
                <w:color w:val="auto"/>
              </w:rPr>
            </w:pPr>
          </w:p>
        </w:tc>
        <w:tc>
          <w:tcPr>
            <w:tcW w:w="120" w:type="dxa"/>
            <w:vAlign w:val="bottom"/>
          </w:tcPr>
          <w:p>
            <w:pPr>
              <w:spacing w:after="0"/>
              <w:rPr>
                <w:sz w:val="3"/>
                <w:szCs w:val="3"/>
                <w:color w:val="auto"/>
              </w:rPr>
            </w:pPr>
          </w:p>
        </w:tc>
        <w:tc>
          <w:tcPr>
            <w:tcW w:w="1440" w:type="dxa"/>
            <w:vAlign w:val="bottom"/>
            <w:gridSpan w:val="2"/>
            <w:vMerge w:val="continue"/>
          </w:tcPr>
          <w:p>
            <w:pPr>
              <w:spacing w:after="0"/>
              <w:rPr>
                <w:sz w:val="3"/>
                <w:szCs w:val="3"/>
                <w:color w:val="auto"/>
              </w:rPr>
            </w:pPr>
          </w:p>
        </w:tc>
        <w:tc>
          <w:tcPr>
            <w:tcW w:w="820" w:type="dxa"/>
            <w:vAlign w:val="bottom"/>
            <w:gridSpan w:val="2"/>
            <w:vMerge w:val="continue"/>
          </w:tcPr>
          <w:p>
            <w:pPr>
              <w:spacing w:after="0"/>
              <w:rPr>
                <w:sz w:val="3"/>
                <w:szCs w:val="3"/>
                <w:color w:val="auto"/>
              </w:rPr>
            </w:pPr>
          </w:p>
        </w:tc>
        <w:tc>
          <w:tcPr>
            <w:tcW w:w="500" w:type="dxa"/>
            <w:vAlign w:val="bottom"/>
            <w:tcBorders>
              <w:right w:val="single" w:sz="8" w:color="auto"/>
            </w:tcBorders>
          </w:tcPr>
          <w:p>
            <w:pPr>
              <w:spacing w:after="0"/>
              <w:rPr>
                <w:sz w:val="3"/>
                <w:szCs w:val="3"/>
                <w:color w:val="auto"/>
              </w:rPr>
            </w:pPr>
          </w:p>
        </w:tc>
        <w:tc>
          <w:tcPr>
            <w:tcW w:w="300" w:type="dxa"/>
            <w:vAlign w:val="bottom"/>
          </w:tcPr>
          <w:p>
            <w:pPr>
              <w:spacing w:after="0"/>
              <w:rPr>
                <w:sz w:val="3"/>
                <w:szCs w:val="3"/>
                <w:color w:val="auto"/>
              </w:rPr>
            </w:pPr>
          </w:p>
        </w:tc>
        <w:tc>
          <w:tcPr>
            <w:tcW w:w="700" w:type="dxa"/>
            <w:vAlign w:val="bottom"/>
            <w:vMerge w:val="continue"/>
          </w:tcPr>
          <w:p>
            <w:pPr>
              <w:spacing w:after="0"/>
              <w:rPr>
                <w:sz w:val="3"/>
                <w:szCs w:val="3"/>
                <w:color w:val="auto"/>
              </w:rPr>
            </w:pPr>
          </w:p>
        </w:tc>
        <w:tc>
          <w:tcPr>
            <w:tcW w:w="420" w:type="dxa"/>
            <w:vAlign w:val="bottom"/>
          </w:tcPr>
          <w:p>
            <w:pPr>
              <w:spacing w:after="0"/>
              <w:rPr>
                <w:sz w:val="3"/>
                <w:szCs w:val="3"/>
                <w:color w:val="auto"/>
              </w:rPr>
            </w:pPr>
          </w:p>
        </w:tc>
        <w:tc>
          <w:tcPr>
            <w:tcW w:w="100" w:type="dxa"/>
            <w:vAlign w:val="bottom"/>
            <w:tcBorders>
              <w:top w:val="single" w:sz="8" w:color="auto"/>
            </w:tcBorders>
          </w:tcPr>
          <w:p>
            <w:pPr>
              <w:spacing w:after="0"/>
              <w:rPr>
                <w:sz w:val="3"/>
                <w:szCs w:val="3"/>
                <w:color w:val="auto"/>
              </w:rPr>
            </w:pPr>
          </w:p>
        </w:tc>
        <w:tc>
          <w:tcPr>
            <w:tcW w:w="640" w:type="dxa"/>
            <w:vAlign w:val="bottom"/>
            <w:tcBorders>
              <w:top w:val="single" w:sz="8" w:color="auto"/>
            </w:tcBorders>
          </w:tcPr>
          <w:p>
            <w:pPr>
              <w:spacing w:after="0"/>
              <w:rPr>
                <w:sz w:val="3"/>
                <w:szCs w:val="3"/>
                <w:color w:val="auto"/>
              </w:rPr>
            </w:pPr>
          </w:p>
        </w:tc>
        <w:tc>
          <w:tcPr>
            <w:tcW w:w="420" w:type="dxa"/>
            <w:vAlign w:val="bottom"/>
            <w:tcBorders>
              <w:top w:val="single" w:sz="8" w:color="auto"/>
            </w:tcBorders>
          </w:tcPr>
          <w:p>
            <w:pPr>
              <w:spacing w:after="0"/>
              <w:rPr>
                <w:sz w:val="3"/>
                <w:szCs w:val="3"/>
                <w:color w:val="auto"/>
              </w:rPr>
            </w:pPr>
          </w:p>
        </w:tc>
        <w:tc>
          <w:tcPr>
            <w:tcW w:w="400" w:type="dxa"/>
            <w:vAlign w:val="bottom"/>
            <w:tcBorders>
              <w:top w:val="single" w:sz="8" w:color="auto"/>
            </w:tcBorders>
          </w:tcPr>
          <w:p>
            <w:pPr>
              <w:spacing w:after="0"/>
              <w:rPr>
                <w:sz w:val="3"/>
                <w:szCs w:val="3"/>
                <w:color w:val="auto"/>
              </w:rPr>
            </w:pPr>
          </w:p>
        </w:tc>
        <w:tc>
          <w:tcPr>
            <w:tcW w:w="2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61"/>
        </w:trPr>
        <w:tc>
          <w:tcPr>
            <w:tcW w:w="3740" w:type="dxa"/>
            <w:vAlign w:val="bottom"/>
          </w:tcPr>
          <w:p>
            <w:pPr>
              <w:spacing w:after="0"/>
              <w:rPr>
                <w:sz w:val="14"/>
                <w:szCs w:val="14"/>
                <w:color w:val="auto"/>
              </w:rPr>
            </w:pPr>
          </w:p>
        </w:tc>
        <w:tc>
          <w:tcPr>
            <w:tcW w:w="114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85"/>
              </w:rPr>
              <w:t>September 30, 2010</w:t>
            </w:r>
          </w:p>
        </w:tc>
        <w:tc>
          <w:tcPr>
            <w:tcW w:w="420" w:type="dxa"/>
            <w:vAlign w:val="bottom"/>
          </w:tcPr>
          <w:p>
            <w:pPr>
              <w:spacing w:after="0"/>
              <w:rPr>
                <w:sz w:val="14"/>
                <w:szCs w:val="14"/>
                <w:color w:val="auto"/>
              </w:rPr>
            </w:pPr>
          </w:p>
        </w:tc>
        <w:tc>
          <w:tcPr>
            <w:tcW w:w="114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87"/>
              </w:rPr>
              <w:t>September 30, 2009</w:t>
            </w:r>
          </w:p>
        </w:tc>
        <w:tc>
          <w:tcPr>
            <w:tcW w:w="4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center"/>
              <w:ind w:right="27"/>
              <w:spacing w:after="0"/>
              <w:rPr>
                <w:sz w:val="20"/>
                <w:szCs w:val="20"/>
                <w:color w:val="auto"/>
              </w:rPr>
            </w:pPr>
            <w:r>
              <w:rPr>
                <w:rFonts w:ascii="Arial" w:cs="Arial" w:eastAsia="Arial" w:hAnsi="Arial"/>
                <w:sz w:val="14"/>
                <w:szCs w:val="14"/>
                <w:b w:val="1"/>
                <w:bCs w:val="1"/>
                <w:color w:val="auto"/>
                <w:w w:val="83"/>
              </w:rPr>
              <w:t>2009</w:t>
            </w:r>
          </w:p>
        </w:tc>
        <w:tc>
          <w:tcPr>
            <w:tcW w:w="500" w:type="dxa"/>
            <w:vAlign w:val="bottom"/>
            <w:tcBorders>
              <w:right w:val="single" w:sz="8" w:color="auto"/>
            </w:tcBorders>
          </w:tcPr>
          <w:p>
            <w:pPr>
              <w:spacing w:after="0"/>
              <w:rPr>
                <w:sz w:val="14"/>
                <w:szCs w:val="14"/>
                <w:color w:val="auto"/>
              </w:rPr>
            </w:pPr>
          </w:p>
        </w:tc>
        <w:tc>
          <w:tcPr>
            <w:tcW w:w="300" w:type="dxa"/>
            <w:vAlign w:val="bottom"/>
          </w:tcPr>
          <w:p>
            <w:pPr>
              <w:spacing w:after="0"/>
              <w:rPr>
                <w:sz w:val="14"/>
                <w:szCs w:val="14"/>
                <w:color w:val="auto"/>
              </w:rPr>
            </w:pPr>
          </w:p>
        </w:tc>
        <w:tc>
          <w:tcPr>
            <w:tcW w:w="7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6"/>
              </w:rPr>
              <w:t>July 9, 2009</w:t>
            </w:r>
          </w:p>
        </w:tc>
        <w:tc>
          <w:tcPr>
            <w:tcW w:w="4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Amount</w:t>
            </w:r>
          </w:p>
        </w:tc>
        <w:tc>
          <w:tcPr>
            <w:tcW w:w="420" w:type="dxa"/>
            <w:vAlign w:val="bottom"/>
          </w:tcPr>
          <w:p>
            <w:pPr>
              <w:spacing w:after="0"/>
              <w:rPr>
                <w:sz w:val="14"/>
                <w:szCs w:val="14"/>
                <w:color w:val="auto"/>
              </w:rPr>
            </w:pPr>
          </w:p>
        </w:tc>
        <w:tc>
          <w:tcPr>
            <w:tcW w:w="400" w:type="dxa"/>
            <w:vAlign w:val="bottom"/>
            <w:tcBorders>
              <w:bottom w:val="single" w:sz="8" w:color="auto"/>
            </w:tcBorders>
          </w:tcPr>
          <w:p>
            <w:pPr>
              <w:ind w:left="140"/>
              <w:spacing w:after="0"/>
              <w:rPr>
                <w:sz w:val="20"/>
                <w:szCs w:val="20"/>
                <w:color w:val="auto"/>
              </w:rPr>
            </w:pPr>
            <w:r>
              <w:rPr>
                <w:rFonts w:ascii="Arial" w:cs="Arial" w:eastAsia="Arial" w:hAnsi="Arial"/>
                <w:sz w:val="14"/>
                <w:szCs w:val="14"/>
                <w:b w:val="1"/>
                <w:bCs w:val="1"/>
                <w:color w:val="auto"/>
              </w:rPr>
              <w:t>%</w:t>
            </w:r>
          </w:p>
        </w:tc>
        <w:tc>
          <w:tcPr>
            <w:tcW w:w="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3740" w:type="dxa"/>
            <w:vAlign w:val="bottom"/>
            <w:shd w:val="clear" w:color="auto" w:fill="CCEEFF"/>
          </w:tcPr>
          <w:p>
            <w:pPr>
              <w:spacing w:after="0"/>
              <w:rPr>
                <w:sz w:val="20"/>
                <w:szCs w:val="20"/>
                <w:color w:val="auto"/>
              </w:rPr>
            </w:pPr>
            <w:r>
              <w:rPr>
                <w:rFonts w:ascii="Arial" w:cs="Arial" w:eastAsia="Arial" w:hAnsi="Arial"/>
                <w:sz w:val="18"/>
                <w:szCs w:val="18"/>
                <w:color w:val="auto"/>
              </w:rPr>
              <w:t>Total net sales and revenue</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17,162</w:t>
            </w:r>
          </w:p>
        </w:tc>
        <w:tc>
          <w:tcPr>
            <w:tcW w:w="5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4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17,790</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5,238</w:t>
            </w:r>
          </w:p>
        </w:tc>
        <w:tc>
          <w:tcPr>
            <w:tcW w:w="500" w:type="dxa"/>
            <w:vAlign w:val="bottom"/>
            <w:tcBorders>
              <w:right w:val="single" w:sz="8" w:color="auto"/>
            </w:tcBorders>
            <w:shd w:val="clear" w:color="auto" w:fill="CCEEFF"/>
          </w:tcPr>
          <w:p>
            <w:pPr>
              <w:spacing w:after="0"/>
              <w:rPr>
                <w:sz w:val="18"/>
                <w:szCs w:val="18"/>
                <w:color w:val="auto"/>
              </w:rPr>
            </w:pP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12,552</w:t>
            </w:r>
          </w:p>
        </w:tc>
        <w:tc>
          <w:tcPr>
            <w:tcW w:w="5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(628)</w:t>
            </w:r>
          </w:p>
        </w:tc>
        <w:tc>
          <w:tcPr>
            <w:tcW w:w="66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w w:val="98"/>
              </w:rPr>
              <w:t>(3.5)%</w:t>
            </w:r>
          </w:p>
        </w:tc>
        <w:tc>
          <w:tcPr>
            <w:tcW w:w="0" w:type="dxa"/>
            <w:vAlign w:val="bottom"/>
          </w:tcPr>
          <w:p>
            <w:pPr>
              <w:spacing w:after="0"/>
              <w:rPr>
                <w:sz w:val="1"/>
                <w:szCs w:val="1"/>
                <w:color w:val="auto"/>
              </w:rPr>
            </w:pPr>
          </w:p>
        </w:tc>
      </w:tr>
    </w:tbl>
    <w:p>
      <w:pPr>
        <w:spacing w:after="0" w:line="154" w:lineRule="exact"/>
        <w:rPr>
          <w:sz w:val="20"/>
          <w:szCs w:val="20"/>
          <w:color w:val="auto"/>
        </w:rPr>
      </w:pPr>
    </w:p>
    <w:p>
      <w:pPr>
        <w:ind w:right="200" w:firstLine="228"/>
        <w:spacing w:after="0" w:line="305" w:lineRule="auto"/>
        <w:rPr>
          <w:sz w:val="20"/>
          <w:szCs w:val="20"/>
          <w:color w:val="auto"/>
        </w:rPr>
      </w:pPr>
      <w:r>
        <w:rPr>
          <w:rFonts w:ascii="Arial" w:cs="Arial" w:eastAsia="Arial" w:hAnsi="Arial"/>
          <w:sz w:val="15"/>
          <w:szCs w:val="15"/>
          <w:color w:val="auto"/>
        </w:rPr>
        <w:t>In the nine months ended September 30, 2010 Total net sales and revenue decreased compared to the corresponding period in 2009 by $0.6 billion (or 3.5%) primarily due to: (1) lower wholesale volumes of $0.5 billion representing 26,000 vehicles (or 2.8%). Wholesale volumes decreased by 111,000 vehicles (or</w:t>
      </w:r>
    </w:p>
    <w:p>
      <w:pPr>
        <w:ind w:right="60"/>
        <w:spacing w:after="0" w:line="287" w:lineRule="auto"/>
        <w:rPr>
          <w:sz w:val="20"/>
          <w:szCs w:val="20"/>
          <w:color w:val="auto"/>
        </w:rPr>
      </w:pPr>
      <w:r>
        <w:rPr>
          <w:rFonts w:ascii="Arial" w:cs="Arial" w:eastAsia="Arial" w:hAnsi="Arial"/>
          <w:sz w:val="16"/>
          <w:szCs w:val="16"/>
          <w:color w:val="auto"/>
        </w:rPr>
        <w:t>40.4%) in Germany due to the end of government subsidies and by 4,000 vehicles (or 29.6%) in Greece. These wholesale volume decreases were partially offset as wholesale volumes increased by 15,000 vehicles (or 32.7%) in Spain, by 11,000 vehicles (or 12.4%) in France, by 9,000 vehicles (or 9.2%) in Italy, by 8,000 vehicles (or 109.0%) in Portugal, by 6,000 vehicles (or 27.9%) in the Netherlands, by 14,000 vehicles in the United States primarily related to the Buick Regal and by 26,000 vehicles in various other European countries; (2) unfavorable net foreign currency translation of $0.3 billion, driven primarily by the weakening of the Euro and British Pound against the U.S. Dollar; (3) lower volumes of rental car activity and subsequent repurchases sold at auction of $0.3 billion; partially offset by (4) favorable vehicle pricing of $0.2 billion due to higher pricing on new vehicle launches; (5) increased powertrain sales to external customers of $0.2 billion; and (6) favorable vehicle mix of $0.1 billion due to increased sales of higher priced vehicles partially offset by the end of government subsidies for vehicle purchases in higher retail priced countries.</w:t>
      </w:r>
    </w:p>
    <w:p>
      <w:pPr>
        <w:spacing w:after="0" w:line="124"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Earnings (Loss) Before Interest and Income Taxes</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5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40" w:type="dxa"/>
            <w:vAlign w:val="bottom"/>
            <w:gridSpan w:val="5"/>
          </w:tcPr>
          <w:p>
            <w:pPr>
              <w:jc w:val="center"/>
              <w:ind w:right="220"/>
              <w:spacing w:after="0"/>
              <w:rPr>
                <w:sz w:val="20"/>
                <w:szCs w:val="20"/>
                <w:color w:val="auto"/>
              </w:rPr>
            </w:pPr>
            <w:r>
              <w:rPr>
                <w:rFonts w:ascii="Arial" w:cs="Arial" w:eastAsia="Arial" w:hAnsi="Arial"/>
                <w:sz w:val="14"/>
                <w:szCs w:val="14"/>
                <w:b w:val="1"/>
                <w:bCs w:val="1"/>
                <w:color w:val="auto"/>
                <w:w w:val="90"/>
              </w:rPr>
              <w:t>Three Months Ended</w:t>
            </w:r>
          </w:p>
        </w:tc>
      </w:tr>
      <w:tr>
        <w:trPr>
          <w:trHeight w:val="149"/>
        </w:trPr>
        <w:tc>
          <w:tcPr>
            <w:tcW w:w="65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0" w:type="dxa"/>
            <w:vAlign w:val="bottom"/>
            <w:gridSpan w:val="3"/>
          </w:tcPr>
          <w:p>
            <w:pPr>
              <w:jc w:val="center"/>
              <w:ind w:left="171"/>
              <w:spacing w:after="0" w:line="149" w:lineRule="exact"/>
              <w:rPr>
                <w:sz w:val="20"/>
                <w:szCs w:val="20"/>
                <w:color w:val="auto"/>
              </w:rPr>
            </w:pPr>
            <w:r>
              <w:rPr>
                <w:rFonts w:ascii="Arial" w:cs="Arial" w:eastAsia="Arial" w:hAnsi="Arial"/>
                <w:sz w:val="14"/>
                <w:szCs w:val="14"/>
                <w:b w:val="1"/>
                <w:bCs w:val="1"/>
                <w:color w:val="auto"/>
                <w:w w:val="85"/>
              </w:rPr>
              <w:t>September 30, 2010</w:t>
            </w:r>
          </w:p>
        </w:tc>
        <w:tc>
          <w:tcPr>
            <w:tcW w:w="34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61"/>
        </w:trPr>
        <w:tc>
          <w:tcPr>
            <w:tcW w:w="652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81"/>
              </w:rPr>
              <w:t>Successor</w:t>
            </w:r>
          </w:p>
        </w:tc>
        <w:tc>
          <w:tcPr>
            <w:tcW w:w="2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3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40" w:type="dxa"/>
            <w:vAlign w:val="bottom"/>
            <w:gridSpan w:val="5"/>
          </w:tcPr>
          <w:p>
            <w:pPr>
              <w:jc w:val="center"/>
              <w:ind w:right="200"/>
              <w:spacing w:after="0"/>
              <w:rPr>
                <w:sz w:val="20"/>
                <w:szCs w:val="20"/>
                <w:color w:val="auto"/>
              </w:rPr>
            </w:pPr>
            <w:r>
              <w:rPr>
                <w:rFonts w:ascii="Arial" w:cs="Arial" w:eastAsia="Arial" w:hAnsi="Arial"/>
                <w:sz w:val="14"/>
                <w:szCs w:val="14"/>
                <w:b w:val="1"/>
                <w:bCs w:val="1"/>
                <w:color w:val="auto"/>
                <w:w w:val="86"/>
              </w:rPr>
              <w:t>vs. Period July 10, 2009</w:t>
            </w:r>
          </w:p>
        </w:tc>
      </w:tr>
      <w:tr>
        <w:trPr>
          <w:trHeight w:val="116"/>
        </w:trPr>
        <w:tc>
          <w:tcPr>
            <w:tcW w:w="6520" w:type="dxa"/>
            <w:vAlign w:val="bottom"/>
          </w:tcPr>
          <w:p>
            <w:pPr>
              <w:spacing w:after="0"/>
              <w:rPr>
                <w:sz w:val="10"/>
                <w:szCs w:val="10"/>
                <w:color w:val="auto"/>
              </w:rPr>
            </w:pPr>
          </w:p>
        </w:tc>
        <w:tc>
          <w:tcPr>
            <w:tcW w:w="1440" w:type="dxa"/>
            <w:vAlign w:val="bottom"/>
            <w:gridSpan w:val="3"/>
          </w:tcPr>
          <w:p>
            <w:pPr>
              <w:jc w:val="center"/>
              <w:ind w:right="552"/>
              <w:spacing w:after="0" w:line="116" w:lineRule="exact"/>
              <w:rPr>
                <w:sz w:val="20"/>
                <w:szCs w:val="20"/>
                <w:color w:val="auto"/>
              </w:rPr>
            </w:pPr>
            <w:r>
              <w:rPr>
                <w:rFonts w:ascii="Arial" w:cs="Arial" w:eastAsia="Arial" w:hAnsi="Arial"/>
                <w:sz w:val="12"/>
                <w:szCs w:val="12"/>
                <w:b w:val="1"/>
                <w:bCs w:val="1"/>
                <w:color w:val="auto"/>
              </w:rPr>
              <w:t>Three Months</w:t>
            </w:r>
          </w:p>
        </w:tc>
        <w:tc>
          <w:tcPr>
            <w:tcW w:w="20" w:type="dxa"/>
            <w:vAlign w:val="bottom"/>
          </w:tcPr>
          <w:p>
            <w:pPr>
              <w:spacing w:after="0"/>
              <w:rPr>
                <w:sz w:val="10"/>
                <w:szCs w:val="10"/>
                <w:color w:val="auto"/>
              </w:rPr>
            </w:pPr>
          </w:p>
        </w:tc>
        <w:tc>
          <w:tcPr>
            <w:tcW w:w="840" w:type="dxa"/>
            <w:vAlign w:val="bottom"/>
            <w:gridSpan w:val="2"/>
          </w:tcPr>
          <w:p>
            <w:pPr>
              <w:jc w:val="center"/>
              <w:spacing w:after="0" w:line="116" w:lineRule="exact"/>
              <w:rPr>
                <w:sz w:val="20"/>
                <w:szCs w:val="20"/>
                <w:color w:val="auto"/>
              </w:rPr>
            </w:pPr>
            <w:r>
              <w:rPr>
                <w:rFonts w:ascii="Arial" w:cs="Arial" w:eastAsia="Arial" w:hAnsi="Arial"/>
                <w:sz w:val="12"/>
                <w:szCs w:val="12"/>
                <w:b w:val="1"/>
                <w:bCs w:val="1"/>
                <w:color w:val="auto"/>
              </w:rPr>
              <w:t>July 10, 2009</w:t>
            </w:r>
          </w:p>
        </w:tc>
        <w:tc>
          <w:tcPr>
            <w:tcW w:w="34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00" w:type="dxa"/>
            <w:vAlign w:val="bottom"/>
            <w:gridSpan w:val="3"/>
          </w:tcPr>
          <w:p>
            <w:pPr>
              <w:jc w:val="center"/>
              <w:ind w:left="151"/>
              <w:spacing w:after="0" w:line="116" w:lineRule="exact"/>
              <w:rPr>
                <w:sz w:val="20"/>
                <w:szCs w:val="20"/>
                <w:color w:val="auto"/>
              </w:rPr>
            </w:pPr>
            <w:r>
              <w:rPr>
                <w:rFonts w:ascii="Arial" w:cs="Arial" w:eastAsia="Arial" w:hAnsi="Arial"/>
                <w:sz w:val="12"/>
                <w:szCs w:val="12"/>
                <w:b w:val="1"/>
                <w:bCs w:val="1"/>
                <w:color w:val="auto"/>
              </w:rPr>
              <w:t>Through</w:t>
            </w:r>
          </w:p>
        </w:tc>
        <w:tc>
          <w:tcPr>
            <w:tcW w:w="340" w:type="dxa"/>
            <w:vAlign w:val="bottom"/>
          </w:tcPr>
          <w:p>
            <w:pPr>
              <w:spacing w:after="0"/>
              <w:rPr>
                <w:sz w:val="10"/>
                <w:szCs w:val="10"/>
                <w:color w:val="auto"/>
              </w:rPr>
            </w:pPr>
          </w:p>
        </w:tc>
        <w:tc>
          <w:tcPr>
            <w:tcW w:w="100" w:type="dxa"/>
            <w:vAlign w:val="bottom"/>
          </w:tcPr>
          <w:p>
            <w:pPr>
              <w:spacing w:after="0"/>
              <w:rPr>
                <w:sz w:val="10"/>
                <w:szCs w:val="10"/>
                <w:color w:val="auto"/>
              </w:rPr>
            </w:pPr>
          </w:p>
        </w:tc>
      </w:tr>
      <w:tr>
        <w:trPr>
          <w:trHeight w:val="149"/>
        </w:trPr>
        <w:tc>
          <w:tcPr>
            <w:tcW w:w="65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80" w:type="dxa"/>
            <w:vAlign w:val="bottom"/>
            <w:gridSpan w:val="2"/>
          </w:tcPr>
          <w:p>
            <w:pPr>
              <w:jc w:val="center"/>
              <w:ind w:right="712"/>
              <w:spacing w:after="0" w:line="149" w:lineRule="exact"/>
              <w:rPr>
                <w:sz w:val="20"/>
                <w:szCs w:val="20"/>
                <w:color w:val="auto"/>
              </w:rPr>
            </w:pPr>
            <w:r>
              <w:rPr>
                <w:rFonts w:ascii="Arial" w:cs="Arial" w:eastAsia="Arial" w:hAnsi="Arial"/>
                <w:sz w:val="14"/>
                <w:szCs w:val="14"/>
                <w:b w:val="1"/>
                <w:bCs w:val="1"/>
                <w:color w:val="auto"/>
                <w:w w:val="88"/>
              </w:rPr>
              <w:t>Ended</w:t>
            </w: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40" w:type="dxa"/>
            <w:vAlign w:val="bottom"/>
            <w:gridSpan w:val="2"/>
          </w:tcPr>
          <w:p>
            <w:pPr>
              <w:jc w:val="center"/>
              <w:ind w:right="480"/>
              <w:spacing w:after="0" w:line="149" w:lineRule="exact"/>
              <w:rPr>
                <w:sz w:val="20"/>
                <w:szCs w:val="20"/>
                <w:color w:val="auto"/>
              </w:rPr>
            </w:pPr>
            <w:r>
              <w:rPr>
                <w:rFonts w:ascii="Arial" w:cs="Arial" w:eastAsia="Arial" w:hAnsi="Arial"/>
                <w:sz w:val="14"/>
                <w:szCs w:val="14"/>
                <w:b w:val="1"/>
                <w:bCs w:val="1"/>
                <w:color w:val="auto"/>
                <w:w w:val="91"/>
              </w:rPr>
              <w:t>Through</w:t>
            </w:r>
          </w:p>
        </w:tc>
        <w:tc>
          <w:tcPr>
            <w:tcW w:w="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0" w:type="dxa"/>
            <w:vAlign w:val="bottom"/>
            <w:gridSpan w:val="3"/>
          </w:tcPr>
          <w:p>
            <w:pPr>
              <w:jc w:val="center"/>
              <w:ind w:left="171"/>
              <w:spacing w:after="0" w:line="149" w:lineRule="exact"/>
              <w:rPr>
                <w:sz w:val="20"/>
                <w:szCs w:val="20"/>
                <w:color w:val="auto"/>
              </w:rPr>
            </w:pPr>
            <w:r>
              <w:rPr>
                <w:rFonts w:ascii="Arial" w:cs="Arial" w:eastAsia="Arial" w:hAnsi="Arial"/>
                <w:sz w:val="14"/>
                <w:szCs w:val="14"/>
                <w:b w:val="1"/>
                <w:bCs w:val="1"/>
                <w:color w:val="auto"/>
                <w:w w:val="85"/>
              </w:rPr>
              <w:t>September 30, 2009</w:t>
            </w:r>
          </w:p>
        </w:tc>
        <w:tc>
          <w:tcPr>
            <w:tcW w:w="34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61"/>
        </w:trPr>
        <w:tc>
          <w:tcPr>
            <w:tcW w:w="6520" w:type="dxa"/>
            <w:vAlign w:val="bottom"/>
          </w:tcPr>
          <w:p>
            <w:pPr>
              <w:spacing w:after="0"/>
              <w:rPr>
                <w:sz w:val="14"/>
                <w:szCs w:val="14"/>
                <w:color w:val="auto"/>
              </w:rPr>
            </w:pPr>
          </w:p>
        </w:tc>
        <w:tc>
          <w:tcPr>
            <w:tcW w:w="1440" w:type="dxa"/>
            <w:vAlign w:val="bottom"/>
            <w:gridSpan w:val="3"/>
          </w:tcPr>
          <w:p>
            <w:pPr>
              <w:jc w:val="center"/>
              <w:ind w:right="552"/>
              <w:spacing w:after="0"/>
              <w:rPr>
                <w:sz w:val="20"/>
                <w:szCs w:val="20"/>
                <w:color w:val="auto"/>
              </w:rPr>
            </w:pPr>
            <w:r>
              <w:rPr>
                <w:rFonts w:ascii="Arial" w:cs="Arial" w:eastAsia="Arial" w:hAnsi="Arial"/>
                <w:sz w:val="14"/>
                <w:szCs w:val="14"/>
                <w:b w:val="1"/>
                <w:bCs w:val="1"/>
                <w:color w:val="auto"/>
                <w:w w:val="85"/>
              </w:rPr>
              <w:t>September 30,</w:t>
            </w:r>
          </w:p>
        </w:tc>
        <w:tc>
          <w:tcPr>
            <w:tcW w:w="20" w:type="dxa"/>
            <w:vAlign w:val="bottom"/>
          </w:tcPr>
          <w:p>
            <w:pPr>
              <w:spacing w:after="0"/>
              <w:rPr>
                <w:sz w:val="14"/>
                <w:szCs w:val="14"/>
                <w:color w:val="auto"/>
              </w:rPr>
            </w:pPr>
          </w:p>
        </w:tc>
        <w:tc>
          <w:tcPr>
            <w:tcW w:w="1180" w:type="dxa"/>
            <w:vAlign w:val="bottom"/>
            <w:gridSpan w:val="3"/>
          </w:tcPr>
          <w:p>
            <w:pPr>
              <w:jc w:val="center"/>
              <w:ind w:right="320"/>
              <w:spacing w:after="0"/>
              <w:rPr>
                <w:sz w:val="20"/>
                <w:szCs w:val="20"/>
                <w:color w:val="auto"/>
              </w:rPr>
            </w:pPr>
            <w:r>
              <w:rPr>
                <w:rFonts w:ascii="Arial" w:cs="Arial" w:eastAsia="Arial" w:hAnsi="Arial"/>
                <w:sz w:val="14"/>
                <w:szCs w:val="14"/>
                <w:b w:val="1"/>
                <w:bCs w:val="1"/>
                <w:color w:val="auto"/>
                <w:w w:val="85"/>
              </w:rPr>
              <w:t>September 30,</w:t>
            </w:r>
          </w:p>
        </w:tc>
        <w:tc>
          <w:tcPr>
            <w:tcW w:w="30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400" w:type="dxa"/>
            <w:vAlign w:val="bottom"/>
            <w:tcBorders>
              <w:bottom w:val="single" w:sz="8" w:color="auto"/>
            </w:tcBorders>
            <w:gridSpan w:val="3"/>
          </w:tcPr>
          <w:p>
            <w:pPr>
              <w:jc w:val="center"/>
              <w:ind w:left="171"/>
              <w:spacing w:after="0"/>
              <w:rPr>
                <w:sz w:val="20"/>
                <w:szCs w:val="20"/>
                <w:color w:val="auto"/>
              </w:rPr>
            </w:pPr>
            <w:r>
              <w:rPr>
                <w:rFonts w:ascii="Arial" w:cs="Arial" w:eastAsia="Arial" w:hAnsi="Arial"/>
                <w:sz w:val="14"/>
                <w:szCs w:val="14"/>
                <w:b w:val="1"/>
                <w:bCs w:val="1"/>
                <w:color w:val="auto"/>
                <w:w w:val="85"/>
              </w:rPr>
              <w:t>Change</w:t>
            </w:r>
          </w:p>
        </w:tc>
        <w:tc>
          <w:tcPr>
            <w:tcW w:w="3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42"/>
        </w:trPr>
        <w:tc>
          <w:tcPr>
            <w:tcW w:w="652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jc w:val="center"/>
              <w:ind w:right="86"/>
              <w:spacing w:after="0" w:line="142" w:lineRule="exact"/>
              <w:rPr>
                <w:sz w:val="20"/>
                <w:szCs w:val="20"/>
                <w:color w:val="auto"/>
              </w:rPr>
            </w:pPr>
            <w:r>
              <w:rPr>
                <w:rFonts w:ascii="Arial" w:cs="Arial" w:eastAsia="Arial" w:hAnsi="Arial"/>
                <w:sz w:val="14"/>
                <w:szCs w:val="14"/>
                <w:b w:val="1"/>
                <w:bCs w:val="1"/>
                <w:color w:val="auto"/>
                <w:w w:val="83"/>
              </w:rPr>
              <w:t>2010</w:t>
            </w:r>
          </w:p>
        </w:tc>
        <w:tc>
          <w:tcPr>
            <w:tcW w:w="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jc w:val="center"/>
              <w:ind w:right="66"/>
              <w:spacing w:after="0" w:line="142" w:lineRule="exact"/>
              <w:rPr>
                <w:sz w:val="20"/>
                <w:szCs w:val="20"/>
                <w:color w:val="auto"/>
              </w:rPr>
            </w:pPr>
            <w:r>
              <w:rPr>
                <w:rFonts w:ascii="Arial" w:cs="Arial" w:eastAsia="Arial" w:hAnsi="Arial"/>
                <w:sz w:val="14"/>
                <w:szCs w:val="14"/>
                <w:b w:val="1"/>
                <w:bCs w:val="1"/>
                <w:color w:val="auto"/>
                <w:w w:val="89"/>
              </w:rPr>
              <w:t>2009</w:t>
            </w:r>
          </w:p>
        </w:tc>
        <w:tc>
          <w:tcPr>
            <w:tcW w:w="3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ind w:left="20"/>
              <w:spacing w:after="0" w:line="142" w:lineRule="exact"/>
              <w:rPr>
                <w:sz w:val="20"/>
                <w:szCs w:val="20"/>
                <w:color w:val="auto"/>
              </w:rPr>
            </w:pPr>
            <w:r>
              <w:rPr>
                <w:rFonts w:ascii="Arial" w:cs="Arial" w:eastAsia="Arial" w:hAnsi="Arial"/>
                <w:sz w:val="14"/>
                <w:szCs w:val="14"/>
                <w:b w:val="1"/>
                <w:bCs w:val="1"/>
                <w:color w:val="auto"/>
              </w:rPr>
              <w:t>Amount</w:t>
            </w:r>
          </w:p>
        </w:tc>
        <w:tc>
          <w:tcPr>
            <w:tcW w:w="64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340" w:type="dxa"/>
            <w:vAlign w:val="bottom"/>
            <w:tcBorders>
              <w:bottom w:val="single" w:sz="8" w:color="auto"/>
            </w:tcBorders>
          </w:tcPr>
          <w:p>
            <w:pPr>
              <w:jc w:val="right"/>
              <w:ind w:right="62"/>
              <w:spacing w:after="0" w:line="142" w:lineRule="exact"/>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12"/>
                <w:szCs w:val="12"/>
                <w:color w:val="auto"/>
              </w:rPr>
            </w:pPr>
          </w:p>
        </w:tc>
      </w:tr>
      <w:tr>
        <w:trPr>
          <w:trHeight w:val="210"/>
        </w:trPr>
        <w:tc>
          <w:tcPr>
            <w:tcW w:w="6520" w:type="dxa"/>
            <w:vAlign w:val="bottom"/>
            <w:shd w:val="clear" w:color="auto" w:fill="CCEEFF"/>
          </w:tcPr>
          <w:p>
            <w:pPr>
              <w:spacing w:after="0"/>
              <w:rPr>
                <w:sz w:val="20"/>
                <w:szCs w:val="20"/>
                <w:color w:val="auto"/>
              </w:rPr>
            </w:pPr>
            <w:r>
              <w:rPr>
                <w:rFonts w:ascii="Arial" w:cs="Arial" w:eastAsia="Arial" w:hAnsi="Arial"/>
                <w:sz w:val="18"/>
                <w:szCs w:val="18"/>
                <w:color w:val="auto"/>
              </w:rPr>
              <w:t>Earnings (loss) before interest and income taxes</w:t>
            </w:r>
          </w:p>
        </w:tc>
        <w:tc>
          <w:tcPr>
            <w:tcW w:w="160" w:type="dxa"/>
            <w:vAlign w:val="bottom"/>
            <w:shd w:val="clear" w:color="auto" w:fill="CCEEFF"/>
          </w:tcPr>
          <w:p>
            <w:pPr>
              <w:jc w:val="right"/>
              <w:ind w:right="11"/>
              <w:spacing w:after="0"/>
              <w:rPr>
                <w:sz w:val="20"/>
                <w:szCs w:val="20"/>
                <w:color w:val="auto"/>
              </w:rPr>
            </w:pPr>
            <w:r>
              <w:rPr>
                <w:rFonts w:ascii="Arial" w:cs="Arial" w:eastAsia="Arial" w:hAnsi="Arial"/>
                <w:sz w:val="15"/>
                <w:szCs w:val="15"/>
                <w:color w:val="auto"/>
                <w:w w:val="71"/>
              </w:rPr>
              <w:t>$</w:t>
            </w:r>
          </w:p>
        </w:tc>
        <w:tc>
          <w:tcPr>
            <w:tcW w:w="1280" w:type="dxa"/>
            <w:vAlign w:val="bottom"/>
            <w:gridSpan w:val="2"/>
            <w:shd w:val="clear" w:color="auto" w:fill="CCEEFF"/>
          </w:tcPr>
          <w:p>
            <w:pPr>
              <w:jc w:val="right"/>
              <w:ind w:right="492"/>
              <w:spacing w:after="0"/>
              <w:rPr>
                <w:sz w:val="20"/>
                <w:szCs w:val="20"/>
                <w:color w:val="auto"/>
              </w:rPr>
            </w:pPr>
            <w:r>
              <w:rPr>
                <w:rFonts w:ascii="Arial" w:cs="Arial" w:eastAsia="Arial" w:hAnsi="Arial"/>
                <w:sz w:val="18"/>
                <w:szCs w:val="18"/>
                <w:color w:val="auto"/>
              </w:rPr>
              <w:t>(559)</w:t>
            </w: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(15)</w:t>
            </w:r>
          </w:p>
        </w:tc>
        <w:tc>
          <w:tcPr>
            <w:tcW w:w="4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30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(544)</w:t>
            </w:r>
          </w:p>
        </w:tc>
        <w:tc>
          <w:tcPr>
            <w:tcW w:w="100" w:type="dxa"/>
            <w:vAlign w:val="bottom"/>
            <w:shd w:val="clear" w:color="auto" w:fill="CCEEFF"/>
          </w:tcPr>
          <w:p>
            <w:pPr>
              <w:spacing w:after="0"/>
              <w:rPr>
                <w:sz w:val="18"/>
                <w:szCs w:val="18"/>
                <w:color w:val="auto"/>
              </w:rPr>
            </w:pPr>
          </w:p>
        </w:tc>
        <w:tc>
          <w:tcPr>
            <w:tcW w:w="44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n.m.</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728980" cy="889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color w:val="auto"/>
        </w:rPr>
        <w:t>n.m. = not meaningful</w:t>
      </w:r>
    </w:p>
    <w:p>
      <w:pPr>
        <w:spacing w:after="0" w:line="171" w:lineRule="exact"/>
        <w:rPr>
          <w:sz w:val="20"/>
          <w:szCs w:val="20"/>
          <w:color w:val="auto"/>
        </w:rPr>
      </w:pPr>
    </w:p>
    <w:p>
      <w:pPr>
        <w:jc w:val="both"/>
        <w:ind w:right="100" w:firstLine="228"/>
        <w:spacing w:after="0" w:line="306" w:lineRule="auto"/>
        <w:rPr>
          <w:sz w:val="20"/>
          <w:szCs w:val="20"/>
          <w:color w:val="auto"/>
        </w:rPr>
      </w:pPr>
      <w:r>
        <w:rPr>
          <w:rFonts w:ascii="Arial" w:cs="Arial" w:eastAsia="Arial" w:hAnsi="Arial"/>
          <w:sz w:val="16"/>
          <w:szCs w:val="16"/>
          <w:color w:val="auto"/>
        </w:rPr>
        <w:t>In the three months ended September 30, 2010 results decreased compared to the period July 10, 2009 through September 30, 2009 by $0.5 billion as a result of: (1) the effect on cost of sales of $0.5 billion related to inventory acquired from Old GM as further described below; and (2) increased restructuring charges of $0.1 billion primarily related to separation programs announced in Belgium, Spain, Germany, and the United Kingdom.</w:t>
      </w:r>
    </w:p>
    <w:p>
      <w:pPr>
        <w:spacing w:after="0" w:line="107" w:lineRule="exact"/>
        <w:rPr>
          <w:sz w:val="20"/>
          <w:szCs w:val="20"/>
          <w:color w:val="auto"/>
        </w:rPr>
      </w:pPr>
    </w:p>
    <w:p>
      <w:pPr>
        <w:ind w:right="80" w:firstLine="228"/>
        <w:spacing w:after="0" w:line="268" w:lineRule="auto"/>
        <w:rPr>
          <w:sz w:val="20"/>
          <w:szCs w:val="20"/>
          <w:color w:val="auto"/>
        </w:rPr>
      </w:pPr>
      <w:r>
        <w:rPr>
          <w:rFonts w:ascii="Arial" w:cs="Arial" w:eastAsia="Arial" w:hAnsi="Arial"/>
          <w:sz w:val="18"/>
          <w:szCs w:val="18"/>
          <w:color w:val="auto"/>
        </w:rPr>
        <w:t>The 2009 results reflect the benefit of $0.5 billion lower cost of sales due to the sell through of inventory acquired from Old GM at July 10, 2009. As required under U.S. GAAP, the acquired inventory was recorded at fair value as of the acquisition date using a</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121</w:t>
      </w:r>
    </w:p>
    <w:p>
      <w:pPr>
        <w:sectPr>
          <w:pgSz w:w="11900" w:h="16838" w:orient="portrait"/>
          <w:cols w:equalWidth="0" w:num="1">
            <w:col w:w="11420"/>
          </w:cols>
          <w:pgMar w:left="240" w:top="459" w:right="239" w:bottom="1440" w:gutter="0" w:footer="0" w:header="0"/>
        </w:sectPr>
      </w:pPr>
    </w:p>
    <w:bookmarkStart w:id="123" w:name="page124"/>
    <w:bookmarkEnd w:id="1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164" w:lineRule="exact"/>
        <w:rPr>
          <w:sz w:val="20"/>
          <w:szCs w:val="20"/>
          <w:color w:val="auto"/>
        </w:rPr>
      </w:pPr>
    </w:p>
    <w:p>
      <w:pPr>
        <w:ind w:right="500"/>
        <w:spacing w:after="0" w:line="259" w:lineRule="auto"/>
        <w:rPr>
          <w:sz w:val="20"/>
          <w:szCs w:val="20"/>
          <w:color w:val="auto"/>
        </w:rPr>
      </w:pPr>
      <w:r>
        <w:rPr>
          <w:rFonts w:ascii="Arial" w:cs="Arial" w:eastAsia="Arial" w:hAnsi="Arial"/>
          <w:sz w:val="18"/>
          <w:szCs w:val="18"/>
          <w:color w:val="auto"/>
        </w:rPr>
        <w:t>market participant approach, which for work in process and finished goods inventory considered the estimated selling price of the inventory less the costs a market participant would incur to complete, sell and dispose of the inventory, which may be different than our costs, and the profit margin required for its completion and disposal effort.</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0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60" w:type="dxa"/>
            <w:vAlign w:val="bottom"/>
            <w:tcBorders>
              <w:right w:val="single" w:sz="8" w:color="auto"/>
            </w:tcBorders>
            <w:gridSpan w:val="2"/>
          </w:tcPr>
          <w:p>
            <w:pPr>
              <w:jc w:val="center"/>
              <w:ind w:right="820"/>
              <w:spacing w:after="0"/>
              <w:rPr>
                <w:sz w:val="20"/>
                <w:szCs w:val="20"/>
                <w:color w:val="auto"/>
              </w:rPr>
            </w:pPr>
            <w:r>
              <w:rPr>
                <w:rFonts w:ascii="Arial" w:cs="Arial" w:eastAsia="Arial" w:hAnsi="Arial"/>
                <w:sz w:val="14"/>
                <w:szCs w:val="14"/>
                <w:b w:val="1"/>
                <w:bCs w:val="1"/>
                <w:color w:val="auto"/>
                <w:w w:val="79"/>
              </w:rPr>
              <w:t>Successor</w:t>
            </w:r>
          </w:p>
        </w:tc>
        <w:tc>
          <w:tcPr>
            <w:tcW w:w="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0" w:type="dxa"/>
            <w:vAlign w:val="bottom"/>
            <w:gridSpan w:val="4"/>
          </w:tcPr>
          <w:p>
            <w:pPr>
              <w:jc w:val="right"/>
              <w:ind w:right="760"/>
              <w:spacing w:after="0"/>
              <w:rPr>
                <w:sz w:val="20"/>
                <w:szCs w:val="20"/>
                <w:color w:val="auto"/>
              </w:rPr>
            </w:pPr>
            <w:r>
              <w:rPr>
                <w:rFonts w:ascii="Arial" w:cs="Arial" w:eastAsia="Arial" w:hAnsi="Arial"/>
                <w:sz w:val="14"/>
                <w:szCs w:val="14"/>
                <w:b w:val="1"/>
                <w:bCs w:val="1"/>
                <w:color w:val="auto"/>
              </w:rPr>
              <w:t>Predecessor</w:t>
            </w:r>
          </w:p>
        </w:tc>
      </w:tr>
      <w:tr>
        <w:trPr>
          <w:trHeight w:val="129"/>
        </w:trPr>
        <w:tc>
          <w:tcPr>
            <w:tcW w:w="7040" w:type="dxa"/>
            <w:vAlign w:val="bottom"/>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980" w:type="dxa"/>
            <w:vAlign w:val="bottom"/>
            <w:tcBorders>
              <w:top w:val="single" w:sz="8" w:color="auto"/>
            </w:tcBorders>
          </w:tcPr>
          <w:p>
            <w:pPr>
              <w:spacing w:after="0"/>
              <w:rPr>
                <w:sz w:val="11"/>
                <w:szCs w:val="11"/>
                <w:color w:val="auto"/>
              </w:rPr>
            </w:pPr>
          </w:p>
        </w:tc>
        <w:tc>
          <w:tcPr>
            <w:tcW w:w="680" w:type="dxa"/>
            <w:vAlign w:val="bottom"/>
            <w:tcBorders>
              <w:right w:val="single" w:sz="8" w:color="auto"/>
            </w:tcBorders>
          </w:tcPr>
          <w:p>
            <w:pPr>
              <w:spacing w:after="0"/>
              <w:rPr>
                <w:sz w:val="11"/>
                <w:szCs w:val="11"/>
                <w:color w:val="auto"/>
              </w:rPr>
            </w:pPr>
          </w:p>
        </w:tc>
        <w:tc>
          <w:tcPr>
            <w:tcW w:w="48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620" w:type="dxa"/>
            <w:vAlign w:val="bottom"/>
            <w:tcBorders>
              <w:top w:val="single" w:sz="8" w:color="auto"/>
            </w:tcBorders>
          </w:tcPr>
          <w:p>
            <w:pPr>
              <w:spacing w:after="0"/>
              <w:rPr>
                <w:sz w:val="11"/>
                <w:szCs w:val="11"/>
                <w:color w:val="auto"/>
              </w:rPr>
            </w:pPr>
          </w:p>
        </w:tc>
        <w:tc>
          <w:tcPr>
            <w:tcW w:w="580" w:type="dxa"/>
            <w:vAlign w:val="bottom"/>
            <w:tcBorders>
              <w:top w:val="single" w:sz="8" w:color="auto"/>
            </w:tcBorders>
          </w:tcPr>
          <w:p>
            <w:pPr>
              <w:spacing w:after="0"/>
              <w:rPr>
                <w:sz w:val="11"/>
                <w:szCs w:val="11"/>
                <w:color w:val="auto"/>
              </w:rPr>
            </w:pPr>
          </w:p>
        </w:tc>
        <w:tc>
          <w:tcPr>
            <w:tcW w:w="700" w:type="dxa"/>
            <w:vAlign w:val="bottom"/>
            <w:tcBorders>
              <w:top w:val="single" w:sz="8" w:color="auto"/>
            </w:tcBorders>
          </w:tcPr>
          <w:p>
            <w:pPr>
              <w:jc w:val="center"/>
              <w:spacing w:after="0" w:line="129" w:lineRule="exact"/>
              <w:rPr>
                <w:sz w:val="20"/>
                <w:szCs w:val="20"/>
                <w:color w:val="auto"/>
              </w:rPr>
            </w:pPr>
            <w:r>
              <w:rPr>
                <w:rFonts w:ascii="Arial" w:cs="Arial" w:eastAsia="Arial" w:hAnsi="Arial"/>
                <w:sz w:val="14"/>
                <w:szCs w:val="14"/>
                <w:b w:val="1"/>
                <w:bCs w:val="1"/>
                <w:color w:val="auto"/>
                <w:w w:val="89"/>
              </w:rPr>
              <w:t>January 1,</w:t>
            </w:r>
          </w:p>
        </w:tc>
        <w:tc>
          <w:tcPr>
            <w:tcW w:w="100" w:type="dxa"/>
            <w:vAlign w:val="bottom"/>
          </w:tcPr>
          <w:p>
            <w:pPr>
              <w:spacing w:after="0"/>
              <w:rPr>
                <w:sz w:val="11"/>
                <w:szCs w:val="11"/>
                <w:color w:val="auto"/>
              </w:rPr>
            </w:pPr>
          </w:p>
        </w:tc>
      </w:tr>
      <w:tr>
        <w:trPr>
          <w:trHeight w:val="149"/>
        </w:trPr>
        <w:tc>
          <w:tcPr>
            <w:tcW w:w="70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60" w:type="dxa"/>
            <w:vAlign w:val="bottom"/>
            <w:tcBorders>
              <w:right w:val="single" w:sz="8" w:color="auto"/>
            </w:tcBorders>
            <w:gridSpan w:val="2"/>
          </w:tcPr>
          <w:p>
            <w:pPr>
              <w:jc w:val="center"/>
              <w:ind w:right="820"/>
              <w:spacing w:after="0" w:line="149" w:lineRule="exact"/>
              <w:rPr>
                <w:sz w:val="20"/>
                <w:szCs w:val="20"/>
                <w:color w:val="auto"/>
              </w:rPr>
            </w:pPr>
            <w:r>
              <w:rPr>
                <w:rFonts w:ascii="Arial" w:cs="Arial" w:eastAsia="Arial" w:hAnsi="Arial"/>
                <w:sz w:val="14"/>
                <w:szCs w:val="14"/>
                <w:b w:val="1"/>
                <w:bCs w:val="1"/>
                <w:color w:val="auto"/>
                <w:w w:val="90"/>
              </w:rPr>
              <w:t>Nine Months</w:t>
            </w:r>
          </w:p>
        </w:tc>
        <w:tc>
          <w:tcPr>
            <w:tcW w:w="480" w:type="dxa"/>
            <w:vAlign w:val="bottom"/>
          </w:tcPr>
          <w:p>
            <w:pPr>
              <w:spacing w:after="0"/>
              <w:rPr>
                <w:sz w:val="12"/>
                <w:szCs w:val="12"/>
                <w:color w:val="auto"/>
              </w:rPr>
            </w:pPr>
          </w:p>
        </w:tc>
        <w:tc>
          <w:tcPr>
            <w:tcW w:w="130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July 1, 2009</w:t>
            </w:r>
          </w:p>
        </w:tc>
        <w:tc>
          <w:tcPr>
            <w:tcW w:w="7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3"/>
              </w:rPr>
              <w:t>2009</w:t>
            </w:r>
          </w:p>
        </w:tc>
        <w:tc>
          <w:tcPr>
            <w:tcW w:w="100" w:type="dxa"/>
            <w:vAlign w:val="bottom"/>
          </w:tcPr>
          <w:p>
            <w:pPr>
              <w:spacing w:after="0"/>
              <w:rPr>
                <w:sz w:val="12"/>
                <w:szCs w:val="12"/>
                <w:color w:val="auto"/>
              </w:rPr>
            </w:pPr>
          </w:p>
        </w:tc>
      </w:tr>
      <w:tr>
        <w:trPr>
          <w:trHeight w:val="149"/>
        </w:trPr>
        <w:tc>
          <w:tcPr>
            <w:tcW w:w="70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60" w:type="dxa"/>
            <w:vAlign w:val="bottom"/>
            <w:tcBorders>
              <w:right w:val="single" w:sz="8" w:color="auto"/>
            </w:tcBorders>
            <w:gridSpan w:val="2"/>
          </w:tcPr>
          <w:p>
            <w:pPr>
              <w:jc w:val="center"/>
              <w:ind w:right="820"/>
              <w:spacing w:after="0" w:line="149" w:lineRule="exact"/>
              <w:rPr>
                <w:sz w:val="20"/>
                <w:szCs w:val="20"/>
                <w:color w:val="auto"/>
              </w:rPr>
            </w:pPr>
            <w:r>
              <w:rPr>
                <w:rFonts w:ascii="Arial" w:cs="Arial" w:eastAsia="Arial" w:hAnsi="Arial"/>
                <w:sz w:val="14"/>
                <w:szCs w:val="14"/>
                <w:b w:val="1"/>
                <w:bCs w:val="1"/>
                <w:color w:val="auto"/>
                <w:w w:val="84"/>
              </w:rPr>
              <w:t>Ended</w:t>
            </w: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0" w:type="dxa"/>
            <w:vAlign w:val="bottom"/>
            <w:gridSpan w:val="2"/>
          </w:tcPr>
          <w:p>
            <w:pPr>
              <w:jc w:val="right"/>
              <w:ind w:right="680"/>
              <w:spacing w:after="0" w:line="149" w:lineRule="exact"/>
              <w:rPr>
                <w:sz w:val="20"/>
                <w:szCs w:val="20"/>
                <w:color w:val="auto"/>
              </w:rPr>
            </w:pPr>
            <w:r>
              <w:rPr>
                <w:rFonts w:ascii="Arial" w:cs="Arial" w:eastAsia="Arial" w:hAnsi="Arial"/>
                <w:sz w:val="14"/>
                <w:szCs w:val="14"/>
                <w:b w:val="1"/>
                <w:bCs w:val="1"/>
                <w:color w:val="auto"/>
                <w:w w:val="87"/>
              </w:rPr>
              <w:t>Through</w:t>
            </w:r>
          </w:p>
        </w:tc>
        <w:tc>
          <w:tcPr>
            <w:tcW w:w="80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87"/>
              </w:rPr>
              <w:t>Through</w:t>
            </w:r>
          </w:p>
        </w:tc>
      </w:tr>
      <w:tr>
        <w:trPr>
          <w:trHeight w:val="161"/>
        </w:trPr>
        <w:tc>
          <w:tcPr>
            <w:tcW w:w="7040" w:type="dxa"/>
            <w:vAlign w:val="bottom"/>
          </w:tcPr>
          <w:p>
            <w:pPr>
              <w:spacing w:after="0"/>
              <w:rPr>
                <w:sz w:val="14"/>
                <w:szCs w:val="14"/>
                <w:color w:val="auto"/>
              </w:rPr>
            </w:pPr>
          </w:p>
        </w:tc>
        <w:tc>
          <w:tcPr>
            <w:tcW w:w="1800" w:type="dxa"/>
            <w:vAlign w:val="bottom"/>
            <w:tcBorders>
              <w:right w:val="single" w:sz="8" w:color="auto"/>
            </w:tcBorders>
            <w:gridSpan w:val="3"/>
          </w:tcPr>
          <w:p>
            <w:pPr>
              <w:jc w:val="center"/>
              <w:ind w:right="680"/>
              <w:spacing w:after="0"/>
              <w:rPr>
                <w:sz w:val="20"/>
                <w:szCs w:val="20"/>
                <w:color w:val="auto"/>
              </w:rPr>
            </w:pPr>
            <w:r>
              <w:rPr>
                <w:rFonts w:ascii="Arial" w:cs="Arial" w:eastAsia="Arial" w:hAnsi="Arial"/>
                <w:sz w:val="14"/>
                <w:szCs w:val="14"/>
                <w:b w:val="1"/>
                <w:bCs w:val="1"/>
                <w:color w:val="auto"/>
                <w:w w:val="85"/>
              </w:rPr>
              <w:t>September 30, 2010</w:t>
            </w:r>
          </w:p>
        </w:tc>
        <w:tc>
          <w:tcPr>
            <w:tcW w:w="480" w:type="dxa"/>
            <w:vAlign w:val="bottom"/>
          </w:tcPr>
          <w:p>
            <w:pPr>
              <w:spacing w:after="0"/>
              <w:rPr>
                <w:sz w:val="14"/>
                <w:szCs w:val="14"/>
                <w:color w:val="auto"/>
              </w:rPr>
            </w:pPr>
          </w:p>
        </w:tc>
        <w:tc>
          <w:tcPr>
            <w:tcW w:w="1300" w:type="dxa"/>
            <w:vAlign w:val="bottom"/>
            <w:gridSpan w:val="3"/>
          </w:tcPr>
          <w:p>
            <w:pPr>
              <w:ind w:left="20"/>
              <w:spacing w:after="0"/>
              <w:rPr>
                <w:sz w:val="20"/>
                <w:szCs w:val="20"/>
                <w:color w:val="auto"/>
              </w:rPr>
            </w:pPr>
            <w:r>
              <w:rPr>
                <w:rFonts w:ascii="Arial" w:cs="Arial" w:eastAsia="Arial" w:hAnsi="Arial"/>
                <w:sz w:val="14"/>
                <w:szCs w:val="14"/>
                <w:b w:val="1"/>
                <w:bCs w:val="1"/>
                <w:color w:val="auto"/>
              </w:rPr>
              <w:t>July 9, 2009</w:t>
            </w:r>
          </w:p>
        </w:tc>
        <w:tc>
          <w:tcPr>
            <w:tcW w:w="80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8"/>
              </w:rPr>
              <w:t>July 9, 2009</w:t>
            </w:r>
          </w:p>
        </w:tc>
      </w:tr>
      <w:tr>
        <w:trPr>
          <w:trHeight w:val="20"/>
        </w:trPr>
        <w:tc>
          <w:tcPr>
            <w:tcW w:w="70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680" w:type="dxa"/>
            <w:vAlign w:val="bottom"/>
            <w:tcBorders>
              <w:right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7040" w:type="dxa"/>
            <w:vAlign w:val="bottom"/>
            <w:shd w:val="clear" w:color="auto" w:fill="CCEEFF"/>
          </w:tcPr>
          <w:p>
            <w:pPr>
              <w:spacing w:after="0"/>
              <w:rPr>
                <w:sz w:val="20"/>
                <w:szCs w:val="20"/>
                <w:color w:val="auto"/>
              </w:rPr>
            </w:pPr>
            <w:r>
              <w:rPr>
                <w:rFonts w:ascii="Arial" w:cs="Arial" w:eastAsia="Arial" w:hAnsi="Arial"/>
                <w:sz w:val="18"/>
                <w:szCs w:val="18"/>
                <w:color w:val="auto"/>
              </w:rPr>
              <w:t>Earnings (loss) before interest and income taxes</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660" w:type="dxa"/>
            <w:vAlign w:val="bottom"/>
            <w:tcBorders>
              <w:right w:val="single" w:sz="8" w:color="auto"/>
            </w:tcBorders>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(1,196)</w:t>
            </w: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120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(104)</w:t>
            </w:r>
          </w:p>
        </w:tc>
        <w:tc>
          <w:tcPr>
            <w:tcW w:w="8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5"/>
              </w:rPr>
              <w:t>$  (2,815)</w:t>
            </w:r>
          </w:p>
        </w:tc>
      </w:tr>
    </w:tbl>
    <w:p>
      <w:pPr>
        <w:spacing w:after="0" w:line="154"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GM</w:t>
      </w:r>
    </w:p>
    <w:p>
      <w:pPr>
        <w:spacing w:after="0" w:line="171" w:lineRule="exact"/>
        <w:rPr>
          <w:sz w:val="20"/>
          <w:szCs w:val="20"/>
          <w:color w:val="auto"/>
        </w:rPr>
      </w:pPr>
    </w:p>
    <w:p>
      <w:pPr>
        <w:ind w:left="240"/>
        <w:spacing w:after="0"/>
        <w:rPr>
          <w:sz w:val="20"/>
          <w:szCs w:val="20"/>
          <w:color w:val="auto"/>
        </w:rPr>
      </w:pPr>
      <w:r>
        <w:rPr>
          <w:rFonts w:ascii="Arial" w:cs="Arial" w:eastAsia="Arial" w:hAnsi="Arial"/>
          <w:sz w:val="16"/>
          <w:szCs w:val="16"/>
          <w:color w:val="auto"/>
        </w:rPr>
        <w:t>In the nine months ended September 30, 2010 results reflected operating loss of $1.3 billion on wholesale volume of 910,000 vehicles and include:</w:t>
      </w:r>
    </w:p>
    <w:p>
      <w:pPr>
        <w:spacing w:after="0" w:line="38" w:lineRule="exact"/>
        <w:rPr>
          <w:sz w:val="20"/>
          <w:szCs w:val="20"/>
          <w:color w:val="auto"/>
        </w:rPr>
      </w:pPr>
    </w:p>
    <w:p>
      <w:pPr>
        <w:ind w:firstLine="8"/>
        <w:spacing w:after="0" w:line="281" w:lineRule="auto"/>
        <w:tabs>
          <w:tab w:leader="none" w:pos="249" w:val="left"/>
        </w:tabs>
        <w:numPr>
          <w:ilvl w:val="0"/>
          <w:numId w:val="91"/>
        </w:numPr>
        <w:rPr>
          <w:rFonts w:ascii="Arial" w:cs="Arial" w:eastAsia="Arial" w:hAnsi="Arial"/>
          <w:sz w:val="16"/>
          <w:szCs w:val="16"/>
          <w:color w:val="auto"/>
        </w:rPr>
      </w:pPr>
      <w:r>
        <w:rPr>
          <w:rFonts w:ascii="Arial" w:cs="Arial" w:eastAsia="Arial" w:hAnsi="Arial"/>
          <w:sz w:val="16"/>
          <w:szCs w:val="16"/>
          <w:color w:val="auto"/>
        </w:rPr>
        <w:t>restructuring charges of $0.7 billion primarily related to separation programs announced in Belgium, Spain, Germany and the United Kingdom; (2) advertising and sales promotion expenses of $0.6 billion primarily related to support media campaigns for our products; (3) administrative expense of $0.4 billion; and</w:t>
      </w:r>
    </w:p>
    <w:p>
      <w:pPr>
        <w:spacing w:after="0" w:line="1" w:lineRule="exact"/>
        <w:rPr>
          <w:rFonts w:ascii="Arial" w:cs="Arial" w:eastAsia="Arial" w:hAnsi="Arial"/>
          <w:sz w:val="16"/>
          <w:szCs w:val="16"/>
          <w:color w:val="auto"/>
        </w:rPr>
      </w:pPr>
    </w:p>
    <w:p>
      <w:pPr>
        <w:ind w:left="260" w:hanging="252"/>
        <w:spacing w:after="0"/>
        <w:tabs>
          <w:tab w:leader="none" w:pos="260" w:val="left"/>
        </w:tabs>
        <w:numPr>
          <w:ilvl w:val="0"/>
          <w:numId w:val="92"/>
        </w:numPr>
        <w:rPr>
          <w:rFonts w:ascii="Arial" w:cs="Arial" w:eastAsia="Arial" w:hAnsi="Arial"/>
          <w:sz w:val="18"/>
          <w:szCs w:val="18"/>
          <w:color w:val="auto"/>
        </w:rPr>
      </w:pPr>
      <w:r>
        <w:rPr>
          <w:rFonts w:ascii="Arial" w:cs="Arial" w:eastAsia="Arial" w:hAnsi="Arial"/>
          <w:sz w:val="18"/>
          <w:szCs w:val="18"/>
          <w:color w:val="auto"/>
        </w:rPr>
        <w:t>selling and marketing expenses of $0.3 billion related to our dealerships.</w:t>
      </w:r>
    </w:p>
    <w:p>
      <w:pPr>
        <w:spacing w:after="0" w:line="165"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Old GM</w:t>
      </w:r>
    </w:p>
    <w:p>
      <w:pPr>
        <w:spacing w:after="0" w:line="171" w:lineRule="exact"/>
        <w:rPr>
          <w:sz w:val="20"/>
          <w:szCs w:val="20"/>
          <w:color w:val="auto"/>
        </w:rPr>
      </w:pPr>
    </w:p>
    <w:p>
      <w:pPr>
        <w:ind w:right="180" w:firstLine="228"/>
        <w:spacing w:after="0" w:line="256" w:lineRule="auto"/>
        <w:rPr>
          <w:sz w:val="20"/>
          <w:szCs w:val="20"/>
          <w:color w:val="auto"/>
        </w:rPr>
      </w:pPr>
      <w:r>
        <w:rPr>
          <w:rFonts w:ascii="Arial" w:cs="Arial" w:eastAsia="Arial" w:hAnsi="Arial"/>
          <w:sz w:val="18"/>
          <w:szCs w:val="18"/>
          <w:color w:val="auto"/>
        </w:rPr>
        <w:t>In the period January 1, 2009 through July 9, 2009 results included: (1) Other expenses, net of $0.8 billion primarily representing charges related to the deconsolidation of Saab, which filed for reorganization protection under the laws of Sweden in February 2009; (2) incremental depreciation charges of $0.7 billion related to restructuring activities; (3) impairment charges of $0.2 billion related to product specific tooling assets; and (4) operating losses of $0.2 billion related to Saab.</w:t>
      </w:r>
    </w:p>
    <w:p>
      <w:pPr>
        <w:spacing w:after="0" w:line="143"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Corporate Results of Operations</w:t>
      </w:r>
    </w:p>
    <w:p>
      <w:pPr>
        <w:spacing w:after="0" w:line="15"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(Dollars in millions)</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9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80" w:type="dxa"/>
            <w:vAlign w:val="bottom"/>
            <w:gridSpan w:val="2"/>
          </w:tcPr>
          <w:p>
            <w:pPr>
              <w:jc w:val="center"/>
              <w:ind w:right="600"/>
              <w:spacing w:after="0"/>
              <w:rPr>
                <w:sz w:val="20"/>
                <w:szCs w:val="20"/>
                <w:color w:val="auto"/>
              </w:rPr>
            </w:pPr>
            <w:r>
              <w:rPr>
                <w:rFonts w:ascii="Arial" w:cs="Arial" w:eastAsia="Arial" w:hAnsi="Arial"/>
                <w:sz w:val="14"/>
                <w:szCs w:val="14"/>
                <w:b w:val="1"/>
                <w:bCs w:val="1"/>
                <w:color w:val="auto"/>
                <w:w w:val="79"/>
              </w:rPr>
              <w:t>Successor</w:t>
            </w:r>
          </w:p>
        </w:tc>
        <w:tc>
          <w:tcPr>
            <w:tcW w:w="1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560" w:type="dxa"/>
            <w:vAlign w:val="bottom"/>
            <w:tcBorders>
              <w:right w:val="single" w:sz="8" w:color="auto"/>
            </w:tcBorders>
          </w:tcPr>
          <w:p>
            <w:pPr>
              <w:spacing w:after="0"/>
              <w:rPr>
                <w:sz w:val="14"/>
                <w:szCs w:val="14"/>
                <w:color w:val="auto"/>
              </w:rPr>
            </w:pPr>
          </w:p>
        </w:tc>
        <w:tc>
          <w:tcPr>
            <w:tcW w:w="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520" w:type="dxa"/>
            <w:vAlign w:val="bottom"/>
            <w:gridSpan w:val="4"/>
          </w:tcPr>
          <w:p>
            <w:pPr>
              <w:spacing w:after="0"/>
              <w:rPr>
                <w:sz w:val="20"/>
                <w:szCs w:val="20"/>
                <w:color w:val="auto"/>
              </w:rPr>
            </w:pPr>
            <w:r>
              <w:rPr>
                <w:rFonts w:ascii="Arial" w:cs="Arial" w:eastAsia="Arial" w:hAnsi="Arial"/>
                <w:sz w:val="14"/>
                <w:szCs w:val="14"/>
                <w:b w:val="1"/>
                <w:bCs w:val="1"/>
                <w:color w:val="auto"/>
              </w:rPr>
              <w:t>Predecessor</w:t>
            </w:r>
          </w:p>
        </w:tc>
      </w:tr>
      <w:tr>
        <w:trPr>
          <w:trHeight w:val="129"/>
        </w:trPr>
        <w:tc>
          <w:tcPr>
            <w:tcW w:w="390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1280" w:type="dxa"/>
            <w:vAlign w:val="bottom"/>
            <w:tcBorders>
              <w:top w:val="single" w:sz="8" w:color="auto"/>
            </w:tcBorders>
            <w:gridSpan w:val="2"/>
          </w:tcPr>
          <w:p>
            <w:pPr>
              <w:jc w:val="right"/>
              <w:ind w:right="420"/>
              <w:spacing w:after="0" w:line="129" w:lineRule="exact"/>
              <w:rPr>
                <w:sz w:val="20"/>
                <w:szCs w:val="20"/>
                <w:color w:val="auto"/>
              </w:rPr>
            </w:pPr>
            <w:r>
              <w:rPr>
                <w:rFonts w:ascii="Arial" w:cs="Arial" w:eastAsia="Arial" w:hAnsi="Arial"/>
                <w:sz w:val="14"/>
                <w:szCs w:val="14"/>
                <w:b w:val="1"/>
                <w:bCs w:val="1"/>
                <w:color w:val="auto"/>
                <w:w w:val="91"/>
              </w:rPr>
              <w:t>Three Months</w:t>
            </w:r>
          </w:p>
        </w:tc>
        <w:tc>
          <w:tcPr>
            <w:tcW w:w="200" w:type="dxa"/>
            <w:vAlign w:val="bottom"/>
            <w:tcBorders>
              <w:top w:val="single" w:sz="8" w:color="auto"/>
            </w:tcBorders>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1480" w:type="dxa"/>
            <w:vAlign w:val="bottom"/>
            <w:tcBorders>
              <w:top w:val="single" w:sz="8" w:color="auto"/>
            </w:tcBorders>
            <w:gridSpan w:val="2"/>
          </w:tcPr>
          <w:p>
            <w:pPr>
              <w:jc w:val="center"/>
              <w:ind w:right="620"/>
              <w:spacing w:after="0" w:line="129" w:lineRule="exact"/>
              <w:rPr>
                <w:sz w:val="20"/>
                <w:szCs w:val="20"/>
                <w:color w:val="auto"/>
              </w:rPr>
            </w:pPr>
            <w:r>
              <w:rPr>
                <w:rFonts w:ascii="Arial" w:cs="Arial" w:eastAsia="Arial" w:hAnsi="Arial"/>
                <w:sz w:val="14"/>
                <w:szCs w:val="14"/>
                <w:b w:val="1"/>
                <w:bCs w:val="1"/>
                <w:color w:val="auto"/>
                <w:w w:val="88"/>
              </w:rPr>
              <w:t>Nine Months</w:t>
            </w:r>
          </w:p>
        </w:tc>
        <w:tc>
          <w:tcPr>
            <w:tcW w:w="140" w:type="dxa"/>
            <w:vAlign w:val="bottom"/>
            <w:tcBorders>
              <w:top w:val="single" w:sz="8" w:color="auto"/>
            </w:tcBorders>
          </w:tcPr>
          <w:p>
            <w:pPr>
              <w:spacing w:after="0"/>
              <w:rPr>
                <w:sz w:val="11"/>
                <w:szCs w:val="11"/>
                <w:color w:val="auto"/>
              </w:rPr>
            </w:pPr>
          </w:p>
        </w:tc>
        <w:tc>
          <w:tcPr>
            <w:tcW w:w="980" w:type="dxa"/>
            <w:vAlign w:val="bottom"/>
            <w:tcBorders>
              <w:top w:val="single" w:sz="8" w:color="auto"/>
            </w:tcBorders>
          </w:tcPr>
          <w:p>
            <w:pPr>
              <w:jc w:val="right"/>
              <w:ind w:right="102"/>
              <w:spacing w:after="0" w:line="129" w:lineRule="exact"/>
              <w:rPr>
                <w:sz w:val="20"/>
                <w:szCs w:val="20"/>
                <w:color w:val="auto"/>
              </w:rPr>
            </w:pPr>
            <w:r>
              <w:rPr>
                <w:rFonts w:ascii="Arial" w:cs="Arial" w:eastAsia="Arial" w:hAnsi="Arial"/>
                <w:sz w:val="14"/>
                <w:szCs w:val="14"/>
                <w:b w:val="1"/>
                <w:bCs w:val="1"/>
                <w:color w:val="auto"/>
                <w:w w:val="90"/>
              </w:rPr>
              <w:t>July 10, 2009</w:t>
            </w:r>
          </w:p>
        </w:tc>
        <w:tc>
          <w:tcPr>
            <w:tcW w:w="560" w:type="dxa"/>
            <w:vAlign w:val="bottom"/>
            <w:tcBorders>
              <w:right w:val="single" w:sz="8" w:color="auto"/>
            </w:tcBorders>
          </w:tcPr>
          <w:p>
            <w:pPr>
              <w:spacing w:after="0"/>
              <w:rPr>
                <w:sz w:val="11"/>
                <w:szCs w:val="11"/>
                <w:color w:val="auto"/>
              </w:rPr>
            </w:pPr>
          </w:p>
        </w:tc>
        <w:tc>
          <w:tcPr>
            <w:tcW w:w="360" w:type="dxa"/>
            <w:vAlign w:val="bottom"/>
          </w:tcPr>
          <w:p>
            <w:pPr>
              <w:spacing w:after="0"/>
              <w:rPr>
                <w:sz w:val="11"/>
                <w:szCs w:val="11"/>
                <w:color w:val="auto"/>
              </w:rPr>
            </w:pPr>
          </w:p>
        </w:tc>
        <w:tc>
          <w:tcPr>
            <w:tcW w:w="740" w:type="dxa"/>
            <w:vAlign w:val="bottom"/>
            <w:tcBorders>
              <w:top w:val="single" w:sz="8" w:color="auto"/>
            </w:tcBorders>
            <w:gridSpan w:val="2"/>
          </w:tcPr>
          <w:p>
            <w:pPr>
              <w:spacing w:after="0" w:line="129" w:lineRule="exact"/>
              <w:rPr>
                <w:sz w:val="20"/>
                <w:szCs w:val="20"/>
                <w:color w:val="auto"/>
              </w:rPr>
            </w:pPr>
            <w:r>
              <w:rPr>
                <w:rFonts w:ascii="Arial" w:cs="Arial" w:eastAsia="Arial" w:hAnsi="Arial"/>
                <w:sz w:val="14"/>
                <w:szCs w:val="14"/>
                <w:b w:val="1"/>
                <w:bCs w:val="1"/>
                <w:color w:val="auto"/>
                <w:w w:val="91"/>
              </w:rPr>
              <w:t>July 1, 2009</w:t>
            </w:r>
          </w:p>
        </w:tc>
        <w:tc>
          <w:tcPr>
            <w:tcW w:w="460" w:type="dxa"/>
            <w:vAlign w:val="bottom"/>
            <w:tcBorders>
              <w:top w:val="single" w:sz="8" w:color="auto"/>
            </w:tcBorders>
          </w:tcPr>
          <w:p>
            <w:pPr>
              <w:spacing w:after="0"/>
              <w:rPr>
                <w:sz w:val="11"/>
                <w:szCs w:val="11"/>
                <w:color w:val="auto"/>
              </w:rPr>
            </w:pPr>
          </w:p>
        </w:tc>
        <w:tc>
          <w:tcPr>
            <w:tcW w:w="960" w:type="dxa"/>
            <w:vAlign w:val="bottom"/>
            <w:tcBorders>
              <w:top w:val="single" w:sz="8" w:color="auto"/>
            </w:tcBorders>
            <w:gridSpan w:val="2"/>
          </w:tcPr>
          <w:p>
            <w:pPr>
              <w:spacing w:after="0" w:line="129" w:lineRule="exact"/>
              <w:rPr>
                <w:sz w:val="20"/>
                <w:szCs w:val="20"/>
                <w:color w:val="auto"/>
              </w:rPr>
            </w:pPr>
            <w:r>
              <w:rPr>
                <w:rFonts w:ascii="Arial" w:cs="Arial" w:eastAsia="Arial" w:hAnsi="Arial"/>
                <w:sz w:val="14"/>
                <w:szCs w:val="14"/>
                <w:b w:val="1"/>
                <w:bCs w:val="1"/>
                <w:color w:val="auto"/>
                <w:w w:val="90"/>
              </w:rPr>
              <w:t>January 1, 2009</w:t>
            </w:r>
          </w:p>
        </w:tc>
        <w:tc>
          <w:tcPr>
            <w:tcW w:w="100" w:type="dxa"/>
            <w:vAlign w:val="bottom"/>
          </w:tcPr>
          <w:p>
            <w:pPr>
              <w:spacing w:after="0"/>
              <w:rPr>
                <w:sz w:val="11"/>
                <w:szCs w:val="11"/>
                <w:color w:val="auto"/>
              </w:rPr>
            </w:pPr>
          </w:p>
        </w:tc>
      </w:tr>
      <w:tr>
        <w:trPr>
          <w:trHeight w:val="149"/>
        </w:trPr>
        <w:tc>
          <w:tcPr>
            <w:tcW w:w="3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80" w:type="dxa"/>
            <w:vAlign w:val="bottom"/>
            <w:gridSpan w:val="2"/>
          </w:tcPr>
          <w:p>
            <w:pPr>
              <w:jc w:val="right"/>
              <w:ind w:right="640"/>
              <w:spacing w:after="0" w:line="149" w:lineRule="exact"/>
              <w:rPr>
                <w:sz w:val="20"/>
                <w:szCs w:val="20"/>
                <w:color w:val="auto"/>
              </w:rPr>
            </w:pPr>
            <w:r>
              <w:rPr>
                <w:rFonts w:ascii="Arial" w:cs="Arial" w:eastAsia="Arial" w:hAnsi="Arial"/>
                <w:sz w:val="14"/>
                <w:szCs w:val="14"/>
                <w:b w:val="1"/>
                <w:bCs w:val="1"/>
                <w:color w:val="auto"/>
              </w:rPr>
              <w:t>Ended</w:t>
            </w: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80" w:type="dxa"/>
            <w:vAlign w:val="bottom"/>
            <w:gridSpan w:val="2"/>
          </w:tcPr>
          <w:p>
            <w:pPr>
              <w:jc w:val="center"/>
              <w:ind w:right="620"/>
              <w:spacing w:after="0" w:line="149" w:lineRule="exact"/>
              <w:rPr>
                <w:sz w:val="20"/>
                <w:szCs w:val="20"/>
                <w:color w:val="auto"/>
              </w:rPr>
            </w:pPr>
            <w:r>
              <w:rPr>
                <w:rFonts w:ascii="Arial" w:cs="Arial" w:eastAsia="Arial" w:hAnsi="Arial"/>
                <w:sz w:val="14"/>
                <w:szCs w:val="14"/>
                <w:b w:val="1"/>
                <w:bCs w:val="1"/>
                <w:color w:val="auto"/>
                <w:w w:val="88"/>
              </w:rPr>
              <w:t>Ended</w:t>
            </w:r>
          </w:p>
        </w:tc>
        <w:tc>
          <w:tcPr>
            <w:tcW w:w="140" w:type="dxa"/>
            <w:vAlign w:val="bottom"/>
          </w:tcPr>
          <w:p>
            <w:pPr>
              <w:spacing w:after="0"/>
              <w:rPr>
                <w:sz w:val="12"/>
                <w:szCs w:val="12"/>
                <w:color w:val="auto"/>
              </w:rPr>
            </w:pPr>
          </w:p>
        </w:tc>
        <w:tc>
          <w:tcPr>
            <w:tcW w:w="980" w:type="dxa"/>
            <w:vAlign w:val="bottom"/>
          </w:tcPr>
          <w:p>
            <w:pPr>
              <w:jc w:val="right"/>
              <w:ind w:right="222"/>
              <w:spacing w:after="0" w:line="149" w:lineRule="exact"/>
              <w:rPr>
                <w:sz w:val="20"/>
                <w:szCs w:val="20"/>
                <w:color w:val="auto"/>
              </w:rPr>
            </w:pPr>
            <w:r>
              <w:rPr>
                <w:rFonts w:ascii="Arial" w:cs="Arial" w:eastAsia="Arial" w:hAnsi="Arial"/>
                <w:sz w:val="14"/>
                <w:szCs w:val="14"/>
                <w:b w:val="1"/>
                <w:bCs w:val="1"/>
                <w:color w:val="auto"/>
              </w:rPr>
              <w:t>Through</w:t>
            </w:r>
          </w:p>
        </w:tc>
        <w:tc>
          <w:tcPr>
            <w:tcW w:w="560" w:type="dxa"/>
            <w:vAlign w:val="bottom"/>
            <w:tcBorders>
              <w:right w:val="single" w:sz="8" w:color="auto"/>
            </w:tcBorders>
          </w:tcPr>
          <w:p>
            <w:pPr>
              <w:spacing w:after="0"/>
              <w:rPr>
                <w:sz w:val="12"/>
                <w:szCs w:val="12"/>
                <w:color w:val="auto"/>
              </w:rPr>
            </w:pPr>
          </w:p>
        </w:tc>
        <w:tc>
          <w:tcPr>
            <w:tcW w:w="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jc w:val="right"/>
              <w:ind w:right="39"/>
              <w:spacing w:after="0" w:line="149" w:lineRule="exact"/>
              <w:rPr>
                <w:sz w:val="20"/>
                <w:szCs w:val="20"/>
                <w:color w:val="auto"/>
              </w:rPr>
            </w:pPr>
            <w:r>
              <w:rPr>
                <w:rFonts w:ascii="Arial" w:cs="Arial" w:eastAsia="Arial" w:hAnsi="Arial"/>
                <w:sz w:val="14"/>
                <w:szCs w:val="14"/>
                <w:b w:val="1"/>
                <w:bCs w:val="1"/>
                <w:color w:val="auto"/>
                <w:w w:val="87"/>
              </w:rPr>
              <w:t>Through</w:t>
            </w:r>
          </w:p>
        </w:tc>
        <w:tc>
          <w:tcPr>
            <w:tcW w:w="4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40" w:type="dxa"/>
            <w:vAlign w:val="bottom"/>
            <w:gridSpan w:val="2"/>
          </w:tcPr>
          <w:p>
            <w:pPr>
              <w:ind w:left="120"/>
              <w:spacing w:after="0" w:line="149" w:lineRule="exact"/>
              <w:rPr>
                <w:sz w:val="20"/>
                <w:szCs w:val="20"/>
                <w:color w:val="auto"/>
              </w:rPr>
            </w:pPr>
            <w:r>
              <w:rPr>
                <w:rFonts w:ascii="Arial" w:cs="Arial" w:eastAsia="Arial" w:hAnsi="Arial"/>
                <w:sz w:val="14"/>
                <w:szCs w:val="14"/>
                <w:b w:val="1"/>
                <w:bCs w:val="1"/>
                <w:color w:val="auto"/>
              </w:rPr>
              <w:t>Through</w:t>
            </w:r>
          </w:p>
        </w:tc>
      </w:tr>
      <w:tr>
        <w:trPr>
          <w:trHeight w:val="161"/>
        </w:trPr>
        <w:tc>
          <w:tcPr>
            <w:tcW w:w="3900" w:type="dxa"/>
            <w:vAlign w:val="bottom"/>
          </w:tcPr>
          <w:p>
            <w:pPr>
              <w:spacing w:after="0"/>
              <w:rPr>
                <w:sz w:val="14"/>
                <w:szCs w:val="14"/>
                <w:color w:val="auto"/>
              </w:rPr>
            </w:pPr>
          </w:p>
        </w:tc>
        <w:tc>
          <w:tcPr>
            <w:tcW w:w="1140" w:type="dxa"/>
            <w:vAlign w:val="bottom"/>
            <w:tcBorders>
              <w:bottom w:val="single" w:sz="8" w:color="auto"/>
            </w:tcBorders>
            <w:gridSpan w:val="2"/>
          </w:tcPr>
          <w:p>
            <w:pPr>
              <w:spacing w:after="0"/>
              <w:rPr>
                <w:sz w:val="20"/>
                <w:szCs w:val="20"/>
                <w:color w:val="auto"/>
              </w:rPr>
            </w:pPr>
            <w:r>
              <w:rPr>
                <w:rFonts w:ascii="Arial" w:cs="Arial" w:eastAsia="Arial" w:hAnsi="Arial"/>
                <w:sz w:val="14"/>
                <w:szCs w:val="14"/>
                <w:b w:val="1"/>
                <w:bCs w:val="1"/>
                <w:color w:val="auto"/>
                <w:w w:val="85"/>
              </w:rPr>
              <w:t>September 30, 2010</w:t>
            </w:r>
          </w:p>
        </w:tc>
        <w:tc>
          <w:tcPr>
            <w:tcW w:w="2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4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87"/>
              </w:rPr>
              <w:t>September 30, 2010</w:t>
            </w:r>
          </w:p>
        </w:tc>
        <w:tc>
          <w:tcPr>
            <w:tcW w:w="480" w:type="dxa"/>
            <w:vAlign w:val="bottom"/>
          </w:tcPr>
          <w:p>
            <w:pPr>
              <w:spacing w:after="0"/>
              <w:rPr>
                <w:sz w:val="14"/>
                <w:szCs w:val="14"/>
                <w:color w:val="auto"/>
              </w:rPr>
            </w:pPr>
          </w:p>
        </w:tc>
        <w:tc>
          <w:tcPr>
            <w:tcW w:w="1120" w:type="dxa"/>
            <w:vAlign w:val="bottom"/>
            <w:tcBorders>
              <w:bottom w:val="single" w:sz="8" w:color="auto"/>
            </w:tcBorders>
            <w:gridSpan w:val="2"/>
          </w:tcPr>
          <w:p>
            <w:pPr>
              <w:spacing w:after="0"/>
              <w:rPr>
                <w:sz w:val="20"/>
                <w:szCs w:val="20"/>
                <w:color w:val="auto"/>
              </w:rPr>
            </w:pPr>
            <w:r>
              <w:rPr>
                <w:rFonts w:ascii="Arial" w:cs="Arial" w:eastAsia="Arial" w:hAnsi="Arial"/>
                <w:sz w:val="14"/>
                <w:szCs w:val="14"/>
                <w:b w:val="1"/>
                <w:bCs w:val="1"/>
                <w:color w:val="auto"/>
                <w:w w:val="84"/>
              </w:rPr>
              <w:t>September 30, 2009</w:t>
            </w:r>
          </w:p>
        </w:tc>
        <w:tc>
          <w:tcPr>
            <w:tcW w:w="560" w:type="dxa"/>
            <w:vAlign w:val="bottom"/>
            <w:tcBorders>
              <w:right w:val="single" w:sz="8" w:color="auto"/>
            </w:tcBorders>
          </w:tcPr>
          <w:p>
            <w:pPr>
              <w:spacing w:after="0"/>
              <w:rPr>
                <w:sz w:val="14"/>
                <w:szCs w:val="14"/>
                <w:color w:val="auto"/>
              </w:rPr>
            </w:pPr>
          </w:p>
        </w:tc>
        <w:tc>
          <w:tcPr>
            <w:tcW w:w="360" w:type="dxa"/>
            <w:vAlign w:val="bottom"/>
          </w:tcPr>
          <w:p>
            <w:pPr>
              <w:spacing w:after="0"/>
              <w:rPr>
                <w:sz w:val="14"/>
                <w:szCs w:val="14"/>
                <w:color w:val="auto"/>
              </w:rPr>
            </w:pPr>
          </w:p>
        </w:tc>
        <w:tc>
          <w:tcPr>
            <w:tcW w:w="74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b w:val="1"/>
                <w:bCs w:val="1"/>
                <w:color w:val="auto"/>
                <w:w w:val="88"/>
              </w:rPr>
              <w:t>July 9, 2009</w:t>
            </w:r>
          </w:p>
        </w:tc>
        <w:tc>
          <w:tcPr>
            <w:tcW w:w="46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ind w:right="62"/>
              <w:spacing w:after="0"/>
              <w:rPr>
                <w:sz w:val="20"/>
                <w:szCs w:val="20"/>
                <w:color w:val="auto"/>
              </w:rPr>
            </w:pPr>
            <w:r>
              <w:rPr>
                <w:rFonts w:ascii="Arial" w:cs="Arial" w:eastAsia="Arial" w:hAnsi="Arial"/>
                <w:sz w:val="14"/>
                <w:szCs w:val="14"/>
                <w:b w:val="1"/>
                <w:bCs w:val="1"/>
                <w:color w:val="auto"/>
                <w:w w:val="86"/>
              </w:rPr>
              <w:t>July 9, 2009</w:t>
            </w:r>
          </w:p>
        </w:tc>
        <w:tc>
          <w:tcPr>
            <w:tcW w:w="100" w:type="dxa"/>
            <w:vAlign w:val="bottom"/>
          </w:tcPr>
          <w:p>
            <w:pPr>
              <w:spacing w:after="0"/>
              <w:rPr>
                <w:sz w:val="14"/>
                <w:szCs w:val="14"/>
                <w:color w:val="auto"/>
              </w:rPr>
            </w:pPr>
          </w:p>
        </w:tc>
      </w:tr>
      <w:tr>
        <w:trPr>
          <w:trHeight w:val="210"/>
        </w:trPr>
        <w:tc>
          <w:tcPr>
            <w:tcW w:w="39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net sales and revenue</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12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45</w:t>
            </w: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8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142</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w:t>
            </w:r>
          </w:p>
        </w:tc>
        <w:tc>
          <w:tcPr>
            <w:tcW w:w="560" w:type="dxa"/>
            <w:vAlign w:val="bottom"/>
            <w:tcBorders>
              <w:right w:val="single" w:sz="8" w:color="auto"/>
            </w:tcBorders>
            <w:shd w:val="clear" w:color="auto" w:fill="CCEEFF"/>
          </w:tcPr>
          <w:p>
            <w:pPr>
              <w:spacing w:after="0"/>
              <w:rPr>
                <w:sz w:val="18"/>
                <w:szCs w:val="18"/>
                <w:color w:val="auto"/>
              </w:rPr>
            </w:pPr>
          </w:p>
        </w:tc>
        <w:tc>
          <w:tcPr>
            <w:tcW w:w="46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w w:val="79"/>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58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w w:val="9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328</w:t>
            </w:r>
          </w:p>
        </w:tc>
        <w:tc>
          <w:tcPr>
            <w:tcW w:w="100" w:type="dxa"/>
            <w:vAlign w:val="bottom"/>
            <w:shd w:val="clear" w:color="auto" w:fill="CCEEFF"/>
          </w:tcPr>
          <w:p>
            <w:pPr>
              <w:spacing w:after="0"/>
              <w:rPr>
                <w:sz w:val="18"/>
                <w:szCs w:val="18"/>
                <w:color w:val="auto"/>
              </w:rPr>
            </w:pPr>
          </w:p>
        </w:tc>
      </w:tr>
      <w:tr>
        <w:trPr>
          <w:trHeight w:val="216"/>
        </w:trPr>
        <w:tc>
          <w:tcPr>
            <w:tcW w:w="3900" w:type="dxa"/>
            <w:vAlign w:val="bottom"/>
          </w:tcPr>
          <w:p>
            <w:pPr>
              <w:spacing w:after="0"/>
              <w:rPr>
                <w:sz w:val="20"/>
                <w:szCs w:val="20"/>
                <w:color w:val="auto"/>
              </w:rPr>
            </w:pPr>
            <w:r>
              <w:rPr>
                <w:rFonts w:ascii="Arial" w:cs="Arial" w:eastAsia="Arial" w:hAnsi="Arial"/>
                <w:sz w:val="18"/>
                <w:szCs w:val="18"/>
                <w:b w:val="1"/>
                <w:bCs w:val="1"/>
                <w:color w:val="auto"/>
              </w:rPr>
              <w:t>Income attributable to stockholders</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1280" w:type="dxa"/>
            <w:vAlign w:val="bottom"/>
            <w:gridSpan w:val="2"/>
          </w:tcPr>
          <w:p>
            <w:pPr>
              <w:jc w:val="right"/>
              <w:ind w:right="200"/>
              <w:spacing w:after="0"/>
              <w:rPr>
                <w:sz w:val="20"/>
                <w:szCs w:val="20"/>
                <w:color w:val="auto"/>
              </w:rPr>
            </w:pPr>
            <w:r>
              <w:rPr>
                <w:rFonts w:ascii="Arial" w:cs="Arial" w:eastAsia="Arial" w:hAnsi="Arial"/>
                <w:sz w:val="18"/>
                <w:szCs w:val="18"/>
                <w:color w:val="auto"/>
              </w:rPr>
              <w:t>(31)</w:t>
            </w: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480" w:type="dxa"/>
            <w:vAlign w:val="bottom"/>
            <w:gridSpan w:val="2"/>
          </w:tcPr>
          <w:p>
            <w:pPr>
              <w:jc w:val="right"/>
              <w:ind w:right="420"/>
              <w:spacing w:after="0"/>
              <w:rPr>
                <w:sz w:val="20"/>
                <w:szCs w:val="20"/>
                <w:color w:val="auto"/>
              </w:rPr>
            </w:pPr>
            <w:r>
              <w:rPr>
                <w:rFonts w:ascii="Arial" w:cs="Arial" w:eastAsia="Arial" w:hAnsi="Arial"/>
                <w:sz w:val="18"/>
                <w:szCs w:val="18"/>
                <w:color w:val="auto"/>
              </w:rPr>
              <w:t>(1,408)</w:t>
            </w: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93</w:t>
            </w:r>
          </w:p>
        </w:tc>
        <w:tc>
          <w:tcPr>
            <w:tcW w:w="560" w:type="dxa"/>
            <w:vAlign w:val="bottom"/>
            <w:tcBorders>
              <w:right w:val="single" w:sz="8" w:color="auto"/>
            </w:tcBorders>
          </w:tcPr>
          <w:p>
            <w:pPr>
              <w:spacing w:after="0"/>
              <w:rPr>
                <w:sz w:val="18"/>
                <w:szCs w:val="18"/>
                <w:color w:val="auto"/>
              </w:rPr>
            </w:pPr>
          </w:p>
        </w:tc>
        <w:tc>
          <w:tcPr>
            <w:tcW w:w="460" w:type="dxa"/>
            <w:vAlign w:val="bottom"/>
            <w:gridSpan w:val="2"/>
          </w:tcPr>
          <w:p>
            <w:pPr>
              <w:ind w:left="360"/>
              <w:spacing w:after="0"/>
              <w:rPr>
                <w:sz w:val="20"/>
                <w:szCs w:val="20"/>
                <w:color w:val="auto"/>
              </w:rPr>
            </w:pPr>
            <w:r>
              <w:rPr>
                <w:rFonts w:ascii="Arial" w:cs="Arial" w:eastAsia="Arial" w:hAnsi="Arial"/>
                <w:sz w:val="18"/>
                <w:szCs w:val="18"/>
                <w:color w:val="auto"/>
                <w:w w:val="79"/>
              </w:rPr>
              <w:t>$</w:t>
            </w:r>
          </w:p>
        </w:tc>
        <w:tc>
          <w:tcPr>
            <w:tcW w:w="640" w:type="dxa"/>
            <w:vAlign w:val="bottom"/>
          </w:tcPr>
          <w:p>
            <w:pPr>
              <w:jc w:val="right"/>
              <w:spacing w:after="0"/>
              <w:rPr>
                <w:sz w:val="20"/>
                <w:szCs w:val="20"/>
                <w:color w:val="auto"/>
              </w:rPr>
            </w:pPr>
            <w:r>
              <w:rPr>
                <w:rFonts w:ascii="Arial" w:cs="Arial" w:eastAsia="Arial" w:hAnsi="Arial"/>
                <w:sz w:val="18"/>
                <w:szCs w:val="18"/>
                <w:color w:val="auto"/>
                <w:w w:val="95"/>
              </w:rPr>
              <w:t>128,969</w:t>
            </w:r>
          </w:p>
        </w:tc>
        <w:tc>
          <w:tcPr>
            <w:tcW w:w="580" w:type="dxa"/>
            <w:vAlign w:val="bottom"/>
            <w:gridSpan w:val="2"/>
          </w:tcPr>
          <w:p>
            <w:pPr>
              <w:ind w:left="460"/>
              <w:spacing w:after="0"/>
              <w:rPr>
                <w:sz w:val="20"/>
                <w:szCs w:val="20"/>
                <w:color w:val="auto"/>
              </w:rPr>
            </w:pPr>
            <w:r>
              <w:rPr>
                <w:rFonts w:ascii="Arial" w:cs="Arial" w:eastAsia="Arial" w:hAnsi="Arial"/>
                <w:sz w:val="18"/>
                <w:szCs w:val="18"/>
                <w:color w:val="auto"/>
                <w:w w:val="99"/>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123,887</w:t>
            </w:r>
          </w:p>
        </w:tc>
        <w:tc>
          <w:tcPr>
            <w:tcW w:w="100" w:type="dxa"/>
            <w:vAlign w:val="bottom"/>
          </w:tcPr>
          <w:p>
            <w:pPr>
              <w:spacing w:after="0"/>
              <w:rPr>
                <w:sz w:val="18"/>
                <w:szCs w:val="18"/>
                <w:color w:val="auto"/>
              </w:rPr>
            </w:pPr>
          </w:p>
        </w:tc>
      </w:tr>
    </w:tbl>
    <w:p>
      <w:pPr>
        <w:spacing w:after="0" w:line="154" w:lineRule="exact"/>
        <w:rPr>
          <w:sz w:val="20"/>
          <w:szCs w:val="20"/>
          <w:color w:val="auto"/>
        </w:rPr>
      </w:pPr>
    </w:p>
    <w:p>
      <w:pPr>
        <w:ind w:left="240"/>
        <w:spacing w:after="0"/>
        <w:rPr>
          <w:sz w:val="20"/>
          <w:szCs w:val="20"/>
          <w:color w:val="auto"/>
        </w:rPr>
      </w:pPr>
      <w:r>
        <w:rPr>
          <w:rFonts w:ascii="Arial" w:cs="Arial" w:eastAsia="Arial" w:hAnsi="Arial"/>
          <w:sz w:val="15"/>
          <w:szCs w:val="15"/>
          <w:b w:val="1"/>
          <w:bCs w:val="1"/>
          <w:i w:val="1"/>
          <w:iCs w:val="1"/>
          <w:color w:val="auto"/>
        </w:rPr>
        <w:t>Three and Nine Months Ended September 30, 2010, July 10, 2009 Through September 30, 2009, July 1, 2009 Through July 9, 2009 and January 1, 2009</w:t>
      </w:r>
    </w:p>
    <w:p>
      <w:pPr>
        <w:spacing w:after="0" w:line="50"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Through July 9, 2009</w:t>
      </w:r>
    </w:p>
    <w:p>
      <w:pPr>
        <w:spacing w:after="0" w:line="9"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(Dollars in millions)</w:t>
      </w:r>
    </w:p>
    <w:p>
      <w:pPr>
        <w:spacing w:after="0" w:line="165"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Total Net Sales and Revenue</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20" w:type="dxa"/>
            <w:vAlign w:val="bottom"/>
          </w:tcPr>
          <w:p>
            <w:pPr>
              <w:jc w:val="center"/>
              <w:ind w:right="48"/>
              <w:spacing w:after="0"/>
              <w:rPr>
                <w:sz w:val="20"/>
                <w:szCs w:val="20"/>
                <w:color w:val="auto"/>
              </w:rPr>
            </w:pPr>
            <w:r>
              <w:rPr>
                <w:rFonts w:ascii="Arial" w:cs="Arial" w:eastAsia="Arial" w:hAnsi="Arial"/>
                <w:sz w:val="14"/>
                <w:szCs w:val="14"/>
                <w:b w:val="1"/>
                <w:bCs w:val="1"/>
                <w:color w:val="auto"/>
                <w:w w:val="90"/>
              </w:rPr>
              <w:t>Combined GM</w:t>
            </w:r>
          </w:p>
        </w:tc>
        <w:tc>
          <w:tcPr>
            <w:tcW w:w="4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560" w:type="dxa"/>
            <w:vAlign w:val="bottom"/>
            <w:tcBorders>
              <w:right w:val="single" w:sz="8" w:color="auto"/>
            </w:tcBorders>
          </w:tcPr>
          <w:p>
            <w:pPr>
              <w:spacing w:after="0"/>
              <w:rPr>
                <w:sz w:val="14"/>
                <w:szCs w:val="14"/>
                <w:color w:val="auto"/>
              </w:rPr>
            </w:pPr>
          </w:p>
        </w:tc>
        <w:tc>
          <w:tcPr>
            <w:tcW w:w="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60" w:type="dxa"/>
            <w:vAlign w:val="bottom"/>
          </w:tcPr>
          <w:p>
            <w:pPr>
              <w:spacing w:after="0"/>
              <w:rPr>
                <w:sz w:val="14"/>
                <w:szCs w:val="14"/>
                <w:color w:val="auto"/>
              </w:rPr>
            </w:pPr>
          </w:p>
        </w:tc>
      </w:tr>
      <w:tr>
        <w:trPr>
          <w:trHeight w:val="161"/>
        </w:trPr>
        <w:tc>
          <w:tcPr>
            <w:tcW w:w="312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center"/>
              <w:ind w:right="47"/>
              <w:spacing w:after="0"/>
              <w:rPr>
                <w:sz w:val="20"/>
                <w:szCs w:val="20"/>
                <w:color w:val="auto"/>
              </w:rPr>
            </w:pPr>
            <w:r>
              <w:rPr>
                <w:rFonts w:ascii="Arial" w:cs="Arial" w:eastAsia="Arial" w:hAnsi="Arial"/>
                <w:sz w:val="14"/>
                <w:szCs w:val="14"/>
                <w:b w:val="1"/>
                <w:bCs w:val="1"/>
                <w:color w:val="auto"/>
                <w:w w:val="79"/>
              </w:rPr>
              <w:t>Successor</w:t>
            </w:r>
          </w:p>
        </w:tc>
        <w:tc>
          <w:tcPr>
            <w:tcW w:w="46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center"/>
              <w:ind w:right="48"/>
              <w:spacing w:after="0"/>
              <w:rPr>
                <w:sz w:val="20"/>
                <w:szCs w:val="20"/>
                <w:color w:val="auto"/>
              </w:rPr>
            </w:pPr>
            <w:r>
              <w:rPr>
                <w:rFonts w:ascii="Arial" w:cs="Arial" w:eastAsia="Arial" w:hAnsi="Arial"/>
                <w:sz w:val="14"/>
                <w:szCs w:val="14"/>
                <w:b w:val="1"/>
                <w:bCs w:val="1"/>
                <w:color w:val="auto"/>
                <w:w w:val="94"/>
              </w:rPr>
              <w:t>and Old GM</w:t>
            </w:r>
          </w:p>
        </w:tc>
        <w:tc>
          <w:tcPr>
            <w:tcW w:w="46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center"/>
              <w:ind w:right="67"/>
              <w:spacing w:after="0"/>
              <w:rPr>
                <w:sz w:val="20"/>
                <w:szCs w:val="20"/>
                <w:color w:val="auto"/>
              </w:rPr>
            </w:pPr>
            <w:r>
              <w:rPr>
                <w:rFonts w:ascii="Arial" w:cs="Arial" w:eastAsia="Arial" w:hAnsi="Arial"/>
                <w:sz w:val="14"/>
                <w:szCs w:val="14"/>
                <w:b w:val="1"/>
                <w:bCs w:val="1"/>
                <w:color w:val="auto"/>
                <w:w w:val="79"/>
              </w:rPr>
              <w:t>Successor</w:t>
            </w:r>
          </w:p>
        </w:tc>
        <w:tc>
          <w:tcPr>
            <w:tcW w:w="560" w:type="dxa"/>
            <w:vAlign w:val="bottom"/>
            <w:tcBorders>
              <w:right w:val="single" w:sz="8" w:color="auto"/>
            </w:tcBorders>
          </w:tcPr>
          <w:p>
            <w:pPr>
              <w:spacing w:after="0"/>
              <w:rPr>
                <w:sz w:val="14"/>
                <w:szCs w:val="14"/>
                <w:color w:val="auto"/>
              </w:rPr>
            </w:pPr>
          </w:p>
        </w:tc>
        <w:tc>
          <w:tcPr>
            <w:tcW w:w="3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1660" w:type="dxa"/>
            <w:vAlign w:val="bottom"/>
            <w:tcBorders>
              <w:bottom w:val="single" w:sz="8" w:color="auto"/>
            </w:tcBorders>
            <w:gridSpan w:val="4"/>
          </w:tcPr>
          <w:p>
            <w:pPr>
              <w:jc w:val="right"/>
              <w:ind w:right="640"/>
              <w:spacing w:after="0"/>
              <w:rPr>
                <w:sz w:val="20"/>
                <w:szCs w:val="20"/>
                <w:color w:val="auto"/>
              </w:rPr>
            </w:pPr>
            <w:r>
              <w:rPr>
                <w:rFonts w:ascii="Arial" w:cs="Arial" w:eastAsia="Arial" w:hAnsi="Arial"/>
                <w:sz w:val="14"/>
                <w:szCs w:val="14"/>
                <w:b w:val="1"/>
                <w:bCs w:val="1"/>
                <w:color w:val="auto"/>
              </w:rPr>
              <w:t>Predecessor</w:t>
            </w:r>
          </w:p>
        </w:tc>
        <w:tc>
          <w:tcPr>
            <w:tcW w:w="420" w:type="dxa"/>
            <w:vAlign w:val="bottom"/>
            <w:tcBorders>
              <w:bottom w:val="single" w:sz="8" w:color="auto"/>
            </w:tcBorders>
          </w:tcPr>
          <w:p>
            <w:pPr>
              <w:spacing w:after="0"/>
              <w:rPr>
                <w:sz w:val="14"/>
                <w:szCs w:val="14"/>
                <w:color w:val="auto"/>
              </w:rPr>
            </w:pPr>
          </w:p>
        </w:tc>
        <w:tc>
          <w:tcPr>
            <w:tcW w:w="260" w:type="dxa"/>
            <w:vAlign w:val="bottom"/>
          </w:tcPr>
          <w:p>
            <w:pPr>
              <w:spacing w:after="0"/>
              <w:rPr>
                <w:sz w:val="14"/>
                <w:szCs w:val="14"/>
                <w:color w:val="auto"/>
              </w:rPr>
            </w:pPr>
          </w:p>
        </w:tc>
      </w:tr>
      <w:tr>
        <w:trPr>
          <w:trHeight w:val="129"/>
        </w:trPr>
        <w:tc>
          <w:tcPr>
            <w:tcW w:w="3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460" w:type="dxa"/>
            <w:vAlign w:val="bottom"/>
            <w:gridSpan w:val="2"/>
          </w:tcPr>
          <w:p>
            <w:pPr>
              <w:jc w:val="center"/>
              <w:ind w:right="600"/>
              <w:spacing w:after="0" w:line="129" w:lineRule="exact"/>
              <w:rPr>
                <w:sz w:val="20"/>
                <w:szCs w:val="20"/>
                <w:color w:val="auto"/>
              </w:rPr>
            </w:pPr>
            <w:r>
              <w:rPr>
                <w:rFonts w:ascii="Arial" w:cs="Arial" w:eastAsia="Arial" w:hAnsi="Arial"/>
                <w:sz w:val="14"/>
                <w:szCs w:val="14"/>
                <w:b w:val="1"/>
                <w:bCs w:val="1"/>
                <w:color w:val="auto"/>
                <w:w w:val="89"/>
              </w:rPr>
              <w:t>Three Months</w:t>
            </w:r>
          </w:p>
        </w:tc>
        <w:tc>
          <w:tcPr>
            <w:tcW w:w="120" w:type="dxa"/>
            <w:vAlign w:val="bottom"/>
          </w:tcPr>
          <w:p>
            <w:pPr>
              <w:spacing w:after="0"/>
              <w:rPr>
                <w:sz w:val="11"/>
                <w:szCs w:val="11"/>
                <w:color w:val="auto"/>
              </w:rPr>
            </w:pPr>
          </w:p>
        </w:tc>
        <w:tc>
          <w:tcPr>
            <w:tcW w:w="1020" w:type="dxa"/>
            <w:vAlign w:val="bottom"/>
          </w:tcPr>
          <w:p>
            <w:pPr>
              <w:jc w:val="center"/>
              <w:ind w:right="48"/>
              <w:spacing w:after="0" w:line="129" w:lineRule="exact"/>
              <w:rPr>
                <w:sz w:val="20"/>
                <w:szCs w:val="20"/>
                <w:color w:val="auto"/>
              </w:rPr>
            </w:pPr>
            <w:r>
              <w:rPr>
                <w:rFonts w:ascii="Arial" w:cs="Arial" w:eastAsia="Arial" w:hAnsi="Arial"/>
                <w:sz w:val="14"/>
                <w:szCs w:val="14"/>
                <w:b w:val="1"/>
                <w:bCs w:val="1"/>
                <w:color w:val="auto"/>
                <w:w w:val="89"/>
              </w:rPr>
              <w:t>Three Months</w:t>
            </w:r>
          </w:p>
        </w:tc>
        <w:tc>
          <w:tcPr>
            <w:tcW w:w="4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80" w:type="dxa"/>
            <w:vAlign w:val="bottom"/>
          </w:tcPr>
          <w:p>
            <w:pPr>
              <w:jc w:val="center"/>
              <w:ind w:right="67"/>
              <w:spacing w:after="0" w:line="129" w:lineRule="exact"/>
              <w:rPr>
                <w:sz w:val="20"/>
                <w:szCs w:val="20"/>
                <w:color w:val="auto"/>
              </w:rPr>
            </w:pPr>
            <w:r>
              <w:rPr>
                <w:rFonts w:ascii="Arial" w:cs="Arial" w:eastAsia="Arial" w:hAnsi="Arial"/>
                <w:sz w:val="14"/>
                <w:szCs w:val="14"/>
                <w:b w:val="1"/>
                <w:bCs w:val="1"/>
                <w:color w:val="auto"/>
                <w:w w:val="87"/>
              </w:rPr>
              <w:t>July 10, 2009</w:t>
            </w:r>
          </w:p>
        </w:tc>
        <w:tc>
          <w:tcPr>
            <w:tcW w:w="560" w:type="dxa"/>
            <w:vAlign w:val="bottom"/>
            <w:tcBorders>
              <w:right w:val="single" w:sz="8" w:color="auto"/>
            </w:tcBorders>
          </w:tcPr>
          <w:p>
            <w:pPr>
              <w:spacing w:after="0"/>
              <w:rPr>
                <w:sz w:val="11"/>
                <w:szCs w:val="11"/>
                <w:color w:val="auto"/>
              </w:rPr>
            </w:pPr>
          </w:p>
        </w:tc>
        <w:tc>
          <w:tcPr>
            <w:tcW w:w="340" w:type="dxa"/>
            <w:vAlign w:val="bottom"/>
          </w:tcPr>
          <w:p>
            <w:pPr>
              <w:spacing w:after="0"/>
              <w:rPr>
                <w:sz w:val="11"/>
                <w:szCs w:val="11"/>
                <w:color w:val="auto"/>
              </w:rPr>
            </w:pPr>
          </w:p>
        </w:tc>
        <w:tc>
          <w:tcPr>
            <w:tcW w:w="740" w:type="dxa"/>
            <w:vAlign w:val="bottom"/>
            <w:gridSpan w:val="2"/>
          </w:tcPr>
          <w:p>
            <w:pPr>
              <w:spacing w:after="0" w:line="129" w:lineRule="exact"/>
              <w:rPr>
                <w:sz w:val="20"/>
                <w:szCs w:val="20"/>
                <w:color w:val="auto"/>
              </w:rPr>
            </w:pPr>
            <w:r>
              <w:rPr>
                <w:rFonts w:ascii="Arial" w:cs="Arial" w:eastAsia="Arial" w:hAnsi="Arial"/>
                <w:sz w:val="14"/>
                <w:szCs w:val="14"/>
                <w:b w:val="1"/>
                <w:bCs w:val="1"/>
                <w:color w:val="auto"/>
                <w:w w:val="91"/>
              </w:rPr>
              <w:t>July 1, 2009</w:t>
            </w:r>
          </w:p>
        </w:tc>
        <w:tc>
          <w:tcPr>
            <w:tcW w:w="4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520" w:type="dxa"/>
            <w:vAlign w:val="bottom"/>
            <w:gridSpan w:val="3"/>
          </w:tcPr>
          <w:p>
            <w:pPr>
              <w:ind w:left="100"/>
              <w:spacing w:after="0" w:line="129" w:lineRule="exact"/>
              <w:rPr>
                <w:sz w:val="20"/>
                <w:szCs w:val="20"/>
                <w:color w:val="auto"/>
              </w:rPr>
            </w:pPr>
            <w:r>
              <w:rPr>
                <w:rFonts w:ascii="Arial" w:cs="Arial" w:eastAsia="Arial" w:hAnsi="Arial"/>
                <w:sz w:val="14"/>
                <w:szCs w:val="14"/>
                <w:b w:val="1"/>
                <w:bCs w:val="1"/>
                <w:color w:val="auto"/>
              </w:rPr>
              <w:t>Three Months Ended</w:t>
            </w:r>
          </w:p>
        </w:tc>
        <w:tc>
          <w:tcPr>
            <w:tcW w:w="260" w:type="dxa"/>
            <w:vAlign w:val="bottom"/>
          </w:tcPr>
          <w:p>
            <w:pPr>
              <w:spacing w:after="0"/>
              <w:rPr>
                <w:sz w:val="11"/>
                <w:szCs w:val="11"/>
                <w:color w:val="auto"/>
              </w:rPr>
            </w:pPr>
          </w:p>
        </w:tc>
      </w:tr>
      <w:tr>
        <w:trPr>
          <w:trHeight w:val="161"/>
        </w:trPr>
        <w:tc>
          <w:tcPr>
            <w:tcW w:w="3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60" w:type="dxa"/>
            <w:vAlign w:val="bottom"/>
            <w:gridSpan w:val="2"/>
          </w:tcPr>
          <w:p>
            <w:pPr>
              <w:jc w:val="center"/>
              <w:ind w:right="600"/>
              <w:spacing w:after="0"/>
              <w:rPr>
                <w:sz w:val="20"/>
                <w:szCs w:val="20"/>
                <w:color w:val="auto"/>
              </w:rPr>
            </w:pPr>
            <w:r>
              <w:rPr>
                <w:rFonts w:ascii="Arial" w:cs="Arial" w:eastAsia="Arial" w:hAnsi="Arial"/>
                <w:sz w:val="14"/>
                <w:szCs w:val="14"/>
                <w:b w:val="1"/>
                <w:bCs w:val="1"/>
                <w:color w:val="auto"/>
                <w:w w:val="88"/>
              </w:rPr>
              <w:t>Ended</w:t>
            </w:r>
          </w:p>
        </w:tc>
        <w:tc>
          <w:tcPr>
            <w:tcW w:w="120" w:type="dxa"/>
            <w:vAlign w:val="bottom"/>
          </w:tcPr>
          <w:p>
            <w:pPr>
              <w:spacing w:after="0"/>
              <w:rPr>
                <w:sz w:val="14"/>
                <w:szCs w:val="14"/>
                <w:color w:val="auto"/>
              </w:rPr>
            </w:pPr>
          </w:p>
        </w:tc>
        <w:tc>
          <w:tcPr>
            <w:tcW w:w="1020" w:type="dxa"/>
            <w:vAlign w:val="bottom"/>
          </w:tcPr>
          <w:p>
            <w:pPr>
              <w:jc w:val="center"/>
              <w:ind w:right="48"/>
              <w:spacing w:after="0"/>
              <w:rPr>
                <w:sz w:val="20"/>
                <w:szCs w:val="20"/>
                <w:color w:val="auto"/>
              </w:rPr>
            </w:pPr>
            <w:r>
              <w:rPr>
                <w:rFonts w:ascii="Arial" w:cs="Arial" w:eastAsia="Arial" w:hAnsi="Arial"/>
                <w:sz w:val="14"/>
                <w:szCs w:val="14"/>
                <w:b w:val="1"/>
                <w:bCs w:val="1"/>
                <w:color w:val="auto"/>
                <w:w w:val="88"/>
              </w:rPr>
              <w:t>Ended</w:t>
            </w:r>
          </w:p>
        </w:tc>
        <w:tc>
          <w:tcPr>
            <w:tcW w:w="4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80" w:type="dxa"/>
            <w:vAlign w:val="bottom"/>
          </w:tcPr>
          <w:p>
            <w:pPr>
              <w:jc w:val="center"/>
              <w:ind w:right="67"/>
              <w:spacing w:after="0"/>
              <w:rPr>
                <w:sz w:val="20"/>
                <w:szCs w:val="20"/>
                <w:color w:val="auto"/>
              </w:rPr>
            </w:pPr>
            <w:r>
              <w:rPr>
                <w:rFonts w:ascii="Arial" w:cs="Arial" w:eastAsia="Arial" w:hAnsi="Arial"/>
                <w:sz w:val="14"/>
                <w:szCs w:val="14"/>
                <w:b w:val="1"/>
                <w:bCs w:val="1"/>
                <w:color w:val="auto"/>
                <w:w w:val="91"/>
              </w:rPr>
              <w:t>Through</w:t>
            </w:r>
          </w:p>
        </w:tc>
        <w:tc>
          <w:tcPr>
            <w:tcW w:w="560" w:type="dxa"/>
            <w:vAlign w:val="bottom"/>
            <w:tcBorders>
              <w:right w:val="single" w:sz="8" w:color="auto"/>
            </w:tcBorders>
          </w:tcPr>
          <w:p>
            <w:pPr>
              <w:spacing w:after="0"/>
              <w:rPr>
                <w:sz w:val="14"/>
                <w:szCs w:val="14"/>
                <w:color w:val="auto"/>
              </w:rPr>
            </w:pPr>
          </w:p>
        </w:tc>
        <w:tc>
          <w:tcPr>
            <w:tcW w:w="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jc w:val="right"/>
              <w:ind w:right="42"/>
              <w:spacing w:after="0"/>
              <w:rPr>
                <w:sz w:val="20"/>
                <w:szCs w:val="20"/>
                <w:color w:val="auto"/>
              </w:rPr>
            </w:pPr>
            <w:r>
              <w:rPr>
                <w:rFonts w:ascii="Arial" w:cs="Arial" w:eastAsia="Arial" w:hAnsi="Arial"/>
                <w:sz w:val="14"/>
                <w:szCs w:val="14"/>
                <w:b w:val="1"/>
                <w:bCs w:val="1"/>
                <w:color w:val="auto"/>
                <w:w w:val="87"/>
              </w:rPr>
              <w:t>Through</w:t>
            </w:r>
          </w:p>
        </w:tc>
        <w:tc>
          <w:tcPr>
            <w:tcW w:w="4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780" w:type="dxa"/>
            <w:vAlign w:val="bottom"/>
            <w:gridSpan w:val="4"/>
          </w:tcPr>
          <w:p>
            <w:pPr>
              <w:ind w:left="80"/>
              <w:spacing w:after="0"/>
              <w:rPr>
                <w:sz w:val="20"/>
                <w:szCs w:val="20"/>
                <w:color w:val="auto"/>
              </w:rPr>
            </w:pPr>
            <w:r>
              <w:rPr>
                <w:rFonts w:ascii="Arial" w:cs="Arial" w:eastAsia="Arial" w:hAnsi="Arial"/>
                <w:sz w:val="14"/>
                <w:szCs w:val="14"/>
                <w:b w:val="1"/>
                <w:bCs w:val="1"/>
                <w:color w:val="auto"/>
              </w:rPr>
              <w:t>2010 vs. 2009 Change</w:t>
            </w:r>
          </w:p>
        </w:tc>
      </w:tr>
      <w:tr>
        <w:trPr>
          <w:trHeight w:val="142"/>
        </w:trPr>
        <w:tc>
          <w:tcPr>
            <w:tcW w:w="3120" w:type="dxa"/>
            <w:vAlign w:val="bottom"/>
          </w:tcPr>
          <w:p>
            <w:pPr>
              <w:spacing w:after="0"/>
              <w:rPr>
                <w:sz w:val="12"/>
                <w:szCs w:val="12"/>
                <w:color w:val="auto"/>
              </w:rPr>
            </w:pPr>
          </w:p>
        </w:tc>
        <w:tc>
          <w:tcPr>
            <w:tcW w:w="1140" w:type="dxa"/>
            <w:vAlign w:val="bottom"/>
            <w:tcBorders>
              <w:bottom w:val="single" w:sz="8" w:color="auto"/>
            </w:tcBorders>
            <w:gridSpan w:val="2"/>
          </w:tcPr>
          <w:p>
            <w:pPr>
              <w:jc w:val="center"/>
              <w:spacing w:after="0" w:line="142" w:lineRule="exact"/>
              <w:rPr>
                <w:sz w:val="20"/>
                <w:szCs w:val="20"/>
                <w:color w:val="auto"/>
              </w:rPr>
            </w:pPr>
            <w:r>
              <w:rPr>
                <w:rFonts w:ascii="Arial" w:cs="Arial" w:eastAsia="Arial" w:hAnsi="Arial"/>
                <w:sz w:val="14"/>
                <w:szCs w:val="14"/>
                <w:b w:val="1"/>
                <w:bCs w:val="1"/>
                <w:color w:val="auto"/>
                <w:w w:val="85"/>
              </w:rPr>
              <w:t>September 30, 2010</w:t>
            </w:r>
          </w:p>
        </w:tc>
        <w:tc>
          <w:tcPr>
            <w:tcW w:w="460" w:type="dxa"/>
            <w:vAlign w:val="bottom"/>
          </w:tcPr>
          <w:p>
            <w:pPr>
              <w:spacing w:after="0"/>
              <w:rPr>
                <w:sz w:val="12"/>
                <w:szCs w:val="12"/>
                <w:color w:val="auto"/>
              </w:rPr>
            </w:pPr>
          </w:p>
        </w:tc>
        <w:tc>
          <w:tcPr>
            <w:tcW w:w="1140" w:type="dxa"/>
            <w:vAlign w:val="bottom"/>
            <w:tcBorders>
              <w:bottom w:val="single" w:sz="8" w:color="auto"/>
            </w:tcBorders>
            <w:gridSpan w:val="2"/>
          </w:tcPr>
          <w:p>
            <w:pPr>
              <w:jc w:val="center"/>
              <w:spacing w:after="0" w:line="142" w:lineRule="exact"/>
              <w:rPr>
                <w:sz w:val="20"/>
                <w:szCs w:val="20"/>
                <w:color w:val="auto"/>
              </w:rPr>
            </w:pPr>
            <w:r>
              <w:rPr>
                <w:rFonts w:ascii="Arial" w:cs="Arial" w:eastAsia="Arial" w:hAnsi="Arial"/>
                <w:sz w:val="14"/>
                <w:szCs w:val="14"/>
                <w:b w:val="1"/>
                <w:bCs w:val="1"/>
                <w:color w:val="auto"/>
                <w:w w:val="87"/>
              </w:rPr>
              <w:t>September 30, 2009</w:t>
            </w:r>
          </w:p>
        </w:tc>
        <w:tc>
          <w:tcPr>
            <w:tcW w:w="460" w:type="dxa"/>
            <w:vAlign w:val="bottom"/>
          </w:tcPr>
          <w:p>
            <w:pPr>
              <w:spacing w:after="0"/>
              <w:rPr>
                <w:sz w:val="12"/>
                <w:szCs w:val="12"/>
                <w:color w:val="auto"/>
              </w:rPr>
            </w:pPr>
          </w:p>
        </w:tc>
        <w:tc>
          <w:tcPr>
            <w:tcW w:w="1120" w:type="dxa"/>
            <w:vAlign w:val="bottom"/>
            <w:tcBorders>
              <w:bottom w:val="single" w:sz="8" w:color="auto"/>
            </w:tcBorders>
            <w:gridSpan w:val="2"/>
          </w:tcPr>
          <w:p>
            <w:pPr>
              <w:jc w:val="center"/>
              <w:spacing w:after="0" w:line="142" w:lineRule="exact"/>
              <w:rPr>
                <w:sz w:val="20"/>
                <w:szCs w:val="20"/>
                <w:color w:val="auto"/>
              </w:rPr>
            </w:pPr>
            <w:r>
              <w:rPr>
                <w:rFonts w:ascii="Arial" w:cs="Arial" w:eastAsia="Arial" w:hAnsi="Arial"/>
                <w:sz w:val="14"/>
                <w:szCs w:val="14"/>
                <w:b w:val="1"/>
                <w:bCs w:val="1"/>
                <w:color w:val="auto"/>
                <w:w w:val="85"/>
              </w:rPr>
              <w:t>September 30, 2009</w:t>
            </w:r>
          </w:p>
        </w:tc>
        <w:tc>
          <w:tcPr>
            <w:tcW w:w="560" w:type="dxa"/>
            <w:vAlign w:val="bottom"/>
            <w:tcBorders>
              <w:right w:val="single" w:sz="8" w:color="auto"/>
            </w:tcBorders>
          </w:tcPr>
          <w:p>
            <w:pPr>
              <w:spacing w:after="0"/>
              <w:rPr>
                <w:sz w:val="12"/>
                <w:szCs w:val="12"/>
                <w:color w:val="auto"/>
              </w:rPr>
            </w:pPr>
          </w:p>
        </w:tc>
        <w:tc>
          <w:tcPr>
            <w:tcW w:w="340" w:type="dxa"/>
            <w:vAlign w:val="bottom"/>
          </w:tcPr>
          <w:p>
            <w:pPr>
              <w:spacing w:after="0"/>
              <w:rPr>
                <w:sz w:val="12"/>
                <w:szCs w:val="12"/>
                <w:color w:val="auto"/>
              </w:rPr>
            </w:pPr>
          </w:p>
        </w:tc>
        <w:tc>
          <w:tcPr>
            <w:tcW w:w="740" w:type="dxa"/>
            <w:vAlign w:val="bottom"/>
            <w:tcBorders>
              <w:bottom w:val="single" w:sz="8" w:color="auto"/>
            </w:tcBorders>
            <w:gridSpan w:val="2"/>
          </w:tcPr>
          <w:p>
            <w:pPr>
              <w:ind w:left="20"/>
              <w:spacing w:after="0" w:line="142" w:lineRule="exact"/>
              <w:rPr>
                <w:sz w:val="20"/>
                <w:szCs w:val="20"/>
                <w:color w:val="auto"/>
              </w:rPr>
            </w:pPr>
            <w:r>
              <w:rPr>
                <w:rFonts w:ascii="Arial" w:cs="Arial" w:eastAsia="Arial" w:hAnsi="Arial"/>
                <w:sz w:val="14"/>
                <w:szCs w:val="14"/>
                <w:b w:val="1"/>
                <w:bCs w:val="1"/>
                <w:color w:val="auto"/>
                <w:w w:val="88"/>
              </w:rPr>
              <w:t>July 9, 2009</w:t>
            </w:r>
          </w:p>
        </w:tc>
        <w:tc>
          <w:tcPr>
            <w:tcW w:w="440" w:type="dxa"/>
            <w:vAlign w:val="bottom"/>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640" w:type="dxa"/>
            <w:vAlign w:val="bottom"/>
            <w:tcBorders>
              <w:top w:val="single" w:sz="8" w:color="auto"/>
              <w:bottom w:val="single" w:sz="8" w:color="auto"/>
            </w:tcBorders>
          </w:tcPr>
          <w:p>
            <w:pPr>
              <w:ind w:left="20"/>
              <w:spacing w:after="0" w:line="142" w:lineRule="exact"/>
              <w:rPr>
                <w:sz w:val="20"/>
                <w:szCs w:val="20"/>
                <w:color w:val="auto"/>
              </w:rPr>
            </w:pPr>
            <w:r>
              <w:rPr>
                <w:rFonts w:ascii="Arial" w:cs="Arial" w:eastAsia="Arial" w:hAnsi="Arial"/>
                <w:sz w:val="14"/>
                <w:szCs w:val="14"/>
                <w:b w:val="1"/>
                <w:bCs w:val="1"/>
                <w:color w:val="auto"/>
              </w:rPr>
              <w:t>Amount</w:t>
            </w:r>
          </w:p>
        </w:tc>
        <w:tc>
          <w:tcPr>
            <w:tcW w:w="460" w:type="dxa"/>
            <w:vAlign w:val="bottom"/>
            <w:tcBorders>
              <w:top w:val="single" w:sz="8" w:color="auto"/>
            </w:tcBorders>
          </w:tcPr>
          <w:p>
            <w:pPr>
              <w:spacing w:after="0"/>
              <w:rPr>
                <w:sz w:val="12"/>
                <w:szCs w:val="12"/>
                <w:color w:val="auto"/>
              </w:rPr>
            </w:pPr>
          </w:p>
        </w:tc>
        <w:tc>
          <w:tcPr>
            <w:tcW w:w="420" w:type="dxa"/>
            <w:vAlign w:val="bottom"/>
            <w:tcBorders>
              <w:top w:val="single" w:sz="8" w:color="auto"/>
              <w:bottom w:val="single" w:sz="8" w:color="auto"/>
            </w:tcBorders>
          </w:tcPr>
          <w:p>
            <w:pPr>
              <w:jc w:val="right"/>
              <w:ind w:right="62"/>
              <w:spacing w:after="0" w:line="142" w:lineRule="exact"/>
              <w:rPr>
                <w:sz w:val="20"/>
                <w:szCs w:val="20"/>
                <w:color w:val="auto"/>
              </w:rPr>
            </w:pPr>
            <w:r>
              <w:rPr>
                <w:rFonts w:ascii="Arial" w:cs="Arial" w:eastAsia="Arial" w:hAnsi="Arial"/>
                <w:sz w:val="14"/>
                <w:szCs w:val="14"/>
                <w:b w:val="1"/>
                <w:bCs w:val="1"/>
                <w:color w:val="auto"/>
              </w:rPr>
              <w:t>%</w:t>
            </w:r>
          </w:p>
        </w:tc>
        <w:tc>
          <w:tcPr>
            <w:tcW w:w="260" w:type="dxa"/>
            <w:vAlign w:val="bottom"/>
          </w:tcPr>
          <w:p>
            <w:pPr>
              <w:spacing w:after="0"/>
              <w:rPr>
                <w:sz w:val="12"/>
                <w:szCs w:val="12"/>
                <w:color w:val="auto"/>
              </w:rPr>
            </w:pPr>
          </w:p>
        </w:tc>
      </w:tr>
      <w:tr>
        <w:trPr>
          <w:trHeight w:val="210"/>
        </w:trPr>
        <w:tc>
          <w:tcPr>
            <w:tcW w:w="3120" w:type="dxa"/>
            <w:vAlign w:val="bottom"/>
            <w:shd w:val="clear" w:color="auto" w:fill="CCEEFF"/>
          </w:tcPr>
          <w:p>
            <w:pPr>
              <w:spacing w:after="0"/>
              <w:rPr>
                <w:sz w:val="20"/>
                <w:szCs w:val="20"/>
                <w:color w:val="auto"/>
              </w:rPr>
            </w:pPr>
            <w:r>
              <w:rPr>
                <w:rFonts w:ascii="Arial" w:cs="Arial" w:eastAsia="Arial" w:hAnsi="Arial"/>
                <w:sz w:val="18"/>
                <w:szCs w:val="18"/>
                <w:color w:val="auto"/>
              </w:rPr>
              <w:t>Total net sales and revenue</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6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45</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w:t>
            </w: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w:t>
            </w:r>
          </w:p>
        </w:tc>
        <w:tc>
          <w:tcPr>
            <w:tcW w:w="560" w:type="dxa"/>
            <w:vAlign w:val="bottom"/>
            <w:tcBorders>
              <w:right w:val="single" w:sz="8" w:color="auto"/>
            </w:tcBorders>
            <w:shd w:val="clear" w:color="auto" w:fill="CCEEFF"/>
          </w:tcPr>
          <w:p>
            <w:pPr>
              <w:spacing w:after="0"/>
              <w:rPr>
                <w:sz w:val="18"/>
                <w:szCs w:val="18"/>
                <w:color w:val="auto"/>
              </w:rPr>
            </w:pPr>
          </w:p>
        </w:tc>
        <w:tc>
          <w:tcPr>
            <w:tcW w:w="44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w w:val="79"/>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5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(49)</w:t>
            </w:r>
          </w:p>
        </w:tc>
        <w:tc>
          <w:tcPr>
            <w:tcW w:w="6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5"/>
              </w:rPr>
              <w:t>(52.1)%</w:t>
            </w:r>
          </w:p>
        </w:tc>
      </w:tr>
    </w:tbl>
    <w:p>
      <w:pPr>
        <w:spacing w:after="0" w:line="154" w:lineRule="exact"/>
        <w:rPr>
          <w:sz w:val="20"/>
          <w:szCs w:val="20"/>
          <w:color w:val="auto"/>
        </w:rPr>
      </w:pPr>
    </w:p>
    <w:p>
      <w:pPr>
        <w:ind w:right="60" w:firstLine="228"/>
        <w:spacing w:after="0" w:line="306" w:lineRule="auto"/>
        <w:rPr>
          <w:sz w:val="20"/>
          <w:szCs w:val="20"/>
          <w:color w:val="auto"/>
        </w:rPr>
      </w:pPr>
      <w:r>
        <w:rPr>
          <w:rFonts w:ascii="Arial" w:cs="Arial" w:eastAsia="Arial" w:hAnsi="Arial"/>
          <w:sz w:val="16"/>
          <w:szCs w:val="16"/>
          <w:color w:val="auto"/>
        </w:rPr>
        <w:t>In the three months ended September 30, 2010 Total net sales and revenue decreased compared to the corresponding period in 2009 by $0.1 billion (or 52.1%) primarily due to decreased lease financing revenue related to the liquidation of the portfolio of automotive retail leases. Average outstanding automotive retail leases on-hand for GM and combined GM and Old GM were 1,000 and 52,000 for the three months ended September 30, 2010 and 2009.</w:t>
      </w:r>
    </w:p>
    <w:p>
      <w:pPr>
        <w:spacing w:after="0" w:line="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122</w:t>
      </w:r>
    </w:p>
    <w:p>
      <w:pPr>
        <w:sectPr>
          <w:pgSz w:w="11900" w:h="16838" w:orient="portrait"/>
          <w:cols w:equalWidth="0" w:num="1">
            <w:col w:w="11420"/>
          </w:cols>
          <w:pgMar w:left="240" w:top="459" w:right="239" w:bottom="1440" w:gutter="0" w:footer="0" w:header="0"/>
        </w:sectPr>
      </w:pPr>
    </w:p>
    <w:bookmarkStart w:id="124" w:name="page125"/>
    <w:bookmarkEnd w:id="1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32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9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tcPr>
          <w:p>
            <w:pPr>
              <w:jc w:val="center"/>
              <w:ind w:right="28"/>
              <w:spacing w:after="0"/>
              <w:rPr>
                <w:sz w:val="20"/>
                <w:szCs w:val="20"/>
                <w:color w:val="auto"/>
              </w:rPr>
            </w:pPr>
            <w:r>
              <w:rPr>
                <w:rFonts w:ascii="Arial" w:cs="Arial" w:eastAsia="Arial" w:hAnsi="Arial"/>
                <w:sz w:val="14"/>
                <w:szCs w:val="14"/>
                <w:b w:val="1"/>
                <w:bCs w:val="1"/>
                <w:color w:val="auto"/>
                <w:w w:val="92"/>
              </w:rPr>
              <w:t>Combined GM</w:t>
            </w:r>
          </w:p>
        </w:tc>
        <w:tc>
          <w:tcPr>
            <w:tcW w:w="4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540" w:type="dxa"/>
            <w:vAlign w:val="bottom"/>
            <w:tcBorders>
              <w:right w:val="single" w:sz="8" w:color="auto"/>
            </w:tcBorders>
          </w:tcPr>
          <w:p>
            <w:pPr>
              <w:spacing w:after="0"/>
              <w:rPr>
                <w:sz w:val="14"/>
                <w:szCs w:val="14"/>
                <w:color w:val="auto"/>
              </w:rPr>
            </w:pPr>
          </w:p>
        </w:tc>
        <w:tc>
          <w:tcPr>
            <w:tcW w:w="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290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center"/>
              <w:ind w:right="87"/>
              <w:spacing w:after="0"/>
              <w:rPr>
                <w:sz w:val="20"/>
                <w:szCs w:val="20"/>
                <w:color w:val="auto"/>
              </w:rPr>
            </w:pPr>
            <w:r>
              <w:rPr>
                <w:rFonts w:ascii="Arial" w:cs="Arial" w:eastAsia="Arial" w:hAnsi="Arial"/>
                <w:sz w:val="14"/>
                <w:szCs w:val="14"/>
                <w:b w:val="1"/>
                <w:bCs w:val="1"/>
                <w:color w:val="auto"/>
                <w:w w:val="79"/>
              </w:rPr>
              <w:t>Successor</w:t>
            </w:r>
          </w:p>
        </w:tc>
        <w:tc>
          <w:tcPr>
            <w:tcW w:w="4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center"/>
              <w:ind w:right="28"/>
              <w:spacing w:after="0"/>
              <w:rPr>
                <w:sz w:val="20"/>
                <w:szCs w:val="20"/>
                <w:color w:val="auto"/>
              </w:rPr>
            </w:pPr>
            <w:r>
              <w:rPr>
                <w:rFonts w:ascii="Arial" w:cs="Arial" w:eastAsia="Arial" w:hAnsi="Arial"/>
                <w:sz w:val="14"/>
                <w:szCs w:val="14"/>
                <w:b w:val="1"/>
                <w:bCs w:val="1"/>
                <w:color w:val="auto"/>
                <w:w w:val="91"/>
              </w:rPr>
              <w:t>and Old GM</w:t>
            </w:r>
          </w:p>
        </w:tc>
        <w:tc>
          <w:tcPr>
            <w:tcW w:w="46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center"/>
              <w:ind w:right="47"/>
              <w:spacing w:after="0"/>
              <w:rPr>
                <w:sz w:val="20"/>
                <w:szCs w:val="20"/>
                <w:color w:val="auto"/>
              </w:rPr>
            </w:pPr>
            <w:r>
              <w:rPr>
                <w:rFonts w:ascii="Arial" w:cs="Arial" w:eastAsia="Arial" w:hAnsi="Arial"/>
                <w:sz w:val="14"/>
                <w:szCs w:val="14"/>
                <w:b w:val="1"/>
                <w:bCs w:val="1"/>
                <w:color w:val="auto"/>
                <w:w w:val="79"/>
              </w:rPr>
              <w:t>Successor</w:t>
            </w:r>
          </w:p>
        </w:tc>
        <w:tc>
          <w:tcPr>
            <w:tcW w:w="540" w:type="dxa"/>
            <w:vAlign w:val="bottom"/>
            <w:tcBorders>
              <w:right w:val="single" w:sz="8" w:color="auto"/>
            </w:tcBorders>
          </w:tcPr>
          <w:p>
            <w:pPr>
              <w:spacing w:after="0"/>
              <w:rPr>
                <w:sz w:val="14"/>
                <w:szCs w:val="14"/>
                <w:color w:val="auto"/>
              </w:rPr>
            </w:pPr>
          </w:p>
        </w:tc>
        <w:tc>
          <w:tcPr>
            <w:tcW w:w="3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center"/>
              <w:ind w:right="47"/>
              <w:spacing w:after="0"/>
              <w:rPr>
                <w:sz w:val="20"/>
                <w:szCs w:val="20"/>
                <w:color w:val="auto"/>
              </w:rPr>
            </w:pPr>
            <w:r>
              <w:rPr>
                <w:rFonts w:ascii="Arial" w:cs="Arial" w:eastAsia="Arial" w:hAnsi="Arial"/>
                <w:sz w:val="14"/>
                <w:szCs w:val="14"/>
                <w:b w:val="1"/>
                <w:bCs w:val="1"/>
                <w:color w:val="auto"/>
                <w:w w:val="83"/>
              </w:rPr>
              <w:t>Predecessor</w:t>
            </w:r>
          </w:p>
        </w:tc>
        <w:tc>
          <w:tcPr>
            <w:tcW w:w="4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780" w:type="dxa"/>
            <w:vAlign w:val="bottom"/>
            <w:gridSpan w:val="4"/>
            <w:vMerge w:val="restart"/>
          </w:tcPr>
          <w:p>
            <w:pPr>
              <w:jc w:val="center"/>
              <w:ind w:right="380"/>
              <w:spacing w:after="0"/>
              <w:rPr>
                <w:sz w:val="20"/>
                <w:szCs w:val="20"/>
                <w:color w:val="auto"/>
              </w:rPr>
            </w:pPr>
            <w:r>
              <w:rPr>
                <w:rFonts w:ascii="Arial" w:cs="Arial" w:eastAsia="Arial" w:hAnsi="Arial"/>
                <w:sz w:val="14"/>
                <w:szCs w:val="14"/>
                <w:b w:val="1"/>
                <w:bCs w:val="1"/>
                <w:color w:val="auto"/>
                <w:w w:val="88"/>
              </w:rPr>
              <w:t>Nine Months Ended</w:t>
            </w:r>
          </w:p>
        </w:tc>
        <w:tc>
          <w:tcPr>
            <w:tcW w:w="0" w:type="dxa"/>
            <w:vAlign w:val="bottom"/>
          </w:tcPr>
          <w:p>
            <w:pPr>
              <w:spacing w:after="0"/>
              <w:rPr>
                <w:sz w:val="1"/>
                <w:szCs w:val="1"/>
                <w:color w:val="auto"/>
              </w:rPr>
            </w:pPr>
          </w:p>
        </w:tc>
      </w:tr>
      <w:tr>
        <w:trPr>
          <w:trHeight w:val="129"/>
        </w:trPr>
        <w:tc>
          <w:tcPr>
            <w:tcW w:w="29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460" w:type="dxa"/>
            <w:vAlign w:val="bottom"/>
            <w:gridSpan w:val="2"/>
          </w:tcPr>
          <w:p>
            <w:pPr>
              <w:jc w:val="center"/>
              <w:ind w:right="600"/>
              <w:spacing w:after="0" w:line="129" w:lineRule="exact"/>
              <w:rPr>
                <w:sz w:val="20"/>
                <w:szCs w:val="20"/>
                <w:color w:val="auto"/>
              </w:rPr>
            </w:pPr>
            <w:r>
              <w:rPr>
                <w:rFonts w:ascii="Arial" w:cs="Arial" w:eastAsia="Arial" w:hAnsi="Arial"/>
                <w:sz w:val="14"/>
                <w:szCs w:val="14"/>
                <w:b w:val="1"/>
                <w:bCs w:val="1"/>
                <w:color w:val="auto"/>
                <w:w w:val="88"/>
              </w:rPr>
              <w:t>Nine Months</w:t>
            </w:r>
          </w:p>
        </w:tc>
        <w:tc>
          <w:tcPr>
            <w:tcW w:w="100" w:type="dxa"/>
            <w:vAlign w:val="bottom"/>
          </w:tcPr>
          <w:p>
            <w:pPr>
              <w:spacing w:after="0"/>
              <w:rPr>
                <w:sz w:val="11"/>
                <w:szCs w:val="11"/>
                <w:color w:val="auto"/>
              </w:rPr>
            </w:pPr>
          </w:p>
        </w:tc>
        <w:tc>
          <w:tcPr>
            <w:tcW w:w="1020" w:type="dxa"/>
            <w:vAlign w:val="bottom"/>
          </w:tcPr>
          <w:p>
            <w:pPr>
              <w:jc w:val="center"/>
              <w:ind w:right="28"/>
              <w:spacing w:after="0" w:line="129" w:lineRule="exact"/>
              <w:rPr>
                <w:sz w:val="20"/>
                <w:szCs w:val="20"/>
                <w:color w:val="auto"/>
              </w:rPr>
            </w:pPr>
            <w:r>
              <w:rPr>
                <w:rFonts w:ascii="Arial" w:cs="Arial" w:eastAsia="Arial" w:hAnsi="Arial"/>
                <w:sz w:val="14"/>
                <w:szCs w:val="14"/>
                <w:b w:val="1"/>
                <w:bCs w:val="1"/>
                <w:color w:val="auto"/>
                <w:w w:val="90"/>
              </w:rPr>
              <w:t>Nine Months</w:t>
            </w:r>
          </w:p>
        </w:tc>
        <w:tc>
          <w:tcPr>
            <w:tcW w:w="4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0" w:type="dxa"/>
            <w:vAlign w:val="bottom"/>
          </w:tcPr>
          <w:p>
            <w:pPr>
              <w:jc w:val="center"/>
              <w:ind w:right="67"/>
              <w:spacing w:after="0" w:line="129" w:lineRule="exact"/>
              <w:rPr>
                <w:sz w:val="20"/>
                <w:szCs w:val="20"/>
                <w:color w:val="auto"/>
              </w:rPr>
            </w:pPr>
            <w:r>
              <w:rPr>
                <w:rFonts w:ascii="Arial" w:cs="Arial" w:eastAsia="Arial" w:hAnsi="Arial"/>
                <w:sz w:val="14"/>
                <w:szCs w:val="14"/>
                <w:b w:val="1"/>
                <w:bCs w:val="1"/>
                <w:color w:val="auto"/>
                <w:w w:val="85"/>
              </w:rPr>
              <w:t>July 10, 2009</w:t>
            </w:r>
          </w:p>
        </w:tc>
        <w:tc>
          <w:tcPr>
            <w:tcW w:w="540" w:type="dxa"/>
            <w:vAlign w:val="bottom"/>
            <w:tcBorders>
              <w:right w:val="single" w:sz="8" w:color="auto"/>
            </w:tcBorders>
          </w:tcPr>
          <w:p>
            <w:pPr>
              <w:spacing w:after="0"/>
              <w:rPr>
                <w:sz w:val="11"/>
                <w:szCs w:val="11"/>
                <w:color w:val="auto"/>
              </w:rPr>
            </w:pPr>
          </w:p>
        </w:tc>
        <w:tc>
          <w:tcPr>
            <w:tcW w:w="360" w:type="dxa"/>
            <w:vAlign w:val="bottom"/>
          </w:tcPr>
          <w:p>
            <w:pPr>
              <w:spacing w:after="0"/>
              <w:rPr>
                <w:sz w:val="11"/>
                <w:szCs w:val="11"/>
                <w:color w:val="auto"/>
              </w:rPr>
            </w:pPr>
          </w:p>
        </w:tc>
        <w:tc>
          <w:tcPr>
            <w:tcW w:w="960" w:type="dxa"/>
            <w:vAlign w:val="bottom"/>
            <w:gridSpan w:val="2"/>
          </w:tcPr>
          <w:p>
            <w:pPr>
              <w:jc w:val="center"/>
              <w:spacing w:after="0" w:line="129" w:lineRule="exact"/>
              <w:rPr>
                <w:sz w:val="20"/>
                <w:szCs w:val="20"/>
                <w:color w:val="auto"/>
              </w:rPr>
            </w:pPr>
            <w:r>
              <w:rPr>
                <w:rFonts w:ascii="Arial" w:cs="Arial" w:eastAsia="Arial" w:hAnsi="Arial"/>
                <w:sz w:val="14"/>
                <w:szCs w:val="14"/>
                <w:b w:val="1"/>
                <w:bCs w:val="1"/>
                <w:color w:val="auto"/>
                <w:w w:val="90"/>
              </w:rPr>
              <w:t>January 1, 2009</w:t>
            </w:r>
          </w:p>
        </w:tc>
        <w:tc>
          <w:tcPr>
            <w:tcW w:w="4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780" w:type="dxa"/>
            <w:vAlign w:val="bottom"/>
            <w:gridSpan w:val="4"/>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29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60" w:type="dxa"/>
            <w:vAlign w:val="bottom"/>
            <w:gridSpan w:val="2"/>
          </w:tcPr>
          <w:p>
            <w:pPr>
              <w:jc w:val="center"/>
              <w:ind w:right="600"/>
              <w:spacing w:after="0"/>
              <w:rPr>
                <w:sz w:val="20"/>
                <w:szCs w:val="20"/>
                <w:color w:val="auto"/>
              </w:rPr>
            </w:pPr>
            <w:r>
              <w:rPr>
                <w:rFonts w:ascii="Arial" w:cs="Arial" w:eastAsia="Arial" w:hAnsi="Arial"/>
                <w:sz w:val="14"/>
                <w:szCs w:val="14"/>
                <w:b w:val="1"/>
                <w:bCs w:val="1"/>
                <w:color w:val="auto"/>
                <w:w w:val="88"/>
              </w:rPr>
              <w:t>Ended</w:t>
            </w:r>
          </w:p>
        </w:tc>
        <w:tc>
          <w:tcPr>
            <w:tcW w:w="100" w:type="dxa"/>
            <w:vAlign w:val="bottom"/>
          </w:tcPr>
          <w:p>
            <w:pPr>
              <w:spacing w:after="0"/>
              <w:rPr>
                <w:sz w:val="14"/>
                <w:szCs w:val="14"/>
                <w:color w:val="auto"/>
              </w:rPr>
            </w:pPr>
          </w:p>
        </w:tc>
        <w:tc>
          <w:tcPr>
            <w:tcW w:w="1020" w:type="dxa"/>
            <w:vAlign w:val="bottom"/>
          </w:tcPr>
          <w:p>
            <w:pPr>
              <w:jc w:val="center"/>
              <w:ind w:right="28"/>
              <w:spacing w:after="0"/>
              <w:rPr>
                <w:sz w:val="20"/>
                <w:szCs w:val="20"/>
                <w:color w:val="auto"/>
              </w:rPr>
            </w:pPr>
            <w:r>
              <w:rPr>
                <w:rFonts w:ascii="Arial" w:cs="Arial" w:eastAsia="Arial" w:hAnsi="Arial"/>
                <w:sz w:val="14"/>
                <w:szCs w:val="14"/>
                <w:b w:val="1"/>
                <w:bCs w:val="1"/>
                <w:color w:val="auto"/>
                <w:w w:val="84"/>
              </w:rPr>
              <w:t>Ended</w:t>
            </w:r>
          </w:p>
        </w:tc>
        <w:tc>
          <w:tcPr>
            <w:tcW w:w="4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0" w:type="dxa"/>
            <w:vAlign w:val="bottom"/>
          </w:tcPr>
          <w:p>
            <w:pPr>
              <w:jc w:val="center"/>
              <w:ind w:right="67"/>
              <w:spacing w:after="0"/>
              <w:rPr>
                <w:sz w:val="20"/>
                <w:szCs w:val="20"/>
                <w:color w:val="auto"/>
              </w:rPr>
            </w:pPr>
            <w:r>
              <w:rPr>
                <w:rFonts w:ascii="Arial" w:cs="Arial" w:eastAsia="Arial" w:hAnsi="Arial"/>
                <w:sz w:val="14"/>
                <w:szCs w:val="14"/>
                <w:b w:val="1"/>
                <w:bCs w:val="1"/>
                <w:color w:val="auto"/>
                <w:w w:val="87"/>
              </w:rPr>
              <w:t>Through</w:t>
            </w:r>
          </w:p>
        </w:tc>
        <w:tc>
          <w:tcPr>
            <w:tcW w:w="540" w:type="dxa"/>
            <w:vAlign w:val="bottom"/>
            <w:tcBorders>
              <w:right w:val="single" w:sz="8" w:color="auto"/>
            </w:tcBorders>
          </w:tcPr>
          <w:p>
            <w:pPr>
              <w:spacing w:after="0"/>
              <w:rPr>
                <w:sz w:val="14"/>
                <w:szCs w:val="14"/>
                <w:color w:val="auto"/>
              </w:rPr>
            </w:pPr>
          </w:p>
        </w:tc>
        <w:tc>
          <w:tcPr>
            <w:tcW w:w="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tcPr>
          <w:p>
            <w:pPr>
              <w:jc w:val="center"/>
              <w:ind w:right="47"/>
              <w:spacing w:after="0"/>
              <w:rPr>
                <w:sz w:val="20"/>
                <w:szCs w:val="20"/>
                <w:color w:val="auto"/>
              </w:rPr>
            </w:pPr>
            <w:r>
              <w:rPr>
                <w:rFonts w:ascii="Arial" w:cs="Arial" w:eastAsia="Arial" w:hAnsi="Arial"/>
                <w:sz w:val="14"/>
                <w:szCs w:val="14"/>
                <w:b w:val="1"/>
                <w:bCs w:val="1"/>
                <w:color w:val="auto"/>
                <w:w w:val="87"/>
              </w:rPr>
              <w:t>Through</w:t>
            </w:r>
          </w:p>
        </w:tc>
        <w:tc>
          <w:tcPr>
            <w:tcW w:w="4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780" w:type="dxa"/>
            <w:vAlign w:val="bottom"/>
            <w:gridSpan w:val="4"/>
          </w:tcPr>
          <w:p>
            <w:pPr>
              <w:jc w:val="center"/>
              <w:ind w:right="380"/>
              <w:spacing w:after="0"/>
              <w:rPr>
                <w:sz w:val="20"/>
                <w:szCs w:val="20"/>
                <w:color w:val="auto"/>
              </w:rPr>
            </w:pPr>
            <w:r>
              <w:rPr>
                <w:rFonts w:ascii="Arial" w:cs="Arial" w:eastAsia="Arial" w:hAnsi="Arial"/>
                <w:sz w:val="14"/>
                <w:szCs w:val="14"/>
                <w:b w:val="1"/>
                <w:bCs w:val="1"/>
                <w:color w:val="auto"/>
                <w:w w:val="85"/>
              </w:rPr>
              <w:t>2010 vs. 2009 Change</w:t>
            </w:r>
          </w:p>
        </w:tc>
        <w:tc>
          <w:tcPr>
            <w:tcW w:w="0" w:type="dxa"/>
            <w:vAlign w:val="bottom"/>
          </w:tcPr>
          <w:p>
            <w:pPr>
              <w:spacing w:after="0"/>
              <w:rPr>
                <w:sz w:val="1"/>
                <w:szCs w:val="1"/>
                <w:color w:val="auto"/>
              </w:rPr>
            </w:pPr>
          </w:p>
        </w:tc>
      </w:tr>
      <w:tr>
        <w:trPr>
          <w:trHeight w:val="142"/>
        </w:trPr>
        <w:tc>
          <w:tcPr>
            <w:tcW w:w="2900" w:type="dxa"/>
            <w:vAlign w:val="bottom"/>
          </w:tcPr>
          <w:p>
            <w:pPr>
              <w:spacing w:after="0"/>
              <w:rPr>
                <w:sz w:val="12"/>
                <w:szCs w:val="12"/>
                <w:color w:val="auto"/>
              </w:rPr>
            </w:pPr>
          </w:p>
        </w:tc>
        <w:tc>
          <w:tcPr>
            <w:tcW w:w="1140" w:type="dxa"/>
            <w:vAlign w:val="bottom"/>
            <w:tcBorders>
              <w:bottom w:val="single" w:sz="8" w:color="auto"/>
            </w:tcBorders>
            <w:gridSpan w:val="2"/>
          </w:tcPr>
          <w:p>
            <w:pPr>
              <w:jc w:val="center"/>
              <w:spacing w:after="0" w:line="142" w:lineRule="exact"/>
              <w:rPr>
                <w:sz w:val="20"/>
                <w:szCs w:val="20"/>
                <w:color w:val="auto"/>
              </w:rPr>
            </w:pPr>
            <w:r>
              <w:rPr>
                <w:rFonts w:ascii="Arial" w:cs="Arial" w:eastAsia="Arial" w:hAnsi="Arial"/>
                <w:sz w:val="14"/>
                <w:szCs w:val="14"/>
                <w:b w:val="1"/>
                <w:bCs w:val="1"/>
                <w:color w:val="auto"/>
                <w:w w:val="85"/>
              </w:rPr>
              <w:t>September 30, 2010</w:t>
            </w:r>
          </w:p>
        </w:tc>
        <w:tc>
          <w:tcPr>
            <w:tcW w:w="460" w:type="dxa"/>
            <w:vAlign w:val="bottom"/>
          </w:tcPr>
          <w:p>
            <w:pPr>
              <w:spacing w:after="0"/>
              <w:rPr>
                <w:sz w:val="12"/>
                <w:szCs w:val="12"/>
                <w:color w:val="auto"/>
              </w:rPr>
            </w:pPr>
          </w:p>
        </w:tc>
        <w:tc>
          <w:tcPr>
            <w:tcW w:w="1120" w:type="dxa"/>
            <w:vAlign w:val="bottom"/>
            <w:tcBorders>
              <w:bottom w:val="single" w:sz="8" w:color="auto"/>
            </w:tcBorders>
            <w:gridSpan w:val="2"/>
          </w:tcPr>
          <w:p>
            <w:pPr>
              <w:jc w:val="center"/>
              <w:spacing w:after="0" w:line="142" w:lineRule="exact"/>
              <w:rPr>
                <w:sz w:val="20"/>
                <w:szCs w:val="20"/>
                <w:color w:val="auto"/>
              </w:rPr>
            </w:pPr>
            <w:r>
              <w:rPr>
                <w:rFonts w:ascii="Arial" w:cs="Arial" w:eastAsia="Arial" w:hAnsi="Arial"/>
                <w:sz w:val="14"/>
                <w:szCs w:val="14"/>
                <w:b w:val="1"/>
                <w:bCs w:val="1"/>
                <w:color w:val="auto"/>
                <w:w w:val="85"/>
              </w:rPr>
              <w:t>September 30, 2009</w:t>
            </w:r>
          </w:p>
        </w:tc>
        <w:tc>
          <w:tcPr>
            <w:tcW w:w="460" w:type="dxa"/>
            <w:vAlign w:val="bottom"/>
          </w:tcPr>
          <w:p>
            <w:pPr>
              <w:spacing w:after="0"/>
              <w:rPr>
                <w:sz w:val="12"/>
                <w:szCs w:val="12"/>
                <w:color w:val="auto"/>
              </w:rPr>
            </w:pPr>
          </w:p>
        </w:tc>
        <w:tc>
          <w:tcPr>
            <w:tcW w:w="1140" w:type="dxa"/>
            <w:vAlign w:val="bottom"/>
            <w:tcBorders>
              <w:bottom w:val="single" w:sz="8" w:color="auto"/>
            </w:tcBorders>
            <w:gridSpan w:val="2"/>
          </w:tcPr>
          <w:p>
            <w:pPr>
              <w:jc w:val="center"/>
              <w:spacing w:after="0" w:line="142" w:lineRule="exact"/>
              <w:rPr>
                <w:sz w:val="20"/>
                <w:szCs w:val="20"/>
                <w:color w:val="auto"/>
              </w:rPr>
            </w:pPr>
            <w:r>
              <w:rPr>
                <w:rFonts w:ascii="Arial" w:cs="Arial" w:eastAsia="Arial" w:hAnsi="Arial"/>
                <w:sz w:val="14"/>
                <w:szCs w:val="14"/>
                <w:b w:val="1"/>
                <w:bCs w:val="1"/>
                <w:color w:val="auto"/>
                <w:w w:val="87"/>
              </w:rPr>
              <w:t>September 30, 2009</w:t>
            </w:r>
          </w:p>
        </w:tc>
        <w:tc>
          <w:tcPr>
            <w:tcW w:w="540" w:type="dxa"/>
            <w:vAlign w:val="bottom"/>
            <w:tcBorders>
              <w:right w:val="single" w:sz="8" w:color="auto"/>
            </w:tcBorders>
          </w:tcPr>
          <w:p>
            <w:pPr>
              <w:spacing w:after="0"/>
              <w:rPr>
                <w:sz w:val="12"/>
                <w:szCs w:val="12"/>
                <w:color w:val="auto"/>
              </w:rPr>
            </w:pPr>
          </w:p>
        </w:tc>
        <w:tc>
          <w:tcPr>
            <w:tcW w:w="36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tcPr>
          <w:p>
            <w:pPr>
              <w:jc w:val="center"/>
              <w:ind w:right="47"/>
              <w:spacing w:after="0" w:line="142" w:lineRule="exact"/>
              <w:rPr>
                <w:sz w:val="20"/>
                <w:szCs w:val="20"/>
                <w:color w:val="auto"/>
              </w:rPr>
            </w:pPr>
            <w:r>
              <w:rPr>
                <w:rFonts w:ascii="Arial" w:cs="Arial" w:eastAsia="Arial" w:hAnsi="Arial"/>
                <w:sz w:val="14"/>
                <w:szCs w:val="14"/>
                <w:b w:val="1"/>
                <w:bCs w:val="1"/>
                <w:color w:val="auto"/>
                <w:w w:val="88"/>
              </w:rPr>
              <w:t>July 9, 2009</w:t>
            </w:r>
          </w:p>
        </w:tc>
        <w:tc>
          <w:tcPr>
            <w:tcW w:w="440" w:type="dxa"/>
            <w:vAlign w:val="bottom"/>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640" w:type="dxa"/>
            <w:vAlign w:val="bottom"/>
            <w:tcBorders>
              <w:top w:val="single" w:sz="8" w:color="auto"/>
              <w:bottom w:val="single" w:sz="8" w:color="auto"/>
            </w:tcBorders>
          </w:tcPr>
          <w:p>
            <w:pPr>
              <w:ind w:left="20"/>
              <w:spacing w:after="0" w:line="142" w:lineRule="exact"/>
              <w:rPr>
                <w:sz w:val="20"/>
                <w:szCs w:val="20"/>
                <w:color w:val="auto"/>
              </w:rPr>
            </w:pPr>
            <w:r>
              <w:rPr>
                <w:rFonts w:ascii="Arial" w:cs="Arial" w:eastAsia="Arial" w:hAnsi="Arial"/>
                <w:sz w:val="14"/>
                <w:szCs w:val="14"/>
                <w:b w:val="1"/>
                <w:bCs w:val="1"/>
                <w:color w:val="auto"/>
              </w:rPr>
              <w:t>Amount</w:t>
            </w:r>
          </w:p>
        </w:tc>
        <w:tc>
          <w:tcPr>
            <w:tcW w:w="460" w:type="dxa"/>
            <w:vAlign w:val="bottom"/>
            <w:tcBorders>
              <w:top w:val="single" w:sz="8" w:color="auto"/>
            </w:tcBorders>
          </w:tcPr>
          <w:p>
            <w:pPr>
              <w:spacing w:after="0"/>
              <w:rPr>
                <w:sz w:val="12"/>
                <w:szCs w:val="12"/>
                <w:color w:val="auto"/>
              </w:rPr>
            </w:pPr>
          </w:p>
        </w:tc>
        <w:tc>
          <w:tcPr>
            <w:tcW w:w="420" w:type="dxa"/>
            <w:vAlign w:val="bottom"/>
            <w:tcBorders>
              <w:top w:val="single" w:sz="8" w:color="auto"/>
              <w:bottom w:val="single" w:sz="8" w:color="auto"/>
            </w:tcBorders>
          </w:tcPr>
          <w:p>
            <w:pPr>
              <w:jc w:val="right"/>
              <w:ind w:right="62"/>
              <w:spacing w:after="0" w:line="142" w:lineRule="exact"/>
              <w:rPr>
                <w:sz w:val="20"/>
                <w:szCs w:val="20"/>
                <w:color w:val="auto"/>
              </w:rPr>
            </w:pPr>
            <w:r>
              <w:rPr>
                <w:rFonts w:ascii="Arial" w:cs="Arial" w:eastAsia="Arial" w:hAnsi="Arial"/>
                <w:sz w:val="14"/>
                <w:szCs w:val="14"/>
                <w:b w:val="1"/>
                <w:bCs w:val="1"/>
                <w:color w:val="auto"/>
              </w:rPr>
              <w:t>%</w:t>
            </w:r>
          </w:p>
        </w:tc>
        <w:tc>
          <w:tcPr>
            <w:tcW w:w="2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900" w:type="dxa"/>
            <w:vAlign w:val="bottom"/>
            <w:shd w:val="clear" w:color="auto" w:fill="CCEEFF"/>
          </w:tcPr>
          <w:p>
            <w:pPr>
              <w:spacing w:after="0"/>
              <w:rPr>
                <w:sz w:val="20"/>
                <w:szCs w:val="20"/>
                <w:color w:val="auto"/>
              </w:rPr>
            </w:pPr>
            <w:r>
              <w:rPr>
                <w:rFonts w:ascii="Arial" w:cs="Arial" w:eastAsia="Arial" w:hAnsi="Arial"/>
                <w:sz w:val="18"/>
                <w:szCs w:val="18"/>
                <w:color w:val="auto"/>
              </w:rPr>
              <w:t>Total net sales and revenue</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46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142</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415</w:t>
            </w: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w:t>
            </w:r>
          </w:p>
        </w:tc>
        <w:tc>
          <w:tcPr>
            <w:tcW w:w="540" w:type="dxa"/>
            <w:vAlign w:val="bottom"/>
            <w:tcBorders>
              <w:right w:val="single" w:sz="8" w:color="auto"/>
            </w:tcBorders>
            <w:shd w:val="clear" w:color="auto" w:fill="CCEEFF"/>
          </w:tcPr>
          <w:p>
            <w:pPr>
              <w:spacing w:after="0"/>
              <w:rPr>
                <w:sz w:val="18"/>
                <w:szCs w:val="18"/>
                <w:color w:val="auto"/>
              </w:rPr>
            </w:pPr>
          </w:p>
        </w:tc>
        <w:tc>
          <w:tcPr>
            <w:tcW w:w="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328</w:t>
            </w:r>
          </w:p>
        </w:tc>
        <w:tc>
          <w:tcPr>
            <w:tcW w:w="5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(273)</w:t>
            </w:r>
          </w:p>
        </w:tc>
        <w:tc>
          <w:tcPr>
            <w:tcW w:w="6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5"/>
              </w:rPr>
              <w:t>(65.8)%</w:t>
            </w:r>
          </w:p>
        </w:tc>
        <w:tc>
          <w:tcPr>
            <w:tcW w:w="0" w:type="dxa"/>
            <w:vAlign w:val="bottom"/>
          </w:tcPr>
          <w:p>
            <w:pPr>
              <w:spacing w:after="0"/>
              <w:rPr>
                <w:sz w:val="1"/>
                <w:szCs w:val="1"/>
                <w:color w:val="auto"/>
              </w:rPr>
            </w:pPr>
          </w:p>
        </w:tc>
      </w:tr>
    </w:tbl>
    <w:p>
      <w:pPr>
        <w:spacing w:after="0" w:line="154" w:lineRule="exact"/>
        <w:rPr>
          <w:sz w:val="20"/>
          <w:szCs w:val="20"/>
          <w:color w:val="auto"/>
        </w:rPr>
      </w:pPr>
    </w:p>
    <w:p>
      <w:pPr>
        <w:jc w:val="both"/>
        <w:ind w:right="100" w:firstLine="228"/>
        <w:spacing w:after="0" w:line="306" w:lineRule="auto"/>
        <w:rPr>
          <w:sz w:val="20"/>
          <w:szCs w:val="20"/>
          <w:color w:val="auto"/>
        </w:rPr>
      </w:pPr>
      <w:r>
        <w:rPr>
          <w:rFonts w:ascii="Arial" w:cs="Arial" w:eastAsia="Arial" w:hAnsi="Arial"/>
          <w:sz w:val="16"/>
          <w:szCs w:val="16"/>
          <w:color w:val="auto"/>
        </w:rPr>
        <w:t>In the nine months ended September 30, 2010 Total net sales and revenue decreased compared to the corresponding period in 2009 by $0.3 billion (or 65.8%) primarily due to decreased lease financing revenues related to the liquidation of the portfolio of automotive leases. Average outstanding automotive retail leases on-hand for GM and combined GM and Old GM were 9,000 and 87,000 for the nine months ended September 30, 2010 and 2009.</w:t>
      </w:r>
    </w:p>
    <w:p>
      <w:pPr>
        <w:spacing w:after="0" w:line="107"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Income (Loss) Attributable to Stockholders</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3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80" w:type="dxa"/>
            <w:vAlign w:val="bottom"/>
            <w:gridSpan w:val="2"/>
            <w:vMerge w:val="restart"/>
          </w:tcPr>
          <w:p>
            <w:pPr>
              <w:jc w:val="right"/>
              <w:ind w:right="152"/>
              <w:spacing w:after="0"/>
              <w:rPr>
                <w:sz w:val="20"/>
                <w:szCs w:val="20"/>
                <w:color w:val="auto"/>
              </w:rPr>
            </w:pPr>
            <w:r>
              <w:rPr>
                <w:rFonts w:ascii="Arial" w:cs="Arial" w:eastAsia="Arial" w:hAnsi="Arial"/>
                <w:sz w:val="14"/>
                <w:szCs w:val="14"/>
                <w:b w:val="1"/>
                <w:bCs w:val="1"/>
                <w:color w:val="auto"/>
                <w:w w:val="76"/>
              </w:rPr>
              <w:t>Successor</w:t>
            </w:r>
          </w:p>
        </w:tc>
        <w:tc>
          <w:tcPr>
            <w:tcW w:w="9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560" w:type="dxa"/>
            <w:vAlign w:val="bottom"/>
            <w:gridSpan w:val="3"/>
          </w:tcPr>
          <w:p>
            <w:pPr>
              <w:jc w:val="center"/>
              <w:ind w:left="230"/>
              <w:spacing w:after="0"/>
              <w:rPr>
                <w:sz w:val="20"/>
                <w:szCs w:val="20"/>
                <w:color w:val="auto"/>
              </w:rPr>
            </w:pPr>
            <w:r>
              <w:rPr>
                <w:rFonts w:ascii="Arial" w:cs="Arial" w:eastAsia="Arial" w:hAnsi="Arial"/>
                <w:sz w:val="14"/>
                <w:szCs w:val="14"/>
                <w:b w:val="1"/>
                <w:bCs w:val="1"/>
                <w:color w:val="auto"/>
                <w:w w:val="90"/>
              </w:rPr>
              <w:t>Three Months Ended</w:t>
            </w:r>
          </w:p>
        </w:tc>
        <w:tc>
          <w:tcPr>
            <w:tcW w:w="4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07"/>
        </w:trPr>
        <w:tc>
          <w:tcPr>
            <w:tcW w:w="532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1020" w:type="dxa"/>
            <w:vAlign w:val="bottom"/>
            <w:tcBorders>
              <w:bottom w:val="single" w:sz="8" w:color="auto"/>
            </w:tcBorders>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780" w:type="dxa"/>
            <w:vAlign w:val="bottom"/>
            <w:tcBorders>
              <w:bottom w:val="single" w:sz="8" w:color="auto"/>
            </w:tcBorders>
            <w:gridSpan w:val="2"/>
            <w:vMerge w:val="continue"/>
          </w:tcPr>
          <w:p>
            <w:pPr>
              <w:spacing w:after="0"/>
              <w:rPr>
                <w:sz w:val="9"/>
                <w:szCs w:val="9"/>
                <w:color w:val="auto"/>
              </w:rPr>
            </w:pPr>
          </w:p>
        </w:tc>
        <w:tc>
          <w:tcPr>
            <w:tcW w:w="980" w:type="dxa"/>
            <w:vAlign w:val="bottom"/>
            <w:tcBorders>
              <w:bottom w:val="single" w:sz="8" w:color="auto"/>
            </w:tcBorders>
          </w:tcPr>
          <w:p>
            <w:pPr>
              <w:spacing w:after="0"/>
              <w:rPr>
                <w:sz w:val="9"/>
                <w:szCs w:val="9"/>
                <w:color w:val="auto"/>
              </w:rPr>
            </w:pPr>
          </w:p>
        </w:tc>
        <w:tc>
          <w:tcPr>
            <w:tcW w:w="360" w:type="dxa"/>
            <w:vAlign w:val="bottom"/>
          </w:tcPr>
          <w:p>
            <w:pPr>
              <w:spacing w:after="0"/>
              <w:rPr>
                <w:sz w:val="9"/>
                <w:szCs w:val="9"/>
                <w:color w:val="auto"/>
              </w:rPr>
            </w:pPr>
          </w:p>
        </w:tc>
        <w:tc>
          <w:tcPr>
            <w:tcW w:w="340" w:type="dxa"/>
            <w:vAlign w:val="bottom"/>
          </w:tcPr>
          <w:p>
            <w:pPr>
              <w:spacing w:after="0"/>
              <w:rPr>
                <w:sz w:val="9"/>
                <w:szCs w:val="9"/>
                <w:color w:val="auto"/>
              </w:rPr>
            </w:pPr>
          </w:p>
        </w:tc>
        <w:tc>
          <w:tcPr>
            <w:tcW w:w="160" w:type="dxa"/>
            <w:vAlign w:val="bottom"/>
          </w:tcPr>
          <w:p>
            <w:pPr>
              <w:spacing w:after="0"/>
              <w:rPr>
                <w:sz w:val="9"/>
                <w:szCs w:val="9"/>
                <w:color w:val="auto"/>
              </w:rPr>
            </w:pPr>
          </w:p>
        </w:tc>
        <w:tc>
          <w:tcPr>
            <w:tcW w:w="1560" w:type="dxa"/>
            <w:vAlign w:val="bottom"/>
            <w:gridSpan w:val="3"/>
            <w:vMerge w:val="restart"/>
          </w:tcPr>
          <w:p>
            <w:pPr>
              <w:jc w:val="center"/>
              <w:ind w:left="250"/>
              <w:spacing w:after="0" w:line="149" w:lineRule="exact"/>
              <w:rPr>
                <w:sz w:val="20"/>
                <w:szCs w:val="20"/>
                <w:color w:val="auto"/>
              </w:rPr>
            </w:pPr>
            <w:r>
              <w:rPr>
                <w:rFonts w:ascii="Arial" w:cs="Arial" w:eastAsia="Arial" w:hAnsi="Arial"/>
                <w:sz w:val="14"/>
                <w:szCs w:val="14"/>
                <w:b w:val="1"/>
                <w:bCs w:val="1"/>
                <w:color w:val="auto"/>
                <w:w w:val="85"/>
              </w:rPr>
              <w:t>September 30, 2010</w:t>
            </w:r>
          </w:p>
        </w:tc>
        <w:tc>
          <w:tcPr>
            <w:tcW w:w="460" w:type="dxa"/>
            <w:vAlign w:val="bottom"/>
          </w:tcPr>
          <w:p>
            <w:pPr>
              <w:spacing w:after="0"/>
              <w:rPr>
                <w:sz w:val="9"/>
                <w:szCs w:val="9"/>
                <w:color w:val="auto"/>
              </w:rPr>
            </w:pPr>
          </w:p>
        </w:tc>
        <w:tc>
          <w:tcPr>
            <w:tcW w:w="2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
        </w:trPr>
        <w:tc>
          <w:tcPr>
            <w:tcW w:w="5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560" w:type="dxa"/>
            <w:vAlign w:val="bottom"/>
            <w:gridSpan w:val="3"/>
            <w:vMerge w:val="continue"/>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9"/>
        </w:trPr>
        <w:tc>
          <w:tcPr>
            <w:tcW w:w="53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280" w:type="dxa"/>
            <w:vAlign w:val="bottom"/>
            <w:gridSpan w:val="5"/>
          </w:tcPr>
          <w:p>
            <w:pPr>
              <w:jc w:val="center"/>
              <w:ind w:right="400"/>
              <w:spacing w:after="0" w:line="149" w:lineRule="exact"/>
              <w:rPr>
                <w:sz w:val="20"/>
                <w:szCs w:val="20"/>
                <w:color w:val="auto"/>
              </w:rPr>
            </w:pPr>
            <w:r>
              <w:rPr>
                <w:rFonts w:ascii="Arial" w:cs="Arial" w:eastAsia="Arial" w:hAnsi="Arial"/>
                <w:sz w:val="14"/>
                <w:szCs w:val="14"/>
                <w:b w:val="1"/>
                <w:bCs w:val="1"/>
                <w:color w:val="auto"/>
                <w:w w:val="86"/>
              </w:rPr>
              <w:t>vs. Period July 10, 2009</w:t>
            </w:r>
          </w:p>
        </w:tc>
        <w:tc>
          <w:tcPr>
            <w:tcW w:w="0" w:type="dxa"/>
            <w:vAlign w:val="bottom"/>
          </w:tcPr>
          <w:p>
            <w:pPr>
              <w:spacing w:after="0"/>
              <w:rPr>
                <w:sz w:val="1"/>
                <w:szCs w:val="1"/>
                <w:color w:val="auto"/>
              </w:rPr>
            </w:pPr>
          </w:p>
        </w:tc>
      </w:tr>
      <w:tr>
        <w:trPr>
          <w:trHeight w:val="149"/>
        </w:trPr>
        <w:tc>
          <w:tcPr>
            <w:tcW w:w="53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560" w:type="dxa"/>
            <w:vAlign w:val="bottom"/>
            <w:gridSpan w:val="3"/>
          </w:tcPr>
          <w:p>
            <w:pPr>
              <w:jc w:val="center"/>
              <w:ind w:left="250"/>
              <w:spacing w:after="0" w:line="149" w:lineRule="exact"/>
              <w:rPr>
                <w:sz w:val="20"/>
                <w:szCs w:val="20"/>
                <w:color w:val="auto"/>
              </w:rPr>
            </w:pPr>
            <w:r>
              <w:rPr>
                <w:rFonts w:ascii="Arial" w:cs="Arial" w:eastAsia="Arial" w:hAnsi="Arial"/>
                <w:sz w:val="14"/>
                <w:szCs w:val="14"/>
                <w:b w:val="1"/>
                <w:bCs w:val="1"/>
                <w:color w:val="auto"/>
                <w:w w:val="91"/>
              </w:rPr>
              <w:t>Through</w:t>
            </w:r>
          </w:p>
        </w:tc>
        <w:tc>
          <w:tcPr>
            <w:tcW w:w="4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53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8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89"/>
              </w:rPr>
              <w:t>Three Months</w:t>
            </w:r>
          </w:p>
        </w:tc>
        <w:tc>
          <w:tcPr>
            <w:tcW w:w="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40" w:type="dxa"/>
            <w:vAlign w:val="bottom"/>
            <w:gridSpan w:val="2"/>
          </w:tcPr>
          <w:p>
            <w:pPr>
              <w:jc w:val="center"/>
              <w:ind w:right="500"/>
              <w:spacing w:after="0"/>
              <w:rPr>
                <w:sz w:val="20"/>
                <w:szCs w:val="20"/>
                <w:color w:val="auto"/>
              </w:rPr>
            </w:pPr>
            <w:r>
              <w:rPr>
                <w:rFonts w:ascii="Arial" w:cs="Arial" w:eastAsia="Arial" w:hAnsi="Arial"/>
                <w:sz w:val="14"/>
                <w:szCs w:val="14"/>
                <w:b w:val="1"/>
                <w:bCs w:val="1"/>
                <w:color w:val="auto"/>
                <w:w w:val="87"/>
              </w:rPr>
              <w:t>July 10, 2009</w:t>
            </w:r>
          </w:p>
        </w:tc>
        <w:tc>
          <w:tcPr>
            <w:tcW w:w="3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280" w:type="dxa"/>
            <w:vAlign w:val="bottom"/>
            <w:gridSpan w:val="5"/>
          </w:tcPr>
          <w:p>
            <w:pPr>
              <w:jc w:val="center"/>
              <w:ind w:right="400"/>
              <w:spacing w:after="0"/>
              <w:rPr>
                <w:sz w:val="20"/>
                <w:szCs w:val="20"/>
                <w:color w:val="auto"/>
              </w:rPr>
            </w:pPr>
            <w:r>
              <w:rPr>
                <w:rFonts w:ascii="Arial" w:cs="Arial" w:eastAsia="Arial" w:hAnsi="Arial"/>
                <w:sz w:val="14"/>
                <w:szCs w:val="14"/>
                <w:b w:val="1"/>
                <w:bCs w:val="1"/>
                <w:color w:val="auto"/>
                <w:w w:val="86"/>
              </w:rPr>
              <w:t>September 30, 2009 Change</w:t>
            </w:r>
          </w:p>
        </w:tc>
        <w:tc>
          <w:tcPr>
            <w:tcW w:w="0" w:type="dxa"/>
            <w:vAlign w:val="bottom"/>
          </w:tcPr>
          <w:p>
            <w:pPr>
              <w:spacing w:after="0"/>
              <w:rPr>
                <w:sz w:val="1"/>
                <w:szCs w:val="1"/>
                <w:color w:val="auto"/>
              </w:rPr>
            </w:pPr>
          </w:p>
        </w:tc>
      </w:tr>
      <w:tr>
        <w:trPr>
          <w:trHeight w:val="116"/>
        </w:trPr>
        <w:tc>
          <w:tcPr>
            <w:tcW w:w="53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80" w:type="dxa"/>
            <w:vAlign w:val="bottom"/>
            <w:gridSpan w:val="2"/>
          </w:tcPr>
          <w:p>
            <w:pPr>
              <w:jc w:val="center"/>
              <w:ind w:right="180"/>
              <w:spacing w:after="0" w:line="116" w:lineRule="exact"/>
              <w:rPr>
                <w:sz w:val="20"/>
                <w:szCs w:val="20"/>
                <w:color w:val="auto"/>
              </w:rPr>
            </w:pPr>
            <w:r>
              <w:rPr>
                <w:rFonts w:ascii="Arial" w:cs="Arial" w:eastAsia="Arial" w:hAnsi="Arial"/>
                <w:sz w:val="12"/>
                <w:szCs w:val="12"/>
                <w:b w:val="1"/>
                <w:bCs w:val="1"/>
                <w:color w:val="auto"/>
              </w:rPr>
              <w:t>Ended</w:t>
            </w:r>
          </w:p>
        </w:tc>
        <w:tc>
          <w:tcPr>
            <w:tcW w:w="6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340" w:type="dxa"/>
            <w:vAlign w:val="bottom"/>
            <w:gridSpan w:val="2"/>
          </w:tcPr>
          <w:p>
            <w:pPr>
              <w:jc w:val="center"/>
              <w:ind w:right="500"/>
              <w:spacing w:after="0" w:line="116" w:lineRule="exact"/>
              <w:rPr>
                <w:sz w:val="20"/>
                <w:szCs w:val="20"/>
                <w:color w:val="auto"/>
              </w:rPr>
            </w:pPr>
            <w:r>
              <w:rPr>
                <w:rFonts w:ascii="Arial" w:cs="Arial" w:eastAsia="Arial" w:hAnsi="Arial"/>
                <w:sz w:val="12"/>
                <w:szCs w:val="12"/>
                <w:b w:val="1"/>
                <w:bCs w:val="1"/>
                <w:color w:val="auto"/>
              </w:rPr>
              <w:t>Through</w:t>
            </w:r>
          </w:p>
        </w:tc>
        <w:tc>
          <w:tcPr>
            <w:tcW w:w="340" w:type="dxa"/>
            <w:vAlign w:val="bottom"/>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740" w:type="dxa"/>
            <w:vAlign w:val="bottom"/>
            <w:tcBorders>
              <w:top w:val="single" w:sz="8" w:color="auto"/>
            </w:tcBorders>
          </w:tcPr>
          <w:p>
            <w:pPr>
              <w:spacing w:after="0"/>
              <w:rPr>
                <w:sz w:val="10"/>
                <w:szCs w:val="10"/>
                <w:color w:val="auto"/>
              </w:rPr>
            </w:pPr>
          </w:p>
        </w:tc>
        <w:tc>
          <w:tcPr>
            <w:tcW w:w="720" w:type="dxa"/>
            <w:vAlign w:val="bottom"/>
            <w:tcBorders>
              <w:top w:val="single" w:sz="8" w:color="auto"/>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460" w:type="dxa"/>
            <w:vAlign w:val="bottom"/>
            <w:tcBorders>
              <w:top w:val="single" w:sz="8" w:color="auto"/>
            </w:tcBorders>
          </w:tcPr>
          <w:p>
            <w:pPr>
              <w:spacing w:after="0"/>
              <w:rPr>
                <w:sz w:val="10"/>
                <w:szCs w:val="10"/>
                <w:color w:val="auto"/>
              </w:rPr>
            </w:pPr>
          </w:p>
        </w:tc>
        <w:tc>
          <w:tcPr>
            <w:tcW w:w="2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1"/>
        </w:trPr>
        <w:tc>
          <w:tcPr>
            <w:tcW w:w="5320" w:type="dxa"/>
            <w:vAlign w:val="bottom"/>
          </w:tcPr>
          <w:p>
            <w:pPr>
              <w:spacing w:after="0"/>
              <w:rPr>
                <w:sz w:val="14"/>
                <w:szCs w:val="14"/>
                <w:color w:val="auto"/>
              </w:rPr>
            </w:pPr>
          </w:p>
        </w:tc>
        <w:tc>
          <w:tcPr>
            <w:tcW w:w="1140" w:type="dxa"/>
            <w:vAlign w:val="bottom"/>
            <w:gridSpan w:val="2"/>
          </w:tcPr>
          <w:p>
            <w:pPr>
              <w:jc w:val="center"/>
              <w:spacing w:after="0"/>
              <w:rPr>
                <w:sz w:val="20"/>
                <w:szCs w:val="20"/>
                <w:color w:val="auto"/>
              </w:rPr>
            </w:pPr>
            <w:r>
              <w:rPr>
                <w:rFonts w:ascii="Arial" w:cs="Arial" w:eastAsia="Arial" w:hAnsi="Arial"/>
                <w:sz w:val="14"/>
                <w:szCs w:val="14"/>
                <w:b w:val="1"/>
                <w:bCs w:val="1"/>
                <w:color w:val="auto"/>
                <w:w w:val="85"/>
              </w:rPr>
              <w:t>September 30, 2010</w:t>
            </w:r>
          </w:p>
        </w:tc>
        <w:tc>
          <w:tcPr>
            <w:tcW w:w="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480" w:type="dxa"/>
            <w:vAlign w:val="bottom"/>
            <w:gridSpan w:val="3"/>
          </w:tcPr>
          <w:p>
            <w:pPr>
              <w:jc w:val="center"/>
              <w:ind w:right="360"/>
              <w:spacing w:after="0"/>
              <w:rPr>
                <w:sz w:val="20"/>
                <w:szCs w:val="20"/>
                <w:color w:val="auto"/>
              </w:rPr>
            </w:pPr>
            <w:r>
              <w:rPr>
                <w:rFonts w:ascii="Arial" w:cs="Arial" w:eastAsia="Arial" w:hAnsi="Arial"/>
                <w:sz w:val="14"/>
                <w:szCs w:val="14"/>
                <w:b w:val="1"/>
                <w:bCs w:val="1"/>
                <w:color w:val="auto"/>
                <w:w w:val="85"/>
              </w:rPr>
              <w:t>September 30, 2009</w:t>
            </w:r>
          </w:p>
        </w:tc>
        <w:tc>
          <w:tcPr>
            <w:tcW w:w="3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560" w:type="dxa"/>
            <w:vAlign w:val="bottom"/>
            <w:gridSpan w:val="3"/>
          </w:tcPr>
          <w:p>
            <w:pPr>
              <w:ind w:left="60"/>
              <w:spacing w:after="0"/>
              <w:rPr>
                <w:sz w:val="20"/>
                <w:szCs w:val="20"/>
                <w:color w:val="auto"/>
              </w:rPr>
            </w:pPr>
            <w:r>
              <w:rPr>
                <w:rFonts w:ascii="Arial" w:cs="Arial" w:eastAsia="Arial" w:hAnsi="Arial"/>
                <w:sz w:val="14"/>
                <w:szCs w:val="14"/>
                <w:b w:val="1"/>
                <w:bCs w:val="1"/>
                <w:color w:val="auto"/>
              </w:rPr>
              <w:t>Amount</w:t>
            </w:r>
          </w:p>
        </w:tc>
        <w:tc>
          <w:tcPr>
            <w:tcW w:w="460" w:type="dxa"/>
            <w:vAlign w:val="bottom"/>
          </w:tcPr>
          <w:p>
            <w:pPr>
              <w:jc w:val="right"/>
              <w:ind w:right="142"/>
              <w:spacing w:after="0"/>
              <w:rPr>
                <w:sz w:val="20"/>
                <w:szCs w:val="20"/>
                <w:color w:val="auto"/>
              </w:rPr>
            </w:pPr>
            <w:r>
              <w:rPr>
                <w:rFonts w:ascii="Arial" w:cs="Arial" w:eastAsia="Arial" w:hAnsi="Arial"/>
                <w:sz w:val="14"/>
                <w:szCs w:val="14"/>
                <w:b w:val="1"/>
                <w:bCs w:val="1"/>
                <w:color w:val="auto"/>
              </w:rPr>
              <w:t>%</w:t>
            </w:r>
          </w:p>
        </w:tc>
        <w:tc>
          <w:tcPr>
            <w:tcW w:w="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53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320" w:type="dxa"/>
            <w:vAlign w:val="bottom"/>
            <w:shd w:val="clear" w:color="auto" w:fill="CCEEFF"/>
          </w:tcPr>
          <w:p>
            <w:pPr>
              <w:spacing w:after="0"/>
              <w:rPr>
                <w:sz w:val="20"/>
                <w:szCs w:val="20"/>
                <w:color w:val="auto"/>
              </w:rPr>
            </w:pPr>
            <w:r>
              <w:rPr>
                <w:rFonts w:ascii="Arial" w:cs="Arial" w:eastAsia="Arial" w:hAnsi="Arial"/>
                <w:sz w:val="18"/>
                <w:szCs w:val="18"/>
                <w:color w:val="auto"/>
              </w:rPr>
              <w:t>Income (loss) attributable to stockholders</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(31)</w:t>
            </w: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93</w:t>
            </w:r>
          </w:p>
        </w:tc>
        <w:tc>
          <w:tcPr>
            <w:tcW w:w="5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46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(124)</w:t>
            </w: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87"/>
              </w:rPr>
              <w:t>(133.3)%</w:t>
            </w:r>
          </w:p>
        </w:tc>
        <w:tc>
          <w:tcPr>
            <w:tcW w:w="0" w:type="dxa"/>
            <w:vAlign w:val="bottom"/>
          </w:tcPr>
          <w:p>
            <w:pPr>
              <w:spacing w:after="0"/>
              <w:rPr>
                <w:sz w:val="1"/>
                <w:szCs w:val="1"/>
                <w:color w:val="auto"/>
              </w:rPr>
            </w:pPr>
          </w:p>
        </w:tc>
      </w:tr>
    </w:tbl>
    <w:p>
      <w:pPr>
        <w:spacing w:after="0" w:line="154" w:lineRule="exact"/>
        <w:rPr>
          <w:sz w:val="20"/>
          <w:szCs w:val="20"/>
          <w:color w:val="auto"/>
        </w:rPr>
      </w:pPr>
    </w:p>
    <w:p>
      <w:pPr>
        <w:ind w:left="240"/>
        <w:spacing w:after="0"/>
        <w:rPr>
          <w:sz w:val="20"/>
          <w:szCs w:val="20"/>
          <w:color w:val="auto"/>
        </w:rPr>
      </w:pPr>
      <w:r>
        <w:rPr>
          <w:rFonts w:ascii="Arial" w:cs="Arial" w:eastAsia="Arial" w:hAnsi="Arial"/>
          <w:sz w:val="16"/>
          <w:szCs w:val="16"/>
          <w:color w:val="auto"/>
        </w:rPr>
        <w:t>In the three months ended September 30, 2010 results decreased compared to the period July 10, 2009 through September 30, 2009 by $0.1 billion (or</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133.3%), due to: (1) a decrease in the Income tax benefit of $0.1 billion primarily resulting from income tax expense related to entities included in our effective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tax rate calculation; (2) a decrease in foreign currency transaction gains of $0.2 billion recorded in 2009 on funds received from EDC; offset by (3) a decrease in</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Interest expense of $0.1 billion due to a decrease in the debt balance primarily resulting from the $7.0 billion full repayment of the UST Loans and Canadian</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Loan in April 2010; and (4) a decrease in Selling, general, and administrative expense of $0.1 billion primarily related to additional costs incurred in 2009</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associated with legal and professional services related to the Chapter 11 Proceedings.</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120" w:type="dxa"/>
            <w:vAlign w:val="bottom"/>
          </w:tcPr>
          <w:p>
            <w:pPr>
              <w:spacing w:after="0"/>
              <w:rPr>
                <w:sz w:val="14"/>
                <w:szCs w:val="14"/>
                <w:color w:val="auto"/>
              </w:rPr>
            </w:pPr>
          </w:p>
        </w:tc>
        <w:tc>
          <w:tcPr>
            <w:tcW w:w="2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20" w:type="dxa"/>
            <w:vAlign w:val="bottom"/>
            <w:tcBorders>
              <w:right w:val="single" w:sz="8" w:color="auto"/>
            </w:tcBorders>
            <w:gridSpan w:val="2"/>
          </w:tcPr>
          <w:p>
            <w:pPr>
              <w:jc w:val="center"/>
              <w:ind w:right="740"/>
              <w:spacing w:after="0"/>
              <w:rPr>
                <w:sz w:val="20"/>
                <w:szCs w:val="20"/>
                <w:color w:val="auto"/>
              </w:rPr>
            </w:pPr>
            <w:r>
              <w:rPr>
                <w:rFonts w:ascii="Arial" w:cs="Arial" w:eastAsia="Arial" w:hAnsi="Arial"/>
                <w:sz w:val="14"/>
                <w:szCs w:val="14"/>
                <w:b w:val="1"/>
                <w:bCs w:val="1"/>
                <w:color w:val="auto"/>
                <w:w w:val="79"/>
              </w:rPr>
              <w:t>Successor</w:t>
            </w:r>
          </w:p>
        </w:tc>
        <w:tc>
          <w:tcPr>
            <w:tcW w:w="400" w:type="dxa"/>
            <w:vAlign w:val="bottom"/>
          </w:tcPr>
          <w:p>
            <w:pPr>
              <w:spacing w:after="0"/>
              <w:rPr>
                <w:sz w:val="14"/>
                <w:szCs w:val="14"/>
                <w:color w:val="auto"/>
              </w:rPr>
            </w:pPr>
          </w:p>
        </w:tc>
        <w:tc>
          <w:tcPr>
            <w:tcW w:w="1940" w:type="dxa"/>
            <w:vAlign w:val="bottom"/>
            <w:gridSpan w:val="4"/>
          </w:tcPr>
          <w:p>
            <w:pPr>
              <w:ind w:left="580"/>
              <w:spacing w:after="0"/>
              <w:rPr>
                <w:sz w:val="20"/>
                <w:szCs w:val="20"/>
                <w:color w:val="auto"/>
              </w:rPr>
            </w:pPr>
            <w:r>
              <w:rPr>
                <w:rFonts w:ascii="Arial" w:cs="Arial" w:eastAsia="Arial" w:hAnsi="Arial"/>
                <w:sz w:val="14"/>
                <w:szCs w:val="14"/>
                <w:b w:val="1"/>
                <w:bCs w:val="1"/>
                <w:color w:val="auto"/>
              </w:rPr>
              <w:t>Predecessor</w:t>
            </w:r>
          </w:p>
        </w:tc>
      </w:tr>
      <w:tr>
        <w:trPr>
          <w:trHeight w:val="129"/>
        </w:trPr>
        <w:tc>
          <w:tcPr>
            <w:tcW w:w="5120" w:type="dxa"/>
            <w:vAlign w:val="bottom"/>
          </w:tcPr>
          <w:p>
            <w:pPr>
              <w:spacing w:after="0"/>
              <w:rPr>
                <w:sz w:val="11"/>
                <w:szCs w:val="11"/>
                <w:color w:val="auto"/>
              </w:rPr>
            </w:pPr>
          </w:p>
        </w:tc>
        <w:tc>
          <w:tcPr>
            <w:tcW w:w="2200" w:type="dxa"/>
            <w:vAlign w:val="bottom"/>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1000" w:type="dxa"/>
            <w:vAlign w:val="bottom"/>
            <w:tcBorders>
              <w:top w:val="single" w:sz="8" w:color="auto"/>
            </w:tcBorders>
          </w:tcPr>
          <w:p>
            <w:pPr>
              <w:spacing w:after="0"/>
              <w:rPr>
                <w:sz w:val="11"/>
                <w:szCs w:val="11"/>
                <w:color w:val="auto"/>
              </w:rPr>
            </w:pPr>
          </w:p>
        </w:tc>
        <w:tc>
          <w:tcPr>
            <w:tcW w:w="620" w:type="dxa"/>
            <w:vAlign w:val="bottom"/>
            <w:tcBorders>
              <w:right w:val="single" w:sz="8" w:color="auto"/>
            </w:tcBorders>
          </w:tcPr>
          <w:p>
            <w:pPr>
              <w:spacing w:after="0"/>
              <w:rPr>
                <w:sz w:val="11"/>
                <w:szCs w:val="11"/>
                <w:color w:val="auto"/>
              </w:rPr>
            </w:pPr>
          </w:p>
        </w:tc>
        <w:tc>
          <w:tcPr>
            <w:tcW w:w="400" w:type="dxa"/>
            <w:vAlign w:val="bottom"/>
          </w:tcPr>
          <w:p>
            <w:pPr>
              <w:spacing w:after="0"/>
              <w:rPr>
                <w:sz w:val="11"/>
                <w:szCs w:val="11"/>
                <w:color w:val="auto"/>
              </w:rPr>
            </w:pPr>
          </w:p>
        </w:tc>
        <w:tc>
          <w:tcPr>
            <w:tcW w:w="680" w:type="dxa"/>
            <w:vAlign w:val="bottom"/>
            <w:tcBorders>
              <w:top w:val="single" w:sz="8" w:color="auto"/>
            </w:tcBorders>
          </w:tcPr>
          <w:p>
            <w:pPr>
              <w:jc w:val="center"/>
              <w:spacing w:after="0" w:line="129" w:lineRule="exact"/>
              <w:rPr>
                <w:sz w:val="20"/>
                <w:szCs w:val="20"/>
                <w:color w:val="auto"/>
              </w:rPr>
            </w:pPr>
            <w:r>
              <w:rPr>
                <w:rFonts w:ascii="Arial" w:cs="Arial" w:eastAsia="Arial" w:hAnsi="Arial"/>
                <w:sz w:val="14"/>
                <w:szCs w:val="14"/>
                <w:b w:val="1"/>
                <w:bCs w:val="1"/>
                <w:color w:val="auto"/>
                <w:w w:val="87"/>
              </w:rPr>
              <w:t>July 1,</w:t>
            </w:r>
          </w:p>
        </w:tc>
        <w:tc>
          <w:tcPr>
            <w:tcW w:w="500" w:type="dxa"/>
            <w:vAlign w:val="bottom"/>
            <w:tcBorders>
              <w:top w:val="single" w:sz="8" w:color="auto"/>
            </w:tcBorders>
          </w:tcPr>
          <w:p>
            <w:pPr>
              <w:spacing w:after="0"/>
              <w:rPr>
                <w:sz w:val="11"/>
                <w:szCs w:val="11"/>
                <w:color w:val="auto"/>
              </w:rPr>
            </w:pPr>
          </w:p>
        </w:tc>
        <w:tc>
          <w:tcPr>
            <w:tcW w:w="660" w:type="dxa"/>
            <w:vAlign w:val="bottom"/>
            <w:tcBorders>
              <w:top w:val="single" w:sz="8" w:color="auto"/>
            </w:tcBorders>
          </w:tcPr>
          <w:p>
            <w:pPr>
              <w:jc w:val="center"/>
              <w:spacing w:after="0" w:line="129" w:lineRule="exact"/>
              <w:rPr>
                <w:sz w:val="20"/>
                <w:szCs w:val="20"/>
                <w:color w:val="auto"/>
              </w:rPr>
            </w:pPr>
            <w:r>
              <w:rPr>
                <w:rFonts w:ascii="Arial" w:cs="Arial" w:eastAsia="Arial" w:hAnsi="Arial"/>
                <w:sz w:val="14"/>
                <w:szCs w:val="14"/>
                <w:b w:val="1"/>
                <w:bCs w:val="1"/>
                <w:color w:val="auto"/>
                <w:w w:val="89"/>
              </w:rPr>
              <w:t>January 1,</w:t>
            </w:r>
          </w:p>
        </w:tc>
        <w:tc>
          <w:tcPr>
            <w:tcW w:w="100" w:type="dxa"/>
            <w:vAlign w:val="bottom"/>
          </w:tcPr>
          <w:p>
            <w:pPr>
              <w:spacing w:after="0"/>
              <w:rPr>
                <w:sz w:val="11"/>
                <w:szCs w:val="11"/>
                <w:color w:val="auto"/>
              </w:rPr>
            </w:pPr>
          </w:p>
        </w:tc>
      </w:tr>
      <w:tr>
        <w:trPr>
          <w:trHeight w:val="149"/>
        </w:trPr>
        <w:tc>
          <w:tcPr>
            <w:tcW w:w="5120" w:type="dxa"/>
            <w:vAlign w:val="bottom"/>
          </w:tcPr>
          <w:p>
            <w:pPr>
              <w:spacing w:after="0"/>
              <w:rPr>
                <w:sz w:val="12"/>
                <w:szCs w:val="12"/>
                <w:color w:val="auto"/>
              </w:rPr>
            </w:pPr>
          </w:p>
        </w:tc>
        <w:tc>
          <w:tcPr>
            <w:tcW w:w="2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620" w:type="dxa"/>
            <w:vAlign w:val="bottom"/>
            <w:tcBorders>
              <w:right w:val="single" w:sz="8" w:color="auto"/>
            </w:tcBorders>
          </w:tcPr>
          <w:p>
            <w:pPr>
              <w:spacing w:after="0"/>
              <w:rPr>
                <w:sz w:val="12"/>
                <w:szCs w:val="12"/>
                <w:color w:val="auto"/>
              </w:rPr>
            </w:pPr>
          </w:p>
        </w:tc>
        <w:tc>
          <w:tcPr>
            <w:tcW w:w="1080" w:type="dxa"/>
            <w:vAlign w:val="bottom"/>
            <w:gridSpan w:val="2"/>
          </w:tcPr>
          <w:p>
            <w:pPr>
              <w:jc w:val="center"/>
              <w:ind w:left="302"/>
              <w:spacing w:after="0" w:line="149" w:lineRule="exact"/>
              <w:rPr>
                <w:sz w:val="20"/>
                <w:szCs w:val="20"/>
                <w:color w:val="auto"/>
              </w:rPr>
            </w:pPr>
            <w:r>
              <w:rPr>
                <w:rFonts w:ascii="Arial" w:cs="Arial" w:eastAsia="Arial" w:hAnsi="Arial"/>
                <w:sz w:val="14"/>
                <w:szCs w:val="14"/>
                <w:b w:val="1"/>
                <w:bCs w:val="1"/>
                <w:color w:val="auto"/>
                <w:w w:val="83"/>
              </w:rPr>
              <w:t>2009</w:t>
            </w:r>
          </w:p>
        </w:tc>
        <w:tc>
          <w:tcPr>
            <w:tcW w:w="1160" w:type="dxa"/>
            <w:vAlign w:val="bottom"/>
            <w:gridSpan w:val="2"/>
          </w:tcPr>
          <w:p>
            <w:pPr>
              <w:jc w:val="center"/>
              <w:ind w:left="422"/>
              <w:spacing w:after="0" w:line="149" w:lineRule="exact"/>
              <w:rPr>
                <w:sz w:val="20"/>
                <w:szCs w:val="20"/>
                <w:color w:val="auto"/>
              </w:rPr>
            </w:pPr>
            <w:r>
              <w:rPr>
                <w:rFonts w:ascii="Arial" w:cs="Arial" w:eastAsia="Arial" w:hAnsi="Arial"/>
                <w:sz w:val="14"/>
                <w:szCs w:val="14"/>
                <w:b w:val="1"/>
                <w:bCs w:val="1"/>
                <w:color w:val="auto"/>
                <w:w w:val="83"/>
              </w:rPr>
              <w:t>2009</w:t>
            </w:r>
          </w:p>
        </w:tc>
        <w:tc>
          <w:tcPr>
            <w:tcW w:w="100" w:type="dxa"/>
            <w:vAlign w:val="bottom"/>
          </w:tcPr>
          <w:p>
            <w:pPr>
              <w:spacing w:after="0"/>
              <w:rPr>
                <w:sz w:val="12"/>
                <w:szCs w:val="12"/>
                <w:color w:val="auto"/>
              </w:rPr>
            </w:pPr>
          </w:p>
        </w:tc>
      </w:tr>
      <w:tr>
        <w:trPr>
          <w:trHeight w:val="149"/>
        </w:trPr>
        <w:tc>
          <w:tcPr>
            <w:tcW w:w="5120" w:type="dxa"/>
            <w:vAlign w:val="bottom"/>
          </w:tcPr>
          <w:p>
            <w:pPr>
              <w:spacing w:after="0"/>
              <w:rPr>
                <w:sz w:val="12"/>
                <w:szCs w:val="12"/>
                <w:color w:val="auto"/>
              </w:rPr>
            </w:pPr>
          </w:p>
        </w:tc>
        <w:tc>
          <w:tcPr>
            <w:tcW w:w="2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20" w:type="dxa"/>
            <w:vAlign w:val="bottom"/>
            <w:tcBorders>
              <w:right w:val="single" w:sz="8" w:color="auto"/>
            </w:tcBorders>
            <w:gridSpan w:val="2"/>
          </w:tcPr>
          <w:p>
            <w:pPr>
              <w:jc w:val="center"/>
              <w:ind w:right="760"/>
              <w:spacing w:after="0" w:line="149" w:lineRule="exact"/>
              <w:rPr>
                <w:sz w:val="20"/>
                <w:szCs w:val="20"/>
                <w:color w:val="auto"/>
              </w:rPr>
            </w:pPr>
            <w:r>
              <w:rPr>
                <w:rFonts w:ascii="Arial" w:cs="Arial" w:eastAsia="Arial" w:hAnsi="Arial"/>
                <w:sz w:val="14"/>
                <w:szCs w:val="14"/>
                <w:b w:val="1"/>
                <w:bCs w:val="1"/>
                <w:color w:val="auto"/>
                <w:w w:val="88"/>
              </w:rPr>
              <w:t>Nine Months</w:t>
            </w:r>
          </w:p>
        </w:tc>
        <w:tc>
          <w:tcPr>
            <w:tcW w:w="400" w:type="dxa"/>
            <w:vAlign w:val="bottom"/>
          </w:tcPr>
          <w:p>
            <w:pPr>
              <w:spacing w:after="0"/>
              <w:rPr>
                <w:sz w:val="12"/>
                <w:szCs w:val="12"/>
                <w:color w:val="auto"/>
              </w:rPr>
            </w:pPr>
          </w:p>
        </w:tc>
        <w:tc>
          <w:tcPr>
            <w:tcW w:w="6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7"/>
              </w:rPr>
              <w:t>Through</w:t>
            </w:r>
          </w:p>
        </w:tc>
        <w:tc>
          <w:tcPr>
            <w:tcW w:w="500" w:type="dxa"/>
            <w:vAlign w:val="bottom"/>
          </w:tcPr>
          <w:p>
            <w:pPr>
              <w:spacing w:after="0"/>
              <w:rPr>
                <w:sz w:val="12"/>
                <w:szCs w:val="12"/>
                <w:color w:val="auto"/>
              </w:rPr>
            </w:pPr>
          </w:p>
        </w:tc>
        <w:tc>
          <w:tcPr>
            <w:tcW w:w="76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87"/>
              </w:rPr>
              <w:t>Through</w:t>
            </w:r>
          </w:p>
        </w:tc>
      </w:tr>
      <w:tr>
        <w:trPr>
          <w:trHeight w:val="149"/>
        </w:trPr>
        <w:tc>
          <w:tcPr>
            <w:tcW w:w="5120" w:type="dxa"/>
            <w:vAlign w:val="bottom"/>
          </w:tcPr>
          <w:p>
            <w:pPr>
              <w:spacing w:after="0"/>
              <w:rPr>
                <w:sz w:val="12"/>
                <w:szCs w:val="12"/>
                <w:color w:val="auto"/>
              </w:rPr>
            </w:pPr>
          </w:p>
        </w:tc>
        <w:tc>
          <w:tcPr>
            <w:tcW w:w="2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20" w:type="dxa"/>
            <w:vAlign w:val="bottom"/>
            <w:tcBorders>
              <w:right w:val="single" w:sz="8" w:color="auto"/>
            </w:tcBorders>
            <w:gridSpan w:val="2"/>
          </w:tcPr>
          <w:p>
            <w:pPr>
              <w:jc w:val="center"/>
              <w:ind w:right="760"/>
              <w:spacing w:after="0" w:line="149" w:lineRule="exact"/>
              <w:rPr>
                <w:sz w:val="20"/>
                <w:szCs w:val="20"/>
                <w:color w:val="auto"/>
              </w:rPr>
            </w:pPr>
            <w:r>
              <w:rPr>
                <w:rFonts w:ascii="Arial" w:cs="Arial" w:eastAsia="Arial" w:hAnsi="Arial"/>
                <w:sz w:val="14"/>
                <w:szCs w:val="14"/>
                <w:b w:val="1"/>
                <w:bCs w:val="1"/>
                <w:color w:val="auto"/>
                <w:w w:val="88"/>
              </w:rPr>
              <w:t>Ended</w:t>
            </w:r>
          </w:p>
        </w:tc>
        <w:tc>
          <w:tcPr>
            <w:tcW w:w="400" w:type="dxa"/>
            <w:vAlign w:val="bottom"/>
          </w:tcPr>
          <w:p>
            <w:pPr>
              <w:spacing w:after="0"/>
              <w:rPr>
                <w:sz w:val="12"/>
                <w:szCs w:val="12"/>
                <w:color w:val="auto"/>
              </w:rPr>
            </w:pPr>
          </w:p>
        </w:tc>
        <w:tc>
          <w:tcPr>
            <w:tcW w:w="6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7"/>
              </w:rPr>
              <w:t>July 9,</w:t>
            </w:r>
          </w:p>
        </w:tc>
        <w:tc>
          <w:tcPr>
            <w:tcW w:w="500" w:type="dxa"/>
            <w:vAlign w:val="bottom"/>
          </w:tcPr>
          <w:p>
            <w:pPr>
              <w:spacing w:after="0"/>
              <w:rPr>
                <w:sz w:val="12"/>
                <w:szCs w:val="12"/>
                <w:color w:val="auto"/>
              </w:rPr>
            </w:pPr>
          </w:p>
        </w:tc>
        <w:tc>
          <w:tcPr>
            <w:tcW w:w="76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87"/>
              </w:rPr>
              <w:t>July 9,</w:t>
            </w:r>
          </w:p>
        </w:tc>
      </w:tr>
      <w:tr>
        <w:trPr>
          <w:trHeight w:val="161"/>
        </w:trPr>
        <w:tc>
          <w:tcPr>
            <w:tcW w:w="5120" w:type="dxa"/>
            <w:vAlign w:val="bottom"/>
          </w:tcPr>
          <w:p>
            <w:pPr>
              <w:spacing w:after="0"/>
              <w:rPr>
                <w:sz w:val="14"/>
                <w:szCs w:val="14"/>
                <w:color w:val="auto"/>
              </w:rPr>
            </w:pPr>
          </w:p>
        </w:tc>
        <w:tc>
          <w:tcPr>
            <w:tcW w:w="2200" w:type="dxa"/>
            <w:vAlign w:val="bottom"/>
          </w:tcPr>
          <w:p>
            <w:pPr>
              <w:spacing w:after="0"/>
              <w:rPr>
                <w:sz w:val="14"/>
                <w:szCs w:val="14"/>
                <w:color w:val="auto"/>
              </w:rPr>
            </w:pPr>
          </w:p>
        </w:tc>
        <w:tc>
          <w:tcPr>
            <w:tcW w:w="114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85"/>
              </w:rPr>
              <w:t>September 30, 2010</w:t>
            </w:r>
          </w:p>
        </w:tc>
        <w:tc>
          <w:tcPr>
            <w:tcW w:w="620" w:type="dxa"/>
            <w:vAlign w:val="bottom"/>
            <w:tcBorders>
              <w:right w:val="single" w:sz="8" w:color="auto"/>
            </w:tcBorders>
          </w:tcPr>
          <w:p>
            <w:pPr>
              <w:spacing w:after="0"/>
              <w:rPr>
                <w:sz w:val="14"/>
                <w:szCs w:val="14"/>
                <w:color w:val="auto"/>
              </w:rPr>
            </w:pPr>
          </w:p>
        </w:tc>
        <w:tc>
          <w:tcPr>
            <w:tcW w:w="400" w:type="dxa"/>
            <w:vAlign w:val="bottom"/>
          </w:tcPr>
          <w:p>
            <w:pPr>
              <w:spacing w:after="0"/>
              <w:rPr>
                <w:sz w:val="14"/>
                <w:szCs w:val="14"/>
                <w:color w:val="auto"/>
              </w:rPr>
            </w:pPr>
          </w:p>
        </w:tc>
        <w:tc>
          <w:tcPr>
            <w:tcW w:w="6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3"/>
              </w:rPr>
              <w:t>2009</w:t>
            </w:r>
          </w:p>
        </w:tc>
        <w:tc>
          <w:tcPr>
            <w:tcW w:w="500" w:type="dxa"/>
            <w:vAlign w:val="bottom"/>
          </w:tcPr>
          <w:p>
            <w:pPr>
              <w:spacing w:after="0"/>
              <w:rPr>
                <w:sz w:val="14"/>
                <w:szCs w:val="14"/>
                <w:color w:val="auto"/>
              </w:rPr>
            </w:pPr>
          </w:p>
        </w:tc>
        <w:tc>
          <w:tcPr>
            <w:tcW w:w="6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3"/>
              </w:rPr>
              <w:t>2009</w:t>
            </w:r>
          </w:p>
        </w:tc>
        <w:tc>
          <w:tcPr>
            <w:tcW w:w="100" w:type="dxa"/>
            <w:vAlign w:val="bottom"/>
          </w:tcPr>
          <w:p>
            <w:pPr>
              <w:spacing w:after="0"/>
              <w:rPr>
                <w:sz w:val="14"/>
                <w:szCs w:val="14"/>
                <w:color w:val="auto"/>
              </w:rPr>
            </w:pPr>
          </w:p>
        </w:tc>
      </w:tr>
      <w:tr>
        <w:trPr>
          <w:trHeight w:val="210"/>
        </w:trPr>
        <w:tc>
          <w:tcPr>
            <w:tcW w:w="5120" w:type="dxa"/>
            <w:vAlign w:val="bottom"/>
            <w:shd w:val="clear" w:color="auto" w:fill="CCEEFF"/>
          </w:tcPr>
          <w:p>
            <w:pPr>
              <w:spacing w:after="0"/>
              <w:rPr>
                <w:sz w:val="20"/>
                <w:szCs w:val="20"/>
                <w:color w:val="auto"/>
              </w:rPr>
            </w:pPr>
            <w:r>
              <w:rPr>
                <w:rFonts w:ascii="Arial" w:cs="Arial" w:eastAsia="Arial" w:hAnsi="Arial"/>
                <w:sz w:val="18"/>
                <w:szCs w:val="18"/>
                <w:color w:val="auto"/>
              </w:rPr>
              <w:t>Income (loss) attributable to stockholders</w:t>
            </w:r>
          </w:p>
        </w:tc>
        <w:tc>
          <w:tcPr>
            <w:tcW w:w="2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20" w:type="dxa"/>
            <w:vAlign w:val="bottom"/>
            <w:tcBorders>
              <w:right w:val="single" w:sz="8" w:color="auto"/>
            </w:tcBorders>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(1,408)</w:t>
            </w:r>
          </w:p>
        </w:tc>
        <w:tc>
          <w:tcPr>
            <w:tcW w:w="1080" w:type="dxa"/>
            <w:vAlign w:val="bottom"/>
            <w:gridSpan w:val="2"/>
            <w:shd w:val="clear" w:color="auto" w:fill="CCEEFF"/>
          </w:tcPr>
          <w:p>
            <w:pPr>
              <w:jc w:val="center"/>
              <w:ind w:left="322"/>
              <w:spacing w:after="0"/>
              <w:rPr>
                <w:sz w:val="20"/>
                <w:szCs w:val="20"/>
                <w:color w:val="auto"/>
              </w:rPr>
            </w:pPr>
            <w:r>
              <w:rPr>
                <w:rFonts w:ascii="Arial" w:cs="Arial" w:eastAsia="Arial" w:hAnsi="Arial"/>
                <w:sz w:val="18"/>
                <w:szCs w:val="18"/>
                <w:color w:val="auto"/>
                <w:w w:val="90"/>
              </w:rPr>
              <w:t>$128,969</w:t>
            </w:r>
          </w:p>
        </w:tc>
        <w:tc>
          <w:tcPr>
            <w:tcW w:w="1160" w:type="dxa"/>
            <w:vAlign w:val="bottom"/>
            <w:gridSpan w:val="2"/>
            <w:shd w:val="clear" w:color="auto" w:fill="CCEEFF"/>
          </w:tcPr>
          <w:p>
            <w:pPr>
              <w:jc w:val="center"/>
              <w:ind w:left="422"/>
              <w:spacing w:after="0"/>
              <w:rPr>
                <w:sz w:val="20"/>
                <w:szCs w:val="20"/>
                <w:color w:val="auto"/>
              </w:rPr>
            </w:pPr>
            <w:r>
              <w:rPr>
                <w:rFonts w:ascii="Arial" w:cs="Arial" w:eastAsia="Arial" w:hAnsi="Arial"/>
                <w:sz w:val="18"/>
                <w:szCs w:val="18"/>
                <w:color w:val="auto"/>
                <w:w w:val="87"/>
              </w:rPr>
              <w:t>$123,887</w:t>
            </w:r>
          </w:p>
        </w:tc>
        <w:tc>
          <w:tcPr>
            <w:tcW w:w="100" w:type="dxa"/>
            <w:vAlign w:val="bottom"/>
            <w:shd w:val="clear" w:color="auto" w:fill="CCEEFF"/>
          </w:tcPr>
          <w:p>
            <w:pPr>
              <w:spacing w:after="0"/>
              <w:rPr>
                <w:sz w:val="18"/>
                <w:szCs w:val="18"/>
                <w:color w:val="auto"/>
              </w:rPr>
            </w:pPr>
          </w:p>
        </w:tc>
      </w:tr>
    </w:tbl>
    <w:p>
      <w:pPr>
        <w:spacing w:after="0" w:line="154"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GM</w:t>
      </w:r>
    </w:p>
    <w:p>
      <w:pPr>
        <w:spacing w:after="0" w:line="171" w:lineRule="exact"/>
        <w:rPr>
          <w:sz w:val="20"/>
          <w:szCs w:val="20"/>
          <w:color w:val="auto"/>
        </w:rPr>
      </w:pPr>
    </w:p>
    <w:p>
      <w:pPr>
        <w:ind w:right="100" w:firstLine="228"/>
        <w:spacing w:after="0" w:line="256" w:lineRule="auto"/>
        <w:rPr>
          <w:sz w:val="20"/>
          <w:szCs w:val="20"/>
          <w:color w:val="auto"/>
        </w:rPr>
      </w:pPr>
      <w:r>
        <w:rPr>
          <w:rFonts w:ascii="Arial" w:cs="Arial" w:eastAsia="Arial" w:hAnsi="Arial"/>
          <w:sz w:val="18"/>
          <w:szCs w:val="18"/>
          <w:color w:val="auto"/>
        </w:rPr>
        <w:t>In the nine months ended September 30, 2010 results included: (1) Income tax expense of $0.8 billion primarily related to $0.8 billion of tax expense attributable to entities included in our effective tax rate calculation; (2) Interest expense of $0.9 billion related to GMIO debt of $0.3 billion, GMNA debt of $0.2 billion, VEBA Notes interest expense and premium amortization of $0.2 billion and interest expense on the UST Loans of $0.1 billion; partially offset by (3) interest income of $0.3 billion primarily related to investments held in GMIO.</w:t>
      </w:r>
    </w:p>
    <w:p>
      <w:pPr>
        <w:spacing w:after="0" w:line="143"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Old GM</w:t>
      </w:r>
    </w:p>
    <w:p>
      <w:pPr>
        <w:spacing w:after="0" w:line="171" w:lineRule="exact"/>
        <w:rPr>
          <w:sz w:val="20"/>
          <w:szCs w:val="20"/>
          <w:color w:val="auto"/>
        </w:rPr>
      </w:pPr>
    </w:p>
    <w:p>
      <w:pPr>
        <w:ind w:right="60" w:firstLine="228"/>
        <w:spacing w:after="0" w:line="332" w:lineRule="auto"/>
        <w:rPr>
          <w:sz w:val="20"/>
          <w:szCs w:val="20"/>
          <w:color w:val="auto"/>
        </w:rPr>
      </w:pPr>
      <w:r>
        <w:rPr>
          <w:rFonts w:ascii="Arial" w:cs="Arial" w:eastAsia="Arial" w:hAnsi="Arial"/>
          <w:sz w:val="16"/>
          <w:szCs w:val="16"/>
          <w:color w:val="auto"/>
        </w:rPr>
        <w:t>In the period July 1, 2009 through July 9, 2009 results included centrally recorded Reorganization gains, net of $129.3 billion which is more fully discussed in Note 2 to the condensed consolidated financial statements, and amortization of discounts primarily related to the DIP Facility of $0.6 billion.</w:t>
      </w:r>
    </w:p>
    <w:p>
      <w:pPr>
        <w:spacing w:after="0" w:line="85" w:lineRule="exact"/>
        <w:rPr>
          <w:sz w:val="20"/>
          <w:szCs w:val="20"/>
          <w:color w:val="auto"/>
        </w:rPr>
      </w:pPr>
    </w:p>
    <w:p>
      <w:pPr>
        <w:ind w:right="400" w:firstLine="228"/>
        <w:spacing w:after="0" w:line="259" w:lineRule="auto"/>
        <w:rPr>
          <w:sz w:val="20"/>
          <w:szCs w:val="20"/>
          <w:color w:val="auto"/>
        </w:rPr>
      </w:pPr>
      <w:r>
        <w:rPr>
          <w:rFonts w:ascii="Arial" w:cs="Arial" w:eastAsia="Arial" w:hAnsi="Arial"/>
          <w:sz w:val="18"/>
          <w:szCs w:val="18"/>
          <w:color w:val="auto"/>
        </w:rPr>
        <w:t>In the period January 1, 2009 through July 9, 2009 results included: (1) centrally recorded Reorganization gains, net of $128.2 billion which is more fully discussed in Note 2 to the condensed consolidated financial statements; (2) a gain recorded on the UST Ally Financial Loan of $2.5 billion upon the UST’s conversion of the UST Ally Financial Loan for Class B Common Membership</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123</w:t>
      </w:r>
    </w:p>
    <w:p>
      <w:pPr>
        <w:sectPr>
          <w:pgSz w:w="11900" w:h="16838" w:orient="portrait"/>
          <w:cols w:equalWidth="0" w:num="1">
            <w:col w:w="11420"/>
          </w:cols>
          <w:pgMar w:left="240" w:top="459" w:right="239" w:bottom="1440" w:gutter="0" w:footer="0" w:header="0"/>
        </w:sectPr>
      </w:pPr>
    </w:p>
    <w:bookmarkStart w:id="125" w:name="page126"/>
    <w:bookmarkEnd w:id="1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164" w:lineRule="exact"/>
        <w:rPr>
          <w:sz w:val="20"/>
          <w:szCs w:val="20"/>
          <w:color w:val="auto"/>
        </w:rPr>
      </w:pPr>
    </w:p>
    <w:p>
      <w:pPr>
        <w:ind w:right="20"/>
        <w:spacing w:after="0" w:line="253" w:lineRule="auto"/>
        <w:rPr>
          <w:sz w:val="20"/>
          <w:szCs w:val="20"/>
          <w:color w:val="auto"/>
        </w:rPr>
      </w:pPr>
      <w:r>
        <w:rPr>
          <w:rFonts w:ascii="Arial" w:cs="Arial" w:eastAsia="Arial" w:hAnsi="Arial"/>
          <w:sz w:val="18"/>
          <w:szCs w:val="18"/>
          <w:color w:val="auto"/>
        </w:rPr>
        <w:t>Interests in Ally Financial, which gain resulted from the difference between the fair value and the carrying amount of the Ally Financial equity interests given to the UST in exchange for the UST Ally Financial Loan. The gain was partially offset by Old GM’s proportionate share of Ally Financial’s loss from operations of $1.1 billion; (3) amortization of discounts related to the UST Loan, EDC Loan and DIP Facilities of $3.7 billion; (4) interest expense of $0.8 billion on unsecured debt balances; (5) interest expense of $0.4 billion on the UST Loan Facility; (6) interest expense of $0.2 billion on GMIO debt; (7) a loss related to the extinguishment of the UST Ally Financial Loan of $2.0 billion when the UST exercised its option to convert outstanding amounts into shares of Ally Financial’s Class B Common Membership Interests; partially offset by (8) a gain on extinguishment of debt of $0.9 billion related to an amendment to Old GM’s U.S. term loan.</w:t>
      </w:r>
    </w:p>
    <w:p>
      <w:pPr>
        <w:spacing w:after="0" w:line="1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77" w:lineRule="exact"/>
        <w:rPr>
          <w:sz w:val="20"/>
          <w:szCs w:val="20"/>
          <w:color w:val="auto"/>
        </w:rPr>
      </w:pPr>
    </w:p>
    <w:p>
      <w:pPr>
        <w:ind w:right="20" w:firstLine="228"/>
        <w:spacing w:after="0" w:line="253" w:lineRule="auto"/>
        <w:rPr>
          <w:sz w:val="20"/>
          <w:szCs w:val="20"/>
          <w:color w:val="auto"/>
        </w:rPr>
      </w:pPr>
      <w:r>
        <w:rPr>
          <w:rFonts w:ascii="Arial" w:cs="Arial" w:eastAsia="Arial" w:hAnsi="Arial"/>
          <w:sz w:val="18"/>
          <w:szCs w:val="18"/>
          <w:color w:val="auto"/>
        </w:rPr>
        <w:t>We believe that our current level of cash, marketable securities and availability under our new secured revolving credit facility will be sufficient to meet our liquidity needs. However, we expect to have substantial cash requirements going forward. Our known material future uses of cash include, among other possible demands: (1) Pension and OPEB payments; (2) continuing capital expenditures; (3) spending to implement long-term cost savings and restructuring plans such as restructuring our Opel/Vauxhall operations and potential capacity reduction programs; (4) reducing our overall debt levels which may include GM Daewoo’s revolving credit facility and other debt payments; (5) the purchase of a portion of our Series A Preferred Stock; and (6) certain South American income and indirect tax-related administrative and legal proceedings may require that we deposit funds in escrow or make payments, such amounts may range from $785 million to $970 million.</w:t>
      </w:r>
    </w:p>
    <w:p>
      <w:pPr>
        <w:spacing w:after="0" w:line="147" w:lineRule="exact"/>
        <w:rPr>
          <w:sz w:val="20"/>
          <w:szCs w:val="20"/>
          <w:color w:val="auto"/>
        </w:rPr>
      </w:pPr>
    </w:p>
    <w:p>
      <w:pPr>
        <w:ind w:right="60" w:firstLine="228"/>
        <w:spacing w:after="0" w:line="259" w:lineRule="auto"/>
        <w:rPr>
          <w:sz w:val="20"/>
          <w:szCs w:val="20"/>
          <w:color w:val="auto"/>
        </w:rPr>
      </w:pPr>
      <w:r>
        <w:rPr>
          <w:rFonts w:ascii="Arial" w:cs="Arial" w:eastAsia="Arial" w:hAnsi="Arial"/>
          <w:sz w:val="18"/>
          <w:szCs w:val="18"/>
          <w:color w:val="auto"/>
        </w:rPr>
        <w:t>Our liquidity plans are subject to a number of risks and uncertainties, including those described in the “Risk Factors” sections of our Form S-1 and this report, some of which are outside our control. Macro-economic conditions could limit our ability to successfully execute our business plans and, therefore, adversely affect our liquidity plans.</w:t>
      </w:r>
    </w:p>
    <w:p>
      <w:pPr>
        <w:spacing w:after="0" w:line="140"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Recent Initiatives</w:t>
      </w:r>
    </w:p>
    <w:p>
      <w:pPr>
        <w:spacing w:after="0" w:line="171" w:lineRule="exact"/>
        <w:rPr>
          <w:sz w:val="20"/>
          <w:szCs w:val="20"/>
          <w:color w:val="auto"/>
        </w:rPr>
      </w:pPr>
    </w:p>
    <w:p>
      <w:pPr>
        <w:ind w:right="280" w:firstLine="228"/>
        <w:spacing w:after="0" w:line="268" w:lineRule="auto"/>
        <w:rPr>
          <w:sz w:val="20"/>
          <w:szCs w:val="20"/>
          <w:color w:val="auto"/>
        </w:rPr>
      </w:pPr>
      <w:r>
        <w:rPr>
          <w:rFonts w:ascii="Arial" w:cs="Arial" w:eastAsia="Arial" w:hAnsi="Arial"/>
          <w:sz w:val="18"/>
          <w:szCs w:val="18"/>
          <w:color w:val="auto"/>
        </w:rPr>
        <w:t>We continue to monitor and evaluate opportunities to optimize the structure of our liquidity and capital positions, including reducing our financial leverage through the repayment of debt, contributions to our pension plans and other liquidity actions.</w:t>
      </w:r>
    </w:p>
    <w:p>
      <w:pPr>
        <w:spacing w:after="0" w:line="132" w:lineRule="exact"/>
        <w:rPr>
          <w:sz w:val="20"/>
          <w:szCs w:val="20"/>
          <w:color w:val="auto"/>
        </w:rPr>
      </w:pPr>
    </w:p>
    <w:p>
      <w:pPr>
        <w:ind w:right="20" w:firstLine="228"/>
        <w:spacing w:after="0" w:line="259" w:lineRule="auto"/>
        <w:rPr>
          <w:sz w:val="20"/>
          <w:szCs w:val="20"/>
          <w:color w:val="auto"/>
        </w:rPr>
      </w:pPr>
      <w:r>
        <w:rPr>
          <w:rFonts w:ascii="Arial" w:cs="Arial" w:eastAsia="Arial" w:hAnsi="Arial"/>
          <w:sz w:val="18"/>
          <w:szCs w:val="18"/>
          <w:color w:val="auto"/>
        </w:rPr>
        <w:t>In August 2010 we filed a Form S-1 for an initial public offering of shares in our common stock as well as shares of our Series B Preferred Stock. We amended the Form S-1 though additional filings in September, October and November 2010. We will not receive any proceeds from the sale of shares of common stock by the selling stockholders in our public offering.</w:t>
      </w:r>
    </w:p>
    <w:p>
      <w:pPr>
        <w:spacing w:after="0" w:line="140" w:lineRule="exact"/>
        <w:rPr>
          <w:sz w:val="20"/>
          <w:szCs w:val="20"/>
          <w:color w:val="auto"/>
        </w:rPr>
      </w:pPr>
    </w:p>
    <w:p>
      <w:pPr>
        <w:ind w:right="300" w:firstLine="228"/>
        <w:spacing w:after="0" w:line="298" w:lineRule="auto"/>
        <w:rPr>
          <w:sz w:val="20"/>
          <w:szCs w:val="20"/>
          <w:color w:val="auto"/>
        </w:rPr>
      </w:pPr>
      <w:r>
        <w:rPr>
          <w:rFonts w:ascii="Arial" w:cs="Arial" w:eastAsia="Arial" w:hAnsi="Arial"/>
          <w:sz w:val="16"/>
          <w:szCs w:val="16"/>
          <w:color w:val="auto"/>
        </w:rPr>
        <w:t>In the nine-months ended September 30, 2010 we made net investments of $5.9 billion in highly liquid marketable securities instruments with maturities between 90 days and 365 days. Previously, these funds would have been invested in short-term instruments less than 90 days and classified as a component of Cash and cash equivalents. Investments in these longer-term securities will increase the interest we earn on these investments. We continue to monitor our investment mix and may reallocate investments based on business requirements and capital structure initiatives.</w:t>
      </w:r>
    </w:p>
    <w:p>
      <w:pPr>
        <w:spacing w:after="0" w:line="113" w:lineRule="exact"/>
        <w:rPr>
          <w:sz w:val="20"/>
          <w:szCs w:val="20"/>
          <w:color w:val="auto"/>
        </w:rPr>
      </w:pPr>
    </w:p>
    <w:p>
      <w:pPr>
        <w:ind w:firstLine="228"/>
        <w:spacing w:after="0" w:line="255" w:lineRule="auto"/>
        <w:rPr>
          <w:sz w:val="20"/>
          <w:szCs w:val="20"/>
          <w:color w:val="auto"/>
        </w:rPr>
      </w:pPr>
      <w:r>
        <w:rPr>
          <w:rFonts w:ascii="Arial" w:cs="Arial" w:eastAsia="Arial" w:hAnsi="Arial"/>
          <w:sz w:val="18"/>
          <w:szCs w:val="18"/>
          <w:color w:val="auto"/>
        </w:rPr>
        <w:t>In June 2010 the German federal government notified us of its decision not to provide loan guarantees to Opel/Vauxhall. As a result we have decided to fund the requirements of Opel/Vauxhall internally. Opel/Vauxhall has subsequently withdrawn all applications for government loan guarantees from European governments. In September 2010 we committed up to a total of Euro 3.3 billion (equivalent to $4.2 billion when committed) to fund Opel/Vauxhall’s restructuring and ongoing cash requirements. This funding includes cumulative lending commitments combined into a Euro 2.6 billion facility and equity commitments of Euro 700 million.</w:t>
      </w:r>
    </w:p>
    <w:p>
      <w:pPr>
        <w:spacing w:after="0" w:line="143" w:lineRule="exact"/>
        <w:rPr>
          <w:sz w:val="20"/>
          <w:szCs w:val="20"/>
          <w:color w:val="auto"/>
        </w:rPr>
      </w:pPr>
    </w:p>
    <w:p>
      <w:pPr>
        <w:ind w:right="100" w:firstLine="228"/>
        <w:spacing w:after="0" w:line="256" w:lineRule="auto"/>
        <w:rPr>
          <w:sz w:val="20"/>
          <w:szCs w:val="20"/>
          <w:color w:val="auto"/>
        </w:rPr>
      </w:pPr>
      <w:r>
        <w:rPr>
          <w:rFonts w:ascii="Arial" w:cs="Arial" w:eastAsia="Arial" w:hAnsi="Arial"/>
          <w:sz w:val="18"/>
          <w:szCs w:val="18"/>
          <w:color w:val="auto"/>
        </w:rPr>
        <w:t>In October 2010 we completed our acquisition of AmeriCredit, an independent automobile finance company, for cash of approximately $3.5 billion and AmeriCredit was renamed GM Financial. The acquisition of GM Financial will allow us to provide a more complete range of financing options to our customers across the U.S. and Canada, specifically focusing on providing additional capabilities in leasing and sub-prime vehicle financing options. We funded the transaction using cash on hand.</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124</w:t>
      </w:r>
    </w:p>
    <w:p>
      <w:pPr>
        <w:sectPr>
          <w:pgSz w:w="11900" w:h="16838" w:orient="portrait"/>
          <w:cols w:equalWidth="0" w:num="1">
            <w:col w:w="11400"/>
          </w:cols>
          <w:pgMar w:left="240" w:top="459" w:right="259" w:bottom="1440" w:gutter="0" w:footer="0" w:header="0"/>
        </w:sectPr>
      </w:pPr>
    </w:p>
    <w:bookmarkStart w:id="126" w:name="page127"/>
    <w:bookmarkEnd w:id="1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339" w:lineRule="exact"/>
        <w:rPr>
          <w:sz w:val="20"/>
          <w:szCs w:val="20"/>
          <w:color w:val="auto"/>
        </w:rPr>
      </w:pPr>
    </w:p>
    <w:p>
      <w:pPr>
        <w:ind w:right="100" w:firstLine="228"/>
        <w:spacing w:after="0" w:line="254" w:lineRule="auto"/>
        <w:rPr>
          <w:sz w:val="20"/>
          <w:szCs w:val="20"/>
          <w:color w:val="auto"/>
        </w:rPr>
      </w:pPr>
      <w:r>
        <w:rPr>
          <w:rFonts w:ascii="Arial" w:cs="Arial" w:eastAsia="Arial" w:hAnsi="Arial"/>
          <w:sz w:val="18"/>
          <w:szCs w:val="18"/>
          <w:color w:val="auto"/>
        </w:rPr>
        <w:t>The repayment of debt remains a key strategic initiative. We continue to evaluate potential debt repayments prior to maturity. Any such repayments may negatively affect our liquidity in the short-term. In March and April 2010 we repaid the remaining amounts owed under the UST Loans of $5.7 billion and Canadian Loan of $1.3 billion. Additionally, in April 2010 GM Daewoo repaid a portion of its revolving credit facility in the amount of $225 million. In July 2010 our Russian subsidiary repaid a loan facility of $150 million to cure a technical default. In October 2010 we repaid in full the outstanding amount (together with accreted interest thereon) of the VEBA Notes of $2.8 billion. Following repayment, all covenants and compliance requirements with respect to the VEBA Notes no longer apply to us.</w:t>
      </w:r>
    </w:p>
    <w:p>
      <w:pPr>
        <w:spacing w:after="0" w:line="144" w:lineRule="exact"/>
        <w:rPr>
          <w:sz w:val="20"/>
          <w:szCs w:val="20"/>
          <w:color w:val="auto"/>
        </w:rPr>
      </w:pPr>
    </w:p>
    <w:p>
      <w:pPr>
        <w:ind w:firstLine="228"/>
        <w:spacing w:after="0" w:line="259" w:lineRule="auto"/>
        <w:rPr>
          <w:sz w:val="20"/>
          <w:szCs w:val="20"/>
          <w:color w:val="auto"/>
        </w:rPr>
      </w:pPr>
      <w:r>
        <w:rPr>
          <w:rFonts w:ascii="Arial" w:cs="Arial" w:eastAsia="Arial" w:hAnsi="Arial"/>
          <w:sz w:val="18"/>
          <w:szCs w:val="18"/>
          <w:color w:val="auto"/>
        </w:rPr>
        <w:t>As described more fully below in the section entitled “New Secured Revolving Credit Facility”, in October 2010, through a wholly-owned direct subsidiary, we entered into a five-year, $5.0 billion secured revolving credit facility. While we do not believe the proceeds of the secured revolving credit facility are required to fund operating activities, the facility is expected to provide additional liquidity and financing flexibility.</w:t>
      </w:r>
    </w:p>
    <w:p>
      <w:pPr>
        <w:spacing w:after="0" w:line="140" w:lineRule="exact"/>
        <w:rPr>
          <w:sz w:val="20"/>
          <w:szCs w:val="20"/>
          <w:color w:val="auto"/>
        </w:rPr>
      </w:pPr>
    </w:p>
    <w:p>
      <w:pPr>
        <w:ind w:left="240"/>
        <w:spacing w:after="0"/>
        <w:rPr>
          <w:sz w:val="20"/>
          <w:szCs w:val="20"/>
          <w:color w:val="auto"/>
        </w:rPr>
      </w:pPr>
      <w:r>
        <w:rPr>
          <w:rFonts w:ascii="Arial" w:cs="Arial" w:eastAsia="Arial" w:hAnsi="Arial"/>
          <w:sz w:val="18"/>
          <w:szCs w:val="18"/>
          <w:color w:val="auto"/>
        </w:rPr>
        <w:t>We plan to implement the following actions which will affect our liquidity:</w:t>
      </w:r>
    </w:p>
    <w:p>
      <w:pPr>
        <w:spacing w:after="0" w:line="212" w:lineRule="exact"/>
        <w:rPr>
          <w:sz w:val="20"/>
          <w:szCs w:val="20"/>
          <w:color w:val="auto"/>
        </w:rPr>
      </w:pPr>
    </w:p>
    <w:p>
      <w:pPr>
        <w:ind w:left="660" w:right="120" w:hanging="436"/>
        <w:spacing w:after="0" w:line="298" w:lineRule="auto"/>
        <w:tabs>
          <w:tab w:leader="none" w:pos="660" w:val="left"/>
        </w:tabs>
        <w:numPr>
          <w:ilvl w:val="0"/>
          <w:numId w:val="93"/>
        </w:numPr>
        <w:rPr>
          <w:rFonts w:ascii="Arial" w:cs="Arial" w:eastAsia="Arial" w:hAnsi="Arial"/>
          <w:sz w:val="16"/>
          <w:szCs w:val="16"/>
          <w:color w:val="auto"/>
        </w:rPr>
      </w:pPr>
      <w:r>
        <w:rPr>
          <w:rFonts w:ascii="Arial" w:cs="Arial" w:eastAsia="Arial" w:hAnsi="Arial"/>
          <w:sz w:val="16"/>
          <w:szCs w:val="16"/>
          <w:color w:val="auto"/>
        </w:rPr>
        <w:t>We plan to purchase 83.9 million shares of our Series A Preferred Stock, which accrue cumulative dividends at a 9% annual rate, from the UST for a purchase price equal to 102% of their $2.1 billion aggregate liquidation amount pursuant to an agreement that we entered into with the UST in October 2010, conditional on the completion of the common stock offering. We intend to purchase the Series A Preferred Stock on the first dividend payment date for the Series A Preferred Stock after the completion of the public offering.</w:t>
      </w:r>
    </w:p>
    <w:p>
      <w:pPr>
        <w:spacing w:after="0" w:line="31" w:lineRule="exact"/>
        <w:rPr>
          <w:rFonts w:ascii="Arial" w:cs="Arial" w:eastAsia="Arial" w:hAnsi="Arial"/>
          <w:sz w:val="16"/>
          <w:szCs w:val="16"/>
          <w:color w:val="auto"/>
        </w:rPr>
      </w:pPr>
    </w:p>
    <w:p>
      <w:pPr>
        <w:jc w:val="both"/>
        <w:ind w:left="660" w:right="160" w:hanging="436"/>
        <w:spacing w:after="0" w:line="259" w:lineRule="auto"/>
        <w:tabs>
          <w:tab w:leader="none" w:pos="660" w:val="left"/>
        </w:tabs>
        <w:numPr>
          <w:ilvl w:val="0"/>
          <w:numId w:val="93"/>
        </w:numPr>
        <w:rPr>
          <w:rFonts w:ascii="Arial" w:cs="Arial" w:eastAsia="Arial" w:hAnsi="Arial"/>
          <w:sz w:val="18"/>
          <w:szCs w:val="18"/>
          <w:color w:val="auto"/>
        </w:rPr>
      </w:pPr>
      <w:r>
        <w:rPr>
          <w:rFonts w:ascii="Arial" w:cs="Arial" w:eastAsia="Arial" w:hAnsi="Arial"/>
          <w:sz w:val="18"/>
          <w:szCs w:val="18"/>
          <w:color w:val="auto"/>
        </w:rPr>
        <w:t>We expect to make a voluntary contribution to the U.S. hourly and salaried defined benefit pension plans of $4.0 billion of cash and $2.0 billion of our common stock after the completion of the public offering. The common stock contribution is contingent upon approval from the Department of Labor, which we expect to receive in the near-term.</w:t>
      </w:r>
    </w:p>
    <w:p>
      <w:pPr>
        <w:spacing w:after="0" w:line="140" w:lineRule="exact"/>
        <w:rPr>
          <w:sz w:val="20"/>
          <w:szCs w:val="20"/>
          <w:color w:val="auto"/>
        </w:rPr>
      </w:pPr>
    </w:p>
    <w:p>
      <w:pPr>
        <w:ind w:right="20" w:firstLine="228"/>
        <w:spacing w:after="0" w:line="306" w:lineRule="auto"/>
        <w:rPr>
          <w:sz w:val="20"/>
          <w:szCs w:val="20"/>
          <w:color w:val="auto"/>
        </w:rPr>
      </w:pPr>
      <w:r>
        <w:rPr>
          <w:rFonts w:ascii="Arial" w:cs="Arial" w:eastAsia="Arial" w:hAnsi="Arial"/>
          <w:sz w:val="16"/>
          <w:szCs w:val="16"/>
          <w:color w:val="auto"/>
        </w:rPr>
        <w:t>We continue to pursue our application for loans available under Section 136 of the Energy Independence and Security Act of 2007. While no assurance exists that we may qualify for the loans, any funds that we may receive would be used for costs associated with re-equipping, expanding and establishing manufacturing facilities in the United States to produce advanced technology vehicles and components for these vehicles.</w:t>
      </w:r>
    </w:p>
    <w:p>
      <w:pPr>
        <w:spacing w:after="0" w:line="107"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Available Liquidity</w:t>
      </w:r>
    </w:p>
    <w:p>
      <w:pPr>
        <w:spacing w:after="0" w:line="171" w:lineRule="exact"/>
        <w:rPr>
          <w:sz w:val="20"/>
          <w:szCs w:val="20"/>
          <w:color w:val="auto"/>
        </w:rPr>
      </w:pPr>
    </w:p>
    <w:p>
      <w:pPr>
        <w:ind w:right="260" w:firstLine="228"/>
        <w:spacing w:after="0" w:line="256" w:lineRule="auto"/>
        <w:rPr>
          <w:sz w:val="20"/>
          <w:szCs w:val="20"/>
          <w:color w:val="auto"/>
        </w:rPr>
      </w:pPr>
      <w:r>
        <w:rPr>
          <w:rFonts w:ascii="Arial" w:cs="Arial" w:eastAsia="Arial" w:hAnsi="Arial"/>
          <w:sz w:val="18"/>
          <w:szCs w:val="18"/>
          <w:color w:val="auto"/>
        </w:rPr>
        <w:t>Available liquidity includes cash balances and marketable securities. At September 30, 2010 available liquidity was $33.5 billion, not including funds available under credit facilities of $1.3 billion or in the Canadian Health Care Trust (HCT) escrow account of $1.0 billion. The amount of available liquidity is subject to intra-month and seasonal fluctuations and includes balances held by various business units and subsidiaries worldwide that are needed to fund their operations.</w:t>
      </w:r>
    </w:p>
    <w:p>
      <w:pPr>
        <w:spacing w:after="0" w:line="13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125</w:t>
      </w:r>
    </w:p>
    <w:p>
      <w:pPr>
        <w:sectPr>
          <w:pgSz w:w="11900" w:h="16838" w:orient="portrait"/>
          <w:cols w:equalWidth="0" w:num="1">
            <w:col w:w="11400"/>
          </w:cols>
          <w:pgMar w:left="240" w:top="459" w:right="259" w:bottom="1440" w:gutter="0" w:footer="0" w:header="0"/>
        </w:sectPr>
      </w:pPr>
    </w:p>
    <w:bookmarkStart w:id="127" w:name="page128"/>
    <w:bookmarkEnd w:id="1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339" w:lineRule="exact"/>
        <w:rPr>
          <w:sz w:val="20"/>
          <w:szCs w:val="20"/>
          <w:color w:val="auto"/>
        </w:rPr>
      </w:pPr>
    </w:p>
    <w:p>
      <w:pPr>
        <w:ind w:right="360" w:firstLine="228"/>
        <w:spacing w:after="0" w:line="268" w:lineRule="auto"/>
        <w:rPr>
          <w:sz w:val="20"/>
          <w:szCs w:val="20"/>
          <w:color w:val="auto"/>
        </w:rPr>
      </w:pPr>
      <w:r>
        <w:rPr>
          <w:rFonts w:ascii="Arial" w:cs="Arial" w:eastAsia="Arial" w:hAnsi="Arial"/>
          <w:sz w:val="18"/>
          <w:szCs w:val="18"/>
          <w:color w:val="auto"/>
        </w:rPr>
        <w:t>We manage our global liquidity using cash and highly liquid marketable securities in the U.S., cash held at our international treasury centers and available liquidity at consolidated overseas subsidiaries. The following table summarizes global liquidity (dollars in millions):</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7040" w:type="dxa"/>
            <w:vAlign w:val="bottom"/>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gridSpan w:val="2"/>
          </w:tcPr>
          <w:p>
            <w:pPr>
              <w:ind w:left="60"/>
              <w:spacing w:after="0"/>
              <w:rPr>
                <w:sz w:val="20"/>
                <w:szCs w:val="20"/>
                <w:color w:val="auto"/>
              </w:rPr>
            </w:pPr>
            <w:r>
              <w:rPr>
                <w:rFonts w:ascii="Arial" w:cs="Arial" w:eastAsia="Arial" w:hAnsi="Arial"/>
                <w:sz w:val="14"/>
                <w:szCs w:val="14"/>
                <w:b w:val="1"/>
                <w:bCs w:val="1"/>
                <w:color w:val="auto"/>
              </w:rPr>
              <w:t>Successor</w:t>
            </w:r>
          </w:p>
        </w:tc>
        <w:tc>
          <w:tcPr>
            <w:tcW w:w="7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7040" w:type="dxa"/>
            <w:vAlign w:val="bottom"/>
          </w:tcPr>
          <w:p>
            <w:pPr>
              <w:spacing w:after="0"/>
              <w:rPr>
                <w:sz w:val="12"/>
                <w:szCs w:val="12"/>
                <w:color w:val="auto"/>
              </w:rPr>
            </w:pPr>
          </w:p>
        </w:tc>
        <w:tc>
          <w:tcPr>
            <w:tcW w:w="1140" w:type="dxa"/>
            <w:vAlign w:val="bottom"/>
            <w:tcBorders>
              <w:bottom w:val="single" w:sz="8" w:color="auto"/>
            </w:tcBorders>
            <w:gridSpan w:val="2"/>
          </w:tcPr>
          <w:p>
            <w:pPr>
              <w:spacing w:after="0" w:line="142" w:lineRule="exact"/>
              <w:rPr>
                <w:sz w:val="20"/>
                <w:szCs w:val="20"/>
                <w:color w:val="auto"/>
              </w:rPr>
            </w:pPr>
            <w:r>
              <w:rPr>
                <w:rFonts w:ascii="Arial" w:cs="Arial" w:eastAsia="Arial" w:hAnsi="Arial"/>
                <w:sz w:val="14"/>
                <w:szCs w:val="14"/>
                <w:b w:val="1"/>
                <w:bCs w:val="1"/>
                <w:color w:val="auto"/>
                <w:w w:val="85"/>
              </w:rPr>
              <w:t>September 30, 2010</w:t>
            </w:r>
          </w:p>
        </w:tc>
        <w:tc>
          <w:tcPr>
            <w:tcW w:w="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080" w:type="dxa"/>
            <w:vAlign w:val="bottom"/>
            <w:tcBorders>
              <w:bottom w:val="single" w:sz="8" w:color="auto"/>
            </w:tcBorders>
            <w:gridSpan w:val="2"/>
          </w:tcPr>
          <w:p>
            <w:pPr>
              <w:spacing w:after="0" w:line="142" w:lineRule="exact"/>
              <w:rPr>
                <w:sz w:val="20"/>
                <w:szCs w:val="20"/>
                <w:color w:val="auto"/>
              </w:rPr>
            </w:pPr>
            <w:r>
              <w:rPr>
                <w:rFonts w:ascii="Arial" w:cs="Arial" w:eastAsia="Arial" w:hAnsi="Arial"/>
                <w:sz w:val="14"/>
                <w:szCs w:val="14"/>
                <w:b w:val="1"/>
                <w:bCs w:val="1"/>
                <w:color w:val="auto"/>
                <w:w w:val="84"/>
              </w:rPr>
              <w:t>December 31, 2009</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1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Cash and cash equivalents</w:t>
            </w:r>
          </w:p>
        </w:tc>
        <w:tc>
          <w:tcPr>
            <w:tcW w:w="3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27,466</w:t>
            </w:r>
          </w:p>
        </w:tc>
        <w:tc>
          <w:tcPr>
            <w:tcW w:w="1160" w:type="dxa"/>
            <w:vAlign w:val="bottom"/>
            <w:gridSpan w:val="2"/>
            <w:shd w:val="clear" w:color="auto" w:fill="CCEEFF"/>
          </w:tcPr>
          <w:p>
            <w:pPr>
              <w:ind w:left="820"/>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22,679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80" w:type="dxa"/>
            <w:vAlign w:val="bottom"/>
            <w:gridSpan w:val="2"/>
          </w:tcPr>
          <w:p>
            <w:pPr>
              <w:spacing w:after="0"/>
              <w:rPr>
                <w:sz w:val="20"/>
                <w:szCs w:val="20"/>
                <w:color w:val="auto"/>
              </w:rPr>
            </w:pPr>
            <w:r>
              <w:rPr>
                <w:rFonts w:ascii="Arial" w:cs="Arial" w:eastAsia="Arial" w:hAnsi="Arial"/>
                <w:sz w:val="18"/>
                <w:szCs w:val="18"/>
                <w:color w:val="auto"/>
              </w:rPr>
              <w:t>Marketable securities</w:t>
            </w:r>
          </w:p>
        </w:tc>
        <w:tc>
          <w:tcPr>
            <w:tcW w:w="380" w:type="dxa"/>
            <w:vAlign w:val="bottom"/>
          </w:tcPr>
          <w:p>
            <w:pPr>
              <w:spacing w:after="0"/>
              <w:rPr>
                <w:sz w:val="18"/>
                <w:szCs w:val="18"/>
                <w:color w:val="auto"/>
              </w:rPr>
            </w:pPr>
          </w:p>
        </w:tc>
        <w:tc>
          <w:tcPr>
            <w:tcW w:w="840" w:type="dxa"/>
            <w:vAlign w:val="bottom"/>
            <w:gridSpan w:val="2"/>
          </w:tcPr>
          <w:p>
            <w:pPr>
              <w:jc w:val="right"/>
              <w:ind w:right="80"/>
              <w:spacing w:after="0"/>
              <w:rPr>
                <w:sz w:val="20"/>
                <w:szCs w:val="20"/>
                <w:color w:val="auto"/>
              </w:rPr>
            </w:pPr>
            <w:r>
              <w:rPr>
                <w:rFonts w:ascii="Arial" w:cs="Arial" w:eastAsia="Arial" w:hAnsi="Arial"/>
                <w:sz w:val="18"/>
                <w:szCs w:val="18"/>
                <w:color w:val="auto"/>
              </w:rPr>
              <w:t>6,010</w:t>
            </w:r>
          </w:p>
        </w:tc>
        <w:tc>
          <w:tcPr>
            <w:tcW w:w="8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134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1140" w:type="dxa"/>
            <w:vAlign w:val="bottom"/>
          </w:tcPr>
          <w:p>
            <w:pPr>
              <w:spacing w:after="0"/>
              <w:rPr>
                <w:sz w:val="2"/>
                <w:szCs w:val="2"/>
                <w:color w:val="auto"/>
              </w:rPr>
            </w:pPr>
          </w:p>
        </w:tc>
        <w:tc>
          <w:tcPr>
            <w:tcW w:w="7040" w:type="dxa"/>
            <w:vAlign w:val="bottom"/>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820" w:type="dxa"/>
            <w:vAlign w:val="bottom"/>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81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Available liquidity</w:t>
            </w:r>
          </w:p>
        </w:tc>
        <w:tc>
          <w:tcPr>
            <w:tcW w:w="3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33,476</w:t>
            </w:r>
          </w:p>
        </w:tc>
        <w:tc>
          <w:tcPr>
            <w:tcW w:w="8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22,813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80" w:type="dxa"/>
            <w:vAlign w:val="bottom"/>
            <w:gridSpan w:val="2"/>
          </w:tcPr>
          <w:p>
            <w:pPr>
              <w:spacing w:after="0"/>
              <w:rPr>
                <w:sz w:val="20"/>
                <w:szCs w:val="20"/>
                <w:color w:val="auto"/>
              </w:rPr>
            </w:pPr>
            <w:r>
              <w:rPr>
                <w:rFonts w:ascii="Arial" w:cs="Arial" w:eastAsia="Arial" w:hAnsi="Arial"/>
                <w:sz w:val="18"/>
                <w:szCs w:val="18"/>
                <w:color w:val="auto"/>
              </w:rPr>
              <w:t>Available under credit facilities</w:t>
            </w:r>
          </w:p>
        </w:tc>
        <w:tc>
          <w:tcPr>
            <w:tcW w:w="380" w:type="dxa"/>
            <w:vAlign w:val="bottom"/>
          </w:tcPr>
          <w:p>
            <w:pPr>
              <w:spacing w:after="0"/>
              <w:rPr>
                <w:sz w:val="18"/>
                <w:szCs w:val="18"/>
                <w:color w:val="auto"/>
              </w:rPr>
            </w:pPr>
          </w:p>
        </w:tc>
        <w:tc>
          <w:tcPr>
            <w:tcW w:w="840" w:type="dxa"/>
            <w:vAlign w:val="bottom"/>
            <w:gridSpan w:val="2"/>
          </w:tcPr>
          <w:p>
            <w:pPr>
              <w:jc w:val="right"/>
              <w:ind w:right="80"/>
              <w:spacing w:after="0"/>
              <w:rPr>
                <w:sz w:val="20"/>
                <w:szCs w:val="20"/>
                <w:color w:val="auto"/>
              </w:rPr>
            </w:pPr>
            <w:r>
              <w:rPr>
                <w:rFonts w:ascii="Arial" w:cs="Arial" w:eastAsia="Arial" w:hAnsi="Arial"/>
                <w:sz w:val="18"/>
                <w:szCs w:val="18"/>
                <w:color w:val="auto"/>
              </w:rPr>
              <w:t>1,319</w:t>
            </w:r>
          </w:p>
        </w:tc>
        <w:tc>
          <w:tcPr>
            <w:tcW w:w="8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618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1140" w:type="dxa"/>
            <w:vAlign w:val="bottom"/>
          </w:tcPr>
          <w:p>
            <w:pPr>
              <w:spacing w:after="0"/>
              <w:rPr>
                <w:sz w:val="2"/>
                <w:szCs w:val="2"/>
                <w:color w:val="auto"/>
              </w:rPr>
            </w:pPr>
          </w:p>
        </w:tc>
        <w:tc>
          <w:tcPr>
            <w:tcW w:w="7040" w:type="dxa"/>
            <w:vAlign w:val="bottom"/>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820" w:type="dxa"/>
            <w:vAlign w:val="bottom"/>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81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available liquidity</w:t>
            </w:r>
          </w:p>
        </w:tc>
        <w:tc>
          <w:tcPr>
            <w:tcW w:w="3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34,795</w:t>
            </w:r>
          </w:p>
        </w:tc>
        <w:tc>
          <w:tcPr>
            <w:tcW w:w="8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23,431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80" w:type="dxa"/>
            <w:vAlign w:val="bottom"/>
            <w:gridSpan w:val="2"/>
          </w:tcPr>
          <w:p>
            <w:pPr>
              <w:spacing w:after="0"/>
              <w:rPr>
                <w:sz w:val="20"/>
                <w:szCs w:val="20"/>
                <w:color w:val="auto"/>
              </w:rPr>
            </w:pPr>
            <w:r>
              <w:rPr>
                <w:rFonts w:ascii="Arial" w:cs="Arial" w:eastAsia="Arial" w:hAnsi="Arial"/>
                <w:sz w:val="18"/>
                <w:szCs w:val="18"/>
                <w:color w:val="auto"/>
              </w:rPr>
              <w:t>UST and HCT escrow accounts (a)</w:t>
            </w:r>
          </w:p>
        </w:tc>
        <w:tc>
          <w:tcPr>
            <w:tcW w:w="380" w:type="dxa"/>
            <w:vAlign w:val="bottom"/>
          </w:tcPr>
          <w:p>
            <w:pPr>
              <w:spacing w:after="0"/>
              <w:rPr>
                <w:sz w:val="18"/>
                <w:szCs w:val="18"/>
                <w:color w:val="auto"/>
              </w:rPr>
            </w:pPr>
          </w:p>
        </w:tc>
        <w:tc>
          <w:tcPr>
            <w:tcW w:w="840" w:type="dxa"/>
            <w:vAlign w:val="bottom"/>
            <w:gridSpan w:val="2"/>
          </w:tcPr>
          <w:p>
            <w:pPr>
              <w:jc w:val="right"/>
              <w:ind w:right="80"/>
              <w:spacing w:after="0"/>
              <w:rPr>
                <w:sz w:val="20"/>
                <w:szCs w:val="20"/>
                <w:color w:val="auto"/>
              </w:rPr>
            </w:pPr>
            <w:r>
              <w:rPr>
                <w:rFonts w:ascii="Arial" w:cs="Arial" w:eastAsia="Arial" w:hAnsi="Arial"/>
                <w:sz w:val="18"/>
                <w:szCs w:val="18"/>
                <w:color w:val="auto"/>
              </w:rPr>
              <w:t>978</w:t>
            </w:r>
          </w:p>
        </w:tc>
        <w:tc>
          <w:tcPr>
            <w:tcW w:w="8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13,430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1140" w:type="dxa"/>
            <w:vAlign w:val="bottom"/>
          </w:tcPr>
          <w:p>
            <w:pPr>
              <w:spacing w:after="0"/>
              <w:rPr>
                <w:sz w:val="2"/>
                <w:szCs w:val="2"/>
                <w:color w:val="auto"/>
              </w:rPr>
            </w:pPr>
          </w:p>
        </w:tc>
        <w:tc>
          <w:tcPr>
            <w:tcW w:w="7040" w:type="dxa"/>
            <w:vAlign w:val="bottom"/>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820" w:type="dxa"/>
            <w:vAlign w:val="bottom"/>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81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liquidity including UST and HCT escrow accounts</w:t>
            </w:r>
          </w:p>
        </w:tc>
        <w:tc>
          <w:tcPr>
            <w:tcW w:w="3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35,773</w:t>
            </w:r>
          </w:p>
        </w:tc>
        <w:tc>
          <w:tcPr>
            <w:tcW w:w="1160" w:type="dxa"/>
            <w:vAlign w:val="bottom"/>
            <w:gridSpan w:val="2"/>
            <w:shd w:val="clear" w:color="auto" w:fill="CCEEFF"/>
          </w:tcPr>
          <w:p>
            <w:pPr>
              <w:ind w:left="820"/>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36,861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704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2"/>
        </w:trPr>
        <w:tc>
          <w:tcPr>
            <w:tcW w:w="20" w:type="dxa"/>
            <w:vAlign w:val="bottom"/>
          </w:tcPr>
          <w:p>
            <w:pPr>
              <w:spacing w:after="0"/>
              <w:rPr>
                <w:sz w:val="8"/>
                <w:szCs w:val="8"/>
                <w:color w:val="auto"/>
              </w:rPr>
            </w:pPr>
          </w:p>
        </w:tc>
        <w:tc>
          <w:tcPr>
            <w:tcW w:w="1140" w:type="dxa"/>
            <w:vAlign w:val="bottom"/>
            <w:tcBorders>
              <w:bottom w:val="single" w:sz="8" w:color="auto"/>
            </w:tcBorders>
          </w:tcPr>
          <w:p>
            <w:pPr>
              <w:spacing w:after="0"/>
              <w:rPr>
                <w:sz w:val="8"/>
                <w:szCs w:val="8"/>
                <w:color w:val="auto"/>
              </w:rPr>
            </w:pPr>
          </w:p>
        </w:tc>
        <w:tc>
          <w:tcPr>
            <w:tcW w:w="7040" w:type="dxa"/>
            <w:vAlign w:val="bottom"/>
          </w:tcPr>
          <w:p>
            <w:pPr>
              <w:spacing w:after="0"/>
              <w:rPr>
                <w:sz w:val="8"/>
                <w:szCs w:val="8"/>
                <w:color w:val="auto"/>
              </w:rPr>
            </w:pPr>
          </w:p>
        </w:tc>
        <w:tc>
          <w:tcPr>
            <w:tcW w:w="380" w:type="dxa"/>
            <w:vAlign w:val="bottom"/>
          </w:tcPr>
          <w:p>
            <w:pPr>
              <w:spacing w:after="0"/>
              <w:rPr>
                <w:sz w:val="8"/>
                <w:szCs w:val="8"/>
                <w:color w:val="auto"/>
              </w:rPr>
            </w:pPr>
          </w:p>
        </w:tc>
        <w:tc>
          <w:tcPr>
            <w:tcW w:w="760" w:type="dxa"/>
            <w:vAlign w:val="bottom"/>
          </w:tcPr>
          <w:p>
            <w:pPr>
              <w:spacing w:after="0"/>
              <w:rPr>
                <w:sz w:val="8"/>
                <w:szCs w:val="8"/>
                <w:color w:val="auto"/>
              </w:rPr>
            </w:pPr>
          </w:p>
        </w:tc>
        <w:tc>
          <w:tcPr>
            <w:tcW w:w="80" w:type="dxa"/>
            <w:vAlign w:val="bottom"/>
          </w:tcPr>
          <w:p>
            <w:pPr>
              <w:spacing w:after="0"/>
              <w:rPr>
                <w:sz w:val="8"/>
                <w:szCs w:val="8"/>
                <w:color w:val="auto"/>
              </w:rPr>
            </w:pPr>
          </w:p>
        </w:tc>
        <w:tc>
          <w:tcPr>
            <w:tcW w:w="820" w:type="dxa"/>
            <w:vAlign w:val="bottom"/>
          </w:tcPr>
          <w:p>
            <w:pPr>
              <w:spacing w:after="0"/>
              <w:rPr>
                <w:sz w:val="8"/>
                <w:szCs w:val="8"/>
                <w:color w:val="auto"/>
              </w:rPr>
            </w:pPr>
          </w:p>
        </w:tc>
        <w:tc>
          <w:tcPr>
            <w:tcW w:w="340" w:type="dxa"/>
            <w:vAlign w:val="bottom"/>
          </w:tcPr>
          <w:p>
            <w:pPr>
              <w:spacing w:after="0"/>
              <w:rPr>
                <w:sz w:val="8"/>
                <w:szCs w:val="8"/>
                <w:color w:val="auto"/>
              </w:rPr>
            </w:pPr>
          </w:p>
        </w:tc>
        <w:tc>
          <w:tcPr>
            <w:tcW w:w="74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19" w:lineRule="exact"/>
        <w:rPr>
          <w:sz w:val="20"/>
          <w:szCs w:val="20"/>
          <w:color w:val="auto"/>
        </w:rPr>
      </w:pPr>
    </w:p>
    <w:p>
      <w:pPr>
        <w:ind w:left="460" w:right="200" w:hanging="452"/>
        <w:spacing w:after="0" w:line="332" w:lineRule="auto"/>
        <w:tabs>
          <w:tab w:leader="none" w:pos="460" w:val="left"/>
        </w:tabs>
        <w:numPr>
          <w:ilvl w:val="0"/>
          <w:numId w:val="94"/>
        </w:numPr>
        <w:rPr>
          <w:rFonts w:ascii="Arial" w:cs="Arial" w:eastAsia="Arial" w:hAnsi="Arial"/>
          <w:sz w:val="16"/>
          <w:szCs w:val="16"/>
          <w:color w:val="auto"/>
        </w:rPr>
      </w:pPr>
      <w:r>
        <w:rPr>
          <w:rFonts w:ascii="Arial" w:cs="Arial" w:eastAsia="Arial" w:hAnsi="Arial"/>
          <w:sz w:val="16"/>
          <w:szCs w:val="16"/>
          <w:color w:val="auto"/>
        </w:rPr>
        <w:t>Classified as Restricted cash and marketable securities. Refer to Note 12 to the condensed consolidated financial statements. The remaining funds held in the UST Escrow account were released in April 2010 following the repayment of the UST Loans and Canadian Loan.</w:t>
      </w:r>
    </w:p>
    <w:p>
      <w:pPr>
        <w:spacing w:after="0" w:line="85" w:lineRule="exact"/>
        <w:rPr>
          <w:sz w:val="20"/>
          <w:szCs w:val="20"/>
          <w:color w:val="auto"/>
        </w:rPr>
      </w:pPr>
    </w:p>
    <w:p>
      <w:pPr>
        <w:ind w:right="100" w:firstLine="228"/>
        <w:spacing w:after="0" w:line="259" w:lineRule="auto"/>
        <w:rPr>
          <w:sz w:val="20"/>
          <w:szCs w:val="20"/>
          <w:color w:val="auto"/>
        </w:rPr>
      </w:pPr>
      <w:r>
        <w:rPr>
          <w:rFonts w:ascii="Arial" w:cs="Arial" w:eastAsia="Arial" w:hAnsi="Arial"/>
          <w:sz w:val="18"/>
          <w:szCs w:val="18"/>
          <w:color w:val="auto"/>
        </w:rPr>
        <w:t>Total available liquidity increased by $11.4 billion in the nine months ended September 30, 2010 primarily due to positive cash flows of $8.3 billion from operating activities, $10.0 billion from investing activities excluding net marketable securities acquisitions and a $0.7 billion increase in amounts available under credit facilities, which were partially offset by negative cash flows of $7.9 billion from financing activities.</w:t>
      </w:r>
    </w:p>
    <w:p>
      <w:pPr>
        <w:spacing w:after="0" w:line="140"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New Secured Revolving Credit Facility</w:t>
      </w:r>
    </w:p>
    <w:p>
      <w:pPr>
        <w:spacing w:after="0" w:line="171" w:lineRule="exact"/>
        <w:rPr>
          <w:sz w:val="20"/>
          <w:szCs w:val="20"/>
          <w:color w:val="auto"/>
        </w:rPr>
      </w:pPr>
    </w:p>
    <w:p>
      <w:pPr>
        <w:ind w:right="120" w:firstLine="228"/>
        <w:spacing w:after="0" w:line="306" w:lineRule="auto"/>
        <w:rPr>
          <w:sz w:val="20"/>
          <w:szCs w:val="20"/>
          <w:color w:val="auto"/>
        </w:rPr>
      </w:pPr>
      <w:r>
        <w:rPr>
          <w:rFonts w:ascii="Arial" w:cs="Arial" w:eastAsia="Arial" w:hAnsi="Arial"/>
          <w:sz w:val="16"/>
          <w:szCs w:val="16"/>
          <w:color w:val="auto"/>
        </w:rPr>
        <w:t>In October 2010, through a wholly-owned, direct subsidiary (the “borrower”), we entered into a five year, $5.0 billion secured revolving credit facility, which includes a letter of credit sub-facility of up to $500 million, with Citigroup Global Markets Inc. and Banc of America Securities LLC, as joint lead arrangers, Citibank, N.A., as the administrative agent, and Bank of America, N.A., as the syndication agent, and a syndicate of lenders.</w:t>
      </w:r>
    </w:p>
    <w:p>
      <w:pPr>
        <w:spacing w:after="0" w:line="107" w:lineRule="exact"/>
        <w:rPr>
          <w:sz w:val="20"/>
          <w:szCs w:val="20"/>
          <w:color w:val="auto"/>
        </w:rPr>
      </w:pPr>
    </w:p>
    <w:p>
      <w:pPr>
        <w:ind w:right="560" w:firstLine="228"/>
        <w:spacing w:after="0" w:line="332" w:lineRule="auto"/>
        <w:rPr>
          <w:sz w:val="20"/>
          <w:szCs w:val="20"/>
          <w:color w:val="auto"/>
        </w:rPr>
      </w:pPr>
      <w:r>
        <w:rPr>
          <w:rFonts w:ascii="Arial" w:cs="Arial" w:eastAsia="Arial" w:hAnsi="Arial"/>
          <w:sz w:val="16"/>
          <w:szCs w:val="16"/>
          <w:color w:val="auto"/>
        </w:rPr>
        <w:t>While we do not believe the proceeds of the secured revolving credit facility are required to fund operating activities, the facility is expected to provide additional liquidity and financing flexibility. Availability under the secured revolving credit facility is subject to borrowing base restrictions.</w:t>
      </w:r>
    </w:p>
    <w:p>
      <w:pPr>
        <w:spacing w:after="0" w:line="85" w:lineRule="exact"/>
        <w:rPr>
          <w:sz w:val="20"/>
          <w:szCs w:val="20"/>
          <w:color w:val="auto"/>
        </w:rPr>
      </w:pPr>
    </w:p>
    <w:p>
      <w:pPr>
        <w:ind w:right="20" w:firstLine="228"/>
        <w:spacing w:after="0" w:line="289" w:lineRule="auto"/>
        <w:rPr>
          <w:sz w:val="20"/>
          <w:szCs w:val="20"/>
          <w:color w:val="auto"/>
        </w:rPr>
      </w:pPr>
      <w:r>
        <w:rPr>
          <w:rFonts w:ascii="Arial" w:cs="Arial" w:eastAsia="Arial" w:hAnsi="Arial"/>
          <w:sz w:val="16"/>
          <w:szCs w:val="16"/>
          <w:color w:val="auto"/>
        </w:rPr>
        <w:t>We and certain of the borrower’s domestic subsidiaries guaranteed the borrower’s obligations under the secured revolving credit facility. In addition, obligations under the secured revolving credit facility are secured by substantially all of the borrower’s and the subsidiary guarantors’ domestic assets, including accounts receivable, inventory, property, plant, and equipment, real estate, intercompany loans, intellectual property, trademarks and direct investments in Ally Financial and are also secured by the equity interests of the direct, “first-tier” domestic subsidiaries of the borrower and of the subsidiary guarantors, and up to 65% of the voting equity interests in certain direct, “first-tier” foreign subsidiaries of the borrower and of the subsidiary guarantors, in each case, subject to certain exceptions. The collateral securing the secured revolving credit facility does not include, among other assets, cash, cash equivalents, marketable securities, as well as our investment in GM Financial, our investment in New Delphi and our equity interests in our Chinese joint ventures and in GM Daewoo and in the direct or indirect owners of such equity interests.</w:t>
      </w:r>
    </w:p>
    <w:p>
      <w:pPr>
        <w:spacing w:after="0" w:line="118" w:lineRule="exact"/>
        <w:rPr>
          <w:sz w:val="20"/>
          <w:szCs w:val="20"/>
          <w:color w:val="auto"/>
        </w:rPr>
      </w:pPr>
    </w:p>
    <w:p>
      <w:pPr>
        <w:ind w:firstLine="228"/>
        <w:spacing w:after="0" w:line="255" w:lineRule="auto"/>
        <w:rPr>
          <w:sz w:val="20"/>
          <w:szCs w:val="20"/>
          <w:color w:val="auto"/>
        </w:rPr>
      </w:pPr>
      <w:r>
        <w:rPr>
          <w:rFonts w:ascii="Arial" w:cs="Arial" w:eastAsia="Arial" w:hAnsi="Arial"/>
          <w:sz w:val="18"/>
          <w:szCs w:val="18"/>
          <w:color w:val="auto"/>
        </w:rPr>
        <w:t xml:space="preserve">Depending on certain terms and conditions in the secured revolving credit facility, including compliance with the borrowing base requirements and certain other covenants, the borrower will be able to add one or more </w:t>
      </w:r>
      <w:r>
        <w:rPr>
          <w:rFonts w:ascii="Arial" w:cs="Arial" w:eastAsia="Arial" w:hAnsi="Arial"/>
          <w:sz w:val="18"/>
          <w:szCs w:val="18"/>
          <w:i w:val="1"/>
          <w:iCs w:val="1"/>
          <w:color w:val="auto"/>
        </w:rPr>
        <w:t>pari passu</w:t>
      </w:r>
      <w:r>
        <w:rPr>
          <w:rFonts w:ascii="Arial" w:cs="Arial" w:eastAsia="Arial" w:hAnsi="Arial"/>
          <w:sz w:val="18"/>
          <w:szCs w:val="18"/>
          <w:color w:val="auto"/>
        </w:rPr>
        <w:t xml:space="preserve"> first lien loan facilities. The borrower will also have the ability to secure up to $2.0 billion of certain obligations of the borrower and its subsidiaries that the borrower may designate from time to time as additional </w:t>
      </w:r>
      <w:r>
        <w:rPr>
          <w:rFonts w:ascii="Arial" w:cs="Arial" w:eastAsia="Arial" w:hAnsi="Arial"/>
          <w:sz w:val="18"/>
          <w:szCs w:val="18"/>
          <w:i w:val="1"/>
          <w:iCs w:val="1"/>
          <w:color w:val="auto"/>
        </w:rPr>
        <w:t>pari passu</w:t>
      </w:r>
      <w:r>
        <w:rPr>
          <w:rFonts w:ascii="Arial" w:cs="Arial" w:eastAsia="Arial" w:hAnsi="Arial"/>
          <w:sz w:val="18"/>
          <w:szCs w:val="18"/>
          <w:color w:val="auto"/>
        </w:rPr>
        <w:t xml:space="preserve"> first lien obligations. Second-lien debt is generally allowed but second lien debt maturing prior to the final maturity date of the secured revolving credit facility is limited to $3.0 billion in outstanding obligations.</w:t>
      </w:r>
    </w:p>
    <w:p>
      <w:pPr>
        <w:spacing w:after="0" w:line="1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126</w:t>
      </w:r>
    </w:p>
    <w:p>
      <w:pPr>
        <w:sectPr>
          <w:pgSz w:w="11900" w:h="16838" w:orient="portrait"/>
          <w:cols w:equalWidth="0" w:num="1">
            <w:col w:w="11420"/>
          </w:cols>
          <w:pgMar w:left="240" w:top="459" w:right="239" w:bottom="1440" w:gutter="0" w:footer="0" w:header="0"/>
        </w:sectPr>
      </w:pPr>
    </w:p>
    <w:bookmarkStart w:id="128" w:name="page129"/>
    <w:bookmarkEnd w:id="1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339" w:lineRule="exact"/>
        <w:rPr>
          <w:sz w:val="20"/>
          <w:szCs w:val="20"/>
          <w:color w:val="auto"/>
        </w:rPr>
      </w:pPr>
    </w:p>
    <w:p>
      <w:pPr>
        <w:ind w:right="200" w:firstLine="228"/>
        <w:spacing w:after="0" w:line="370" w:lineRule="auto"/>
        <w:rPr>
          <w:sz w:val="20"/>
          <w:szCs w:val="20"/>
          <w:color w:val="auto"/>
        </w:rPr>
      </w:pPr>
      <w:r>
        <w:rPr>
          <w:rFonts w:ascii="Arial" w:cs="Arial" w:eastAsia="Arial" w:hAnsi="Arial"/>
          <w:sz w:val="15"/>
          <w:szCs w:val="15"/>
          <w:color w:val="auto"/>
        </w:rPr>
        <w:t>Interest rates on obligations under the secured revolving credit facility are based on prevailing per annum interest rates for Eurodollar loans or an alternative base rate plus an applicable margin, in each case, based upon the credit rating assigned to the debt evidenced by the secured revolving credit facility.</w:t>
      </w:r>
    </w:p>
    <w:p>
      <w:pPr>
        <w:spacing w:after="0" w:line="62" w:lineRule="exact"/>
        <w:rPr>
          <w:sz w:val="20"/>
          <w:szCs w:val="20"/>
          <w:color w:val="auto"/>
        </w:rPr>
      </w:pPr>
    </w:p>
    <w:p>
      <w:pPr>
        <w:ind w:right="260" w:firstLine="228"/>
        <w:spacing w:after="0" w:line="255" w:lineRule="auto"/>
        <w:rPr>
          <w:sz w:val="20"/>
          <w:szCs w:val="20"/>
          <w:color w:val="auto"/>
        </w:rPr>
      </w:pPr>
      <w:r>
        <w:rPr>
          <w:rFonts w:ascii="Arial" w:cs="Arial" w:eastAsia="Arial" w:hAnsi="Arial"/>
          <w:sz w:val="18"/>
          <w:szCs w:val="18"/>
          <w:color w:val="auto"/>
        </w:rPr>
        <w:t>The secured revolving credit facility contains representations, warranties and covenants customary for facilities of this nature, including negative covenants restricting the borrower and the subsidiary guarantors from incurring liens, consummating mergers or sales of assets and incurring secured indebtedness, and restricting the borrower from making restricted payments, in each case, subject to exceptions and limitations. In addition, the secured revolving credit facility contains minimum liquidity covenants, which require the borrower to maintain at least $4.0 billion in consolidated global liquidity and at least $2.0 billion in consolidated U.S. liquidity.</w:t>
      </w:r>
    </w:p>
    <w:p>
      <w:pPr>
        <w:spacing w:after="0" w:line="143" w:lineRule="exact"/>
        <w:rPr>
          <w:sz w:val="20"/>
          <w:szCs w:val="20"/>
          <w:color w:val="auto"/>
        </w:rPr>
      </w:pPr>
    </w:p>
    <w:p>
      <w:pPr>
        <w:ind w:right="80" w:firstLine="228"/>
        <w:spacing w:after="0" w:line="268" w:lineRule="auto"/>
        <w:rPr>
          <w:sz w:val="20"/>
          <w:szCs w:val="20"/>
          <w:color w:val="auto"/>
        </w:rPr>
      </w:pPr>
      <w:r>
        <w:rPr>
          <w:rFonts w:ascii="Arial" w:cs="Arial" w:eastAsia="Arial" w:hAnsi="Arial"/>
          <w:sz w:val="18"/>
          <w:szCs w:val="18"/>
          <w:color w:val="auto"/>
        </w:rPr>
        <w:t>Events of default under the secured revolving credit facility include events of default customary for facilities of this nature (including customary notice and/or grace periods, as applicable) such as:</w:t>
      </w:r>
    </w:p>
    <w:p>
      <w:pPr>
        <w:spacing w:after="0" w:line="172" w:lineRule="exact"/>
        <w:rPr>
          <w:sz w:val="20"/>
          <w:szCs w:val="20"/>
          <w:color w:val="auto"/>
        </w:rPr>
      </w:pPr>
    </w:p>
    <w:p>
      <w:pPr>
        <w:ind w:left="660" w:right="840" w:hanging="436"/>
        <w:spacing w:after="0" w:line="268" w:lineRule="auto"/>
        <w:tabs>
          <w:tab w:leader="none" w:pos="660" w:val="left"/>
        </w:tabs>
        <w:numPr>
          <w:ilvl w:val="0"/>
          <w:numId w:val="95"/>
        </w:numPr>
        <w:rPr>
          <w:rFonts w:ascii="Arial" w:cs="Arial" w:eastAsia="Arial" w:hAnsi="Arial"/>
          <w:sz w:val="18"/>
          <w:szCs w:val="18"/>
          <w:color w:val="auto"/>
        </w:rPr>
      </w:pPr>
      <w:r>
        <w:rPr>
          <w:rFonts w:ascii="Arial" w:cs="Arial" w:eastAsia="Arial" w:hAnsi="Arial"/>
          <w:sz w:val="18"/>
          <w:szCs w:val="18"/>
          <w:color w:val="auto"/>
        </w:rPr>
        <w:t>The failure to pay principal at the stated maturity, interest or any other amounts owed under the secured revolving credit agreement or related documents;</w:t>
      </w:r>
    </w:p>
    <w:p>
      <w:pPr>
        <w:spacing w:after="0" w:line="50" w:lineRule="exact"/>
        <w:rPr>
          <w:rFonts w:ascii="Arial" w:cs="Arial" w:eastAsia="Arial" w:hAnsi="Arial"/>
          <w:sz w:val="18"/>
          <w:szCs w:val="18"/>
          <w:color w:val="auto"/>
        </w:rPr>
      </w:pPr>
    </w:p>
    <w:p>
      <w:pPr>
        <w:ind w:left="660" w:hanging="436"/>
        <w:spacing w:after="0"/>
        <w:tabs>
          <w:tab w:leader="none" w:pos="660" w:val="left"/>
        </w:tabs>
        <w:numPr>
          <w:ilvl w:val="0"/>
          <w:numId w:val="95"/>
        </w:numPr>
        <w:rPr>
          <w:rFonts w:ascii="Arial" w:cs="Arial" w:eastAsia="Arial" w:hAnsi="Arial"/>
          <w:sz w:val="18"/>
          <w:szCs w:val="18"/>
          <w:color w:val="auto"/>
        </w:rPr>
      </w:pPr>
      <w:r>
        <w:rPr>
          <w:rFonts w:ascii="Arial" w:cs="Arial" w:eastAsia="Arial" w:hAnsi="Arial"/>
          <w:sz w:val="18"/>
          <w:szCs w:val="18"/>
          <w:color w:val="auto"/>
        </w:rPr>
        <w:t>The failure of certain of the borrower’s representations or warranties to be correct in all material respects;</w:t>
      </w:r>
    </w:p>
    <w:p>
      <w:pPr>
        <w:spacing w:after="0" w:line="90" w:lineRule="exact"/>
        <w:rPr>
          <w:rFonts w:ascii="Arial" w:cs="Arial" w:eastAsia="Arial" w:hAnsi="Arial"/>
          <w:sz w:val="18"/>
          <w:szCs w:val="18"/>
          <w:color w:val="auto"/>
        </w:rPr>
      </w:pPr>
    </w:p>
    <w:p>
      <w:pPr>
        <w:ind w:left="660" w:hanging="436"/>
        <w:spacing w:after="0"/>
        <w:tabs>
          <w:tab w:leader="none" w:pos="660" w:val="left"/>
        </w:tabs>
        <w:numPr>
          <w:ilvl w:val="0"/>
          <w:numId w:val="95"/>
        </w:numPr>
        <w:rPr>
          <w:rFonts w:ascii="Arial" w:cs="Arial" w:eastAsia="Arial" w:hAnsi="Arial"/>
          <w:sz w:val="18"/>
          <w:szCs w:val="18"/>
          <w:color w:val="auto"/>
        </w:rPr>
      </w:pPr>
      <w:r>
        <w:rPr>
          <w:rFonts w:ascii="Arial" w:cs="Arial" w:eastAsia="Arial" w:hAnsi="Arial"/>
          <w:sz w:val="18"/>
          <w:szCs w:val="18"/>
          <w:color w:val="auto"/>
        </w:rPr>
        <w:t>The failure to perform any term, covenant or agreement in the secured revolving credit agreement or related documents;</w:t>
      </w:r>
    </w:p>
    <w:p>
      <w:pPr>
        <w:spacing w:after="0" w:line="90" w:lineRule="exact"/>
        <w:rPr>
          <w:rFonts w:ascii="Arial" w:cs="Arial" w:eastAsia="Arial" w:hAnsi="Arial"/>
          <w:sz w:val="18"/>
          <w:szCs w:val="18"/>
          <w:color w:val="auto"/>
        </w:rPr>
      </w:pPr>
    </w:p>
    <w:p>
      <w:pPr>
        <w:ind w:left="660" w:hanging="436"/>
        <w:spacing w:after="0"/>
        <w:tabs>
          <w:tab w:leader="none" w:pos="660" w:val="left"/>
        </w:tabs>
        <w:numPr>
          <w:ilvl w:val="0"/>
          <w:numId w:val="95"/>
        </w:numPr>
        <w:rPr>
          <w:rFonts w:ascii="Arial" w:cs="Arial" w:eastAsia="Arial" w:hAnsi="Arial"/>
          <w:sz w:val="18"/>
          <w:szCs w:val="18"/>
          <w:color w:val="auto"/>
        </w:rPr>
      </w:pPr>
      <w:r>
        <w:rPr>
          <w:rFonts w:ascii="Arial" w:cs="Arial" w:eastAsia="Arial" w:hAnsi="Arial"/>
          <w:sz w:val="18"/>
          <w:szCs w:val="18"/>
          <w:color w:val="auto"/>
        </w:rPr>
        <w:t>The existence of certain judgments that are not vacated, discharged, stayed or bonded;</w:t>
      </w:r>
    </w:p>
    <w:p>
      <w:pPr>
        <w:spacing w:after="0" w:line="90" w:lineRule="exact"/>
        <w:rPr>
          <w:rFonts w:ascii="Arial" w:cs="Arial" w:eastAsia="Arial" w:hAnsi="Arial"/>
          <w:sz w:val="18"/>
          <w:szCs w:val="18"/>
          <w:color w:val="auto"/>
        </w:rPr>
      </w:pPr>
    </w:p>
    <w:p>
      <w:pPr>
        <w:ind w:left="660" w:hanging="436"/>
        <w:spacing w:after="0"/>
        <w:tabs>
          <w:tab w:leader="none" w:pos="660" w:val="left"/>
        </w:tabs>
        <w:numPr>
          <w:ilvl w:val="0"/>
          <w:numId w:val="95"/>
        </w:numPr>
        <w:rPr>
          <w:rFonts w:ascii="Arial" w:cs="Arial" w:eastAsia="Arial" w:hAnsi="Arial"/>
          <w:sz w:val="18"/>
          <w:szCs w:val="18"/>
          <w:color w:val="auto"/>
        </w:rPr>
      </w:pPr>
      <w:r>
        <w:rPr>
          <w:rFonts w:ascii="Arial" w:cs="Arial" w:eastAsia="Arial" w:hAnsi="Arial"/>
          <w:sz w:val="18"/>
          <w:szCs w:val="18"/>
          <w:color w:val="auto"/>
        </w:rPr>
        <w:t>Certain cross defaults or cross accelerations with certain other debt;</w:t>
      </w:r>
    </w:p>
    <w:p>
      <w:pPr>
        <w:spacing w:after="0" w:line="90" w:lineRule="exact"/>
        <w:rPr>
          <w:rFonts w:ascii="Arial" w:cs="Arial" w:eastAsia="Arial" w:hAnsi="Arial"/>
          <w:sz w:val="18"/>
          <w:szCs w:val="18"/>
          <w:color w:val="auto"/>
        </w:rPr>
      </w:pPr>
    </w:p>
    <w:p>
      <w:pPr>
        <w:ind w:left="660" w:hanging="436"/>
        <w:spacing w:after="0"/>
        <w:tabs>
          <w:tab w:leader="none" w:pos="660" w:val="left"/>
        </w:tabs>
        <w:numPr>
          <w:ilvl w:val="0"/>
          <w:numId w:val="95"/>
        </w:numPr>
        <w:rPr>
          <w:rFonts w:ascii="Arial" w:cs="Arial" w:eastAsia="Arial" w:hAnsi="Arial"/>
          <w:sz w:val="18"/>
          <w:szCs w:val="18"/>
          <w:color w:val="auto"/>
        </w:rPr>
      </w:pPr>
      <w:r>
        <w:rPr>
          <w:rFonts w:ascii="Arial" w:cs="Arial" w:eastAsia="Arial" w:hAnsi="Arial"/>
          <w:sz w:val="18"/>
          <w:szCs w:val="18"/>
          <w:color w:val="auto"/>
        </w:rPr>
        <w:t>Certain defaults under the Employee Retirement Income Security Act of 1974, as amended (ERISA);</w:t>
      </w:r>
    </w:p>
    <w:p>
      <w:pPr>
        <w:spacing w:after="0" w:line="90" w:lineRule="exact"/>
        <w:rPr>
          <w:rFonts w:ascii="Arial" w:cs="Arial" w:eastAsia="Arial" w:hAnsi="Arial"/>
          <w:sz w:val="18"/>
          <w:szCs w:val="18"/>
          <w:color w:val="auto"/>
        </w:rPr>
      </w:pPr>
    </w:p>
    <w:p>
      <w:pPr>
        <w:ind w:left="660" w:hanging="436"/>
        <w:spacing w:after="0"/>
        <w:tabs>
          <w:tab w:leader="none" w:pos="660" w:val="left"/>
        </w:tabs>
        <w:numPr>
          <w:ilvl w:val="0"/>
          <w:numId w:val="95"/>
        </w:numPr>
        <w:rPr>
          <w:rFonts w:ascii="Arial" w:cs="Arial" w:eastAsia="Arial" w:hAnsi="Arial"/>
          <w:sz w:val="18"/>
          <w:szCs w:val="18"/>
          <w:color w:val="auto"/>
        </w:rPr>
      </w:pPr>
      <w:r>
        <w:rPr>
          <w:rFonts w:ascii="Arial" w:cs="Arial" w:eastAsia="Arial" w:hAnsi="Arial"/>
          <w:sz w:val="18"/>
          <w:szCs w:val="18"/>
          <w:color w:val="auto"/>
        </w:rPr>
        <w:t>A change of control;</w:t>
      </w:r>
    </w:p>
    <w:p>
      <w:pPr>
        <w:spacing w:after="0" w:line="90" w:lineRule="exact"/>
        <w:rPr>
          <w:rFonts w:ascii="Arial" w:cs="Arial" w:eastAsia="Arial" w:hAnsi="Arial"/>
          <w:sz w:val="18"/>
          <w:szCs w:val="18"/>
          <w:color w:val="auto"/>
        </w:rPr>
      </w:pPr>
    </w:p>
    <w:p>
      <w:pPr>
        <w:ind w:left="660" w:hanging="436"/>
        <w:spacing w:after="0"/>
        <w:tabs>
          <w:tab w:leader="none" w:pos="660" w:val="left"/>
        </w:tabs>
        <w:numPr>
          <w:ilvl w:val="0"/>
          <w:numId w:val="95"/>
        </w:numPr>
        <w:rPr>
          <w:rFonts w:ascii="Arial" w:cs="Arial" w:eastAsia="Arial" w:hAnsi="Arial"/>
          <w:sz w:val="18"/>
          <w:szCs w:val="18"/>
          <w:color w:val="auto"/>
        </w:rPr>
      </w:pPr>
      <w:r>
        <w:rPr>
          <w:rFonts w:ascii="Arial" w:cs="Arial" w:eastAsia="Arial" w:hAnsi="Arial"/>
          <w:sz w:val="18"/>
          <w:szCs w:val="18"/>
          <w:color w:val="auto"/>
        </w:rPr>
        <w:t>Certain bankruptcy events; and</w:t>
      </w:r>
    </w:p>
    <w:p>
      <w:pPr>
        <w:spacing w:after="0" w:line="90" w:lineRule="exact"/>
        <w:rPr>
          <w:rFonts w:ascii="Arial" w:cs="Arial" w:eastAsia="Arial" w:hAnsi="Arial"/>
          <w:sz w:val="18"/>
          <w:szCs w:val="18"/>
          <w:color w:val="auto"/>
        </w:rPr>
      </w:pPr>
    </w:p>
    <w:p>
      <w:pPr>
        <w:ind w:left="660" w:hanging="436"/>
        <w:spacing w:after="0"/>
        <w:tabs>
          <w:tab w:leader="none" w:pos="660" w:val="left"/>
        </w:tabs>
        <w:numPr>
          <w:ilvl w:val="0"/>
          <w:numId w:val="95"/>
        </w:numPr>
        <w:rPr>
          <w:rFonts w:ascii="Arial" w:cs="Arial" w:eastAsia="Arial" w:hAnsi="Arial"/>
          <w:sz w:val="18"/>
          <w:szCs w:val="18"/>
          <w:color w:val="auto"/>
        </w:rPr>
      </w:pPr>
      <w:r>
        <w:rPr>
          <w:rFonts w:ascii="Arial" w:cs="Arial" w:eastAsia="Arial" w:hAnsi="Arial"/>
          <w:sz w:val="18"/>
          <w:szCs w:val="18"/>
          <w:color w:val="auto"/>
        </w:rPr>
        <w:t>The invalidation of the guarantees.</w:t>
      </w:r>
    </w:p>
    <w:p>
      <w:pPr>
        <w:spacing w:after="0" w:line="171" w:lineRule="exact"/>
        <w:rPr>
          <w:sz w:val="20"/>
          <w:szCs w:val="20"/>
          <w:color w:val="auto"/>
        </w:rPr>
      </w:pPr>
    </w:p>
    <w:p>
      <w:pPr>
        <w:ind w:right="180" w:firstLine="228"/>
        <w:spacing w:after="0" w:line="332" w:lineRule="auto"/>
        <w:rPr>
          <w:sz w:val="20"/>
          <w:szCs w:val="20"/>
          <w:color w:val="auto"/>
        </w:rPr>
      </w:pPr>
      <w:r>
        <w:rPr>
          <w:rFonts w:ascii="Arial" w:cs="Arial" w:eastAsia="Arial" w:hAnsi="Arial"/>
          <w:sz w:val="16"/>
          <w:szCs w:val="16"/>
          <w:color w:val="auto"/>
        </w:rPr>
        <w:t>While the occurrence and continuance of an event of default will restrict our ability to borrow under the secured revolving credit facility, the lenders will not be permitted to exercise rights or remedies against the collateral unless the obligations under secured revolving credit facility have been accelerated.</w:t>
      </w:r>
    </w:p>
    <w:p>
      <w:pPr>
        <w:spacing w:after="0" w:line="85" w:lineRule="exact"/>
        <w:rPr>
          <w:sz w:val="20"/>
          <w:szCs w:val="20"/>
          <w:color w:val="auto"/>
        </w:rPr>
      </w:pPr>
    </w:p>
    <w:p>
      <w:pPr>
        <w:ind w:right="340" w:firstLine="228"/>
        <w:spacing w:after="0" w:line="268" w:lineRule="auto"/>
        <w:rPr>
          <w:sz w:val="20"/>
          <w:szCs w:val="20"/>
          <w:color w:val="auto"/>
        </w:rPr>
      </w:pPr>
      <w:r>
        <w:rPr>
          <w:rFonts w:ascii="Arial" w:cs="Arial" w:eastAsia="Arial" w:hAnsi="Arial"/>
          <w:sz w:val="18"/>
          <w:szCs w:val="18"/>
          <w:color w:val="auto"/>
        </w:rPr>
        <w:t>The secured revolving credit facility contemplates up-front fees, arrangement fees, and ongoing commitment and other fees customary for facilities of this nature.</w:t>
      </w:r>
    </w:p>
    <w:p>
      <w:pPr>
        <w:spacing w:after="0" w:line="132"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Other Credit Facilities</w:t>
      </w:r>
    </w:p>
    <w:p>
      <w:pPr>
        <w:spacing w:after="0" w:line="171" w:lineRule="exact"/>
        <w:rPr>
          <w:sz w:val="20"/>
          <w:szCs w:val="20"/>
          <w:color w:val="auto"/>
        </w:rPr>
      </w:pPr>
    </w:p>
    <w:p>
      <w:pPr>
        <w:jc w:val="both"/>
        <w:ind w:right="140" w:firstLine="228"/>
        <w:spacing w:after="0" w:line="259" w:lineRule="auto"/>
        <w:rPr>
          <w:sz w:val="20"/>
          <w:szCs w:val="20"/>
          <w:color w:val="auto"/>
        </w:rPr>
      </w:pPr>
      <w:r>
        <w:rPr>
          <w:rFonts w:ascii="Arial" w:cs="Arial" w:eastAsia="Arial" w:hAnsi="Arial"/>
          <w:sz w:val="18"/>
          <w:szCs w:val="18"/>
          <w:color w:val="auto"/>
        </w:rPr>
        <w:t>We make use of credit facilities as a mechanism to provide additional flexibility in managing our global liquidity. These credit facilities are typically held at the subsidiary level and are geographically dispersed across all regions. The following tables summarize our committed, uncommitted and major credit facilities (dollars in millions):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820" w:type="dxa"/>
            <w:vAlign w:val="bottom"/>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2140" w:type="dxa"/>
            <w:vAlign w:val="bottom"/>
            <w:tcBorders>
              <w:bottom w:val="single" w:sz="8" w:color="auto"/>
            </w:tcBorders>
            <w:gridSpan w:val="3"/>
          </w:tcPr>
          <w:p>
            <w:pPr>
              <w:jc w:val="right"/>
              <w:ind w:right="252"/>
              <w:spacing w:after="0"/>
              <w:rPr>
                <w:sz w:val="20"/>
                <w:szCs w:val="20"/>
                <w:color w:val="auto"/>
              </w:rPr>
            </w:pPr>
            <w:r>
              <w:rPr>
                <w:rFonts w:ascii="Arial" w:cs="Arial" w:eastAsia="Arial" w:hAnsi="Arial"/>
                <w:sz w:val="14"/>
                <w:szCs w:val="14"/>
                <w:b w:val="1"/>
                <w:bCs w:val="1"/>
                <w:color w:val="auto"/>
              </w:rPr>
              <w:t>Total Credit Facilities</w:t>
            </w:r>
          </w:p>
        </w:tc>
        <w:tc>
          <w:tcPr>
            <w:tcW w:w="700" w:type="dxa"/>
            <w:vAlign w:val="bottom"/>
            <w:tcBorders>
              <w:bottom w:val="single" w:sz="8" w:color="auto"/>
            </w:tcBorders>
          </w:tcPr>
          <w:p>
            <w:pPr>
              <w:spacing w:after="0"/>
              <w:rPr>
                <w:sz w:val="14"/>
                <w:szCs w:val="14"/>
                <w:color w:val="auto"/>
              </w:rPr>
            </w:pPr>
          </w:p>
        </w:tc>
        <w:tc>
          <w:tcPr>
            <w:tcW w:w="820" w:type="dxa"/>
            <w:vAlign w:val="bottom"/>
            <w:vMerge w:val="restart"/>
          </w:tcPr>
          <w:p>
            <w:pPr>
              <w:ind w:left="140"/>
              <w:spacing w:after="0"/>
              <w:rPr>
                <w:sz w:val="20"/>
                <w:szCs w:val="20"/>
                <w:color w:val="auto"/>
              </w:rPr>
            </w:pPr>
            <w:r>
              <w:rPr>
                <w:rFonts w:ascii="Arial" w:cs="Arial" w:eastAsia="Arial" w:hAnsi="Arial"/>
                <w:sz w:val="14"/>
                <w:szCs w:val="14"/>
                <w:b w:val="1"/>
                <w:bCs w:val="1"/>
                <w:color w:val="auto"/>
                <w:w w:val="93"/>
              </w:rPr>
              <w:t>Successor</w:t>
            </w:r>
          </w:p>
        </w:tc>
        <w:tc>
          <w:tcPr>
            <w:tcW w:w="280" w:type="dxa"/>
            <w:vAlign w:val="bottom"/>
            <w:tcBorders>
              <w:bottom w:val="single" w:sz="8" w:color="auto"/>
            </w:tcBorders>
          </w:tcPr>
          <w:p>
            <w:pPr>
              <w:spacing w:after="0"/>
              <w:rPr>
                <w:sz w:val="14"/>
                <w:szCs w:val="14"/>
                <w:color w:val="auto"/>
              </w:rPr>
            </w:pPr>
          </w:p>
        </w:tc>
        <w:tc>
          <w:tcPr>
            <w:tcW w:w="2700" w:type="dxa"/>
            <w:vAlign w:val="bottom"/>
            <w:tcBorders>
              <w:bottom w:val="single" w:sz="8" w:color="auto"/>
            </w:tcBorders>
            <w:gridSpan w:val="4"/>
          </w:tcPr>
          <w:p>
            <w:pPr>
              <w:jc w:val="right"/>
              <w:ind w:right="32"/>
              <w:spacing w:after="0"/>
              <w:rPr>
                <w:sz w:val="20"/>
                <w:szCs w:val="20"/>
                <w:color w:val="auto"/>
              </w:rPr>
            </w:pPr>
            <w:r>
              <w:rPr>
                <w:rFonts w:ascii="Arial" w:cs="Arial" w:eastAsia="Arial" w:hAnsi="Arial"/>
                <w:sz w:val="14"/>
                <w:szCs w:val="14"/>
                <w:b w:val="1"/>
                <w:bCs w:val="1"/>
                <w:color w:val="auto"/>
                <w:w w:val="93"/>
              </w:rPr>
              <w:t>Amounts Available under Credit Facilities</w:t>
            </w:r>
          </w:p>
        </w:tc>
        <w:tc>
          <w:tcPr>
            <w:tcW w:w="3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820" w:type="dxa"/>
            <w:vAlign w:val="bottom"/>
          </w:tcPr>
          <w:p>
            <w:pPr>
              <w:spacing w:after="0"/>
              <w:rPr>
                <w:sz w:val="12"/>
                <w:szCs w:val="12"/>
                <w:color w:val="auto"/>
              </w:rPr>
            </w:pPr>
          </w:p>
        </w:tc>
        <w:tc>
          <w:tcPr>
            <w:tcW w:w="48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spacing w:after="0"/>
              <w:rPr>
                <w:sz w:val="12"/>
                <w:szCs w:val="12"/>
                <w:color w:val="auto"/>
              </w:rPr>
            </w:pPr>
          </w:p>
        </w:tc>
        <w:tc>
          <w:tcPr>
            <w:tcW w:w="52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vMerge w:val="continue"/>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1000" w:type="dxa"/>
            <w:vAlign w:val="bottom"/>
            <w:tcBorders>
              <w:bottom w:val="single" w:sz="8" w:color="auto"/>
            </w:tcBorders>
          </w:tcPr>
          <w:p>
            <w:pPr>
              <w:spacing w:after="0"/>
              <w:rPr>
                <w:sz w:val="12"/>
                <w:szCs w:val="12"/>
                <w:color w:val="auto"/>
              </w:rPr>
            </w:pPr>
          </w:p>
        </w:tc>
        <w:tc>
          <w:tcPr>
            <w:tcW w:w="420" w:type="dxa"/>
            <w:vAlign w:val="bottom"/>
            <w:tcBorders>
              <w:bottom w:val="single" w:sz="8" w:color="auto"/>
            </w:tcBorders>
          </w:tcPr>
          <w:p>
            <w:pPr>
              <w:spacing w:after="0"/>
              <w:rPr>
                <w:sz w:val="12"/>
                <w:szCs w:val="12"/>
                <w:color w:val="auto"/>
              </w:rPr>
            </w:pPr>
          </w:p>
        </w:tc>
        <w:tc>
          <w:tcPr>
            <w:tcW w:w="42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tcPr>
          <w:p>
            <w:pPr>
              <w:spacing w:after="0"/>
              <w:rPr>
                <w:sz w:val="12"/>
                <w:szCs w:val="12"/>
                <w:color w:val="auto"/>
              </w:rPr>
            </w:pPr>
          </w:p>
        </w:tc>
        <w:tc>
          <w:tcPr>
            <w:tcW w:w="36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820" w:type="dxa"/>
            <w:vAlign w:val="bottom"/>
          </w:tcPr>
          <w:p>
            <w:pPr>
              <w:spacing w:after="0"/>
              <w:rPr>
                <w:sz w:val="12"/>
                <w:szCs w:val="12"/>
                <w:color w:val="auto"/>
              </w:rPr>
            </w:pPr>
          </w:p>
        </w:tc>
        <w:tc>
          <w:tcPr>
            <w:tcW w:w="1280" w:type="dxa"/>
            <w:vAlign w:val="bottom"/>
            <w:tcBorders>
              <w:bottom w:val="single" w:sz="8" w:color="auto"/>
            </w:tcBorders>
            <w:gridSpan w:val="2"/>
          </w:tcPr>
          <w:p>
            <w:pPr>
              <w:jc w:val="right"/>
              <w:spacing w:after="0" w:line="142" w:lineRule="exact"/>
              <w:rPr>
                <w:sz w:val="20"/>
                <w:szCs w:val="20"/>
                <w:color w:val="auto"/>
              </w:rPr>
            </w:pPr>
            <w:r>
              <w:rPr>
                <w:rFonts w:ascii="Arial" w:cs="Arial" w:eastAsia="Arial" w:hAnsi="Arial"/>
                <w:sz w:val="14"/>
                <w:szCs w:val="14"/>
                <w:b w:val="1"/>
                <w:bCs w:val="1"/>
                <w:color w:val="auto"/>
                <w:w w:val="90"/>
              </w:rPr>
              <w:t>September 30, 2010</w:t>
            </w:r>
          </w:p>
        </w:tc>
        <w:tc>
          <w:tcPr>
            <w:tcW w:w="820" w:type="dxa"/>
            <w:vAlign w:val="bottom"/>
          </w:tcPr>
          <w:p>
            <w:pPr>
              <w:spacing w:after="0"/>
              <w:rPr>
                <w:sz w:val="12"/>
                <w:szCs w:val="12"/>
                <w:color w:val="auto"/>
              </w:rPr>
            </w:pPr>
          </w:p>
        </w:tc>
        <w:tc>
          <w:tcPr>
            <w:tcW w:w="1220" w:type="dxa"/>
            <w:vAlign w:val="bottom"/>
            <w:tcBorders>
              <w:bottom w:val="single" w:sz="8" w:color="auto"/>
            </w:tcBorders>
            <w:gridSpan w:val="2"/>
          </w:tcPr>
          <w:p>
            <w:pPr>
              <w:jc w:val="right"/>
              <w:spacing w:after="0" w:line="142" w:lineRule="exact"/>
              <w:rPr>
                <w:sz w:val="20"/>
                <w:szCs w:val="20"/>
                <w:color w:val="auto"/>
              </w:rPr>
            </w:pPr>
            <w:r>
              <w:rPr>
                <w:rFonts w:ascii="Arial" w:cs="Arial" w:eastAsia="Arial" w:hAnsi="Arial"/>
                <w:sz w:val="14"/>
                <w:szCs w:val="14"/>
                <w:b w:val="1"/>
                <w:bCs w:val="1"/>
                <w:color w:val="auto"/>
                <w:w w:val="90"/>
              </w:rPr>
              <w:t>December 31, 2009</w:t>
            </w:r>
          </w:p>
        </w:tc>
        <w:tc>
          <w:tcPr>
            <w:tcW w:w="820" w:type="dxa"/>
            <w:vAlign w:val="bottom"/>
          </w:tcPr>
          <w:p>
            <w:pPr>
              <w:spacing w:after="0"/>
              <w:rPr>
                <w:sz w:val="12"/>
                <w:szCs w:val="12"/>
                <w:color w:val="auto"/>
              </w:rPr>
            </w:pPr>
          </w:p>
        </w:tc>
        <w:tc>
          <w:tcPr>
            <w:tcW w:w="1280" w:type="dxa"/>
            <w:vAlign w:val="bottom"/>
            <w:tcBorders>
              <w:bottom w:val="single" w:sz="8" w:color="auto"/>
            </w:tcBorders>
            <w:gridSpan w:val="2"/>
          </w:tcPr>
          <w:p>
            <w:pPr>
              <w:jc w:val="right"/>
              <w:spacing w:after="0" w:line="142" w:lineRule="exact"/>
              <w:rPr>
                <w:sz w:val="20"/>
                <w:szCs w:val="20"/>
                <w:color w:val="auto"/>
              </w:rPr>
            </w:pPr>
            <w:r>
              <w:rPr>
                <w:rFonts w:ascii="Arial" w:cs="Arial" w:eastAsia="Arial" w:hAnsi="Arial"/>
                <w:sz w:val="14"/>
                <w:szCs w:val="14"/>
                <w:b w:val="1"/>
                <w:bCs w:val="1"/>
                <w:color w:val="auto"/>
                <w:w w:val="90"/>
              </w:rPr>
              <w:t>September 30, 2010</w:t>
            </w:r>
          </w:p>
        </w:tc>
        <w:tc>
          <w:tcPr>
            <w:tcW w:w="4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220" w:type="dxa"/>
            <w:vAlign w:val="bottom"/>
            <w:tcBorders>
              <w:bottom w:val="single" w:sz="8" w:color="auto"/>
            </w:tcBorders>
            <w:gridSpan w:val="2"/>
          </w:tcPr>
          <w:p>
            <w:pPr>
              <w:jc w:val="right"/>
              <w:spacing w:after="0" w:line="142" w:lineRule="exact"/>
              <w:rPr>
                <w:sz w:val="20"/>
                <w:szCs w:val="20"/>
                <w:color w:val="auto"/>
              </w:rPr>
            </w:pPr>
            <w:r>
              <w:rPr>
                <w:rFonts w:ascii="Arial" w:cs="Arial" w:eastAsia="Arial" w:hAnsi="Arial"/>
                <w:sz w:val="14"/>
                <w:szCs w:val="14"/>
                <w:b w:val="1"/>
                <w:bCs w:val="1"/>
                <w:color w:val="auto"/>
                <w:w w:val="90"/>
              </w:rPr>
              <w:t>December 31, 2009</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820" w:type="dxa"/>
            <w:vAlign w:val="bottom"/>
            <w:shd w:val="clear" w:color="auto" w:fill="CCEEFF"/>
          </w:tcPr>
          <w:p>
            <w:pPr>
              <w:spacing w:after="0"/>
              <w:rPr>
                <w:sz w:val="20"/>
                <w:szCs w:val="20"/>
                <w:color w:val="auto"/>
              </w:rPr>
            </w:pPr>
            <w:r>
              <w:rPr>
                <w:rFonts w:ascii="Arial" w:cs="Arial" w:eastAsia="Arial" w:hAnsi="Arial"/>
                <w:sz w:val="18"/>
                <w:szCs w:val="18"/>
                <w:color w:val="auto"/>
              </w:rPr>
              <w:t>Committed</w:t>
            </w:r>
          </w:p>
        </w:tc>
        <w:tc>
          <w:tcPr>
            <w:tcW w:w="480" w:type="dxa"/>
            <w:vAlign w:val="bottom"/>
            <w:shd w:val="clear" w:color="auto" w:fill="CCEEFF"/>
          </w:tcPr>
          <w:p>
            <w:pPr>
              <w:jc w:val="right"/>
              <w:ind w:right="299"/>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2,114</w:t>
            </w:r>
          </w:p>
        </w:tc>
        <w:tc>
          <w:tcPr>
            <w:tcW w:w="1340" w:type="dxa"/>
            <w:vAlign w:val="bottom"/>
            <w:gridSpan w:val="2"/>
            <w:shd w:val="clear" w:color="auto" w:fill="CCEEFF"/>
          </w:tcPr>
          <w:p>
            <w:pPr>
              <w:jc w:val="right"/>
              <w:ind w:right="372"/>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1,712</w:t>
            </w:r>
          </w:p>
        </w:tc>
        <w:tc>
          <w:tcPr>
            <w:tcW w:w="1100" w:type="dxa"/>
            <w:vAlign w:val="bottom"/>
            <w:gridSpan w:val="2"/>
            <w:shd w:val="clear" w:color="auto" w:fill="CCEEFF"/>
          </w:tcPr>
          <w:p>
            <w:pPr>
              <w:jc w:val="right"/>
              <w:ind w:right="112"/>
              <w:spacing w:after="0"/>
              <w:rPr>
                <w:sz w:val="20"/>
                <w:szCs w:val="20"/>
                <w:color w:val="auto"/>
              </w:rPr>
            </w:pPr>
            <w:r>
              <w:rPr>
                <w:rFonts w:ascii="Arial" w:cs="Arial" w:eastAsia="Arial" w:hAnsi="Arial"/>
                <w:sz w:val="18"/>
                <w:szCs w:val="18"/>
                <w:color w:val="auto"/>
              </w:rPr>
              <w:t>$</w:t>
            </w:r>
          </w:p>
        </w:tc>
        <w:tc>
          <w:tcPr>
            <w:tcW w:w="142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497</w:t>
            </w:r>
          </w:p>
        </w:tc>
        <w:tc>
          <w:tcPr>
            <w:tcW w:w="1280" w:type="dxa"/>
            <w:vAlign w:val="bottom"/>
            <w:gridSpan w:val="2"/>
            <w:shd w:val="clear" w:color="auto" w:fill="CCEEFF"/>
          </w:tcPr>
          <w:p>
            <w:pPr>
              <w:jc w:val="right"/>
              <w:ind w:right="712"/>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820" w:type="dxa"/>
            <w:vAlign w:val="bottom"/>
          </w:tcPr>
          <w:p>
            <w:pPr>
              <w:spacing w:after="0"/>
              <w:rPr>
                <w:sz w:val="20"/>
                <w:szCs w:val="20"/>
                <w:color w:val="auto"/>
              </w:rPr>
            </w:pPr>
            <w:r>
              <w:rPr>
                <w:rFonts w:ascii="Arial" w:cs="Arial" w:eastAsia="Arial" w:hAnsi="Arial"/>
                <w:sz w:val="18"/>
                <w:szCs w:val="18"/>
                <w:color w:val="auto"/>
              </w:rPr>
              <w:t>Uncommitted</w:t>
            </w:r>
          </w:p>
        </w:tc>
        <w:tc>
          <w:tcPr>
            <w:tcW w:w="48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992</w:t>
            </w:r>
          </w:p>
        </w:tc>
        <w:tc>
          <w:tcPr>
            <w:tcW w:w="820" w:type="dxa"/>
            <w:vAlign w:val="bottom"/>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842</w:t>
            </w:r>
          </w:p>
        </w:tc>
        <w:tc>
          <w:tcPr>
            <w:tcW w:w="82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822</w:t>
            </w:r>
          </w:p>
        </w:tc>
        <w:tc>
          <w:tcPr>
            <w:tcW w:w="4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6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2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480" w:type="dxa"/>
            <w:vAlign w:val="bottom"/>
            <w:shd w:val="clear" w:color="auto" w:fill="CCEEFF"/>
          </w:tcPr>
          <w:p>
            <w:pPr>
              <w:jc w:val="right"/>
              <w:ind w:right="299"/>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3,106</w:t>
            </w:r>
          </w:p>
        </w:tc>
        <w:tc>
          <w:tcPr>
            <w:tcW w:w="1340" w:type="dxa"/>
            <w:vAlign w:val="bottom"/>
            <w:gridSpan w:val="2"/>
            <w:shd w:val="clear" w:color="auto" w:fill="CCEEFF"/>
          </w:tcPr>
          <w:p>
            <w:pPr>
              <w:jc w:val="right"/>
              <w:ind w:right="372"/>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2,554</w:t>
            </w:r>
          </w:p>
        </w:tc>
        <w:tc>
          <w:tcPr>
            <w:tcW w:w="1100" w:type="dxa"/>
            <w:vAlign w:val="bottom"/>
            <w:gridSpan w:val="2"/>
            <w:shd w:val="clear" w:color="auto" w:fill="CCEEFF"/>
          </w:tcPr>
          <w:p>
            <w:pPr>
              <w:jc w:val="right"/>
              <w:ind w:right="112"/>
              <w:spacing w:after="0"/>
              <w:rPr>
                <w:sz w:val="20"/>
                <w:szCs w:val="20"/>
                <w:color w:val="auto"/>
              </w:rPr>
            </w:pPr>
            <w:r>
              <w:rPr>
                <w:rFonts w:ascii="Arial" w:cs="Arial" w:eastAsia="Arial" w:hAnsi="Arial"/>
                <w:sz w:val="18"/>
                <w:szCs w:val="18"/>
                <w:color w:val="auto"/>
              </w:rPr>
              <w:t>$</w:t>
            </w:r>
          </w:p>
        </w:tc>
        <w:tc>
          <w:tcPr>
            <w:tcW w:w="142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1,319</w:t>
            </w:r>
          </w:p>
        </w:tc>
        <w:tc>
          <w:tcPr>
            <w:tcW w:w="1280" w:type="dxa"/>
            <w:vAlign w:val="bottom"/>
            <w:gridSpan w:val="2"/>
            <w:shd w:val="clear" w:color="auto" w:fill="CCEEFF"/>
          </w:tcPr>
          <w:p>
            <w:pPr>
              <w:jc w:val="right"/>
              <w:ind w:right="712"/>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82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vMerge w:val="restart"/>
          </w:tcPr>
          <w:p>
            <w:pPr>
              <w:jc w:val="right"/>
              <w:ind w:right="12"/>
              <w:spacing w:after="0"/>
              <w:rPr>
                <w:sz w:val="20"/>
                <w:szCs w:val="20"/>
                <w:color w:val="auto"/>
              </w:rPr>
            </w:pPr>
            <w:r>
              <w:rPr>
                <w:rFonts w:ascii="Arial" w:cs="Arial" w:eastAsia="Arial" w:hAnsi="Arial"/>
                <w:sz w:val="18"/>
                <w:szCs w:val="18"/>
                <w:color w:val="auto"/>
              </w:rPr>
              <w:t>127</w:t>
            </w:r>
          </w:p>
        </w:tc>
        <w:tc>
          <w:tcPr>
            <w:tcW w:w="5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7"/>
        </w:trPr>
        <w:tc>
          <w:tcPr>
            <w:tcW w:w="20" w:type="dxa"/>
            <w:vAlign w:val="bottom"/>
          </w:tcPr>
          <w:p>
            <w:pPr>
              <w:spacing w:after="0"/>
              <w:rPr>
                <w:sz w:val="24"/>
                <w:szCs w:val="24"/>
                <w:color w:val="auto"/>
              </w:rPr>
            </w:pPr>
          </w:p>
        </w:tc>
        <w:tc>
          <w:tcPr>
            <w:tcW w:w="38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20" w:type="dxa"/>
            <w:vAlign w:val="bottom"/>
            <w:vMerge w:val="continue"/>
          </w:tcPr>
          <w:p>
            <w:pPr>
              <w:spacing w:after="0"/>
              <w:rPr>
                <w:sz w:val="24"/>
                <w:szCs w:val="24"/>
                <w:color w:val="auto"/>
              </w:rPr>
            </w:pPr>
          </w:p>
        </w:tc>
        <w:tc>
          <w:tcPr>
            <w:tcW w:w="5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129" w:name="page130"/>
    <w:bookmarkEnd w:id="1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33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520" w:type="dxa"/>
            <w:vAlign w:val="bottom"/>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2100" w:type="dxa"/>
            <w:vAlign w:val="bottom"/>
            <w:tcBorders>
              <w:bottom w:val="single" w:sz="8" w:color="auto"/>
            </w:tcBorders>
            <w:gridSpan w:val="3"/>
          </w:tcPr>
          <w:p>
            <w:pPr>
              <w:jc w:val="right"/>
              <w:ind w:right="219"/>
              <w:spacing w:after="0"/>
              <w:rPr>
                <w:sz w:val="20"/>
                <w:szCs w:val="20"/>
                <w:color w:val="auto"/>
              </w:rPr>
            </w:pPr>
            <w:r>
              <w:rPr>
                <w:rFonts w:ascii="Arial" w:cs="Arial" w:eastAsia="Arial" w:hAnsi="Arial"/>
                <w:sz w:val="14"/>
                <w:szCs w:val="14"/>
                <w:b w:val="1"/>
                <w:bCs w:val="1"/>
                <w:color w:val="auto"/>
              </w:rPr>
              <w:t>Total Credit Facilities</w:t>
            </w:r>
          </w:p>
        </w:tc>
        <w:tc>
          <w:tcPr>
            <w:tcW w:w="72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740" w:type="dxa"/>
            <w:vAlign w:val="bottom"/>
            <w:vMerge w:val="restart"/>
          </w:tcPr>
          <w:p>
            <w:pPr>
              <w:ind w:left="60"/>
              <w:spacing w:after="0"/>
              <w:rPr>
                <w:sz w:val="20"/>
                <w:szCs w:val="20"/>
                <w:color w:val="auto"/>
              </w:rPr>
            </w:pPr>
            <w:r>
              <w:rPr>
                <w:rFonts w:ascii="Arial" w:cs="Arial" w:eastAsia="Arial" w:hAnsi="Arial"/>
                <w:sz w:val="14"/>
                <w:szCs w:val="14"/>
                <w:b w:val="1"/>
                <w:bCs w:val="1"/>
                <w:color w:val="auto"/>
                <w:w w:val="93"/>
              </w:rPr>
              <w:t>Successor</w:t>
            </w:r>
          </w:p>
        </w:tc>
        <w:tc>
          <w:tcPr>
            <w:tcW w:w="260" w:type="dxa"/>
            <w:vAlign w:val="bottom"/>
            <w:tcBorders>
              <w:bottom w:val="single" w:sz="8" w:color="auto"/>
            </w:tcBorders>
          </w:tcPr>
          <w:p>
            <w:pPr>
              <w:spacing w:after="0"/>
              <w:rPr>
                <w:sz w:val="14"/>
                <w:szCs w:val="14"/>
                <w:color w:val="auto"/>
              </w:rPr>
            </w:pPr>
          </w:p>
        </w:tc>
        <w:tc>
          <w:tcPr>
            <w:tcW w:w="2680" w:type="dxa"/>
            <w:vAlign w:val="bottom"/>
            <w:tcBorders>
              <w:bottom w:val="single" w:sz="8" w:color="auto"/>
            </w:tcBorders>
            <w:gridSpan w:val="3"/>
          </w:tcPr>
          <w:p>
            <w:pPr>
              <w:jc w:val="right"/>
              <w:ind w:right="32"/>
              <w:spacing w:after="0"/>
              <w:rPr>
                <w:sz w:val="20"/>
                <w:szCs w:val="20"/>
                <w:color w:val="auto"/>
              </w:rPr>
            </w:pPr>
            <w:r>
              <w:rPr>
                <w:rFonts w:ascii="Arial" w:cs="Arial" w:eastAsia="Arial" w:hAnsi="Arial"/>
                <w:sz w:val="14"/>
                <w:szCs w:val="14"/>
                <w:b w:val="1"/>
                <w:bCs w:val="1"/>
                <w:color w:val="auto"/>
                <w:w w:val="92"/>
              </w:rPr>
              <w:t>Amounts Available under Credit Facilities</w:t>
            </w:r>
          </w:p>
        </w:tc>
        <w:tc>
          <w:tcPr>
            <w:tcW w:w="3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1420" w:type="dxa"/>
            <w:vAlign w:val="bottom"/>
            <w:gridSpan w:val="3"/>
            <w:vMerge w:val="restart"/>
          </w:tcPr>
          <w:p>
            <w:pPr>
              <w:spacing w:after="0"/>
              <w:rPr>
                <w:sz w:val="20"/>
                <w:szCs w:val="20"/>
                <w:color w:val="auto"/>
              </w:rPr>
            </w:pPr>
            <w:r>
              <w:rPr>
                <w:rFonts w:ascii="Arial" w:cs="Arial" w:eastAsia="Arial" w:hAnsi="Arial"/>
                <w:sz w:val="14"/>
                <w:szCs w:val="14"/>
                <w:b w:val="1"/>
                <w:bCs w:val="1"/>
                <w:color w:val="auto"/>
                <w:w w:val="96"/>
              </w:rPr>
              <w:t>Major Credit Facilities</w:t>
            </w:r>
          </w:p>
        </w:tc>
        <w:tc>
          <w:tcPr>
            <w:tcW w:w="2520" w:type="dxa"/>
            <w:vAlign w:val="bottom"/>
          </w:tcPr>
          <w:p>
            <w:pPr>
              <w:spacing w:after="0"/>
              <w:rPr>
                <w:sz w:val="12"/>
                <w:szCs w:val="12"/>
                <w:color w:val="auto"/>
              </w:rPr>
            </w:pPr>
          </w:p>
        </w:tc>
        <w:tc>
          <w:tcPr>
            <w:tcW w:w="48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spacing w:after="0"/>
              <w:rPr>
                <w:sz w:val="12"/>
                <w:szCs w:val="12"/>
                <w:color w:val="auto"/>
              </w:rPr>
            </w:pPr>
          </w:p>
        </w:tc>
        <w:tc>
          <w:tcPr>
            <w:tcW w:w="52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vMerge w:val="continue"/>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100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spacing w:after="0"/>
              <w:rPr>
                <w:sz w:val="12"/>
                <w:szCs w:val="12"/>
                <w:color w:val="auto"/>
              </w:rPr>
            </w:pPr>
          </w:p>
        </w:tc>
        <w:tc>
          <w:tcPr>
            <w:tcW w:w="34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1420" w:type="dxa"/>
            <w:vAlign w:val="bottom"/>
            <w:gridSpan w:val="3"/>
            <w:vMerge w:val="continue"/>
          </w:tcPr>
          <w:p>
            <w:pPr>
              <w:spacing w:after="0"/>
              <w:rPr>
                <w:sz w:val="12"/>
                <w:szCs w:val="12"/>
                <w:color w:val="auto"/>
              </w:rPr>
            </w:pPr>
          </w:p>
        </w:tc>
        <w:tc>
          <w:tcPr>
            <w:tcW w:w="2520" w:type="dxa"/>
            <w:vAlign w:val="bottom"/>
          </w:tcPr>
          <w:p>
            <w:pPr>
              <w:spacing w:after="0"/>
              <w:rPr>
                <w:sz w:val="12"/>
                <w:szCs w:val="12"/>
                <w:color w:val="auto"/>
              </w:rPr>
            </w:pPr>
          </w:p>
        </w:tc>
        <w:tc>
          <w:tcPr>
            <w:tcW w:w="2060" w:type="dxa"/>
            <w:vAlign w:val="bottom"/>
            <w:gridSpan w:val="3"/>
          </w:tcPr>
          <w:p>
            <w:pPr>
              <w:jc w:val="right"/>
              <w:ind w:right="860"/>
              <w:spacing w:after="0" w:line="142" w:lineRule="exact"/>
              <w:rPr>
                <w:sz w:val="20"/>
                <w:szCs w:val="20"/>
                <w:color w:val="auto"/>
              </w:rPr>
            </w:pPr>
            <w:r>
              <w:rPr>
                <w:rFonts w:ascii="Arial" w:cs="Arial" w:eastAsia="Arial" w:hAnsi="Arial"/>
                <w:sz w:val="14"/>
                <w:szCs w:val="14"/>
                <w:b w:val="1"/>
                <w:bCs w:val="1"/>
                <w:color w:val="auto"/>
                <w:w w:val="90"/>
              </w:rPr>
              <w:t>September 30, 2010</w:t>
            </w:r>
          </w:p>
        </w:tc>
        <w:tc>
          <w:tcPr>
            <w:tcW w:w="1300" w:type="dxa"/>
            <w:vAlign w:val="bottom"/>
            <w:gridSpan w:val="3"/>
          </w:tcPr>
          <w:p>
            <w:pPr>
              <w:ind w:left="80"/>
              <w:spacing w:after="0" w:line="142" w:lineRule="exact"/>
              <w:rPr>
                <w:sz w:val="20"/>
                <w:szCs w:val="20"/>
                <w:color w:val="auto"/>
              </w:rPr>
            </w:pPr>
            <w:r>
              <w:rPr>
                <w:rFonts w:ascii="Arial" w:cs="Arial" w:eastAsia="Arial" w:hAnsi="Arial"/>
                <w:sz w:val="14"/>
                <w:szCs w:val="14"/>
                <w:b w:val="1"/>
                <w:bCs w:val="1"/>
                <w:color w:val="auto"/>
                <w:w w:val="95"/>
              </w:rPr>
              <w:t>December 31, 2009</w:t>
            </w:r>
          </w:p>
        </w:tc>
        <w:tc>
          <w:tcPr>
            <w:tcW w:w="740" w:type="dxa"/>
            <w:vAlign w:val="bottom"/>
          </w:tcPr>
          <w:p>
            <w:pPr>
              <w:spacing w:after="0"/>
              <w:rPr>
                <w:sz w:val="12"/>
                <w:szCs w:val="12"/>
                <w:color w:val="auto"/>
              </w:rPr>
            </w:pPr>
          </w:p>
        </w:tc>
        <w:tc>
          <w:tcPr>
            <w:tcW w:w="1260" w:type="dxa"/>
            <w:vAlign w:val="bottom"/>
            <w:gridSpan w:val="2"/>
          </w:tcPr>
          <w:p>
            <w:pPr>
              <w:jc w:val="right"/>
              <w:spacing w:after="0" w:line="142" w:lineRule="exact"/>
              <w:rPr>
                <w:sz w:val="20"/>
                <w:szCs w:val="20"/>
                <w:color w:val="auto"/>
              </w:rPr>
            </w:pPr>
            <w:r>
              <w:rPr>
                <w:rFonts w:ascii="Arial" w:cs="Arial" w:eastAsia="Arial" w:hAnsi="Arial"/>
                <w:sz w:val="14"/>
                <w:szCs w:val="14"/>
                <w:b w:val="1"/>
                <w:bCs w:val="1"/>
                <w:color w:val="auto"/>
                <w:w w:val="88"/>
              </w:rPr>
              <w:t>September 30, 2010</w:t>
            </w:r>
          </w:p>
        </w:tc>
        <w:tc>
          <w:tcPr>
            <w:tcW w:w="800" w:type="dxa"/>
            <w:vAlign w:val="bottom"/>
          </w:tcPr>
          <w:p>
            <w:pPr>
              <w:spacing w:after="0"/>
              <w:rPr>
                <w:sz w:val="12"/>
                <w:szCs w:val="12"/>
                <w:color w:val="auto"/>
              </w:rPr>
            </w:pPr>
          </w:p>
        </w:tc>
        <w:tc>
          <w:tcPr>
            <w:tcW w:w="1220" w:type="dxa"/>
            <w:vAlign w:val="bottom"/>
            <w:gridSpan w:val="2"/>
          </w:tcPr>
          <w:p>
            <w:pPr>
              <w:jc w:val="right"/>
              <w:spacing w:after="0" w:line="142" w:lineRule="exact"/>
              <w:rPr>
                <w:sz w:val="20"/>
                <w:szCs w:val="20"/>
                <w:color w:val="auto"/>
              </w:rPr>
            </w:pPr>
            <w:r>
              <w:rPr>
                <w:rFonts w:ascii="Arial" w:cs="Arial" w:eastAsia="Arial" w:hAnsi="Arial"/>
                <w:sz w:val="14"/>
                <w:szCs w:val="14"/>
                <w:b w:val="1"/>
                <w:bCs w:val="1"/>
                <w:color w:val="auto"/>
                <w:w w:val="90"/>
              </w:rPr>
              <w:t>December 31, 2009</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252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14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GM Daewoo</w:t>
            </w:r>
          </w:p>
        </w:tc>
        <w:tc>
          <w:tcPr>
            <w:tcW w:w="3000" w:type="dxa"/>
            <w:vAlign w:val="bottom"/>
            <w:gridSpan w:val="2"/>
            <w:shd w:val="clear" w:color="auto" w:fill="CCEEFF"/>
          </w:tcPr>
          <w:p>
            <w:pPr>
              <w:jc w:val="right"/>
              <w:ind w:right="332"/>
              <w:spacing w:after="0"/>
              <w:rPr>
                <w:sz w:val="20"/>
                <w:szCs w:val="20"/>
                <w:color w:val="auto"/>
              </w:rPr>
            </w:pPr>
            <w:r>
              <w:rPr>
                <w:rFonts w:ascii="Arial" w:cs="Arial" w:eastAsia="Arial" w:hAnsi="Arial"/>
                <w:sz w:val="18"/>
                <w:szCs w:val="18"/>
                <w:color w:val="auto"/>
              </w:rPr>
              <w:t>$</w:t>
            </w:r>
          </w:p>
        </w:tc>
        <w:tc>
          <w:tcPr>
            <w:tcW w:w="1580" w:type="dxa"/>
            <w:vAlign w:val="bottom"/>
            <w:gridSpan w:val="2"/>
            <w:shd w:val="clear" w:color="auto" w:fill="CCEEFF"/>
          </w:tcPr>
          <w:p>
            <w:pPr>
              <w:jc w:val="right"/>
              <w:ind w:right="800"/>
              <w:spacing w:after="0"/>
              <w:rPr>
                <w:sz w:val="20"/>
                <w:szCs w:val="20"/>
                <w:color w:val="auto"/>
              </w:rPr>
            </w:pPr>
            <w:r>
              <w:rPr>
                <w:rFonts w:ascii="Arial" w:cs="Arial" w:eastAsia="Arial" w:hAnsi="Arial"/>
                <w:sz w:val="18"/>
                <w:szCs w:val="18"/>
                <w:color w:val="auto"/>
              </w:rPr>
              <w:t>1,205</w:t>
            </w:r>
          </w:p>
        </w:tc>
        <w:tc>
          <w:tcPr>
            <w:tcW w:w="520" w:type="dxa"/>
            <w:vAlign w:val="bottom"/>
            <w:shd w:val="clear" w:color="auto" w:fill="CCEEFF"/>
          </w:tcPr>
          <w:p>
            <w:pPr>
              <w:jc w:val="right"/>
              <w:ind w:right="339"/>
              <w:spacing w:after="0"/>
              <w:rPr>
                <w:sz w:val="20"/>
                <w:szCs w:val="20"/>
                <w:color w:val="auto"/>
              </w:rPr>
            </w:pPr>
            <w:r>
              <w:rPr>
                <w:rFonts w:ascii="Arial" w:cs="Arial" w:eastAsia="Arial" w:hAnsi="Arial"/>
                <w:sz w:val="18"/>
                <w:szCs w:val="18"/>
                <w:color w:val="auto"/>
                <w:w w:val="79"/>
              </w:rPr>
              <w:t>$</w:t>
            </w: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1,179</w:t>
            </w:r>
          </w:p>
        </w:tc>
        <w:tc>
          <w:tcPr>
            <w:tcW w:w="1000" w:type="dxa"/>
            <w:vAlign w:val="bottom"/>
            <w:gridSpan w:val="2"/>
            <w:shd w:val="clear" w:color="auto" w:fill="CCEEFF"/>
          </w:tcPr>
          <w:p>
            <w:pPr>
              <w:jc w:val="right"/>
              <w:ind w:right="112"/>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219</w:t>
            </w:r>
          </w:p>
        </w:tc>
        <w:tc>
          <w:tcPr>
            <w:tcW w:w="1680" w:type="dxa"/>
            <w:vAlign w:val="bottom"/>
            <w:gridSpan w:val="2"/>
            <w:shd w:val="clear" w:color="auto" w:fill="CCEEFF"/>
          </w:tcPr>
          <w:p>
            <w:pPr>
              <w:jc w:val="right"/>
              <w:ind w:right="732"/>
              <w:spacing w:after="0"/>
              <w:rPr>
                <w:sz w:val="20"/>
                <w:szCs w:val="20"/>
                <w:color w:val="auto"/>
              </w:rPr>
            </w:pPr>
            <w:r>
              <w:rPr>
                <w:rFonts w:ascii="Arial" w:cs="Arial" w:eastAsia="Arial" w:hAnsi="Arial"/>
                <w:sz w:val="18"/>
                <w:szCs w:val="18"/>
                <w:color w:val="auto"/>
              </w:rPr>
              <w:t>$</w:t>
            </w:r>
          </w:p>
        </w:tc>
        <w:tc>
          <w:tcPr>
            <w:tcW w:w="4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400" w:type="dxa"/>
            <w:vAlign w:val="bottom"/>
            <w:gridSpan w:val="2"/>
          </w:tcPr>
          <w:p>
            <w:pPr>
              <w:spacing w:after="0"/>
              <w:rPr>
                <w:sz w:val="20"/>
                <w:szCs w:val="20"/>
                <w:color w:val="auto"/>
              </w:rPr>
            </w:pPr>
            <w:r>
              <w:rPr>
                <w:rFonts w:ascii="Arial" w:cs="Arial" w:eastAsia="Arial" w:hAnsi="Arial"/>
                <w:sz w:val="18"/>
                <w:szCs w:val="18"/>
                <w:color w:val="auto"/>
              </w:rPr>
              <w:t>Brazil</w:t>
            </w:r>
          </w:p>
        </w:tc>
        <w:tc>
          <w:tcPr>
            <w:tcW w:w="25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580" w:type="dxa"/>
            <w:vAlign w:val="bottom"/>
            <w:gridSpan w:val="2"/>
          </w:tcPr>
          <w:p>
            <w:pPr>
              <w:jc w:val="right"/>
              <w:ind w:right="800"/>
              <w:spacing w:after="0"/>
              <w:rPr>
                <w:sz w:val="20"/>
                <w:szCs w:val="20"/>
                <w:color w:val="auto"/>
              </w:rPr>
            </w:pPr>
            <w:r>
              <w:rPr>
                <w:rFonts w:ascii="Arial" w:cs="Arial" w:eastAsia="Arial" w:hAnsi="Arial"/>
                <w:sz w:val="18"/>
                <w:szCs w:val="18"/>
                <w:color w:val="auto"/>
              </w:rPr>
              <w:t>917</w:t>
            </w:r>
          </w:p>
        </w:tc>
        <w:tc>
          <w:tcPr>
            <w:tcW w:w="520" w:type="dxa"/>
            <w:vAlign w:val="bottom"/>
          </w:tcPr>
          <w:p>
            <w:pPr>
              <w:spacing w:after="0"/>
              <w:rPr>
                <w:sz w:val="18"/>
                <w:szCs w:val="18"/>
                <w:color w:val="auto"/>
              </w:rPr>
            </w:pPr>
          </w:p>
        </w:tc>
        <w:tc>
          <w:tcPr>
            <w:tcW w:w="780" w:type="dxa"/>
            <w:vAlign w:val="bottom"/>
            <w:gridSpan w:val="2"/>
          </w:tcPr>
          <w:p>
            <w:pPr>
              <w:jc w:val="right"/>
              <w:ind w:right="60"/>
              <w:spacing w:after="0"/>
              <w:rPr>
                <w:sz w:val="20"/>
                <w:szCs w:val="20"/>
                <w:color w:val="auto"/>
              </w:rPr>
            </w:pPr>
            <w:r>
              <w:rPr>
                <w:rFonts w:ascii="Arial" w:cs="Arial" w:eastAsia="Arial" w:hAnsi="Arial"/>
                <w:sz w:val="18"/>
                <w:szCs w:val="18"/>
                <w:color w:val="auto"/>
              </w:rPr>
              <w:t>425</w:t>
            </w:r>
          </w:p>
        </w:tc>
        <w:tc>
          <w:tcPr>
            <w:tcW w:w="7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461</w:t>
            </w:r>
          </w:p>
        </w:tc>
        <w:tc>
          <w:tcPr>
            <w:tcW w:w="8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rPr>
              <w:t>77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4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GM Hong Kong</w:t>
            </w:r>
          </w:p>
        </w:tc>
        <w:tc>
          <w:tcPr>
            <w:tcW w:w="25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800"/>
              <w:spacing w:after="0"/>
              <w:rPr>
                <w:sz w:val="20"/>
                <w:szCs w:val="20"/>
                <w:color w:val="auto"/>
              </w:rPr>
            </w:pPr>
            <w:r>
              <w:rPr>
                <w:rFonts w:ascii="Arial" w:cs="Arial" w:eastAsia="Arial" w:hAnsi="Arial"/>
                <w:sz w:val="18"/>
                <w:szCs w:val="18"/>
                <w:color w:val="auto"/>
              </w:rPr>
              <w:t>200</w:t>
            </w:r>
          </w:p>
        </w:tc>
        <w:tc>
          <w:tcPr>
            <w:tcW w:w="5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200</w:t>
            </w:r>
          </w:p>
        </w:tc>
        <w:tc>
          <w:tcPr>
            <w:tcW w:w="7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170</w:t>
            </w:r>
          </w:p>
        </w:tc>
        <w:tc>
          <w:tcPr>
            <w:tcW w:w="8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400" w:type="dxa"/>
            <w:vAlign w:val="bottom"/>
            <w:gridSpan w:val="2"/>
          </w:tcPr>
          <w:p>
            <w:pPr>
              <w:spacing w:after="0"/>
              <w:rPr>
                <w:sz w:val="20"/>
                <w:szCs w:val="20"/>
                <w:color w:val="auto"/>
              </w:rPr>
            </w:pPr>
            <w:r>
              <w:rPr>
                <w:rFonts w:ascii="Arial" w:cs="Arial" w:eastAsia="Arial" w:hAnsi="Arial"/>
                <w:sz w:val="18"/>
                <w:szCs w:val="18"/>
                <w:color w:val="auto"/>
              </w:rPr>
              <w:t>Other (a)</w:t>
            </w:r>
          </w:p>
        </w:tc>
        <w:tc>
          <w:tcPr>
            <w:tcW w:w="25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580" w:type="dxa"/>
            <w:vAlign w:val="bottom"/>
            <w:gridSpan w:val="2"/>
          </w:tcPr>
          <w:p>
            <w:pPr>
              <w:jc w:val="right"/>
              <w:ind w:right="800"/>
              <w:spacing w:after="0"/>
              <w:rPr>
                <w:sz w:val="20"/>
                <w:szCs w:val="20"/>
                <w:color w:val="auto"/>
              </w:rPr>
            </w:pPr>
            <w:r>
              <w:rPr>
                <w:rFonts w:ascii="Arial" w:cs="Arial" w:eastAsia="Arial" w:hAnsi="Arial"/>
                <w:sz w:val="18"/>
                <w:szCs w:val="18"/>
                <w:color w:val="auto"/>
              </w:rPr>
              <w:t>784</w:t>
            </w:r>
          </w:p>
        </w:tc>
        <w:tc>
          <w:tcPr>
            <w:tcW w:w="520" w:type="dxa"/>
            <w:vAlign w:val="bottom"/>
          </w:tcPr>
          <w:p>
            <w:pPr>
              <w:spacing w:after="0"/>
              <w:rPr>
                <w:sz w:val="18"/>
                <w:szCs w:val="18"/>
                <w:color w:val="auto"/>
              </w:rPr>
            </w:pPr>
          </w:p>
        </w:tc>
        <w:tc>
          <w:tcPr>
            <w:tcW w:w="780" w:type="dxa"/>
            <w:vAlign w:val="bottom"/>
            <w:gridSpan w:val="2"/>
          </w:tcPr>
          <w:p>
            <w:pPr>
              <w:jc w:val="right"/>
              <w:ind w:right="60"/>
              <w:spacing w:after="0"/>
              <w:rPr>
                <w:sz w:val="20"/>
                <w:szCs w:val="20"/>
                <w:color w:val="auto"/>
              </w:rPr>
            </w:pPr>
            <w:r>
              <w:rPr>
                <w:rFonts w:ascii="Arial" w:cs="Arial" w:eastAsia="Arial" w:hAnsi="Arial"/>
                <w:sz w:val="18"/>
                <w:szCs w:val="18"/>
                <w:color w:val="auto"/>
              </w:rPr>
              <w:t>750</w:t>
            </w:r>
          </w:p>
        </w:tc>
        <w:tc>
          <w:tcPr>
            <w:tcW w:w="7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469</w:t>
            </w:r>
          </w:p>
        </w:tc>
        <w:tc>
          <w:tcPr>
            <w:tcW w:w="8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rPr>
              <w:t>341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1140" w:type="dxa"/>
            <w:vAlign w:val="bottom"/>
          </w:tcPr>
          <w:p>
            <w:pPr>
              <w:spacing w:after="0"/>
              <w:rPr>
                <w:sz w:val="2"/>
                <w:szCs w:val="2"/>
                <w:color w:val="auto"/>
              </w:rPr>
            </w:pPr>
          </w:p>
        </w:tc>
        <w:tc>
          <w:tcPr>
            <w:tcW w:w="260" w:type="dxa"/>
            <w:vAlign w:val="bottom"/>
          </w:tcPr>
          <w:p>
            <w:pPr>
              <w:spacing w:after="0"/>
              <w:rPr>
                <w:sz w:val="2"/>
                <w:szCs w:val="2"/>
                <w:color w:val="auto"/>
              </w:rPr>
            </w:pPr>
          </w:p>
        </w:tc>
        <w:tc>
          <w:tcPr>
            <w:tcW w:w="2520" w:type="dxa"/>
            <w:vAlign w:val="bottom"/>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800" w:type="dxa"/>
            <w:vAlign w:val="bottom"/>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74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800" w:type="dxa"/>
            <w:vAlign w:val="bottom"/>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14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w:t>
            </w:r>
          </w:p>
        </w:tc>
        <w:tc>
          <w:tcPr>
            <w:tcW w:w="3000" w:type="dxa"/>
            <w:vAlign w:val="bottom"/>
            <w:gridSpan w:val="2"/>
            <w:shd w:val="clear" w:color="auto" w:fill="CCEEFF"/>
          </w:tcPr>
          <w:p>
            <w:pPr>
              <w:jc w:val="right"/>
              <w:ind w:right="332"/>
              <w:spacing w:after="0"/>
              <w:rPr>
                <w:sz w:val="20"/>
                <w:szCs w:val="20"/>
                <w:color w:val="auto"/>
              </w:rPr>
            </w:pPr>
            <w:r>
              <w:rPr>
                <w:rFonts w:ascii="Arial" w:cs="Arial" w:eastAsia="Arial" w:hAnsi="Arial"/>
                <w:sz w:val="18"/>
                <w:szCs w:val="18"/>
                <w:color w:val="auto"/>
              </w:rPr>
              <w:t>$</w:t>
            </w:r>
          </w:p>
        </w:tc>
        <w:tc>
          <w:tcPr>
            <w:tcW w:w="1580" w:type="dxa"/>
            <w:vAlign w:val="bottom"/>
            <w:gridSpan w:val="2"/>
            <w:shd w:val="clear" w:color="auto" w:fill="CCEEFF"/>
          </w:tcPr>
          <w:p>
            <w:pPr>
              <w:jc w:val="right"/>
              <w:ind w:right="800"/>
              <w:spacing w:after="0"/>
              <w:rPr>
                <w:sz w:val="20"/>
                <w:szCs w:val="20"/>
                <w:color w:val="auto"/>
              </w:rPr>
            </w:pPr>
            <w:r>
              <w:rPr>
                <w:rFonts w:ascii="Arial" w:cs="Arial" w:eastAsia="Arial" w:hAnsi="Arial"/>
                <w:sz w:val="18"/>
                <w:szCs w:val="18"/>
                <w:color w:val="auto"/>
              </w:rPr>
              <w:t>3,106</w:t>
            </w:r>
          </w:p>
        </w:tc>
        <w:tc>
          <w:tcPr>
            <w:tcW w:w="520" w:type="dxa"/>
            <w:vAlign w:val="bottom"/>
            <w:shd w:val="clear" w:color="auto" w:fill="CCEEFF"/>
          </w:tcPr>
          <w:p>
            <w:pPr>
              <w:jc w:val="right"/>
              <w:ind w:right="339"/>
              <w:spacing w:after="0"/>
              <w:rPr>
                <w:sz w:val="20"/>
                <w:szCs w:val="20"/>
                <w:color w:val="auto"/>
              </w:rPr>
            </w:pPr>
            <w:r>
              <w:rPr>
                <w:rFonts w:ascii="Arial" w:cs="Arial" w:eastAsia="Arial" w:hAnsi="Arial"/>
                <w:sz w:val="18"/>
                <w:szCs w:val="18"/>
                <w:color w:val="auto"/>
                <w:w w:val="79"/>
              </w:rPr>
              <w:t>$</w:t>
            </w: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2,554</w:t>
            </w:r>
          </w:p>
        </w:tc>
        <w:tc>
          <w:tcPr>
            <w:tcW w:w="1000" w:type="dxa"/>
            <w:vAlign w:val="bottom"/>
            <w:gridSpan w:val="2"/>
            <w:shd w:val="clear" w:color="auto" w:fill="CCEEFF"/>
          </w:tcPr>
          <w:p>
            <w:pPr>
              <w:jc w:val="right"/>
              <w:ind w:right="112"/>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1,319</w:t>
            </w:r>
          </w:p>
        </w:tc>
        <w:tc>
          <w:tcPr>
            <w:tcW w:w="1680" w:type="dxa"/>
            <w:vAlign w:val="bottom"/>
            <w:gridSpan w:val="2"/>
            <w:shd w:val="clear" w:color="auto" w:fill="CCEEFF"/>
          </w:tcPr>
          <w:p>
            <w:pPr>
              <w:jc w:val="right"/>
              <w:ind w:right="732"/>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52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2"/>
        </w:trPr>
        <w:tc>
          <w:tcPr>
            <w:tcW w:w="20" w:type="dxa"/>
            <w:vAlign w:val="bottom"/>
          </w:tcPr>
          <w:p>
            <w:pPr>
              <w:spacing w:after="0"/>
              <w:rPr>
                <w:sz w:val="8"/>
                <w:szCs w:val="8"/>
                <w:color w:val="auto"/>
              </w:rPr>
            </w:pPr>
          </w:p>
        </w:tc>
        <w:tc>
          <w:tcPr>
            <w:tcW w:w="1140" w:type="dxa"/>
            <w:vAlign w:val="bottom"/>
            <w:tcBorders>
              <w:bottom w:val="single" w:sz="8" w:color="auto"/>
            </w:tcBorders>
          </w:tcPr>
          <w:p>
            <w:pPr>
              <w:spacing w:after="0"/>
              <w:rPr>
                <w:sz w:val="8"/>
                <w:szCs w:val="8"/>
                <w:color w:val="auto"/>
              </w:rPr>
            </w:pPr>
          </w:p>
        </w:tc>
        <w:tc>
          <w:tcPr>
            <w:tcW w:w="260" w:type="dxa"/>
            <w:vAlign w:val="bottom"/>
          </w:tcPr>
          <w:p>
            <w:pPr>
              <w:spacing w:after="0"/>
              <w:rPr>
                <w:sz w:val="8"/>
                <w:szCs w:val="8"/>
                <w:color w:val="auto"/>
              </w:rPr>
            </w:pPr>
          </w:p>
        </w:tc>
        <w:tc>
          <w:tcPr>
            <w:tcW w:w="2520" w:type="dxa"/>
            <w:vAlign w:val="bottom"/>
          </w:tcPr>
          <w:p>
            <w:pPr>
              <w:spacing w:after="0"/>
              <w:rPr>
                <w:sz w:val="8"/>
                <w:szCs w:val="8"/>
                <w:color w:val="auto"/>
              </w:rPr>
            </w:pPr>
          </w:p>
        </w:tc>
        <w:tc>
          <w:tcPr>
            <w:tcW w:w="480" w:type="dxa"/>
            <w:vAlign w:val="bottom"/>
          </w:tcPr>
          <w:p>
            <w:pPr>
              <w:spacing w:after="0"/>
              <w:rPr>
                <w:sz w:val="8"/>
                <w:szCs w:val="8"/>
                <w:color w:val="auto"/>
              </w:rPr>
            </w:pPr>
          </w:p>
        </w:tc>
        <w:tc>
          <w:tcPr>
            <w:tcW w:w="780" w:type="dxa"/>
            <w:vAlign w:val="bottom"/>
          </w:tcPr>
          <w:p>
            <w:pPr>
              <w:spacing w:after="0"/>
              <w:rPr>
                <w:sz w:val="8"/>
                <w:szCs w:val="8"/>
                <w:color w:val="auto"/>
              </w:rPr>
            </w:pPr>
          </w:p>
        </w:tc>
        <w:tc>
          <w:tcPr>
            <w:tcW w:w="800" w:type="dxa"/>
            <w:vAlign w:val="bottom"/>
          </w:tcPr>
          <w:p>
            <w:pPr>
              <w:spacing w:after="0"/>
              <w:rPr>
                <w:sz w:val="8"/>
                <w:szCs w:val="8"/>
                <w:color w:val="auto"/>
              </w:rPr>
            </w:pPr>
          </w:p>
        </w:tc>
        <w:tc>
          <w:tcPr>
            <w:tcW w:w="520" w:type="dxa"/>
            <w:vAlign w:val="bottom"/>
          </w:tcPr>
          <w:p>
            <w:pPr>
              <w:spacing w:after="0"/>
              <w:rPr>
                <w:sz w:val="8"/>
                <w:szCs w:val="8"/>
                <w:color w:val="auto"/>
              </w:rPr>
            </w:pPr>
          </w:p>
        </w:tc>
        <w:tc>
          <w:tcPr>
            <w:tcW w:w="720" w:type="dxa"/>
            <w:vAlign w:val="bottom"/>
          </w:tcPr>
          <w:p>
            <w:pPr>
              <w:spacing w:after="0"/>
              <w:rPr>
                <w:sz w:val="8"/>
                <w:szCs w:val="8"/>
                <w:color w:val="auto"/>
              </w:rPr>
            </w:pPr>
          </w:p>
        </w:tc>
        <w:tc>
          <w:tcPr>
            <w:tcW w:w="60" w:type="dxa"/>
            <w:vAlign w:val="bottom"/>
          </w:tcPr>
          <w:p>
            <w:pPr>
              <w:spacing w:after="0"/>
              <w:rPr>
                <w:sz w:val="8"/>
                <w:szCs w:val="8"/>
                <w:color w:val="auto"/>
              </w:rPr>
            </w:pPr>
          </w:p>
        </w:tc>
        <w:tc>
          <w:tcPr>
            <w:tcW w:w="740" w:type="dxa"/>
            <w:vAlign w:val="bottom"/>
          </w:tcPr>
          <w:p>
            <w:pPr>
              <w:spacing w:after="0"/>
              <w:rPr>
                <w:sz w:val="8"/>
                <w:szCs w:val="8"/>
                <w:color w:val="auto"/>
              </w:rPr>
            </w:pPr>
          </w:p>
        </w:tc>
        <w:tc>
          <w:tcPr>
            <w:tcW w:w="260" w:type="dxa"/>
            <w:vAlign w:val="bottom"/>
          </w:tcPr>
          <w:p>
            <w:pPr>
              <w:spacing w:after="0"/>
              <w:rPr>
                <w:sz w:val="8"/>
                <w:szCs w:val="8"/>
                <w:color w:val="auto"/>
              </w:rPr>
            </w:pPr>
          </w:p>
        </w:tc>
        <w:tc>
          <w:tcPr>
            <w:tcW w:w="1000" w:type="dxa"/>
            <w:vAlign w:val="bottom"/>
          </w:tcPr>
          <w:p>
            <w:pPr>
              <w:spacing w:after="0"/>
              <w:rPr>
                <w:sz w:val="8"/>
                <w:szCs w:val="8"/>
                <w:color w:val="auto"/>
              </w:rPr>
            </w:pPr>
          </w:p>
        </w:tc>
        <w:tc>
          <w:tcPr>
            <w:tcW w:w="800" w:type="dxa"/>
            <w:vAlign w:val="bottom"/>
          </w:tcPr>
          <w:p>
            <w:pPr>
              <w:spacing w:after="0"/>
              <w:rPr>
                <w:sz w:val="8"/>
                <w:szCs w:val="8"/>
                <w:color w:val="auto"/>
              </w:rPr>
            </w:pPr>
          </w:p>
        </w:tc>
        <w:tc>
          <w:tcPr>
            <w:tcW w:w="880" w:type="dxa"/>
            <w:vAlign w:val="bottom"/>
          </w:tcPr>
          <w:p>
            <w:pPr>
              <w:spacing w:after="0"/>
              <w:rPr>
                <w:sz w:val="8"/>
                <w:szCs w:val="8"/>
                <w:color w:val="auto"/>
              </w:rPr>
            </w:pPr>
          </w:p>
        </w:tc>
        <w:tc>
          <w:tcPr>
            <w:tcW w:w="34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19" w:lineRule="exact"/>
        <w:rPr>
          <w:sz w:val="20"/>
          <w:szCs w:val="20"/>
          <w:color w:val="auto"/>
        </w:rPr>
      </w:pPr>
    </w:p>
    <w:p>
      <w:pPr>
        <w:ind w:left="460" w:hanging="452"/>
        <w:spacing w:after="0"/>
        <w:tabs>
          <w:tab w:leader="none" w:pos="460" w:val="left"/>
        </w:tabs>
        <w:numPr>
          <w:ilvl w:val="0"/>
          <w:numId w:val="96"/>
        </w:numPr>
        <w:rPr>
          <w:rFonts w:ascii="Arial" w:cs="Arial" w:eastAsia="Arial" w:hAnsi="Arial"/>
          <w:sz w:val="18"/>
          <w:szCs w:val="18"/>
          <w:color w:val="auto"/>
        </w:rPr>
      </w:pPr>
      <w:r>
        <w:rPr>
          <w:rFonts w:ascii="Arial" w:cs="Arial" w:eastAsia="Arial" w:hAnsi="Arial"/>
          <w:sz w:val="18"/>
          <w:szCs w:val="18"/>
          <w:color w:val="auto"/>
        </w:rPr>
        <w:t>Consists of credit facilities available primarily at our foreign subsidiaries that are not individually significant.</w:t>
      </w:r>
    </w:p>
    <w:p>
      <w:pPr>
        <w:spacing w:after="0" w:line="171" w:lineRule="exact"/>
        <w:rPr>
          <w:sz w:val="20"/>
          <w:szCs w:val="20"/>
          <w:color w:val="auto"/>
        </w:rPr>
      </w:pPr>
    </w:p>
    <w:p>
      <w:pPr>
        <w:ind w:right="40" w:firstLine="228"/>
        <w:spacing w:after="0" w:line="294" w:lineRule="auto"/>
        <w:rPr>
          <w:sz w:val="20"/>
          <w:szCs w:val="20"/>
          <w:color w:val="auto"/>
        </w:rPr>
      </w:pPr>
      <w:r>
        <w:rPr>
          <w:rFonts w:ascii="Arial" w:cs="Arial" w:eastAsia="Arial" w:hAnsi="Arial"/>
          <w:sz w:val="16"/>
          <w:szCs w:val="16"/>
          <w:color w:val="auto"/>
        </w:rPr>
        <w:t>At September 30, 2010 we had committed credit facilities of $2.1 billion, under which we had borrowed $1.6 billion leaving $497 million available. Of these committed credit facilities GM Daewoo held KRW 1.4 trillion (equivalent to $1.2 billion) and other entities held $909 million. In addition, at September 30, 2010 we had uncommitted credit facilities of $992 million, under which we had borrowed $170 million leaving $822 million available. Uncommitted credit facilities include lines of credit which are available to us, but under which the lenders have no legal obligation to provide funding upon our request. We and our subsidiaries use credit facilities to fund working capital needs, product programs, facilities development and other general corporate purposes.</w:t>
      </w:r>
    </w:p>
    <w:p>
      <w:pPr>
        <w:spacing w:after="0" w:line="116" w:lineRule="exact"/>
        <w:rPr>
          <w:sz w:val="20"/>
          <w:szCs w:val="20"/>
          <w:color w:val="auto"/>
        </w:rPr>
      </w:pPr>
    </w:p>
    <w:p>
      <w:pPr>
        <w:ind w:right="60" w:firstLine="228"/>
        <w:spacing w:after="0" w:line="290" w:lineRule="auto"/>
        <w:rPr>
          <w:sz w:val="20"/>
          <w:szCs w:val="20"/>
          <w:color w:val="auto"/>
        </w:rPr>
      </w:pPr>
      <w:r>
        <w:rPr>
          <w:rFonts w:ascii="Arial" w:cs="Arial" w:eastAsia="Arial" w:hAnsi="Arial"/>
          <w:sz w:val="16"/>
          <w:szCs w:val="16"/>
          <w:color w:val="auto"/>
        </w:rPr>
        <w:t>Our largest credit facility at September 30, 2010 was GM Daewoo’s $1.2 billion revolving credit facility, which was established in October 2002 with a syndicate of banks. We expect to convert any remaining amounts outstanding to a term loan during the three months ending December 31, 2010. The loan will be required to be paid in four equal annual installments by October 2014. Borrowings under this facility bear interest based on the Korean Won denominated 91 day certificate of deposit rate. The average interest rate on outstanding amounts under this facility at September 30, 2010 was 5.5%. The borrowings are secured by certain GM Daewoo property, plant and equipment and are used by GM Daewoo for general corporate purposes, including working capital needs. In the nine months ended September 30, 2010 GM Daewoo repaid $225 million of its $1.2 billion revolving credit facility. At September 30, 2010 the credit facility had an outstanding balance of $986 million leaving $219 million available.</w:t>
      </w:r>
    </w:p>
    <w:p>
      <w:pPr>
        <w:spacing w:after="0" w:line="118" w:lineRule="exact"/>
        <w:rPr>
          <w:sz w:val="20"/>
          <w:szCs w:val="20"/>
          <w:color w:val="auto"/>
        </w:rPr>
      </w:pPr>
    </w:p>
    <w:p>
      <w:pPr>
        <w:ind w:right="20" w:firstLine="228"/>
        <w:spacing w:after="0" w:line="291" w:lineRule="auto"/>
        <w:rPr>
          <w:sz w:val="20"/>
          <w:szCs w:val="20"/>
          <w:color w:val="auto"/>
        </w:rPr>
      </w:pPr>
      <w:r>
        <w:rPr>
          <w:rFonts w:ascii="Arial" w:cs="Arial" w:eastAsia="Arial" w:hAnsi="Arial"/>
          <w:sz w:val="16"/>
          <w:szCs w:val="16"/>
          <w:color w:val="auto"/>
        </w:rPr>
        <w:t>The balance of our credit facilities are held by geographically dispersed subsidiaries, with available capacity on the facilities primarily concentrated at a few of our subsidiaries. At September 30, 2010 GM Hong Kong had $170 million of capacity on a $200 million term facility secured by a portion of our equity interest in SGM. We expect GM Hong Kong to obtain access to a $200 million revolving facility, secured by the same collateral, which would become available in late 2010. In addition, we have $378 million of capacity on a $394 million secured term facility available to certain of our subsidiaries in Thailand over 2010 and 2011. The additional GM Hong Kong facility and the Thailand secured facility are excluded from the tables above as certain preconditions must be satisfied prior to drawing additional funds. The facilities were entered into to fund growth opportunities within GMIO and meet potential cyclical cash needs.</w:t>
      </w:r>
    </w:p>
    <w:p>
      <w:pPr>
        <w:spacing w:after="0" w:line="120"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Restricted Cash and Marketable Securities</w:t>
      </w:r>
    </w:p>
    <w:p>
      <w:pPr>
        <w:spacing w:after="0" w:line="171" w:lineRule="exact"/>
        <w:rPr>
          <w:sz w:val="20"/>
          <w:szCs w:val="20"/>
          <w:color w:val="auto"/>
        </w:rPr>
      </w:pPr>
    </w:p>
    <w:p>
      <w:pPr>
        <w:ind w:right="460" w:firstLine="228"/>
        <w:spacing w:after="0" w:line="332" w:lineRule="auto"/>
        <w:rPr>
          <w:sz w:val="20"/>
          <w:szCs w:val="20"/>
          <w:color w:val="auto"/>
        </w:rPr>
      </w:pPr>
      <w:r>
        <w:rPr>
          <w:rFonts w:ascii="Arial" w:cs="Arial" w:eastAsia="Arial" w:hAnsi="Arial"/>
          <w:sz w:val="16"/>
          <w:szCs w:val="16"/>
          <w:color w:val="auto"/>
        </w:rPr>
        <w:t>Pursuant to an agreement between GMCL, EDC and an escrow agent we had $1.0 billion remaining in an escrow account at September 30, 2010 to fund certain of GMCL’s healthcare obligations pending the satisfaction of certain preconditions which have not yet been met.</w:t>
      </w:r>
    </w:p>
    <w:p>
      <w:pPr>
        <w:spacing w:after="0" w:line="85"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Cash Flow</w:t>
      </w:r>
    </w:p>
    <w:p>
      <w:pPr>
        <w:spacing w:after="0" w:line="171"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Operating Activities</w:t>
      </w:r>
    </w:p>
    <w:p>
      <w:pPr>
        <w:spacing w:after="0" w:line="171" w:lineRule="exact"/>
        <w:rPr>
          <w:sz w:val="20"/>
          <w:szCs w:val="20"/>
          <w:color w:val="auto"/>
        </w:rPr>
      </w:pPr>
    </w:p>
    <w:p>
      <w:pPr>
        <w:ind w:right="340" w:firstLine="228"/>
        <w:spacing w:after="0" w:line="259" w:lineRule="auto"/>
        <w:rPr>
          <w:sz w:val="20"/>
          <w:szCs w:val="20"/>
          <w:color w:val="auto"/>
        </w:rPr>
      </w:pPr>
      <w:r>
        <w:rPr>
          <w:rFonts w:ascii="Arial" w:cs="Arial" w:eastAsia="Arial" w:hAnsi="Arial"/>
          <w:sz w:val="18"/>
          <w:szCs w:val="18"/>
          <w:color w:val="auto"/>
        </w:rPr>
        <w:t>In the nine months ended September 30, 2010 we had positive cash flows from operating activities of $8.3 billion primarily due to: (1) Net income of $5.0 billion, which included non-cash charges of $5.3 billion resulting from depreciation, impairment and amortization expense (including amortization of debt issuance costs and discounts); (2) a change in income tax related balances of</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128</w:t>
      </w:r>
    </w:p>
    <w:p>
      <w:pPr>
        <w:sectPr>
          <w:pgSz w:w="11900" w:h="16838" w:orient="portrait"/>
          <w:cols w:equalWidth="0" w:num="1">
            <w:col w:w="11420"/>
          </w:cols>
          <w:pgMar w:left="240" w:top="459" w:right="239" w:bottom="1440" w:gutter="0" w:footer="0" w:header="0"/>
        </w:sectPr>
      </w:pPr>
    </w:p>
    <w:bookmarkStart w:id="130" w:name="page131"/>
    <w:bookmarkEnd w:id="1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164" w:lineRule="exact"/>
        <w:rPr>
          <w:sz w:val="20"/>
          <w:szCs w:val="20"/>
          <w:color w:val="auto"/>
        </w:rPr>
      </w:pPr>
    </w:p>
    <w:p>
      <w:pPr>
        <w:ind w:right="180"/>
        <w:spacing w:after="0" w:line="332" w:lineRule="auto"/>
        <w:rPr>
          <w:sz w:val="20"/>
          <w:szCs w:val="20"/>
          <w:color w:val="auto"/>
        </w:rPr>
      </w:pPr>
      <w:r>
        <w:rPr>
          <w:rFonts w:ascii="Arial" w:cs="Arial" w:eastAsia="Arial" w:hAnsi="Arial"/>
          <w:sz w:val="16"/>
          <w:szCs w:val="16"/>
          <w:color w:val="auto"/>
        </w:rPr>
        <w:t>$0.5 billion; partially offset by (3) unfavorable changes in working capital of $1.3 billion; and (4) contributions to pension and OPEB plans of $1.3 billion. The unfavorable changes in working capital were related to increases in accounts receivables and inventories, partially offset by an increase in accounts payable.</w:t>
      </w:r>
    </w:p>
    <w:p>
      <w:pPr>
        <w:spacing w:after="0" w:line="85" w:lineRule="exact"/>
        <w:rPr>
          <w:sz w:val="20"/>
          <w:szCs w:val="20"/>
          <w:color w:val="auto"/>
        </w:rPr>
      </w:pPr>
    </w:p>
    <w:p>
      <w:pPr>
        <w:ind w:right="320" w:firstLine="228"/>
        <w:spacing w:after="0" w:line="255" w:lineRule="auto"/>
        <w:rPr>
          <w:sz w:val="20"/>
          <w:szCs w:val="20"/>
          <w:color w:val="auto"/>
        </w:rPr>
      </w:pPr>
      <w:r>
        <w:rPr>
          <w:rFonts w:ascii="Arial" w:cs="Arial" w:eastAsia="Arial" w:hAnsi="Arial"/>
          <w:sz w:val="18"/>
          <w:szCs w:val="18"/>
          <w:color w:val="auto"/>
        </w:rPr>
        <w:t>In the period July 10, 2009 through September 30, 2009 we had positive cash flow from operating activities of $3.0 billion primarily due to: (1) favorable managed working capital in the amount of $6.4 billion driven mainly by the effect of increased sales and production activities on payables and the timing of certain supplier payments; (2) Net income of $1.4 billion excluding depreciation and amortization; (3) a gain of $0.5 billion on foreign currency transactions; partially offset by (4) contributions primarily for Canadian hourly and salaried defined benefit pension plans of $4.0 billion; and (5) decreases in accrued and other liabilities of $1.4 billion.</w:t>
      </w:r>
    </w:p>
    <w:p>
      <w:pPr>
        <w:spacing w:after="0" w:line="143"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Old GM</w:t>
      </w:r>
    </w:p>
    <w:p>
      <w:pPr>
        <w:spacing w:after="0" w:line="171" w:lineRule="exact"/>
        <w:rPr>
          <w:sz w:val="20"/>
          <w:szCs w:val="20"/>
          <w:color w:val="auto"/>
        </w:rPr>
      </w:pPr>
    </w:p>
    <w:p>
      <w:pPr>
        <w:ind w:left="240"/>
        <w:spacing w:after="0"/>
        <w:rPr>
          <w:sz w:val="20"/>
          <w:szCs w:val="20"/>
          <w:color w:val="auto"/>
        </w:rPr>
      </w:pPr>
      <w:r>
        <w:rPr>
          <w:rFonts w:ascii="Arial" w:cs="Arial" w:eastAsia="Arial" w:hAnsi="Arial"/>
          <w:sz w:val="16"/>
          <w:szCs w:val="16"/>
          <w:color w:val="auto"/>
        </w:rPr>
        <w:t>In the period January 1, 2009 through July 9, 2009 Old GM had negative cash flows from continuing operating activities of $18.3 billion primarily due to:</w:t>
      </w:r>
    </w:p>
    <w:p>
      <w:pPr>
        <w:spacing w:after="0" w:line="38" w:lineRule="exact"/>
        <w:rPr>
          <w:sz w:val="20"/>
          <w:szCs w:val="20"/>
          <w:color w:val="auto"/>
        </w:rPr>
      </w:pPr>
    </w:p>
    <w:p>
      <w:pPr>
        <w:ind w:right="80" w:firstLine="8"/>
        <w:spacing w:after="0" w:line="255" w:lineRule="auto"/>
        <w:tabs>
          <w:tab w:leader="none" w:pos="249" w:val="left"/>
        </w:tabs>
        <w:numPr>
          <w:ilvl w:val="0"/>
          <w:numId w:val="97"/>
        </w:numPr>
        <w:rPr>
          <w:rFonts w:ascii="Arial" w:cs="Arial" w:eastAsia="Arial" w:hAnsi="Arial"/>
          <w:sz w:val="18"/>
          <w:szCs w:val="18"/>
          <w:color w:val="auto"/>
        </w:rPr>
      </w:pPr>
      <w:r>
        <w:rPr>
          <w:rFonts w:ascii="Arial" w:cs="Arial" w:eastAsia="Arial" w:hAnsi="Arial"/>
          <w:sz w:val="18"/>
          <w:szCs w:val="18"/>
          <w:color w:val="auto"/>
        </w:rPr>
        <w:t>Net loss of $8.3 billion excluding Reorganization gains, net, and depreciation, impairment charges and amortization expense (including amortization of debt issuance costs and discounts); (2) unfavorable managed working capital of $5.6 billion; (3) change in accrued liabilities of $6.8 billion; and (4) payments of $0.4 billion for reorganization costs associated with the Chapter 11 Proceedings.</w:t>
      </w:r>
    </w:p>
    <w:p>
      <w:pPr>
        <w:spacing w:after="0" w:line="144"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Investing Activities</w:t>
      </w:r>
    </w:p>
    <w:p>
      <w:pPr>
        <w:spacing w:after="0" w:line="171" w:lineRule="exact"/>
        <w:rPr>
          <w:sz w:val="20"/>
          <w:szCs w:val="20"/>
          <w:color w:val="auto"/>
        </w:rPr>
      </w:pPr>
    </w:p>
    <w:p>
      <w:pPr>
        <w:ind w:firstLine="228"/>
        <w:spacing w:after="0" w:line="298" w:lineRule="auto"/>
        <w:rPr>
          <w:sz w:val="20"/>
          <w:szCs w:val="20"/>
          <w:color w:val="auto"/>
        </w:rPr>
      </w:pPr>
      <w:r>
        <w:rPr>
          <w:rFonts w:ascii="Arial" w:cs="Arial" w:eastAsia="Arial" w:hAnsi="Arial"/>
          <w:sz w:val="16"/>
          <w:szCs w:val="16"/>
          <w:color w:val="auto"/>
        </w:rPr>
        <w:t>In the nine months ended September 30, 2010 we had positive cash flows from investing activities of $4.1 billion primarily due to: (1) a reduction in restricted cash and marketable securities of $12.7 billion primarily related to withdrawals from the UST Credit Agreement escrow account; (2) liquidations of operating leases of $0.3 billion; and (3) an increase in cash of $0.1 billion from the consolidation of General Motors Egypt (GM Egypt); partially offset by (4) net investments in marketable securities with maturities greater than 90 days of $5.9 billion; and (5) capital expenditures of $3.1 billion.</w:t>
      </w:r>
    </w:p>
    <w:p>
      <w:pPr>
        <w:spacing w:after="0" w:line="113" w:lineRule="exact"/>
        <w:rPr>
          <w:sz w:val="20"/>
          <w:szCs w:val="20"/>
          <w:color w:val="auto"/>
        </w:rPr>
      </w:pPr>
    </w:p>
    <w:p>
      <w:pPr>
        <w:ind w:left="240"/>
        <w:spacing w:after="0"/>
        <w:rPr>
          <w:sz w:val="20"/>
          <w:szCs w:val="20"/>
          <w:color w:val="auto"/>
        </w:rPr>
      </w:pPr>
      <w:r>
        <w:rPr>
          <w:rFonts w:ascii="Arial" w:cs="Arial" w:eastAsia="Arial" w:hAnsi="Arial"/>
          <w:sz w:val="16"/>
          <w:szCs w:val="16"/>
          <w:color w:val="auto"/>
        </w:rPr>
        <w:t>In the period July 10, 2009 through September 30, 2009 we had negative cash flow from investing activities of $0.3 billion, which primarily related to:</w:t>
      </w:r>
    </w:p>
    <w:p>
      <w:pPr>
        <w:spacing w:after="0" w:line="38" w:lineRule="exact"/>
        <w:rPr>
          <w:sz w:val="20"/>
          <w:szCs w:val="20"/>
          <w:color w:val="auto"/>
        </w:rPr>
      </w:pPr>
    </w:p>
    <w:p>
      <w:pPr>
        <w:ind w:right="60" w:firstLine="8"/>
        <w:spacing w:after="0" w:line="261" w:lineRule="auto"/>
        <w:tabs>
          <w:tab w:leader="none" w:pos="249" w:val="left"/>
        </w:tabs>
        <w:numPr>
          <w:ilvl w:val="0"/>
          <w:numId w:val="98"/>
        </w:numPr>
        <w:rPr>
          <w:rFonts w:ascii="Arial" w:cs="Arial" w:eastAsia="Arial" w:hAnsi="Arial"/>
          <w:sz w:val="18"/>
          <w:szCs w:val="18"/>
          <w:color w:val="auto"/>
        </w:rPr>
      </w:pPr>
      <w:r>
        <w:rPr>
          <w:rFonts w:ascii="Arial" w:cs="Arial" w:eastAsia="Arial" w:hAnsi="Arial"/>
          <w:sz w:val="18"/>
          <w:szCs w:val="18"/>
          <w:color w:val="auto"/>
        </w:rPr>
        <w:t>capital expenditures of $0.9 billion; partially offset by (2) $0.3 billion related to the liquidation of operating leases; (3) $0.2 billion increase in cash due to the reconsolidation of Saab; and (4) distributions received on our Ally Financial investments of $0.1 billion.</w:t>
      </w:r>
    </w:p>
    <w:p>
      <w:pPr>
        <w:spacing w:after="0" w:line="138"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Old GM</w:t>
      </w:r>
    </w:p>
    <w:p>
      <w:pPr>
        <w:spacing w:after="0" w:line="171" w:lineRule="exact"/>
        <w:rPr>
          <w:sz w:val="20"/>
          <w:szCs w:val="20"/>
          <w:color w:val="auto"/>
        </w:rPr>
      </w:pPr>
    </w:p>
    <w:p>
      <w:pPr>
        <w:ind w:left="240"/>
        <w:spacing w:after="0"/>
        <w:rPr>
          <w:sz w:val="20"/>
          <w:szCs w:val="20"/>
          <w:color w:val="auto"/>
        </w:rPr>
      </w:pPr>
      <w:r>
        <w:rPr>
          <w:rFonts w:ascii="Arial" w:cs="Arial" w:eastAsia="Arial" w:hAnsi="Arial"/>
          <w:sz w:val="16"/>
          <w:szCs w:val="16"/>
          <w:color w:val="auto"/>
        </w:rPr>
        <w:t>In the period January 1, 2009 through July 9, 2009 Old GM had negative cash flows from continuing investing activities of $21.1 billion primarily due to:</w:t>
      </w:r>
    </w:p>
    <w:p>
      <w:pPr>
        <w:spacing w:after="0" w:line="38" w:lineRule="exact"/>
        <w:rPr>
          <w:sz w:val="20"/>
          <w:szCs w:val="20"/>
          <w:color w:val="auto"/>
        </w:rPr>
      </w:pPr>
    </w:p>
    <w:p>
      <w:pPr>
        <w:ind w:left="260" w:hanging="252"/>
        <w:spacing w:after="0"/>
        <w:tabs>
          <w:tab w:leader="none" w:pos="260" w:val="left"/>
        </w:tabs>
        <w:numPr>
          <w:ilvl w:val="0"/>
          <w:numId w:val="99"/>
        </w:numPr>
        <w:rPr>
          <w:rFonts w:ascii="Arial" w:cs="Arial" w:eastAsia="Arial" w:hAnsi="Arial"/>
          <w:sz w:val="16"/>
          <w:szCs w:val="16"/>
          <w:color w:val="auto"/>
        </w:rPr>
      </w:pPr>
      <w:r>
        <w:rPr>
          <w:rFonts w:ascii="Arial" w:cs="Arial" w:eastAsia="Arial" w:hAnsi="Arial"/>
          <w:sz w:val="16"/>
          <w:szCs w:val="16"/>
          <w:color w:val="auto"/>
        </w:rPr>
        <w:t>increase in restricted cash and marketable securities of $18.0 billion driven primarily by the establishment of the UST and Canadian escrow accounts;</w:t>
      </w:r>
    </w:p>
    <w:p>
      <w:pPr>
        <w:spacing w:after="0" w:line="32" w:lineRule="exact"/>
        <w:rPr>
          <w:rFonts w:ascii="Arial" w:cs="Arial" w:eastAsia="Arial" w:hAnsi="Arial"/>
          <w:sz w:val="16"/>
          <w:szCs w:val="16"/>
          <w:color w:val="auto"/>
        </w:rPr>
      </w:pPr>
    </w:p>
    <w:p>
      <w:pPr>
        <w:ind w:left="260" w:hanging="252"/>
        <w:spacing w:after="0"/>
        <w:tabs>
          <w:tab w:leader="none" w:pos="260" w:val="left"/>
        </w:tabs>
        <w:numPr>
          <w:ilvl w:val="0"/>
          <w:numId w:val="99"/>
        </w:numPr>
        <w:rPr>
          <w:rFonts w:ascii="Arial" w:cs="Arial" w:eastAsia="Arial" w:hAnsi="Arial"/>
          <w:sz w:val="16"/>
          <w:szCs w:val="16"/>
          <w:color w:val="auto"/>
        </w:rPr>
      </w:pPr>
      <w:r>
        <w:rPr>
          <w:rFonts w:ascii="Arial" w:cs="Arial" w:eastAsia="Arial" w:hAnsi="Arial"/>
          <w:sz w:val="16"/>
          <w:szCs w:val="16"/>
          <w:color w:val="auto"/>
        </w:rPr>
        <w:t>capital expenditures of $3.5 billion; and (3) investment in Ally Financial of $0.9 billion; partially offset by (4) liquidation of operating leases of $1.3 billion.</w:t>
      </w:r>
    </w:p>
    <w:p>
      <w:pPr>
        <w:spacing w:after="0" w:line="188"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Financing Activities</w:t>
      </w:r>
    </w:p>
    <w:p>
      <w:pPr>
        <w:spacing w:after="0" w:line="171" w:lineRule="exact"/>
        <w:rPr>
          <w:sz w:val="20"/>
          <w:szCs w:val="20"/>
          <w:color w:val="auto"/>
        </w:rPr>
      </w:pPr>
    </w:p>
    <w:p>
      <w:pPr>
        <w:ind w:right="20" w:firstLine="228"/>
        <w:spacing w:after="0" w:line="256" w:lineRule="auto"/>
        <w:rPr>
          <w:sz w:val="20"/>
          <w:szCs w:val="20"/>
          <w:color w:val="auto"/>
        </w:rPr>
      </w:pPr>
      <w:r>
        <w:rPr>
          <w:rFonts w:ascii="Arial" w:cs="Arial" w:eastAsia="Arial" w:hAnsi="Arial"/>
          <w:sz w:val="18"/>
          <w:szCs w:val="18"/>
          <w:color w:val="auto"/>
        </w:rPr>
        <w:t>In the nine months ended September 30, 2010 we had negative cash flows from financing activities of $7.9 billion primarily due to: (1) repayments on the UST Loans and Canadian Loan of $5.7 billion and $1.3 billion; (2) preferred dividend payments of $0.6 billion; (3) payments on a program announced in March 2009 to provide financial assistance to automotive suppliers (Receivables Program) of $0.2 billion; and (4) payments on other debt of $0.8 billion; partially offset by proceeds from other debt of $0.7 billion.</w:t>
      </w:r>
    </w:p>
    <w:p>
      <w:pPr>
        <w:spacing w:after="0" w:line="143" w:lineRule="exact"/>
        <w:rPr>
          <w:sz w:val="20"/>
          <w:szCs w:val="20"/>
          <w:color w:val="auto"/>
        </w:rPr>
      </w:pPr>
    </w:p>
    <w:p>
      <w:pPr>
        <w:ind w:left="240"/>
        <w:spacing w:after="0"/>
        <w:rPr>
          <w:sz w:val="20"/>
          <w:szCs w:val="20"/>
          <w:color w:val="auto"/>
        </w:rPr>
      </w:pPr>
      <w:r>
        <w:rPr>
          <w:rFonts w:ascii="Arial" w:cs="Arial" w:eastAsia="Arial" w:hAnsi="Arial"/>
          <w:sz w:val="16"/>
          <w:szCs w:val="16"/>
          <w:color w:val="auto"/>
        </w:rPr>
        <w:t>In the period July 10, 2009 through September 30, 2009 we had positive cash flow from financing activities of $3.4 billion which primarily related to:</w:t>
      </w:r>
    </w:p>
    <w:p>
      <w:pPr>
        <w:spacing w:after="0" w:line="38" w:lineRule="exact"/>
        <w:rPr>
          <w:sz w:val="20"/>
          <w:szCs w:val="20"/>
          <w:color w:val="auto"/>
        </w:rPr>
      </w:pPr>
    </w:p>
    <w:p>
      <w:pPr>
        <w:ind w:right="200" w:firstLine="8"/>
        <w:spacing w:after="0" w:line="302" w:lineRule="auto"/>
        <w:tabs>
          <w:tab w:leader="none" w:pos="249" w:val="left"/>
        </w:tabs>
        <w:numPr>
          <w:ilvl w:val="0"/>
          <w:numId w:val="100"/>
        </w:numPr>
        <w:rPr>
          <w:rFonts w:ascii="Arial" w:cs="Arial" w:eastAsia="Arial" w:hAnsi="Arial"/>
          <w:sz w:val="16"/>
          <w:szCs w:val="16"/>
          <w:color w:val="auto"/>
        </w:rPr>
      </w:pPr>
      <w:r>
        <w:rPr>
          <w:rFonts w:ascii="Arial" w:cs="Arial" w:eastAsia="Arial" w:hAnsi="Arial"/>
          <w:sz w:val="16"/>
          <w:szCs w:val="16"/>
          <w:color w:val="auto"/>
        </w:rPr>
        <w:t>funding of $4.0 billion from EDC which was converted to our equity; (2) net proceeds of $0.3 billion from the revolving bridge facility with the German federal government and certain German states (German Facility); partially offset by (3) a $0.3 billion net decrease in other debt; (4) $0.3 billion net decrease in short-term debt; and (5) a $0.4 billion payment on UST Loans related to the U.S. government warranty program.</w:t>
      </w:r>
    </w:p>
    <w:p>
      <w:pPr>
        <w:spacing w:after="0" w:line="9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129</w:t>
      </w:r>
    </w:p>
    <w:p>
      <w:pPr>
        <w:sectPr>
          <w:pgSz w:w="11900" w:h="16838" w:orient="portrait"/>
          <w:cols w:equalWidth="0" w:num="1">
            <w:col w:w="11380"/>
          </w:cols>
          <w:pgMar w:left="240" w:top="459" w:right="279" w:bottom="1440" w:gutter="0" w:footer="0" w:header="0"/>
        </w:sectPr>
      </w:pPr>
    </w:p>
    <w:bookmarkStart w:id="131" w:name="page132"/>
    <w:bookmarkEnd w:id="1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339"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Old GM</w:t>
      </w:r>
    </w:p>
    <w:p>
      <w:pPr>
        <w:spacing w:after="0" w:line="171" w:lineRule="exact"/>
        <w:rPr>
          <w:sz w:val="20"/>
          <w:szCs w:val="20"/>
          <w:color w:val="auto"/>
        </w:rPr>
      </w:pPr>
    </w:p>
    <w:p>
      <w:pPr>
        <w:ind w:left="240"/>
        <w:spacing w:after="0"/>
        <w:rPr>
          <w:sz w:val="20"/>
          <w:szCs w:val="20"/>
          <w:color w:val="auto"/>
        </w:rPr>
      </w:pPr>
      <w:r>
        <w:rPr>
          <w:rFonts w:ascii="Arial" w:cs="Arial" w:eastAsia="Arial" w:hAnsi="Arial"/>
          <w:sz w:val="16"/>
          <w:szCs w:val="16"/>
          <w:color w:val="auto"/>
        </w:rPr>
        <w:t>In the period January 1, 2009 through July 9, 2009 Old GM had positive cash flows from continuing financing activities of $44.2 billion primarily due to:</w:t>
      </w:r>
    </w:p>
    <w:p>
      <w:pPr>
        <w:spacing w:after="0" w:line="38" w:lineRule="exact"/>
        <w:rPr>
          <w:sz w:val="20"/>
          <w:szCs w:val="20"/>
          <w:color w:val="auto"/>
        </w:rPr>
      </w:pPr>
    </w:p>
    <w:p>
      <w:pPr>
        <w:ind w:right="20" w:firstLine="8"/>
        <w:spacing w:after="0" w:line="281" w:lineRule="auto"/>
        <w:tabs>
          <w:tab w:leader="none" w:pos="249" w:val="left"/>
        </w:tabs>
        <w:numPr>
          <w:ilvl w:val="0"/>
          <w:numId w:val="101"/>
        </w:numPr>
        <w:rPr>
          <w:rFonts w:ascii="Arial" w:cs="Arial" w:eastAsia="Arial" w:hAnsi="Arial"/>
          <w:sz w:val="16"/>
          <w:szCs w:val="16"/>
          <w:color w:val="auto"/>
        </w:rPr>
      </w:pPr>
      <w:r>
        <w:rPr>
          <w:rFonts w:ascii="Arial" w:cs="Arial" w:eastAsia="Arial" w:hAnsi="Arial"/>
          <w:sz w:val="16"/>
          <w:szCs w:val="16"/>
          <w:color w:val="auto"/>
        </w:rPr>
        <w:t>proceeds from the DIP Facility of $33.3 billion; (2) proceeds from the UST Loan Facility and UST Ally Financial Loan of $16.6 billion; (3) proceeds from the EDC Loan Facility of $2.4 billion; (4) proceeds from the German Facility of $1.0 billion; (5) proceeds from other debt of $0.3 billion; (6) proceeds from the Receivables Program of $0.3 billion; partially offset by (7) payments on other debt of $6.1 billion; (8) a net decrease in short-term debt of $2.4 billion; and</w:t>
      </w:r>
    </w:p>
    <w:p>
      <w:pPr>
        <w:spacing w:after="0" w:line="2" w:lineRule="exact"/>
        <w:rPr>
          <w:rFonts w:ascii="Arial" w:cs="Arial" w:eastAsia="Arial" w:hAnsi="Arial"/>
          <w:sz w:val="16"/>
          <w:szCs w:val="16"/>
          <w:color w:val="auto"/>
        </w:rPr>
      </w:pPr>
    </w:p>
    <w:p>
      <w:pPr>
        <w:ind w:left="260" w:hanging="252"/>
        <w:spacing w:after="0"/>
        <w:tabs>
          <w:tab w:leader="none" w:pos="260" w:val="left"/>
        </w:tabs>
        <w:numPr>
          <w:ilvl w:val="0"/>
          <w:numId w:val="102"/>
        </w:numPr>
        <w:rPr>
          <w:rFonts w:ascii="Arial" w:cs="Arial" w:eastAsia="Arial" w:hAnsi="Arial"/>
          <w:sz w:val="18"/>
          <w:szCs w:val="18"/>
          <w:color w:val="auto"/>
        </w:rPr>
      </w:pPr>
      <w:r>
        <w:rPr>
          <w:rFonts w:ascii="Arial" w:cs="Arial" w:eastAsia="Arial" w:hAnsi="Arial"/>
          <w:sz w:val="18"/>
          <w:szCs w:val="18"/>
          <w:color w:val="auto"/>
        </w:rPr>
        <w:t>cash of $1.2 billion MLC retained as part of the 363 Sale.</w:t>
      </w:r>
    </w:p>
    <w:p>
      <w:pPr>
        <w:spacing w:after="0" w:line="165"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Net Liquid Assets</w:t>
      </w:r>
    </w:p>
    <w:p>
      <w:pPr>
        <w:spacing w:after="0" w:line="171" w:lineRule="exact"/>
        <w:rPr>
          <w:sz w:val="20"/>
          <w:szCs w:val="20"/>
          <w:color w:val="auto"/>
        </w:rPr>
      </w:pPr>
    </w:p>
    <w:p>
      <w:pPr>
        <w:ind w:right="40" w:firstLine="228"/>
        <w:spacing w:after="0" w:line="291" w:lineRule="auto"/>
        <w:rPr>
          <w:sz w:val="20"/>
          <w:szCs w:val="20"/>
          <w:color w:val="auto"/>
        </w:rPr>
      </w:pPr>
      <w:r>
        <w:rPr>
          <w:rFonts w:ascii="Arial" w:cs="Arial" w:eastAsia="Arial" w:hAnsi="Arial"/>
          <w:sz w:val="16"/>
          <w:szCs w:val="16"/>
          <w:color w:val="auto"/>
        </w:rPr>
        <w:t>Management believes the use of net liquid assets provides meaningful supplemental information regarding our liquidity. Accordingly, we believe net liquid assets is useful in allowing for greater transparency of supplemental information used by management in its financial and operational decision making to assist in identifying resources available to meet cash requirements. Our calculation of net liquid assets may not be completely comparable to similarly titled measures of other companies due to potential differences between companies in the method of calculation. As a result, the use of net liquid assets has limitations and should not be considered in isolation from, or as a substitute for, other measures such as Cash and cash equivalents and Debt. Due to these limitations, net liquid assets is used as a supplement to U.S. GAAP measures.</w:t>
      </w:r>
    </w:p>
    <w:p>
      <w:pPr>
        <w:spacing w:after="0" w:line="120" w:lineRule="exact"/>
        <w:rPr>
          <w:sz w:val="20"/>
          <w:szCs w:val="20"/>
          <w:color w:val="auto"/>
        </w:rPr>
      </w:pPr>
    </w:p>
    <w:p>
      <w:pPr>
        <w:ind w:left="240"/>
        <w:spacing w:after="0"/>
        <w:rPr>
          <w:sz w:val="20"/>
          <w:szCs w:val="20"/>
          <w:color w:val="auto"/>
        </w:rPr>
      </w:pPr>
      <w:r>
        <w:rPr>
          <w:rFonts w:ascii="Arial" w:cs="Arial" w:eastAsia="Arial" w:hAnsi="Arial"/>
          <w:sz w:val="18"/>
          <w:szCs w:val="18"/>
          <w:color w:val="auto"/>
        </w:rPr>
        <w:t>The following table summarizes net liquid assets (dollars in millions):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5260" w:type="dxa"/>
            <w:vAlign w:val="bottom"/>
          </w:tcPr>
          <w:p>
            <w:pPr>
              <w:spacing w:after="0"/>
              <w:rPr>
                <w:sz w:val="14"/>
                <w:szCs w:val="14"/>
                <w:color w:val="auto"/>
              </w:rPr>
            </w:pPr>
          </w:p>
        </w:tc>
        <w:tc>
          <w:tcPr>
            <w:tcW w:w="1780" w:type="dxa"/>
            <w:vAlign w:val="bottom"/>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gridSpan w:val="2"/>
          </w:tcPr>
          <w:p>
            <w:pPr>
              <w:ind w:left="60"/>
              <w:spacing w:after="0"/>
              <w:rPr>
                <w:sz w:val="20"/>
                <w:szCs w:val="20"/>
                <w:color w:val="auto"/>
              </w:rPr>
            </w:pPr>
            <w:r>
              <w:rPr>
                <w:rFonts w:ascii="Arial" w:cs="Arial" w:eastAsia="Arial" w:hAnsi="Arial"/>
                <w:sz w:val="14"/>
                <w:szCs w:val="14"/>
                <w:b w:val="1"/>
                <w:bCs w:val="1"/>
                <w:color w:val="auto"/>
              </w:rPr>
              <w:t>Successor</w:t>
            </w:r>
          </w:p>
        </w:tc>
        <w:tc>
          <w:tcPr>
            <w:tcW w:w="7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5260" w:type="dxa"/>
            <w:vAlign w:val="bottom"/>
          </w:tcPr>
          <w:p>
            <w:pPr>
              <w:spacing w:after="0"/>
              <w:rPr>
                <w:sz w:val="12"/>
                <w:szCs w:val="12"/>
                <w:color w:val="auto"/>
              </w:rPr>
            </w:pPr>
          </w:p>
        </w:tc>
        <w:tc>
          <w:tcPr>
            <w:tcW w:w="1780" w:type="dxa"/>
            <w:vAlign w:val="bottom"/>
          </w:tcPr>
          <w:p>
            <w:pPr>
              <w:spacing w:after="0"/>
              <w:rPr>
                <w:sz w:val="12"/>
                <w:szCs w:val="12"/>
                <w:color w:val="auto"/>
              </w:rPr>
            </w:pPr>
          </w:p>
        </w:tc>
        <w:tc>
          <w:tcPr>
            <w:tcW w:w="1220" w:type="dxa"/>
            <w:vAlign w:val="bottom"/>
            <w:gridSpan w:val="3"/>
          </w:tcPr>
          <w:p>
            <w:pPr>
              <w:spacing w:after="0" w:line="142" w:lineRule="exact"/>
              <w:rPr>
                <w:sz w:val="20"/>
                <w:szCs w:val="20"/>
                <w:color w:val="auto"/>
              </w:rPr>
            </w:pPr>
            <w:r>
              <w:rPr>
                <w:rFonts w:ascii="Arial" w:cs="Arial" w:eastAsia="Arial" w:hAnsi="Arial"/>
                <w:sz w:val="14"/>
                <w:szCs w:val="14"/>
                <w:b w:val="1"/>
                <w:bCs w:val="1"/>
                <w:color w:val="auto"/>
                <w:w w:val="91"/>
              </w:rPr>
              <w:t>September 30, 2010</w:t>
            </w:r>
          </w:p>
        </w:tc>
        <w:tc>
          <w:tcPr>
            <w:tcW w:w="800" w:type="dxa"/>
            <w:vAlign w:val="bottom"/>
          </w:tcPr>
          <w:p>
            <w:pPr>
              <w:spacing w:after="0"/>
              <w:rPr>
                <w:sz w:val="12"/>
                <w:szCs w:val="12"/>
                <w:color w:val="auto"/>
              </w:rPr>
            </w:pPr>
          </w:p>
        </w:tc>
        <w:tc>
          <w:tcPr>
            <w:tcW w:w="1100" w:type="dxa"/>
            <w:vAlign w:val="bottom"/>
            <w:gridSpan w:val="2"/>
          </w:tcPr>
          <w:p>
            <w:pPr>
              <w:spacing w:after="0" w:line="142" w:lineRule="exact"/>
              <w:rPr>
                <w:sz w:val="20"/>
                <w:szCs w:val="20"/>
                <w:color w:val="auto"/>
              </w:rPr>
            </w:pPr>
            <w:r>
              <w:rPr>
                <w:rFonts w:ascii="Arial" w:cs="Arial" w:eastAsia="Arial" w:hAnsi="Arial"/>
                <w:sz w:val="14"/>
                <w:szCs w:val="14"/>
                <w:b w:val="1"/>
                <w:bCs w:val="1"/>
                <w:color w:val="auto"/>
                <w:w w:val="85"/>
              </w:rPr>
              <w:t>December 31, 2009</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526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64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Cash and cash equivalents</w:t>
            </w:r>
          </w:p>
        </w:tc>
        <w:tc>
          <w:tcPr>
            <w:tcW w:w="2140" w:type="dxa"/>
            <w:vAlign w:val="bottom"/>
            <w:gridSpan w:val="2"/>
            <w:shd w:val="clear" w:color="auto" w:fill="CCEEFF"/>
          </w:tcPr>
          <w:p>
            <w:pPr>
              <w:ind w:left="1780"/>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27,466</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ind w:left="800"/>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22,679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00" w:type="dxa"/>
            <w:vAlign w:val="bottom"/>
            <w:gridSpan w:val="2"/>
          </w:tcPr>
          <w:p>
            <w:pPr>
              <w:spacing w:after="0"/>
              <w:rPr>
                <w:sz w:val="20"/>
                <w:szCs w:val="20"/>
                <w:color w:val="auto"/>
              </w:rPr>
            </w:pPr>
            <w:r>
              <w:rPr>
                <w:rFonts w:ascii="Arial" w:cs="Arial" w:eastAsia="Arial" w:hAnsi="Arial"/>
                <w:sz w:val="18"/>
                <w:szCs w:val="18"/>
                <w:color w:val="auto"/>
              </w:rPr>
              <w:t>Marketable securities</w:t>
            </w:r>
          </w:p>
        </w:tc>
        <w:tc>
          <w:tcPr>
            <w:tcW w:w="17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6,010</w:t>
            </w: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134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UST and HCT escrow accounts</w:t>
            </w:r>
          </w:p>
        </w:tc>
        <w:tc>
          <w:tcPr>
            <w:tcW w:w="178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978</w:t>
            </w: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13,430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6420" w:type="dxa"/>
            <w:vAlign w:val="bottom"/>
            <w:gridSpan w:val="3"/>
          </w:tcPr>
          <w:p>
            <w:pPr>
              <w:spacing w:after="0"/>
              <w:rPr>
                <w:sz w:val="20"/>
                <w:szCs w:val="20"/>
                <w:color w:val="auto"/>
              </w:rPr>
            </w:pPr>
            <w:r>
              <w:rPr>
                <w:rFonts w:ascii="Arial" w:cs="Arial" w:eastAsia="Arial" w:hAnsi="Arial"/>
                <w:sz w:val="18"/>
                <w:szCs w:val="18"/>
                <w:color w:val="auto"/>
              </w:rPr>
              <w:t>Total liquid assets</w:t>
            </w:r>
          </w:p>
        </w:tc>
        <w:tc>
          <w:tcPr>
            <w:tcW w:w="17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34,454</w:t>
            </w:r>
          </w:p>
        </w:tc>
        <w:tc>
          <w:tcPr>
            <w:tcW w:w="1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36,243</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64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Short-term debt and current portion of long-term debt</w:t>
            </w:r>
          </w:p>
        </w:tc>
        <w:tc>
          <w:tcPr>
            <w:tcW w:w="17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(5,621)</w:t>
            </w:r>
          </w:p>
        </w:tc>
        <w:tc>
          <w:tcPr>
            <w:tcW w:w="8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(10,221)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00" w:type="dxa"/>
            <w:vAlign w:val="bottom"/>
            <w:gridSpan w:val="2"/>
          </w:tcPr>
          <w:p>
            <w:pPr>
              <w:spacing w:after="0"/>
              <w:rPr>
                <w:sz w:val="20"/>
                <w:szCs w:val="20"/>
                <w:color w:val="auto"/>
              </w:rPr>
            </w:pPr>
            <w:r>
              <w:rPr>
                <w:rFonts w:ascii="Arial" w:cs="Arial" w:eastAsia="Arial" w:hAnsi="Arial"/>
                <w:sz w:val="18"/>
                <w:szCs w:val="18"/>
                <w:color w:val="auto"/>
              </w:rPr>
              <w:t>Long-term debt</w:t>
            </w:r>
          </w:p>
        </w:tc>
        <w:tc>
          <w:tcPr>
            <w:tcW w:w="17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60" w:type="dxa"/>
            <w:vAlign w:val="bottom"/>
            <w:gridSpan w:val="2"/>
          </w:tcPr>
          <w:p>
            <w:pPr>
              <w:jc w:val="right"/>
              <w:ind w:right="40"/>
              <w:spacing w:after="0"/>
              <w:rPr>
                <w:sz w:val="20"/>
                <w:szCs w:val="20"/>
                <w:color w:val="auto"/>
              </w:rPr>
            </w:pPr>
            <w:r>
              <w:rPr>
                <w:rFonts w:ascii="Arial" w:cs="Arial" w:eastAsia="Arial" w:hAnsi="Arial"/>
                <w:sz w:val="18"/>
                <w:szCs w:val="18"/>
                <w:color w:val="auto"/>
              </w:rPr>
              <w:t>(2,945)</w:t>
            </w:r>
          </w:p>
        </w:tc>
        <w:tc>
          <w:tcPr>
            <w:tcW w:w="8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80" w:type="dxa"/>
            <w:vAlign w:val="bottom"/>
            <w:gridSpan w:val="2"/>
          </w:tcPr>
          <w:p>
            <w:pPr>
              <w:jc w:val="right"/>
              <w:ind w:right="40"/>
              <w:spacing w:after="0"/>
              <w:rPr>
                <w:sz w:val="20"/>
                <w:szCs w:val="20"/>
                <w:color w:val="auto"/>
              </w:rPr>
            </w:pPr>
            <w:r>
              <w:rPr>
                <w:rFonts w:ascii="Arial" w:cs="Arial" w:eastAsia="Arial" w:hAnsi="Arial"/>
                <w:sz w:val="18"/>
                <w:szCs w:val="18"/>
                <w:color w:val="auto"/>
              </w:rPr>
              <w:t>(5,562)</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1140" w:type="dxa"/>
            <w:vAlign w:val="bottom"/>
          </w:tcPr>
          <w:p>
            <w:pPr>
              <w:spacing w:after="0"/>
              <w:rPr>
                <w:sz w:val="2"/>
                <w:szCs w:val="2"/>
                <w:color w:val="auto"/>
              </w:rPr>
            </w:pPr>
          </w:p>
        </w:tc>
        <w:tc>
          <w:tcPr>
            <w:tcW w:w="5260" w:type="dxa"/>
            <w:vAlign w:val="bottom"/>
          </w:tcPr>
          <w:p>
            <w:pPr>
              <w:spacing w:after="0"/>
              <w:rPr>
                <w:sz w:val="2"/>
                <w:szCs w:val="2"/>
                <w:color w:val="auto"/>
              </w:rPr>
            </w:pPr>
          </w:p>
        </w:tc>
        <w:tc>
          <w:tcPr>
            <w:tcW w:w="1780" w:type="dxa"/>
            <w:vAlign w:val="bottom"/>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4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liquid assets</w:t>
            </w:r>
          </w:p>
        </w:tc>
        <w:tc>
          <w:tcPr>
            <w:tcW w:w="17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25,888</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ind w:left="800"/>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20,460</w:t>
            </w:r>
          </w:p>
        </w:tc>
        <w:tc>
          <w:tcPr>
            <w:tcW w:w="0" w:type="dxa"/>
            <w:vAlign w:val="bottom"/>
          </w:tcPr>
          <w:p>
            <w:pPr>
              <w:spacing w:after="0"/>
              <w:rPr>
                <w:sz w:val="1"/>
                <w:szCs w:val="1"/>
                <w:color w:val="auto"/>
              </w:rPr>
            </w:pPr>
          </w:p>
        </w:tc>
      </w:tr>
      <w:tr>
        <w:trPr>
          <w:trHeight w:val="20"/>
        </w:trPr>
        <w:tc>
          <w:tcPr>
            <w:tcW w:w="6420" w:type="dxa"/>
            <w:vAlign w:val="bottom"/>
            <w:gridSpan w:val="3"/>
            <w:vMerge w:val="restart"/>
          </w:tcPr>
          <w:p>
            <w:pPr>
              <w:spacing w:after="0"/>
              <w:rPr>
                <w:sz w:val="20"/>
                <w:szCs w:val="20"/>
                <w:color w:val="auto"/>
              </w:rPr>
            </w:pPr>
            <w:r>
              <w:rPr>
                <w:rFonts w:ascii="Arial" w:cs="Arial" w:eastAsia="Arial" w:hAnsi="Arial"/>
                <w:sz w:val="18"/>
                <w:szCs w:val="18"/>
                <w:color w:val="auto"/>
              </w:rPr>
              <w:t>Effect of planned Series A purchase (a)</w:t>
            </w:r>
          </w:p>
        </w:tc>
        <w:tc>
          <w:tcPr>
            <w:tcW w:w="17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60" w:type="dxa"/>
            <w:vAlign w:val="bottom"/>
            <w:gridSpan w:val="2"/>
            <w:vMerge w:val="restart"/>
          </w:tcPr>
          <w:p>
            <w:pPr>
              <w:jc w:val="right"/>
              <w:ind w:right="40"/>
              <w:spacing w:after="0"/>
              <w:rPr>
                <w:sz w:val="20"/>
                <w:szCs w:val="20"/>
                <w:color w:val="auto"/>
              </w:rPr>
            </w:pPr>
            <w:r>
              <w:rPr>
                <w:rFonts w:ascii="Arial" w:cs="Arial" w:eastAsia="Arial" w:hAnsi="Arial"/>
                <w:sz w:val="18"/>
                <w:szCs w:val="18"/>
                <w:color w:val="auto"/>
              </w:rPr>
              <w:t>(2,140)</w:t>
            </w:r>
          </w:p>
        </w:tc>
        <w:tc>
          <w:tcPr>
            <w:tcW w:w="80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6420" w:type="dxa"/>
            <w:vAlign w:val="bottom"/>
            <w:gridSpan w:val="3"/>
            <w:vMerge w:val="continue"/>
          </w:tcPr>
          <w:p>
            <w:pPr>
              <w:spacing w:after="0"/>
              <w:rPr>
                <w:sz w:val="18"/>
                <w:szCs w:val="18"/>
                <w:color w:val="auto"/>
              </w:rPr>
            </w:pPr>
          </w:p>
        </w:tc>
        <w:tc>
          <w:tcPr>
            <w:tcW w:w="17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60" w:type="dxa"/>
            <w:vAlign w:val="bottom"/>
            <w:gridSpan w:val="2"/>
            <w:vMerge w:val="continue"/>
          </w:tcPr>
          <w:p>
            <w:pPr>
              <w:spacing w:after="0"/>
              <w:rPr>
                <w:sz w:val="18"/>
                <w:szCs w:val="18"/>
                <w:color w:val="auto"/>
              </w:rPr>
            </w:pPr>
          </w:p>
        </w:tc>
        <w:tc>
          <w:tcPr>
            <w:tcW w:w="8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8"/>
        </w:trPr>
        <w:tc>
          <w:tcPr>
            <w:tcW w:w="20" w:type="dxa"/>
            <w:vAlign w:val="bottom"/>
            <w:vMerge w:val="restart"/>
          </w:tcPr>
          <w:p>
            <w:pPr>
              <w:spacing w:after="0"/>
              <w:rPr>
                <w:sz w:val="2"/>
                <w:szCs w:val="2"/>
                <w:color w:val="auto"/>
              </w:rPr>
            </w:pPr>
          </w:p>
        </w:tc>
        <w:tc>
          <w:tcPr>
            <w:tcW w:w="1140" w:type="dxa"/>
            <w:vAlign w:val="bottom"/>
          </w:tcPr>
          <w:p>
            <w:pPr>
              <w:spacing w:after="0"/>
              <w:rPr>
                <w:sz w:val="2"/>
                <w:szCs w:val="2"/>
                <w:color w:val="auto"/>
              </w:rPr>
            </w:pPr>
          </w:p>
        </w:tc>
        <w:tc>
          <w:tcPr>
            <w:tcW w:w="5260" w:type="dxa"/>
            <w:vAlign w:val="bottom"/>
          </w:tcPr>
          <w:p>
            <w:pPr>
              <w:spacing w:after="0"/>
              <w:rPr>
                <w:sz w:val="2"/>
                <w:szCs w:val="2"/>
                <w:color w:val="auto"/>
              </w:rPr>
            </w:pPr>
          </w:p>
        </w:tc>
        <w:tc>
          <w:tcPr>
            <w:tcW w:w="1780" w:type="dxa"/>
            <w:vAlign w:val="bottom"/>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3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4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liquid assets, adjusted for effect of planned Series A purchase</w:t>
            </w:r>
          </w:p>
        </w:tc>
        <w:tc>
          <w:tcPr>
            <w:tcW w:w="2140" w:type="dxa"/>
            <w:vAlign w:val="bottom"/>
            <w:gridSpan w:val="2"/>
            <w:shd w:val="clear" w:color="auto" w:fill="CCEEFF"/>
          </w:tcPr>
          <w:p>
            <w:pPr>
              <w:ind w:left="1780"/>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23,748</w:t>
            </w: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526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2"/>
        </w:trPr>
        <w:tc>
          <w:tcPr>
            <w:tcW w:w="20" w:type="dxa"/>
            <w:vAlign w:val="bottom"/>
          </w:tcPr>
          <w:p>
            <w:pPr>
              <w:spacing w:after="0"/>
              <w:rPr>
                <w:sz w:val="8"/>
                <w:szCs w:val="8"/>
                <w:color w:val="auto"/>
              </w:rPr>
            </w:pPr>
          </w:p>
        </w:tc>
        <w:tc>
          <w:tcPr>
            <w:tcW w:w="1140" w:type="dxa"/>
            <w:vAlign w:val="bottom"/>
            <w:tcBorders>
              <w:bottom w:val="single" w:sz="8" w:color="auto"/>
            </w:tcBorders>
          </w:tcPr>
          <w:p>
            <w:pPr>
              <w:spacing w:after="0"/>
              <w:rPr>
                <w:sz w:val="8"/>
                <w:szCs w:val="8"/>
                <w:color w:val="auto"/>
              </w:rPr>
            </w:pPr>
          </w:p>
        </w:tc>
        <w:tc>
          <w:tcPr>
            <w:tcW w:w="5260" w:type="dxa"/>
            <w:vAlign w:val="bottom"/>
          </w:tcPr>
          <w:p>
            <w:pPr>
              <w:spacing w:after="0"/>
              <w:rPr>
                <w:sz w:val="8"/>
                <w:szCs w:val="8"/>
                <w:color w:val="auto"/>
              </w:rPr>
            </w:pPr>
          </w:p>
        </w:tc>
        <w:tc>
          <w:tcPr>
            <w:tcW w:w="1780" w:type="dxa"/>
            <w:vAlign w:val="bottom"/>
          </w:tcPr>
          <w:p>
            <w:pPr>
              <w:spacing w:after="0"/>
              <w:rPr>
                <w:sz w:val="8"/>
                <w:szCs w:val="8"/>
                <w:color w:val="auto"/>
              </w:rPr>
            </w:pPr>
          </w:p>
        </w:tc>
        <w:tc>
          <w:tcPr>
            <w:tcW w:w="360" w:type="dxa"/>
            <w:vAlign w:val="bottom"/>
          </w:tcPr>
          <w:p>
            <w:pPr>
              <w:spacing w:after="0"/>
              <w:rPr>
                <w:sz w:val="8"/>
                <w:szCs w:val="8"/>
                <w:color w:val="auto"/>
              </w:rPr>
            </w:pPr>
          </w:p>
        </w:tc>
        <w:tc>
          <w:tcPr>
            <w:tcW w:w="76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0" w:type="dxa"/>
            <w:vAlign w:val="bottom"/>
          </w:tcPr>
          <w:p>
            <w:pPr>
              <w:spacing w:after="0"/>
              <w:rPr>
                <w:sz w:val="8"/>
                <w:szCs w:val="8"/>
                <w:color w:val="auto"/>
              </w:rPr>
            </w:pPr>
          </w:p>
        </w:tc>
        <w:tc>
          <w:tcPr>
            <w:tcW w:w="320" w:type="dxa"/>
            <w:vAlign w:val="bottom"/>
          </w:tcPr>
          <w:p>
            <w:pPr>
              <w:spacing w:after="0"/>
              <w:rPr>
                <w:sz w:val="8"/>
                <w:szCs w:val="8"/>
                <w:color w:val="auto"/>
              </w:rPr>
            </w:pPr>
          </w:p>
        </w:tc>
        <w:tc>
          <w:tcPr>
            <w:tcW w:w="78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19" w:lineRule="exact"/>
        <w:rPr>
          <w:sz w:val="20"/>
          <w:szCs w:val="20"/>
          <w:color w:val="auto"/>
        </w:rPr>
      </w:pPr>
    </w:p>
    <w:p>
      <w:pPr>
        <w:ind w:left="460" w:right="20" w:hanging="452"/>
        <w:spacing w:after="0" w:line="332" w:lineRule="auto"/>
        <w:tabs>
          <w:tab w:leader="none" w:pos="460" w:val="left"/>
        </w:tabs>
        <w:numPr>
          <w:ilvl w:val="0"/>
          <w:numId w:val="103"/>
        </w:numPr>
        <w:rPr>
          <w:rFonts w:ascii="Arial" w:cs="Arial" w:eastAsia="Arial" w:hAnsi="Arial"/>
          <w:sz w:val="16"/>
          <w:szCs w:val="16"/>
          <w:color w:val="auto"/>
        </w:rPr>
      </w:pPr>
      <w:r>
        <w:rPr>
          <w:rFonts w:ascii="Arial" w:cs="Arial" w:eastAsia="Arial" w:hAnsi="Arial"/>
          <w:sz w:val="16"/>
          <w:szCs w:val="16"/>
          <w:color w:val="auto"/>
        </w:rPr>
        <w:t>As discussed above in the section “Recent Initiatives,” we plan to purchase 83.9 million shares of Series A Preferred Stock held by the UST at a price equal to 102% of their $2.1 billion aggregate liquidation amount, conditional upon the completion of the common stock offering.</w:t>
      </w:r>
    </w:p>
    <w:p>
      <w:pPr>
        <w:spacing w:after="0" w:line="85" w:lineRule="exact"/>
        <w:rPr>
          <w:sz w:val="20"/>
          <w:szCs w:val="20"/>
          <w:color w:val="auto"/>
        </w:rPr>
      </w:pPr>
    </w:p>
    <w:p>
      <w:pPr>
        <w:ind w:right="40" w:firstLine="228"/>
        <w:spacing w:after="0" w:line="254" w:lineRule="auto"/>
        <w:rPr>
          <w:sz w:val="20"/>
          <w:szCs w:val="20"/>
          <w:color w:val="auto"/>
        </w:rPr>
      </w:pPr>
      <w:r>
        <w:rPr>
          <w:rFonts w:ascii="Arial" w:cs="Arial" w:eastAsia="Arial" w:hAnsi="Arial"/>
          <w:sz w:val="18"/>
          <w:szCs w:val="18"/>
          <w:color w:val="auto"/>
        </w:rPr>
        <w:t>Total liquid assets of $34.5 billion exceeded our debt balances by $25.9 billion at September 30, 2010. This represented an increase of $5.4 billion in the net liquid assets in the nine months ended September 30, 2010. The change was due to an increase of $4.8 billion in Cash and cash equivalents (as previously discussed), an increase of $5.9 billion in Marketable securities and a decrease of $7.2 billion in Short-term and Long-term debt, partially offset by a reduction of $12.5 billion in the UST Credit Agreement escrow balance. The decrease in Short-term and Long-term debt primarily related to: (1) repayment in full of the UST Loans of $5.7 billion; (2) repayment in full of the Canadian Loan of $1.3 billion; and (3) repayment in full of the loans related to the Receivables Program of $0.2 billion.</w:t>
      </w:r>
    </w:p>
    <w:p>
      <w:pPr>
        <w:spacing w:after="0" w:line="1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130</w:t>
      </w:r>
    </w:p>
    <w:p>
      <w:pPr>
        <w:sectPr>
          <w:pgSz w:w="11900" w:h="16838" w:orient="portrait"/>
          <w:cols w:equalWidth="0" w:num="1">
            <w:col w:w="11420"/>
          </w:cols>
          <w:pgMar w:left="240" w:top="459" w:right="239" w:bottom="1440" w:gutter="0" w:footer="0" w:header="0"/>
        </w:sectPr>
      </w:pPr>
    </w:p>
    <w:bookmarkStart w:id="132" w:name="page133"/>
    <w:bookmarkEnd w:id="1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339"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Other Liquidity Issues</w:t>
      </w:r>
    </w:p>
    <w:p>
      <w:pPr>
        <w:spacing w:after="0" w:line="171"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Receivables Program</w:t>
      </w:r>
    </w:p>
    <w:p>
      <w:pPr>
        <w:spacing w:after="0" w:line="171" w:lineRule="exact"/>
        <w:rPr>
          <w:sz w:val="20"/>
          <w:szCs w:val="20"/>
          <w:color w:val="auto"/>
        </w:rPr>
      </w:pPr>
    </w:p>
    <w:p>
      <w:pPr>
        <w:ind w:right="60" w:firstLine="228"/>
        <w:spacing w:after="0" w:line="256" w:lineRule="auto"/>
        <w:rPr>
          <w:sz w:val="20"/>
          <w:szCs w:val="20"/>
          <w:color w:val="auto"/>
        </w:rPr>
      </w:pPr>
      <w:r>
        <w:rPr>
          <w:rFonts w:ascii="Arial" w:cs="Arial" w:eastAsia="Arial" w:hAnsi="Arial"/>
          <w:sz w:val="18"/>
          <w:szCs w:val="18"/>
          <w:color w:val="auto"/>
        </w:rPr>
        <w:t>In connection with the 363 Sale, we assumed the obligation of the Receivables Program. At December 31, 2009 our equity contributions were $55 million and the UST had outstanding loans of $150 million to the Receivables Program. In the three months ended March 31, 2010 we repaid these loans in full. The Receivables Program was terminated in accordance with its terms in April 2010. Upon termination, we shared residual capital of $25 million in the program equally with the UST and paid a termination fee of $44 million.</w:t>
      </w:r>
    </w:p>
    <w:p>
      <w:pPr>
        <w:spacing w:after="0" w:line="143"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Ally In-Transit Financing</w:t>
      </w:r>
    </w:p>
    <w:p>
      <w:pPr>
        <w:spacing w:after="0" w:line="171" w:lineRule="exact"/>
        <w:rPr>
          <w:sz w:val="20"/>
          <w:szCs w:val="20"/>
          <w:color w:val="auto"/>
        </w:rPr>
      </w:pPr>
    </w:p>
    <w:p>
      <w:pPr>
        <w:ind w:firstLine="228"/>
        <w:spacing w:after="0" w:line="290" w:lineRule="auto"/>
        <w:rPr>
          <w:sz w:val="20"/>
          <w:szCs w:val="20"/>
          <w:color w:val="auto"/>
        </w:rPr>
      </w:pPr>
      <w:r>
        <w:rPr>
          <w:rFonts w:ascii="Arial" w:cs="Arial" w:eastAsia="Arial" w:hAnsi="Arial"/>
          <w:sz w:val="16"/>
          <w:szCs w:val="16"/>
          <w:color w:val="auto"/>
        </w:rPr>
        <w:t>Under wholesale financing arrangements, our U.S. dealers typically borrow money from financial institutions to fund their vehicle purchases from us. Subject to completion of the common stock offering and Series B Preferred Stock offering, we expect to terminate a wholesale advance agreement which provides for accelerated receipt of payments made by Ally Financial on behalf of our U.S. dealers pursuant to Ally Financial’s wholesale financing arrangements with dealers. Similar modifications will be made in Canada. The wholesale advance agreements cover the period for which vehicles are in transit between assembly plants and dealerships. Upon termination, we will no longer receive payments in advance of the date vehicles purchased by dealers are scheduled to be delivered, resulting in an increase of up to $2.0 billion to our accounts receivable balance, depending on sales volumes and certain other factors in the near term, and the related costs under the arrangements will be eliminated.</w:t>
      </w:r>
    </w:p>
    <w:p>
      <w:pPr>
        <w:spacing w:after="0" w:line="118"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Loan Commitments</w:t>
      </w:r>
    </w:p>
    <w:p>
      <w:pPr>
        <w:spacing w:after="0" w:line="171" w:lineRule="exact"/>
        <w:rPr>
          <w:sz w:val="20"/>
          <w:szCs w:val="20"/>
          <w:color w:val="auto"/>
        </w:rPr>
      </w:pPr>
    </w:p>
    <w:p>
      <w:pPr>
        <w:ind w:right="240" w:firstLine="228"/>
        <w:spacing w:after="0" w:line="259" w:lineRule="auto"/>
        <w:rPr>
          <w:sz w:val="20"/>
          <w:szCs w:val="20"/>
          <w:color w:val="auto"/>
        </w:rPr>
      </w:pPr>
      <w:r>
        <w:rPr>
          <w:rFonts w:ascii="Arial" w:cs="Arial" w:eastAsia="Arial" w:hAnsi="Arial"/>
          <w:sz w:val="18"/>
          <w:szCs w:val="18"/>
          <w:color w:val="auto"/>
        </w:rPr>
        <w:t>We have extended loan commitments to certain affiliated companies and critical business partners. These commitments can be triggered under certain conditions and expire in the years ranging from 2010 to 2014. At September 30, 2010 we had a total commitment of $711 million outstanding with $11 million loaned.</w:t>
      </w:r>
    </w:p>
    <w:p>
      <w:pPr>
        <w:spacing w:after="0" w:line="140"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Status of Credit Ratings</w:t>
      </w:r>
    </w:p>
    <w:p>
      <w:pPr>
        <w:spacing w:after="0" w:line="171" w:lineRule="exact"/>
        <w:rPr>
          <w:sz w:val="20"/>
          <w:szCs w:val="20"/>
          <w:color w:val="auto"/>
        </w:rPr>
      </w:pPr>
    </w:p>
    <w:p>
      <w:pPr>
        <w:ind w:right="80" w:firstLine="228"/>
        <w:spacing w:after="0" w:line="291" w:lineRule="auto"/>
        <w:rPr>
          <w:sz w:val="20"/>
          <w:szCs w:val="20"/>
          <w:color w:val="auto"/>
        </w:rPr>
      </w:pPr>
      <w:r>
        <w:rPr>
          <w:rFonts w:ascii="Arial" w:cs="Arial" w:eastAsia="Arial" w:hAnsi="Arial"/>
          <w:sz w:val="16"/>
          <w:szCs w:val="16"/>
          <w:color w:val="auto"/>
        </w:rPr>
        <w:t>We have been assigned initial ratings by four independent credit rating agencies: Dominion Bond Rating Services (DBRS), Fitch Ratings (Fitch), Moody’s Investor Service (Moody’s), and Standard &amp; Poor’s (S&amp;P). The ratings indicate the agencies’ assessment of a company’s creditworthiness such as its ability to timely pay principal and interest on debt securities, dividends on preferred securities and other contractual obligations. Lower credit ratings generally represent higher borrowing costs and reduced access to capital markets for a company. The agencies’ ratings are based on information provided by us as well as from other sources. The agencies consider a number of business and financial factors when determining ratings including, but not limited to, our competitive position, sustainability of our profits and cash flows, our balance sheet and liquidity profile and our ability to meet obligations under adverse economic scenarios.</w:t>
      </w:r>
    </w:p>
    <w:p>
      <w:pPr>
        <w:spacing w:after="0" w:line="120" w:lineRule="exact"/>
        <w:rPr>
          <w:sz w:val="20"/>
          <w:szCs w:val="20"/>
          <w:color w:val="auto"/>
        </w:rPr>
      </w:pPr>
    </w:p>
    <w:p>
      <w:pPr>
        <w:ind w:left="240"/>
        <w:spacing w:after="0"/>
        <w:rPr>
          <w:sz w:val="20"/>
          <w:szCs w:val="20"/>
          <w:color w:val="auto"/>
        </w:rPr>
      </w:pPr>
      <w:r>
        <w:rPr>
          <w:rFonts w:ascii="Arial" w:cs="Arial" w:eastAsia="Arial" w:hAnsi="Arial"/>
          <w:sz w:val="16"/>
          <w:szCs w:val="16"/>
          <w:color w:val="auto"/>
        </w:rPr>
        <w:t>DBRS, Moody’s, Fitch, and S&amp;P currently rate our corporate credit at non-investment grade. The following table summarizes our credit ratings at</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November 1, 2010:</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62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80" w:type="dxa"/>
            <w:vAlign w:val="bottom"/>
          </w:tcPr>
          <w:p>
            <w:pPr>
              <w:spacing w:after="0"/>
              <w:rPr>
                <w:sz w:val="20"/>
                <w:szCs w:val="20"/>
                <w:color w:val="auto"/>
              </w:rPr>
            </w:pPr>
            <w:r>
              <w:rPr>
                <w:rFonts w:ascii="Arial" w:cs="Arial" w:eastAsia="Arial" w:hAnsi="Arial"/>
                <w:sz w:val="14"/>
                <w:szCs w:val="14"/>
                <w:b w:val="1"/>
                <w:bCs w:val="1"/>
                <w:color w:val="auto"/>
                <w:w w:val="84"/>
              </w:rPr>
              <w:t>Secured Revolving</w:t>
            </w:r>
          </w:p>
        </w:tc>
        <w:tc>
          <w:tcPr>
            <w:tcW w:w="400" w:type="dxa"/>
            <w:vAlign w:val="bottom"/>
          </w:tcPr>
          <w:p>
            <w:pPr>
              <w:spacing w:after="0"/>
              <w:rPr>
                <w:sz w:val="14"/>
                <w:szCs w:val="14"/>
                <w:color w:val="auto"/>
              </w:rPr>
            </w:pPr>
          </w:p>
        </w:tc>
        <w:tc>
          <w:tcPr>
            <w:tcW w:w="1120" w:type="dxa"/>
            <w:vAlign w:val="bottom"/>
            <w:gridSpan w:val="2"/>
          </w:tcPr>
          <w:p>
            <w:pPr>
              <w:jc w:val="right"/>
              <w:ind w:right="620"/>
              <w:spacing w:after="0"/>
              <w:rPr>
                <w:sz w:val="20"/>
                <w:szCs w:val="20"/>
                <w:color w:val="auto"/>
              </w:rPr>
            </w:pPr>
            <w:r>
              <w:rPr>
                <w:rFonts w:ascii="Arial" w:cs="Arial" w:eastAsia="Arial" w:hAnsi="Arial"/>
                <w:sz w:val="14"/>
                <w:szCs w:val="14"/>
                <w:b w:val="1"/>
                <w:bCs w:val="1"/>
                <w:color w:val="auto"/>
              </w:rPr>
              <w:t>Senior</w:t>
            </w:r>
          </w:p>
        </w:tc>
        <w:tc>
          <w:tcPr>
            <w:tcW w:w="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920" w:type="dxa"/>
            <w:vAlign w:val="bottom"/>
            <w:gridSpan w:val="2"/>
          </w:tcPr>
          <w:p>
            <w:pPr>
              <w:spacing w:after="0"/>
              <w:rPr>
                <w:sz w:val="20"/>
                <w:szCs w:val="20"/>
                <w:color w:val="auto"/>
              </w:rPr>
            </w:pPr>
            <w:r>
              <w:rPr>
                <w:rFonts w:ascii="Arial" w:cs="Arial" w:eastAsia="Arial" w:hAnsi="Arial"/>
                <w:sz w:val="14"/>
                <w:szCs w:val="14"/>
                <w:b w:val="1"/>
                <w:bCs w:val="1"/>
                <w:color w:val="auto"/>
                <w:w w:val="91"/>
              </w:rPr>
              <w:t>Rating Agency</w:t>
            </w:r>
          </w:p>
        </w:tc>
        <w:tc>
          <w:tcPr>
            <w:tcW w:w="6280" w:type="dxa"/>
            <w:vAlign w:val="bottom"/>
          </w:tcPr>
          <w:p>
            <w:pPr>
              <w:spacing w:after="0"/>
              <w:rPr>
                <w:sz w:val="14"/>
                <w:szCs w:val="14"/>
                <w:color w:val="auto"/>
              </w:rPr>
            </w:pPr>
          </w:p>
        </w:tc>
        <w:tc>
          <w:tcPr>
            <w:tcW w:w="620" w:type="dxa"/>
            <w:vAlign w:val="bottom"/>
          </w:tcPr>
          <w:p>
            <w:pPr>
              <w:ind w:left="20"/>
              <w:spacing w:after="0"/>
              <w:rPr>
                <w:sz w:val="20"/>
                <w:szCs w:val="20"/>
                <w:color w:val="auto"/>
              </w:rPr>
            </w:pPr>
            <w:r>
              <w:rPr>
                <w:rFonts w:ascii="Arial" w:cs="Arial" w:eastAsia="Arial" w:hAnsi="Arial"/>
                <w:sz w:val="14"/>
                <w:szCs w:val="14"/>
                <w:b w:val="1"/>
                <w:bCs w:val="1"/>
                <w:color w:val="auto"/>
                <w:w w:val="86"/>
              </w:rPr>
              <w:t>Corporate</w:t>
            </w:r>
          </w:p>
        </w:tc>
        <w:tc>
          <w:tcPr>
            <w:tcW w:w="400" w:type="dxa"/>
            <w:vAlign w:val="bottom"/>
          </w:tcPr>
          <w:p>
            <w:pPr>
              <w:spacing w:after="0"/>
              <w:rPr>
                <w:sz w:val="14"/>
                <w:szCs w:val="14"/>
                <w:color w:val="auto"/>
              </w:rPr>
            </w:pPr>
          </w:p>
        </w:tc>
        <w:tc>
          <w:tcPr>
            <w:tcW w:w="1080" w:type="dxa"/>
            <w:vAlign w:val="bottom"/>
          </w:tcPr>
          <w:p>
            <w:pPr>
              <w:ind w:left="120"/>
              <w:spacing w:after="0"/>
              <w:rPr>
                <w:sz w:val="20"/>
                <w:szCs w:val="20"/>
                <w:color w:val="auto"/>
              </w:rPr>
            </w:pPr>
            <w:r>
              <w:rPr>
                <w:rFonts w:ascii="Arial" w:cs="Arial" w:eastAsia="Arial" w:hAnsi="Arial"/>
                <w:sz w:val="14"/>
                <w:szCs w:val="14"/>
                <w:b w:val="1"/>
                <w:bCs w:val="1"/>
                <w:color w:val="auto"/>
              </w:rPr>
              <w:t>Credit Facility</w:t>
            </w:r>
          </w:p>
        </w:tc>
        <w:tc>
          <w:tcPr>
            <w:tcW w:w="400" w:type="dxa"/>
            <w:vAlign w:val="bottom"/>
          </w:tcPr>
          <w:p>
            <w:pPr>
              <w:spacing w:after="0"/>
              <w:rPr>
                <w:sz w:val="14"/>
                <w:szCs w:val="14"/>
                <w:color w:val="auto"/>
              </w:rPr>
            </w:pPr>
          </w:p>
        </w:tc>
        <w:tc>
          <w:tcPr>
            <w:tcW w:w="1120" w:type="dxa"/>
            <w:vAlign w:val="bottom"/>
            <w:gridSpan w:val="2"/>
          </w:tcPr>
          <w:p>
            <w:pPr>
              <w:jc w:val="right"/>
              <w:ind w:right="500"/>
              <w:spacing w:after="0"/>
              <w:rPr>
                <w:sz w:val="20"/>
                <w:szCs w:val="20"/>
                <w:color w:val="auto"/>
              </w:rPr>
            </w:pPr>
            <w:r>
              <w:rPr>
                <w:rFonts w:ascii="Arial" w:cs="Arial" w:eastAsia="Arial" w:hAnsi="Arial"/>
                <w:sz w:val="14"/>
                <w:szCs w:val="14"/>
                <w:b w:val="1"/>
                <w:bCs w:val="1"/>
                <w:color w:val="auto"/>
                <w:w w:val="82"/>
              </w:rPr>
              <w:t>Unsecured</w:t>
            </w:r>
          </w:p>
        </w:tc>
        <w:tc>
          <w:tcPr>
            <w:tcW w:w="600" w:type="dxa"/>
            <w:vAlign w:val="bottom"/>
            <w:gridSpan w:val="2"/>
          </w:tcPr>
          <w:p>
            <w:pPr>
              <w:ind w:left="20"/>
              <w:spacing w:after="0"/>
              <w:rPr>
                <w:sz w:val="20"/>
                <w:szCs w:val="20"/>
                <w:color w:val="auto"/>
              </w:rPr>
            </w:pPr>
            <w:r>
              <w:rPr>
                <w:rFonts w:ascii="Arial" w:cs="Arial" w:eastAsia="Arial" w:hAnsi="Arial"/>
                <w:sz w:val="14"/>
                <w:szCs w:val="14"/>
                <w:b w:val="1"/>
                <w:bCs w:val="1"/>
                <w:color w:val="auto"/>
              </w:rPr>
              <w:t>Outlook</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628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900" w:type="dxa"/>
            <w:vAlign w:val="bottom"/>
            <w:shd w:val="clear" w:color="auto" w:fill="CCEEFF"/>
          </w:tcPr>
          <w:p>
            <w:pPr>
              <w:spacing w:after="0"/>
              <w:rPr>
                <w:sz w:val="20"/>
                <w:szCs w:val="20"/>
                <w:color w:val="auto"/>
              </w:rPr>
            </w:pPr>
            <w:r>
              <w:rPr>
                <w:rFonts w:ascii="Arial" w:cs="Arial" w:eastAsia="Arial" w:hAnsi="Arial"/>
                <w:sz w:val="18"/>
                <w:szCs w:val="18"/>
                <w:color w:val="auto"/>
              </w:rPr>
              <w:t>DBRS</w:t>
            </w:r>
          </w:p>
        </w:tc>
        <w:tc>
          <w:tcPr>
            <w:tcW w:w="62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20"/>
                <w:szCs w:val="20"/>
                <w:color w:val="auto"/>
              </w:rPr>
            </w:pPr>
            <w:r>
              <w:rPr>
                <w:rFonts w:ascii="Arial" w:cs="Arial" w:eastAsia="Arial" w:hAnsi="Arial"/>
                <w:sz w:val="18"/>
                <w:szCs w:val="18"/>
                <w:color w:val="auto"/>
              </w:rPr>
              <w:t>BB</w:t>
            </w:r>
          </w:p>
        </w:tc>
        <w:tc>
          <w:tcPr>
            <w:tcW w:w="148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BBB (low)</w:t>
            </w:r>
          </w:p>
        </w:tc>
        <w:tc>
          <w:tcPr>
            <w:tcW w:w="4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N/A</w:t>
            </w:r>
          </w:p>
        </w:tc>
        <w:tc>
          <w:tcPr>
            <w:tcW w:w="60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Stable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0" w:type="dxa"/>
            <w:vAlign w:val="bottom"/>
          </w:tcPr>
          <w:p>
            <w:pPr>
              <w:spacing w:after="0"/>
              <w:rPr>
                <w:sz w:val="20"/>
                <w:szCs w:val="20"/>
                <w:color w:val="auto"/>
              </w:rPr>
            </w:pPr>
            <w:r>
              <w:rPr>
                <w:rFonts w:ascii="Arial" w:cs="Arial" w:eastAsia="Arial" w:hAnsi="Arial"/>
                <w:sz w:val="18"/>
                <w:szCs w:val="18"/>
                <w:color w:val="auto"/>
              </w:rPr>
              <w:t>Fitch</w:t>
            </w:r>
          </w:p>
        </w:tc>
        <w:tc>
          <w:tcPr>
            <w:tcW w:w="6280" w:type="dxa"/>
            <w:vAlign w:val="bottom"/>
          </w:tcPr>
          <w:p>
            <w:pPr>
              <w:spacing w:after="0"/>
              <w:rPr>
                <w:sz w:val="18"/>
                <w:szCs w:val="18"/>
                <w:color w:val="auto"/>
              </w:rPr>
            </w:pPr>
          </w:p>
        </w:tc>
        <w:tc>
          <w:tcPr>
            <w:tcW w:w="620" w:type="dxa"/>
            <w:vAlign w:val="bottom"/>
          </w:tcPr>
          <w:p>
            <w:pPr>
              <w:spacing w:after="0"/>
              <w:rPr>
                <w:sz w:val="20"/>
                <w:szCs w:val="20"/>
                <w:color w:val="auto"/>
              </w:rPr>
            </w:pPr>
            <w:r>
              <w:rPr>
                <w:rFonts w:ascii="Arial" w:cs="Arial" w:eastAsia="Arial" w:hAnsi="Arial"/>
                <w:sz w:val="18"/>
                <w:szCs w:val="18"/>
                <w:color w:val="auto"/>
              </w:rPr>
              <w:t>BB-</w:t>
            </w:r>
          </w:p>
        </w:tc>
        <w:tc>
          <w:tcPr>
            <w:tcW w:w="1480" w:type="dxa"/>
            <w:vAlign w:val="bottom"/>
            <w:gridSpan w:val="2"/>
          </w:tcPr>
          <w:p>
            <w:pPr>
              <w:ind w:left="400"/>
              <w:spacing w:after="0"/>
              <w:rPr>
                <w:sz w:val="20"/>
                <w:szCs w:val="20"/>
                <w:color w:val="auto"/>
              </w:rPr>
            </w:pPr>
            <w:r>
              <w:rPr>
                <w:rFonts w:ascii="Arial" w:cs="Arial" w:eastAsia="Arial" w:hAnsi="Arial"/>
                <w:sz w:val="18"/>
                <w:szCs w:val="18"/>
                <w:color w:val="auto"/>
              </w:rPr>
              <w:t>BB+</w:t>
            </w:r>
          </w:p>
        </w:tc>
        <w:tc>
          <w:tcPr>
            <w:tcW w:w="400" w:type="dxa"/>
            <w:vAlign w:val="bottom"/>
          </w:tcPr>
          <w:p>
            <w:pPr>
              <w:spacing w:after="0"/>
              <w:rPr>
                <w:sz w:val="18"/>
                <w:szCs w:val="18"/>
                <w:color w:val="auto"/>
              </w:rPr>
            </w:pPr>
          </w:p>
        </w:tc>
        <w:tc>
          <w:tcPr>
            <w:tcW w:w="1120" w:type="dxa"/>
            <w:vAlign w:val="bottom"/>
            <w:gridSpan w:val="2"/>
          </w:tcPr>
          <w:p>
            <w:pPr>
              <w:jc w:val="right"/>
              <w:ind w:right="500"/>
              <w:spacing w:after="0"/>
              <w:rPr>
                <w:sz w:val="20"/>
                <w:szCs w:val="20"/>
                <w:color w:val="auto"/>
              </w:rPr>
            </w:pPr>
            <w:r>
              <w:rPr>
                <w:rFonts w:ascii="Arial" w:cs="Arial" w:eastAsia="Arial" w:hAnsi="Arial"/>
                <w:sz w:val="18"/>
                <w:szCs w:val="18"/>
                <w:color w:val="auto"/>
              </w:rPr>
              <w:t>N/A</w:t>
            </w:r>
          </w:p>
        </w:tc>
        <w:tc>
          <w:tcPr>
            <w:tcW w:w="600" w:type="dxa"/>
            <w:vAlign w:val="bottom"/>
            <w:gridSpan w:val="2"/>
          </w:tcPr>
          <w:p>
            <w:pPr>
              <w:ind w:left="60"/>
              <w:spacing w:after="0"/>
              <w:rPr>
                <w:sz w:val="20"/>
                <w:szCs w:val="20"/>
                <w:color w:val="auto"/>
              </w:rPr>
            </w:pPr>
            <w:r>
              <w:rPr>
                <w:rFonts w:ascii="Arial" w:cs="Arial" w:eastAsia="Arial" w:hAnsi="Arial"/>
                <w:sz w:val="18"/>
                <w:szCs w:val="18"/>
                <w:color w:val="auto"/>
              </w:rPr>
              <w:t>Stable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0" w:type="dxa"/>
            <w:vAlign w:val="bottom"/>
            <w:shd w:val="clear" w:color="auto" w:fill="CCEEFF"/>
          </w:tcPr>
          <w:p>
            <w:pPr>
              <w:spacing w:after="0"/>
              <w:rPr>
                <w:sz w:val="20"/>
                <w:szCs w:val="20"/>
                <w:color w:val="auto"/>
              </w:rPr>
            </w:pPr>
            <w:r>
              <w:rPr>
                <w:rFonts w:ascii="Arial" w:cs="Arial" w:eastAsia="Arial" w:hAnsi="Arial"/>
                <w:sz w:val="18"/>
                <w:szCs w:val="18"/>
                <w:color w:val="auto"/>
              </w:rPr>
              <w:t>Moody’s</w:t>
            </w:r>
          </w:p>
        </w:tc>
        <w:tc>
          <w:tcPr>
            <w:tcW w:w="62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20"/>
                <w:szCs w:val="20"/>
                <w:color w:val="auto"/>
              </w:rPr>
            </w:pPr>
            <w:r>
              <w:rPr>
                <w:rFonts w:ascii="Arial" w:cs="Arial" w:eastAsia="Arial" w:hAnsi="Arial"/>
                <w:sz w:val="18"/>
                <w:szCs w:val="18"/>
                <w:color w:val="auto"/>
              </w:rPr>
              <w:t>Ba2</w:t>
            </w:r>
          </w:p>
        </w:tc>
        <w:tc>
          <w:tcPr>
            <w:tcW w:w="148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Baa3</w:t>
            </w:r>
          </w:p>
        </w:tc>
        <w:tc>
          <w:tcPr>
            <w:tcW w:w="4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N/A</w:t>
            </w:r>
          </w:p>
        </w:tc>
        <w:tc>
          <w:tcPr>
            <w:tcW w:w="60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Stable</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900" w:type="dxa"/>
            <w:vAlign w:val="bottom"/>
          </w:tcPr>
          <w:p>
            <w:pPr>
              <w:spacing w:after="0"/>
              <w:rPr>
                <w:sz w:val="20"/>
                <w:szCs w:val="20"/>
                <w:color w:val="auto"/>
              </w:rPr>
            </w:pPr>
            <w:r>
              <w:rPr>
                <w:rFonts w:ascii="Arial" w:cs="Arial" w:eastAsia="Arial" w:hAnsi="Arial"/>
                <w:sz w:val="18"/>
                <w:szCs w:val="18"/>
                <w:color w:val="auto"/>
              </w:rPr>
              <w:t>S&amp;P</w:t>
            </w:r>
          </w:p>
        </w:tc>
        <w:tc>
          <w:tcPr>
            <w:tcW w:w="6280" w:type="dxa"/>
            <w:vAlign w:val="bottom"/>
          </w:tcPr>
          <w:p>
            <w:pPr>
              <w:spacing w:after="0"/>
              <w:rPr>
                <w:sz w:val="19"/>
                <w:szCs w:val="19"/>
                <w:color w:val="auto"/>
              </w:rPr>
            </w:pPr>
          </w:p>
        </w:tc>
        <w:tc>
          <w:tcPr>
            <w:tcW w:w="620" w:type="dxa"/>
            <w:vAlign w:val="bottom"/>
          </w:tcPr>
          <w:p>
            <w:pPr>
              <w:spacing w:after="0"/>
              <w:rPr>
                <w:sz w:val="20"/>
                <w:szCs w:val="20"/>
                <w:color w:val="auto"/>
              </w:rPr>
            </w:pPr>
            <w:r>
              <w:rPr>
                <w:rFonts w:ascii="Arial" w:cs="Arial" w:eastAsia="Arial" w:hAnsi="Arial"/>
                <w:sz w:val="18"/>
                <w:szCs w:val="18"/>
                <w:color w:val="auto"/>
              </w:rPr>
              <w:t>BB-</w:t>
            </w:r>
          </w:p>
        </w:tc>
        <w:tc>
          <w:tcPr>
            <w:tcW w:w="1480" w:type="dxa"/>
            <w:vAlign w:val="bottom"/>
            <w:gridSpan w:val="2"/>
          </w:tcPr>
          <w:p>
            <w:pPr>
              <w:ind w:left="400"/>
              <w:spacing w:after="0"/>
              <w:rPr>
                <w:sz w:val="20"/>
                <w:szCs w:val="20"/>
                <w:color w:val="auto"/>
              </w:rPr>
            </w:pPr>
            <w:r>
              <w:rPr>
                <w:rFonts w:ascii="Arial" w:cs="Arial" w:eastAsia="Arial" w:hAnsi="Arial"/>
                <w:sz w:val="18"/>
                <w:szCs w:val="18"/>
                <w:color w:val="auto"/>
              </w:rPr>
              <w:t>BB+</w:t>
            </w:r>
          </w:p>
        </w:tc>
        <w:tc>
          <w:tcPr>
            <w:tcW w:w="400" w:type="dxa"/>
            <w:vAlign w:val="bottom"/>
          </w:tcPr>
          <w:p>
            <w:pPr>
              <w:spacing w:after="0"/>
              <w:rPr>
                <w:sz w:val="19"/>
                <w:szCs w:val="19"/>
                <w:color w:val="auto"/>
              </w:rPr>
            </w:pPr>
          </w:p>
        </w:tc>
        <w:tc>
          <w:tcPr>
            <w:tcW w:w="1120" w:type="dxa"/>
            <w:vAlign w:val="bottom"/>
            <w:gridSpan w:val="2"/>
          </w:tcPr>
          <w:p>
            <w:pPr>
              <w:jc w:val="right"/>
              <w:ind w:right="500"/>
              <w:spacing w:after="0"/>
              <w:rPr>
                <w:sz w:val="20"/>
                <w:szCs w:val="20"/>
                <w:color w:val="auto"/>
              </w:rPr>
            </w:pPr>
            <w:r>
              <w:rPr>
                <w:rFonts w:ascii="Arial" w:cs="Arial" w:eastAsia="Arial" w:hAnsi="Arial"/>
                <w:sz w:val="18"/>
                <w:szCs w:val="18"/>
                <w:color w:val="auto"/>
              </w:rPr>
              <w:t>N/A</w:t>
            </w:r>
          </w:p>
        </w:tc>
        <w:tc>
          <w:tcPr>
            <w:tcW w:w="600" w:type="dxa"/>
            <w:vAlign w:val="bottom"/>
            <w:gridSpan w:val="2"/>
          </w:tcPr>
          <w:p>
            <w:pPr>
              <w:ind w:left="60"/>
              <w:spacing w:after="0"/>
              <w:rPr>
                <w:sz w:val="20"/>
                <w:szCs w:val="20"/>
                <w:color w:val="auto"/>
              </w:rPr>
            </w:pPr>
            <w:r>
              <w:rPr>
                <w:rFonts w:ascii="Arial" w:cs="Arial" w:eastAsia="Arial" w:hAnsi="Arial"/>
                <w:sz w:val="18"/>
                <w:szCs w:val="18"/>
                <w:color w:val="auto"/>
              </w:rPr>
              <w:t>Stable</w:t>
            </w:r>
          </w:p>
        </w:tc>
        <w:tc>
          <w:tcPr>
            <w:tcW w:w="0" w:type="dxa"/>
            <w:vAlign w:val="bottom"/>
          </w:tcPr>
          <w:p>
            <w:pPr>
              <w:spacing w:after="0"/>
              <w:rPr>
                <w:sz w:val="1"/>
                <w:szCs w:val="1"/>
                <w:color w:val="auto"/>
              </w:rPr>
            </w:pPr>
          </w:p>
        </w:tc>
      </w:tr>
    </w:tbl>
    <w:p>
      <w:pPr>
        <w:spacing w:after="0" w:line="147" w:lineRule="exact"/>
        <w:rPr>
          <w:sz w:val="20"/>
          <w:szCs w:val="20"/>
          <w:color w:val="auto"/>
        </w:rPr>
      </w:pPr>
    </w:p>
    <w:p>
      <w:pPr>
        <w:ind w:left="240"/>
        <w:spacing w:after="0"/>
        <w:rPr>
          <w:sz w:val="20"/>
          <w:szCs w:val="20"/>
          <w:color w:val="auto"/>
        </w:rPr>
      </w:pPr>
      <w:r>
        <w:rPr>
          <w:rFonts w:ascii="Arial" w:cs="Arial" w:eastAsia="Arial" w:hAnsi="Arial"/>
          <w:sz w:val="18"/>
          <w:szCs w:val="18"/>
          <w:color w:val="auto"/>
        </w:rPr>
        <w:t>Rating actions taken by each of the credit rating agencies from October 6, 2010 through November 1, 2010 were as follows:</w:t>
      </w:r>
    </w:p>
    <w:p>
      <w:pPr>
        <w:spacing w:after="0" w:line="171" w:lineRule="exact"/>
        <w:rPr>
          <w:sz w:val="20"/>
          <w:szCs w:val="20"/>
          <w:color w:val="auto"/>
        </w:rPr>
      </w:pPr>
    </w:p>
    <w:p>
      <w:pPr>
        <w:ind w:left="240"/>
        <w:spacing w:after="0"/>
        <w:rPr>
          <w:sz w:val="20"/>
          <w:szCs w:val="20"/>
          <w:color w:val="auto"/>
        </w:rPr>
      </w:pPr>
      <w:r>
        <w:rPr>
          <w:rFonts w:ascii="Arial" w:cs="Arial" w:eastAsia="Arial" w:hAnsi="Arial"/>
          <w:sz w:val="18"/>
          <w:szCs w:val="18"/>
          <w:color w:val="auto"/>
        </w:rPr>
        <w:t>DBRS: October 2010 — Assigned an initial Corporate rating of BB and a rating of BBB (low) to our secured revolving credit facility.</w:t>
      </w:r>
    </w:p>
    <w:p>
      <w:pPr>
        <w:spacing w:after="0" w:line="158"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131</w:t>
      </w:r>
    </w:p>
    <w:p>
      <w:pPr>
        <w:sectPr>
          <w:pgSz w:w="11900" w:h="16838" w:orient="portrait"/>
          <w:cols w:equalWidth="0" w:num="1">
            <w:col w:w="11420"/>
          </w:cols>
          <w:pgMar w:left="240" w:top="459" w:right="239" w:bottom="1440" w:gutter="0" w:footer="0" w:header="0"/>
        </w:sectPr>
      </w:pPr>
    </w:p>
    <w:bookmarkStart w:id="133" w:name="page134"/>
    <w:bookmarkEnd w:id="1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339" w:lineRule="exact"/>
        <w:rPr>
          <w:sz w:val="20"/>
          <w:szCs w:val="20"/>
          <w:color w:val="auto"/>
        </w:rPr>
      </w:pPr>
    </w:p>
    <w:p>
      <w:pPr>
        <w:ind w:left="240"/>
        <w:spacing w:after="0"/>
        <w:rPr>
          <w:sz w:val="20"/>
          <w:szCs w:val="20"/>
          <w:color w:val="auto"/>
        </w:rPr>
      </w:pPr>
      <w:r>
        <w:rPr>
          <w:rFonts w:ascii="Arial" w:cs="Arial" w:eastAsia="Arial" w:hAnsi="Arial"/>
          <w:sz w:val="18"/>
          <w:szCs w:val="18"/>
          <w:color w:val="auto"/>
        </w:rPr>
        <w:t>Fitch: October 2010 — Assigned an initial Corporate rating of BB- and a rating of BB+ to our secured revolving credit facility.</w:t>
      </w:r>
    </w:p>
    <w:p>
      <w:pPr>
        <w:spacing w:after="0" w:line="171" w:lineRule="exact"/>
        <w:rPr>
          <w:sz w:val="20"/>
          <w:szCs w:val="20"/>
          <w:color w:val="auto"/>
        </w:rPr>
      </w:pPr>
    </w:p>
    <w:p>
      <w:pPr>
        <w:ind w:left="240"/>
        <w:spacing w:after="0"/>
        <w:rPr>
          <w:sz w:val="20"/>
          <w:szCs w:val="20"/>
          <w:color w:val="auto"/>
        </w:rPr>
      </w:pPr>
      <w:r>
        <w:rPr>
          <w:rFonts w:ascii="Arial" w:cs="Arial" w:eastAsia="Arial" w:hAnsi="Arial"/>
          <w:sz w:val="18"/>
          <w:szCs w:val="18"/>
          <w:color w:val="auto"/>
        </w:rPr>
        <w:t>Moody’s: October 2010 — Assigned an initial Corporate rating of Ba2 and assigned a rating of Baa3 to our secured revolving credit facility.</w:t>
      </w:r>
    </w:p>
    <w:p>
      <w:pPr>
        <w:spacing w:after="0" w:line="171" w:lineRule="exact"/>
        <w:rPr>
          <w:sz w:val="20"/>
          <w:szCs w:val="20"/>
          <w:color w:val="auto"/>
        </w:rPr>
      </w:pPr>
    </w:p>
    <w:p>
      <w:pPr>
        <w:ind w:left="240"/>
        <w:spacing w:after="0"/>
        <w:rPr>
          <w:sz w:val="20"/>
          <w:szCs w:val="20"/>
          <w:color w:val="auto"/>
        </w:rPr>
      </w:pPr>
      <w:r>
        <w:rPr>
          <w:rFonts w:ascii="Arial" w:cs="Arial" w:eastAsia="Arial" w:hAnsi="Arial"/>
          <w:sz w:val="18"/>
          <w:szCs w:val="18"/>
          <w:color w:val="auto"/>
        </w:rPr>
        <w:t>S&amp;P: October 2010 — Assigned an initial Corporate rating of BB- and a rating of BB+ to our secured revolving credit facility.</w:t>
      </w:r>
    </w:p>
    <w:p>
      <w:pPr>
        <w:spacing w:after="0" w:line="171" w:lineRule="exact"/>
        <w:rPr>
          <w:sz w:val="20"/>
          <w:szCs w:val="20"/>
          <w:color w:val="auto"/>
        </w:rPr>
      </w:pPr>
    </w:p>
    <w:p>
      <w:pPr>
        <w:ind w:right="540" w:firstLine="228"/>
        <w:spacing w:after="0" w:line="268" w:lineRule="auto"/>
        <w:rPr>
          <w:sz w:val="20"/>
          <w:szCs w:val="20"/>
          <w:color w:val="auto"/>
        </w:rPr>
      </w:pPr>
      <w:r>
        <w:rPr>
          <w:rFonts w:ascii="Arial" w:cs="Arial" w:eastAsia="Arial" w:hAnsi="Arial"/>
          <w:sz w:val="18"/>
          <w:szCs w:val="18"/>
          <w:color w:val="auto"/>
        </w:rPr>
        <w:t>The initial ratings assigned by the agencies are an important step towards our objective to attain an investment grade credit rating over the long term by maintaining a strong balance sheet and reducing financial leverage.</w:t>
      </w:r>
    </w:p>
    <w:p>
      <w:pPr>
        <w:spacing w:after="0" w:line="132"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Non-Cash Charges (Gains)</w:t>
      </w:r>
    </w:p>
    <w:p>
      <w:pPr>
        <w:spacing w:after="0" w:line="171" w:lineRule="exact"/>
        <w:rPr>
          <w:sz w:val="20"/>
          <w:szCs w:val="20"/>
          <w:color w:val="auto"/>
        </w:rPr>
      </w:pPr>
    </w:p>
    <w:p>
      <w:pPr>
        <w:ind w:left="240"/>
        <w:spacing w:after="0"/>
        <w:rPr>
          <w:sz w:val="20"/>
          <w:szCs w:val="20"/>
          <w:color w:val="auto"/>
        </w:rPr>
      </w:pPr>
      <w:r>
        <w:rPr>
          <w:rFonts w:ascii="Arial" w:cs="Arial" w:eastAsia="Arial" w:hAnsi="Arial"/>
          <w:sz w:val="18"/>
          <w:szCs w:val="18"/>
          <w:color w:val="auto"/>
        </w:rPr>
        <w:t>The following table summarizes significant non-cash charges (gains) (dollars in millions):</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80" w:type="dxa"/>
            <w:vAlign w:val="bottom"/>
          </w:tcPr>
          <w:p>
            <w:pPr>
              <w:jc w:val="center"/>
              <w:ind w:right="58"/>
              <w:spacing w:after="0"/>
              <w:rPr>
                <w:sz w:val="20"/>
                <w:szCs w:val="20"/>
                <w:color w:val="auto"/>
              </w:rPr>
            </w:pPr>
            <w:r>
              <w:rPr>
                <w:rFonts w:ascii="Arial" w:cs="Arial" w:eastAsia="Arial" w:hAnsi="Arial"/>
                <w:sz w:val="14"/>
                <w:szCs w:val="14"/>
                <w:b w:val="1"/>
                <w:bCs w:val="1"/>
                <w:color w:val="auto"/>
                <w:w w:val="79"/>
              </w:rPr>
              <w:t>Successor</w:t>
            </w:r>
          </w:p>
        </w:tc>
        <w:tc>
          <w:tcPr>
            <w:tcW w:w="4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560" w:type="dxa"/>
            <w:vAlign w:val="bottom"/>
            <w:tcBorders>
              <w:right w:val="single" w:sz="8" w:color="auto"/>
            </w:tcBorders>
          </w:tcPr>
          <w:p>
            <w:pPr>
              <w:spacing w:after="0"/>
              <w:rPr>
                <w:sz w:val="14"/>
                <w:szCs w:val="14"/>
                <w:color w:val="auto"/>
              </w:rPr>
            </w:pPr>
          </w:p>
        </w:tc>
        <w:tc>
          <w:tcPr>
            <w:tcW w:w="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940" w:type="dxa"/>
            <w:vAlign w:val="bottom"/>
            <w:gridSpan w:val="6"/>
          </w:tcPr>
          <w:p>
            <w:pPr>
              <w:jc w:val="right"/>
              <w:ind w:right="720"/>
              <w:spacing w:after="0"/>
              <w:rPr>
                <w:sz w:val="20"/>
                <w:szCs w:val="20"/>
                <w:color w:val="auto"/>
              </w:rPr>
            </w:pPr>
            <w:r>
              <w:rPr>
                <w:rFonts w:ascii="Arial" w:cs="Arial" w:eastAsia="Arial" w:hAnsi="Arial"/>
                <w:sz w:val="14"/>
                <w:szCs w:val="14"/>
                <w:b w:val="1"/>
                <w:bCs w:val="1"/>
                <w:color w:val="auto"/>
              </w:rPr>
              <w:t>Predecessor</w:t>
            </w:r>
          </w:p>
        </w:tc>
        <w:tc>
          <w:tcPr>
            <w:tcW w:w="0" w:type="dxa"/>
            <w:vAlign w:val="bottom"/>
          </w:tcPr>
          <w:p>
            <w:pPr>
              <w:spacing w:after="0"/>
              <w:rPr>
                <w:sz w:val="1"/>
                <w:szCs w:val="1"/>
                <w:color w:val="auto"/>
              </w:rPr>
            </w:pPr>
          </w:p>
        </w:tc>
      </w:tr>
      <w:tr>
        <w:trPr>
          <w:trHeight w:val="129"/>
        </w:trPr>
        <w:tc>
          <w:tcPr>
            <w:tcW w:w="414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1020" w:type="dxa"/>
            <w:vAlign w:val="bottom"/>
            <w:tcBorders>
              <w:top w:val="single" w:sz="8" w:color="auto"/>
            </w:tcBorders>
          </w:tcPr>
          <w:p>
            <w:pPr>
              <w:spacing w:after="0"/>
              <w:rPr>
                <w:sz w:val="11"/>
                <w:szCs w:val="11"/>
                <w:color w:val="auto"/>
              </w:rPr>
            </w:pPr>
          </w:p>
        </w:tc>
        <w:tc>
          <w:tcPr>
            <w:tcW w:w="460" w:type="dxa"/>
            <w:vAlign w:val="bottom"/>
            <w:tcBorders>
              <w:top w:val="single" w:sz="8" w:color="auto"/>
            </w:tcBorders>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980" w:type="dxa"/>
            <w:vAlign w:val="bottom"/>
            <w:tcBorders>
              <w:top w:val="single" w:sz="8" w:color="auto"/>
            </w:tcBorders>
          </w:tcPr>
          <w:p>
            <w:pPr>
              <w:spacing w:after="0"/>
              <w:rPr>
                <w:sz w:val="11"/>
                <w:szCs w:val="11"/>
                <w:color w:val="auto"/>
              </w:rPr>
            </w:pPr>
          </w:p>
        </w:tc>
        <w:tc>
          <w:tcPr>
            <w:tcW w:w="460" w:type="dxa"/>
            <w:vAlign w:val="bottom"/>
            <w:tcBorders>
              <w:top w:val="single" w:sz="8" w:color="auto"/>
            </w:tcBorders>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1000" w:type="dxa"/>
            <w:vAlign w:val="bottom"/>
            <w:tcBorders>
              <w:top w:val="single" w:sz="8" w:color="auto"/>
            </w:tcBorders>
          </w:tcPr>
          <w:p>
            <w:pPr>
              <w:spacing w:after="0"/>
              <w:rPr>
                <w:sz w:val="11"/>
                <w:szCs w:val="11"/>
                <w:color w:val="auto"/>
              </w:rPr>
            </w:pPr>
          </w:p>
        </w:tc>
        <w:tc>
          <w:tcPr>
            <w:tcW w:w="560" w:type="dxa"/>
            <w:vAlign w:val="bottom"/>
            <w:tcBorders>
              <w:right w:val="single" w:sz="8" w:color="auto"/>
            </w:tcBorders>
          </w:tcPr>
          <w:p>
            <w:pPr>
              <w:spacing w:after="0"/>
              <w:rPr>
                <w:sz w:val="11"/>
                <w:szCs w:val="11"/>
                <w:color w:val="auto"/>
              </w:rPr>
            </w:pPr>
          </w:p>
        </w:tc>
        <w:tc>
          <w:tcPr>
            <w:tcW w:w="36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620" w:type="dxa"/>
            <w:vAlign w:val="bottom"/>
            <w:tcBorders>
              <w:top w:val="single" w:sz="8" w:color="auto"/>
            </w:tcBorders>
          </w:tcPr>
          <w:p>
            <w:pPr>
              <w:spacing w:after="0"/>
              <w:rPr>
                <w:sz w:val="11"/>
                <w:szCs w:val="11"/>
                <w:color w:val="auto"/>
              </w:rPr>
            </w:pPr>
          </w:p>
        </w:tc>
        <w:tc>
          <w:tcPr>
            <w:tcW w:w="280" w:type="dxa"/>
            <w:vAlign w:val="bottom"/>
            <w:tcBorders>
              <w:top w:val="single" w:sz="8" w:color="auto"/>
            </w:tcBorders>
          </w:tcPr>
          <w:p>
            <w:pPr>
              <w:spacing w:after="0"/>
              <w:rPr>
                <w:sz w:val="11"/>
                <w:szCs w:val="11"/>
                <w:color w:val="auto"/>
              </w:rPr>
            </w:pPr>
          </w:p>
        </w:tc>
        <w:tc>
          <w:tcPr>
            <w:tcW w:w="200" w:type="dxa"/>
            <w:vAlign w:val="bottom"/>
            <w:tcBorders>
              <w:top w:val="single" w:sz="8" w:color="auto"/>
            </w:tcBorders>
          </w:tcPr>
          <w:p>
            <w:pPr>
              <w:spacing w:after="0"/>
              <w:rPr>
                <w:sz w:val="11"/>
                <w:szCs w:val="11"/>
                <w:color w:val="auto"/>
              </w:rPr>
            </w:pPr>
          </w:p>
        </w:tc>
        <w:tc>
          <w:tcPr>
            <w:tcW w:w="740" w:type="dxa"/>
            <w:vAlign w:val="bottom"/>
            <w:tcBorders>
              <w:top w:val="single" w:sz="8" w:color="auto"/>
            </w:tcBorders>
            <w:gridSpan w:val="2"/>
          </w:tcPr>
          <w:p>
            <w:pPr>
              <w:jc w:val="center"/>
              <w:spacing w:after="0" w:line="129" w:lineRule="exact"/>
              <w:rPr>
                <w:sz w:val="20"/>
                <w:szCs w:val="20"/>
                <w:color w:val="auto"/>
              </w:rPr>
            </w:pPr>
            <w:r>
              <w:rPr>
                <w:rFonts w:ascii="Arial" w:cs="Arial" w:eastAsia="Arial" w:hAnsi="Arial"/>
                <w:sz w:val="14"/>
                <w:szCs w:val="14"/>
                <w:b w:val="1"/>
                <w:bCs w:val="1"/>
                <w:color w:val="auto"/>
                <w:w w:val="89"/>
              </w:rPr>
              <w:t>January 1,</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4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tcPr>
          <w:p>
            <w:pPr>
              <w:jc w:val="right"/>
              <w:ind w:right="76"/>
              <w:spacing w:after="0" w:line="149" w:lineRule="exact"/>
              <w:rPr>
                <w:sz w:val="20"/>
                <w:szCs w:val="20"/>
                <w:color w:val="auto"/>
              </w:rPr>
            </w:pPr>
            <w:r>
              <w:rPr>
                <w:rFonts w:ascii="Arial" w:cs="Arial" w:eastAsia="Arial" w:hAnsi="Arial"/>
                <w:sz w:val="14"/>
                <w:szCs w:val="14"/>
                <w:b w:val="1"/>
                <w:bCs w:val="1"/>
                <w:color w:val="auto"/>
                <w:w w:val="91"/>
              </w:rPr>
              <w:t>Three Months</w:t>
            </w:r>
          </w:p>
        </w:tc>
        <w:tc>
          <w:tcPr>
            <w:tcW w:w="4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80" w:type="dxa"/>
            <w:vAlign w:val="bottom"/>
          </w:tcPr>
          <w:p>
            <w:pPr>
              <w:jc w:val="center"/>
              <w:ind w:right="58"/>
              <w:spacing w:after="0" w:line="149" w:lineRule="exact"/>
              <w:rPr>
                <w:sz w:val="20"/>
                <w:szCs w:val="20"/>
                <w:color w:val="auto"/>
              </w:rPr>
            </w:pPr>
            <w:r>
              <w:rPr>
                <w:rFonts w:ascii="Arial" w:cs="Arial" w:eastAsia="Arial" w:hAnsi="Arial"/>
                <w:sz w:val="14"/>
                <w:szCs w:val="14"/>
                <w:b w:val="1"/>
                <w:bCs w:val="1"/>
                <w:color w:val="auto"/>
                <w:w w:val="90"/>
              </w:rPr>
              <w:t>Nine Months</w:t>
            </w:r>
          </w:p>
        </w:tc>
        <w:tc>
          <w:tcPr>
            <w:tcW w:w="4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560" w:type="dxa"/>
            <w:vAlign w:val="bottom"/>
            <w:tcBorders>
              <w:right w:val="single" w:sz="8" w:color="auto"/>
            </w:tcBorders>
            <w:gridSpan w:val="2"/>
          </w:tcPr>
          <w:p>
            <w:pPr>
              <w:jc w:val="right"/>
              <w:ind w:right="740"/>
              <w:spacing w:after="0" w:line="149" w:lineRule="exact"/>
              <w:rPr>
                <w:sz w:val="20"/>
                <w:szCs w:val="20"/>
                <w:color w:val="auto"/>
              </w:rPr>
            </w:pPr>
            <w:r>
              <w:rPr>
                <w:rFonts w:ascii="Arial" w:cs="Arial" w:eastAsia="Arial" w:hAnsi="Arial"/>
                <w:sz w:val="14"/>
                <w:szCs w:val="14"/>
                <w:b w:val="1"/>
                <w:bCs w:val="1"/>
                <w:color w:val="auto"/>
                <w:w w:val="92"/>
              </w:rPr>
              <w:t>July 10, 2009</w:t>
            </w:r>
          </w:p>
        </w:tc>
        <w:tc>
          <w:tcPr>
            <w:tcW w:w="360" w:type="dxa"/>
            <w:vAlign w:val="bottom"/>
          </w:tcPr>
          <w:p>
            <w:pPr>
              <w:spacing w:after="0"/>
              <w:rPr>
                <w:sz w:val="12"/>
                <w:szCs w:val="12"/>
                <w:color w:val="auto"/>
              </w:rPr>
            </w:pPr>
          </w:p>
        </w:tc>
        <w:tc>
          <w:tcPr>
            <w:tcW w:w="1000" w:type="dxa"/>
            <w:vAlign w:val="bottom"/>
            <w:gridSpan w:val="3"/>
          </w:tcPr>
          <w:p>
            <w:pPr>
              <w:ind w:left="20"/>
              <w:spacing w:after="0" w:line="149" w:lineRule="exact"/>
              <w:rPr>
                <w:sz w:val="20"/>
                <w:szCs w:val="20"/>
                <w:color w:val="auto"/>
              </w:rPr>
            </w:pPr>
            <w:r>
              <w:rPr>
                <w:rFonts w:ascii="Arial" w:cs="Arial" w:eastAsia="Arial" w:hAnsi="Arial"/>
                <w:sz w:val="14"/>
                <w:szCs w:val="14"/>
                <w:b w:val="1"/>
                <w:bCs w:val="1"/>
                <w:color w:val="auto"/>
              </w:rPr>
              <w:t>July 1, 2009</w:t>
            </w: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jc w:val="center"/>
              <w:ind w:right="16"/>
              <w:spacing w:after="0" w:line="149" w:lineRule="exact"/>
              <w:rPr>
                <w:sz w:val="20"/>
                <w:szCs w:val="20"/>
                <w:color w:val="auto"/>
              </w:rPr>
            </w:pPr>
            <w:r>
              <w:rPr>
                <w:rFonts w:ascii="Arial" w:cs="Arial" w:eastAsia="Arial" w:hAnsi="Arial"/>
                <w:sz w:val="14"/>
                <w:szCs w:val="14"/>
                <w:b w:val="1"/>
                <w:bCs w:val="1"/>
                <w:color w:val="auto"/>
                <w:w w:val="83"/>
              </w:rPr>
              <w:t>2009</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tcPr>
          <w:p>
            <w:pPr>
              <w:jc w:val="right"/>
              <w:ind w:right="296"/>
              <w:spacing w:after="0" w:line="149" w:lineRule="exact"/>
              <w:rPr>
                <w:sz w:val="20"/>
                <w:szCs w:val="20"/>
                <w:color w:val="auto"/>
              </w:rPr>
            </w:pPr>
            <w:r>
              <w:rPr>
                <w:rFonts w:ascii="Arial" w:cs="Arial" w:eastAsia="Arial" w:hAnsi="Arial"/>
                <w:sz w:val="14"/>
                <w:szCs w:val="14"/>
                <w:b w:val="1"/>
                <w:bCs w:val="1"/>
                <w:color w:val="auto"/>
              </w:rPr>
              <w:t>Ended</w:t>
            </w:r>
          </w:p>
        </w:tc>
        <w:tc>
          <w:tcPr>
            <w:tcW w:w="4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80" w:type="dxa"/>
            <w:vAlign w:val="bottom"/>
          </w:tcPr>
          <w:p>
            <w:pPr>
              <w:jc w:val="center"/>
              <w:ind w:right="58"/>
              <w:spacing w:after="0" w:line="149" w:lineRule="exact"/>
              <w:rPr>
                <w:sz w:val="20"/>
                <w:szCs w:val="20"/>
                <w:color w:val="auto"/>
              </w:rPr>
            </w:pPr>
            <w:r>
              <w:rPr>
                <w:rFonts w:ascii="Arial" w:cs="Arial" w:eastAsia="Arial" w:hAnsi="Arial"/>
                <w:sz w:val="14"/>
                <w:szCs w:val="14"/>
                <w:b w:val="1"/>
                <w:bCs w:val="1"/>
                <w:color w:val="auto"/>
                <w:w w:val="84"/>
              </w:rPr>
              <w:t>Ended</w:t>
            </w:r>
          </w:p>
        </w:tc>
        <w:tc>
          <w:tcPr>
            <w:tcW w:w="4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560" w:type="dxa"/>
            <w:vAlign w:val="bottom"/>
            <w:tcBorders>
              <w:right w:val="single" w:sz="8" w:color="auto"/>
            </w:tcBorders>
            <w:gridSpan w:val="2"/>
          </w:tcPr>
          <w:p>
            <w:pPr>
              <w:jc w:val="right"/>
              <w:ind w:right="880"/>
              <w:spacing w:after="0" w:line="149" w:lineRule="exact"/>
              <w:rPr>
                <w:sz w:val="20"/>
                <w:szCs w:val="20"/>
                <w:color w:val="auto"/>
              </w:rPr>
            </w:pPr>
            <w:r>
              <w:rPr>
                <w:rFonts w:ascii="Arial" w:cs="Arial" w:eastAsia="Arial" w:hAnsi="Arial"/>
                <w:sz w:val="14"/>
                <w:szCs w:val="14"/>
                <w:b w:val="1"/>
                <w:bCs w:val="1"/>
                <w:color w:val="auto"/>
              </w:rPr>
              <w:t>Through</w:t>
            </w:r>
          </w:p>
        </w:tc>
        <w:tc>
          <w:tcPr>
            <w:tcW w:w="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gridSpan w:val="2"/>
          </w:tcPr>
          <w:p>
            <w:pPr>
              <w:jc w:val="right"/>
              <w:ind w:right="380"/>
              <w:spacing w:after="0" w:line="149" w:lineRule="exact"/>
              <w:rPr>
                <w:sz w:val="20"/>
                <w:szCs w:val="20"/>
                <w:color w:val="auto"/>
              </w:rPr>
            </w:pPr>
            <w:r>
              <w:rPr>
                <w:rFonts w:ascii="Arial" w:cs="Arial" w:eastAsia="Arial" w:hAnsi="Arial"/>
                <w:sz w:val="14"/>
                <w:szCs w:val="14"/>
                <w:b w:val="1"/>
                <w:bCs w:val="1"/>
                <w:color w:val="auto"/>
                <w:w w:val="87"/>
              </w:rPr>
              <w:t>Through</w:t>
            </w: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87"/>
              </w:rPr>
              <w:t>Through</w:t>
            </w:r>
          </w:p>
        </w:tc>
        <w:tc>
          <w:tcPr>
            <w:tcW w:w="0" w:type="dxa"/>
            <w:vAlign w:val="bottom"/>
          </w:tcPr>
          <w:p>
            <w:pPr>
              <w:spacing w:after="0"/>
              <w:rPr>
                <w:sz w:val="1"/>
                <w:szCs w:val="1"/>
                <w:color w:val="auto"/>
              </w:rPr>
            </w:pPr>
          </w:p>
        </w:tc>
      </w:tr>
      <w:tr>
        <w:trPr>
          <w:trHeight w:val="161"/>
        </w:trPr>
        <w:tc>
          <w:tcPr>
            <w:tcW w:w="4140" w:type="dxa"/>
            <w:vAlign w:val="bottom"/>
          </w:tcPr>
          <w:p>
            <w:pPr>
              <w:spacing w:after="0"/>
              <w:rPr>
                <w:sz w:val="14"/>
                <w:szCs w:val="14"/>
                <w:color w:val="auto"/>
              </w:rPr>
            </w:pPr>
          </w:p>
        </w:tc>
        <w:tc>
          <w:tcPr>
            <w:tcW w:w="1140" w:type="dxa"/>
            <w:vAlign w:val="bottom"/>
            <w:gridSpan w:val="2"/>
          </w:tcPr>
          <w:p>
            <w:pPr>
              <w:spacing w:after="0"/>
              <w:rPr>
                <w:sz w:val="20"/>
                <w:szCs w:val="20"/>
                <w:color w:val="auto"/>
              </w:rPr>
            </w:pPr>
            <w:r>
              <w:rPr>
                <w:rFonts w:ascii="Arial" w:cs="Arial" w:eastAsia="Arial" w:hAnsi="Arial"/>
                <w:sz w:val="14"/>
                <w:szCs w:val="14"/>
                <w:b w:val="1"/>
                <w:bCs w:val="1"/>
                <w:color w:val="auto"/>
                <w:w w:val="85"/>
              </w:rPr>
              <w:t>September 30, 2010</w:t>
            </w:r>
          </w:p>
        </w:tc>
        <w:tc>
          <w:tcPr>
            <w:tcW w:w="460" w:type="dxa"/>
            <w:vAlign w:val="bottom"/>
          </w:tcPr>
          <w:p>
            <w:pPr>
              <w:spacing w:after="0"/>
              <w:rPr>
                <w:sz w:val="14"/>
                <w:szCs w:val="14"/>
                <w:color w:val="auto"/>
              </w:rPr>
            </w:pPr>
          </w:p>
        </w:tc>
        <w:tc>
          <w:tcPr>
            <w:tcW w:w="1120" w:type="dxa"/>
            <w:vAlign w:val="bottom"/>
            <w:gridSpan w:val="2"/>
          </w:tcPr>
          <w:p>
            <w:pPr>
              <w:jc w:val="center"/>
              <w:spacing w:after="0"/>
              <w:rPr>
                <w:sz w:val="20"/>
                <w:szCs w:val="20"/>
                <w:color w:val="auto"/>
              </w:rPr>
            </w:pPr>
            <w:r>
              <w:rPr>
                <w:rFonts w:ascii="Arial" w:cs="Arial" w:eastAsia="Arial" w:hAnsi="Arial"/>
                <w:sz w:val="14"/>
                <w:szCs w:val="14"/>
                <w:b w:val="1"/>
                <w:bCs w:val="1"/>
                <w:color w:val="auto"/>
                <w:w w:val="85"/>
              </w:rPr>
              <w:t>September 30, 2010</w:t>
            </w:r>
          </w:p>
        </w:tc>
        <w:tc>
          <w:tcPr>
            <w:tcW w:w="460" w:type="dxa"/>
            <w:vAlign w:val="bottom"/>
          </w:tcPr>
          <w:p>
            <w:pPr>
              <w:spacing w:after="0"/>
              <w:rPr>
                <w:sz w:val="14"/>
                <w:szCs w:val="14"/>
                <w:color w:val="auto"/>
              </w:rPr>
            </w:pPr>
          </w:p>
        </w:tc>
        <w:tc>
          <w:tcPr>
            <w:tcW w:w="1700" w:type="dxa"/>
            <w:vAlign w:val="bottom"/>
            <w:tcBorders>
              <w:right w:val="single" w:sz="8" w:color="auto"/>
            </w:tcBorders>
            <w:gridSpan w:val="3"/>
          </w:tcPr>
          <w:p>
            <w:pPr>
              <w:ind w:left="20"/>
              <w:spacing w:after="0"/>
              <w:rPr>
                <w:sz w:val="20"/>
                <w:szCs w:val="20"/>
                <w:color w:val="auto"/>
              </w:rPr>
            </w:pPr>
            <w:r>
              <w:rPr>
                <w:rFonts w:ascii="Arial" w:cs="Arial" w:eastAsia="Arial" w:hAnsi="Arial"/>
                <w:sz w:val="14"/>
                <w:szCs w:val="14"/>
                <w:b w:val="1"/>
                <w:bCs w:val="1"/>
                <w:color w:val="auto"/>
              </w:rPr>
              <w:t>September 30, 2009</w:t>
            </w:r>
          </w:p>
        </w:tc>
        <w:tc>
          <w:tcPr>
            <w:tcW w:w="360" w:type="dxa"/>
            <w:vAlign w:val="bottom"/>
          </w:tcPr>
          <w:p>
            <w:pPr>
              <w:spacing w:after="0"/>
              <w:rPr>
                <w:sz w:val="14"/>
                <w:szCs w:val="14"/>
                <w:color w:val="auto"/>
              </w:rPr>
            </w:pPr>
          </w:p>
        </w:tc>
        <w:tc>
          <w:tcPr>
            <w:tcW w:w="1000" w:type="dxa"/>
            <w:vAlign w:val="bottom"/>
            <w:gridSpan w:val="3"/>
          </w:tcPr>
          <w:p>
            <w:pPr>
              <w:ind w:left="20"/>
              <w:spacing w:after="0"/>
              <w:rPr>
                <w:sz w:val="20"/>
                <w:szCs w:val="20"/>
                <w:color w:val="auto"/>
              </w:rPr>
            </w:pPr>
            <w:r>
              <w:rPr>
                <w:rFonts w:ascii="Arial" w:cs="Arial" w:eastAsia="Arial" w:hAnsi="Arial"/>
                <w:sz w:val="14"/>
                <w:szCs w:val="14"/>
                <w:b w:val="1"/>
                <w:bCs w:val="1"/>
                <w:color w:val="auto"/>
              </w:rPr>
              <w:t>July 9, 2009</w:t>
            </w:r>
          </w:p>
        </w:tc>
        <w:tc>
          <w:tcPr>
            <w:tcW w:w="200" w:type="dxa"/>
            <w:vAlign w:val="bottom"/>
          </w:tcPr>
          <w:p>
            <w:pPr>
              <w:spacing w:after="0"/>
              <w:rPr>
                <w:sz w:val="14"/>
                <w:szCs w:val="14"/>
                <w:color w:val="auto"/>
              </w:rPr>
            </w:pPr>
          </w:p>
        </w:tc>
        <w:tc>
          <w:tcPr>
            <w:tcW w:w="84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w w:val="88"/>
              </w:rPr>
              <w:t>July 9, 2009</w:t>
            </w:r>
          </w:p>
        </w:tc>
        <w:tc>
          <w:tcPr>
            <w:tcW w:w="0" w:type="dxa"/>
            <w:vAlign w:val="bottom"/>
          </w:tcPr>
          <w:p>
            <w:pPr>
              <w:spacing w:after="0"/>
              <w:rPr>
                <w:sz w:val="1"/>
                <w:szCs w:val="1"/>
                <w:color w:val="auto"/>
              </w:rPr>
            </w:pPr>
          </w:p>
        </w:tc>
      </w:tr>
      <w:tr>
        <w:trPr>
          <w:trHeight w:val="201"/>
        </w:trPr>
        <w:tc>
          <w:tcPr>
            <w:tcW w:w="414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Impairment charges related to equipment on</w:t>
            </w:r>
          </w:p>
        </w:tc>
        <w:tc>
          <w:tcPr>
            <w:tcW w:w="120" w:type="dxa"/>
            <w:vAlign w:val="bottom"/>
            <w:tcBorders>
              <w:top w:val="single" w:sz="8" w:color="auto"/>
            </w:tcBorders>
            <w:shd w:val="clear" w:color="auto" w:fill="CCEEFF"/>
          </w:tcPr>
          <w:p>
            <w:pPr>
              <w:spacing w:after="0"/>
              <w:rPr>
                <w:sz w:val="17"/>
                <w:szCs w:val="17"/>
                <w:color w:val="auto"/>
              </w:rPr>
            </w:pPr>
          </w:p>
        </w:tc>
        <w:tc>
          <w:tcPr>
            <w:tcW w:w="1020" w:type="dxa"/>
            <w:vAlign w:val="bottom"/>
            <w:tcBorders>
              <w:top w:val="single" w:sz="8" w:color="auto"/>
            </w:tcBorders>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980" w:type="dxa"/>
            <w:vAlign w:val="bottom"/>
            <w:tcBorders>
              <w:top w:val="single" w:sz="8" w:color="auto"/>
            </w:tcBorders>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1000" w:type="dxa"/>
            <w:vAlign w:val="bottom"/>
            <w:tcBorders>
              <w:top w:val="single" w:sz="8" w:color="auto"/>
            </w:tcBorders>
            <w:shd w:val="clear" w:color="auto" w:fill="CCEEFF"/>
          </w:tcPr>
          <w:p>
            <w:pPr>
              <w:spacing w:after="0"/>
              <w:rPr>
                <w:sz w:val="17"/>
                <w:szCs w:val="17"/>
                <w:color w:val="auto"/>
              </w:rPr>
            </w:pPr>
          </w:p>
        </w:tc>
        <w:tc>
          <w:tcPr>
            <w:tcW w:w="560" w:type="dxa"/>
            <w:vAlign w:val="bottom"/>
            <w:tcBorders>
              <w:right w:val="single" w:sz="8" w:color="auto"/>
            </w:tcBorders>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620" w:type="dxa"/>
            <w:vAlign w:val="bottom"/>
            <w:tcBorders>
              <w:top w:val="single" w:sz="8" w:color="auto"/>
            </w:tcBorders>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640" w:type="dxa"/>
            <w:vAlign w:val="bottom"/>
            <w:tcBorders>
              <w:top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4"/>
        </w:trPr>
        <w:tc>
          <w:tcPr>
            <w:tcW w:w="41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operating leases</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w:t>
            </w:r>
          </w:p>
        </w:tc>
        <w:tc>
          <w:tcPr>
            <w:tcW w:w="60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1560" w:type="dxa"/>
            <w:vAlign w:val="bottom"/>
            <w:tcBorders>
              <w:right w:val="single" w:sz="8" w:color="auto"/>
            </w:tcBorders>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12</w:t>
            </w:r>
          </w:p>
        </w:tc>
        <w:tc>
          <w:tcPr>
            <w:tcW w:w="46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w w:val="79"/>
              </w:rPr>
              <w:t>$</w:t>
            </w:r>
          </w:p>
        </w:tc>
        <w:tc>
          <w:tcPr>
            <w:tcW w:w="9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63</w:t>
            </w:r>
          </w:p>
        </w:tc>
        <w:tc>
          <w:tcPr>
            <w:tcW w:w="0" w:type="dxa"/>
            <w:vAlign w:val="bottom"/>
          </w:tcPr>
          <w:p>
            <w:pPr>
              <w:spacing w:after="0"/>
              <w:rPr>
                <w:sz w:val="1"/>
                <w:szCs w:val="1"/>
                <w:color w:val="auto"/>
              </w:rPr>
            </w:pPr>
          </w:p>
        </w:tc>
      </w:tr>
      <w:tr>
        <w:trPr>
          <w:trHeight w:val="216"/>
        </w:trPr>
        <w:tc>
          <w:tcPr>
            <w:tcW w:w="4140" w:type="dxa"/>
            <w:vAlign w:val="bottom"/>
          </w:tcPr>
          <w:p>
            <w:pPr>
              <w:spacing w:after="0"/>
              <w:rPr>
                <w:sz w:val="20"/>
                <w:szCs w:val="20"/>
                <w:color w:val="auto"/>
              </w:rPr>
            </w:pPr>
            <w:r>
              <w:rPr>
                <w:rFonts w:ascii="Arial" w:cs="Arial" w:eastAsia="Arial" w:hAnsi="Arial"/>
                <w:sz w:val="18"/>
                <w:szCs w:val="18"/>
                <w:color w:val="auto"/>
              </w:rPr>
              <w:t>Impairment charges related to long-lived assets</w:t>
            </w:r>
          </w:p>
        </w:tc>
        <w:tc>
          <w:tcPr>
            <w:tcW w:w="1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146</w:t>
            </w:r>
          </w:p>
        </w:tc>
        <w:tc>
          <w:tcPr>
            <w:tcW w:w="4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194</w:t>
            </w:r>
          </w:p>
        </w:tc>
        <w:tc>
          <w:tcPr>
            <w:tcW w:w="4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60" w:type="dxa"/>
            <w:vAlign w:val="bottom"/>
            <w:tcBorders>
              <w:right w:val="single" w:sz="8" w:color="auto"/>
            </w:tcBorders>
            <w:gridSpan w:val="2"/>
          </w:tcPr>
          <w:p>
            <w:pPr>
              <w:jc w:val="right"/>
              <w:ind w:right="560"/>
              <w:spacing w:after="0"/>
              <w:rPr>
                <w:sz w:val="20"/>
                <w:szCs w:val="20"/>
                <w:color w:val="auto"/>
              </w:rPr>
            </w:pPr>
            <w:r>
              <w:rPr>
                <w:rFonts w:ascii="Arial" w:cs="Arial" w:eastAsia="Arial" w:hAnsi="Arial"/>
                <w:sz w:val="18"/>
                <w:szCs w:val="18"/>
                <w:color w:val="auto"/>
              </w:rPr>
              <w:t>1</w:t>
            </w: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566</w:t>
            </w:r>
          </w:p>
        </w:tc>
        <w:tc>
          <w:tcPr>
            <w:tcW w:w="0" w:type="dxa"/>
            <w:vAlign w:val="bottom"/>
          </w:tcPr>
          <w:p>
            <w:pPr>
              <w:spacing w:after="0"/>
              <w:rPr>
                <w:sz w:val="1"/>
                <w:szCs w:val="1"/>
                <w:color w:val="auto"/>
              </w:rPr>
            </w:pPr>
          </w:p>
        </w:tc>
      </w:tr>
      <w:tr>
        <w:trPr>
          <w:trHeight w:val="216"/>
        </w:trPr>
        <w:tc>
          <w:tcPr>
            <w:tcW w:w="4140" w:type="dxa"/>
            <w:vAlign w:val="bottom"/>
            <w:shd w:val="clear" w:color="auto" w:fill="CCEEFF"/>
          </w:tcPr>
          <w:p>
            <w:pPr>
              <w:spacing w:after="0"/>
              <w:rPr>
                <w:sz w:val="20"/>
                <w:szCs w:val="20"/>
                <w:color w:val="auto"/>
              </w:rPr>
            </w:pPr>
            <w:r>
              <w:rPr>
                <w:rFonts w:ascii="Arial" w:cs="Arial" w:eastAsia="Arial" w:hAnsi="Arial"/>
                <w:sz w:val="18"/>
                <w:szCs w:val="18"/>
                <w:color w:val="auto"/>
              </w:rPr>
              <w:t>Loss (gain) on extinguishment of debt</w:t>
            </w: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560" w:type="dxa"/>
            <w:vAlign w:val="bottom"/>
            <w:tcBorders>
              <w:right w:val="single" w:sz="8" w:color="auto"/>
            </w:tcBorders>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(906)</w:t>
            </w:r>
          </w:p>
        </w:tc>
        <w:tc>
          <w:tcPr>
            <w:tcW w:w="0" w:type="dxa"/>
            <w:vAlign w:val="bottom"/>
          </w:tcPr>
          <w:p>
            <w:pPr>
              <w:spacing w:after="0"/>
              <w:rPr>
                <w:sz w:val="1"/>
                <w:szCs w:val="1"/>
                <w:color w:val="auto"/>
              </w:rPr>
            </w:pPr>
          </w:p>
        </w:tc>
      </w:tr>
      <w:tr>
        <w:trPr>
          <w:trHeight w:val="216"/>
        </w:trPr>
        <w:tc>
          <w:tcPr>
            <w:tcW w:w="4140" w:type="dxa"/>
            <w:vAlign w:val="bottom"/>
          </w:tcPr>
          <w:p>
            <w:pPr>
              <w:spacing w:after="0"/>
              <w:rPr>
                <w:sz w:val="20"/>
                <w:szCs w:val="20"/>
                <w:color w:val="auto"/>
              </w:rPr>
            </w:pPr>
            <w:r>
              <w:rPr>
                <w:rFonts w:ascii="Arial" w:cs="Arial" w:eastAsia="Arial" w:hAnsi="Arial"/>
                <w:sz w:val="18"/>
                <w:szCs w:val="18"/>
                <w:color w:val="auto"/>
              </w:rPr>
              <w:t>Loss on extinguishment of UST Ally Financial Loan</w:t>
            </w:r>
          </w:p>
        </w:tc>
        <w:tc>
          <w:tcPr>
            <w:tcW w:w="1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60" w:type="dxa"/>
            <w:vAlign w:val="bottom"/>
            <w:tcBorders>
              <w:right w:val="single" w:sz="8" w:color="auto"/>
            </w:tcBorders>
            <w:gridSpan w:val="2"/>
          </w:tcPr>
          <w:p>
            <w:pPr>
              <w:jc w:val="right"/>
              <w:ind w:right="56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1,994</w:t>
            </w:r>
          </w:p>
        </w:tc>
        <w:tc>
          <w:tcPr>
            <w:tcW w:w="0" w:type="dxa"/>
            <w:vAlign w:val="bottom"/>
          </w:tcPr>
          <w:p>
            <w:pPr>
              <w:spacing w:after="0"/>
              <w:rPr>
                <w:sz w:val="1"/>
                <w:szCs w:val="1"/>
                <w:color w:val="auto"/>
              </w:rPr>
            </w:pPr>
          </w:p>
        </w:tc>
      </w:tr>
      <w:tr>
        <w:trPr>
          <w:trHeight w:val="216"/>
        </w:trPr>
        <w:tc>
          <w:tcPr>
            <w:tcW w:w="4140" w:type="dxa"/>
            <w:vAlign w:val="bottom"/>
            <w:shd w:val="clear" w:color="auto" w:fill="CCEEFF"/>
          </w:tcPr>
          <w:p>
            <w:pPr>
              <w:spacing w:after="0"/>
              <w:rPr>
                <w:sz w:val="20"/>
                <w:szCs w:val="20"/>
                <w:color w:val="auto"/>
              </w:rPr>
            </w:pPr>
            <w:r>
              <w:rPr>
                <w:rFonts w:ascii="Arial" w:cs="Arial" w:eastAsia="Arial" w:hAnsi="Arial"/>
                <w:sz w:val="18"/>
                <w:szCs w:val="18"/>
                <w:color w:val="auto"/>
              </w:rPr>
              <w:t>Gain on conversion of UST Ally Financial Loan</w:t>
            </w: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560" w:type="dxa"/>
            <w:vAlign w:val="bottom"/>
            <w:tcBorders>
              <w:right w:val="single" w:sz="8" w:color="auto"/>
            </w:tcBorders>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(2,477)</w:t>
            </w:r>
          </w:p>
        </w:tc>
        <w:tc>
          <w:tcPr>
            <w:tcW w:w="0" w:type="dxa"/>
            <w:vAlign w:val="bottom"/>
          </w:tcPr>
          <w:p>
            <w:pPr>
              <w:spacing w:after="0"/>
              <w:rPr>
                <w:sz w:val="1"/>
                <w:szCs w:val="1"/>
                <w:color w:val="auto"/>
              </w:rPr>
            </w:pPr>
          </w:p>
        </w:tc>
      </w:tr>
      <w:tr>
        <w:trPr>
          <w:trHeight w:val="216"/>
        </w:trPr>
        <w:tc>
          <w:tcPr>
            <w:tcW w:w="4140" w:type="dxa"/>
            <w:vAlign w:val="bottom"/>
          </w:tcPr>
          <w:p>
            <w:pPr>
              <w:spacing w:after="0"/>
              <w:rPr>
                <w:sz w:val="20"/>
                <w:szCs w:val="20"/>
                <w:color w:val="auto"/>
              </w:rPr>
            </w:pPr>
            <w:r>
              <w:rPr>
                <w:rFonts w:ascii="Arial" w:cs="Arial" w:eastAsia="Arial" w:hAnsi="Arial"/>
                <w:sz w:val="18"/>
                <w:szCs w:val="18"/>
                <w:color w:val="auto"/>
              </w:rPr>
              <w:t>Reorganization gains, net</w:t>
            </w:r>
          </w:p>
        </w:tc>
        <w:tc>
          <w:tcPr>
            <w:tcW w:w="1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60" w:type="dxa"/>
            <w:vAlign w:val="bottom"/>
            <w:tcBorders>
              <w:right w:val="single" w:sz="8" w:color="auto"/>
            </w:tcBorders>
            <w:gridSpan w:val="2"/>
          </w:tcPr>
          <w:p>
            <w:pPr>
              <w:jc w:val="right"/>
              <w:ind w:right="56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8"/>
                <w:szCs w:val="18"/>
                <w:color w:val="auto"/>
                <w:w w:val="85"/>
              </w:rPr>
              <w:t>(129,312)</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w w:val="88"/>
              </w:rPr>
              <w:t>(128,563)</w:t>
            </w:r>
          </w:p>
        </w:tc>
        <w:tc>
          <w:tcPr>
            <w:tcW w:w="0" w:type="dxa"/>
            <w:vAlign w:val="bottom"/>
          </w:tcPr>
          <w:p>
            <w:pPr>
              <w:spacing w:after="0"/>
              <w:rPr>
                <w:sz w:val="1"/>
                <w:szCs w:val="1"/>
                <w:color w:val="auto"/>
              </w:rPr>
            </w:pPr>
          </w:p>
        </w:tc>
      </w:tr>
      <w:tr>
        <w:trPr>
          <w:trHeight w:val="216"/>
        </w:trPr>
        <w:tc>
          <w:tcPr>
            <w:tcW w:w="4140" w:type="dxa"/>
            <w:vAlign w:val="bottom"/>
            <w:shd w:val="clear" w:color="auto" w:fill="CCEEFF"/>
          </w:tcPr>
          <w:p>
            <w:pPr>
              <w:spacing w:after="0"/>
              <w:rPr>
                <w:sz w:val="20"/>
                <w:szCs w:val="20"/>
                <w:color w:val="auto"/>
              </w:rPr>
            </w:pPr>
            <w:r>
              <w:rPr>
                <w:rFonts w:ascii="Arial" w:cs="Arial" w:eastAsia="Arial" w:hAnsi="Arial"/>
                <w:sz w:val="18"/>
                <w:szCs w:val="18"/>
                <w:color w:val="auto"/>
              </w:rPr>
              <w:t>Valuation allowances against deferred tax assets</w:t>
            </w: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560" w:type="dxa"/>
            <w:vAlign w:val="bottom"/>
            <w:tcBorders>
              <w:right w:val="single" w:sz="8" w:color="auto"/>
            </w:tcBorders>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(751)</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(751)</w:t>
            </w:r>
          </w:p>
        </w:tc>
        <w:tc>
          <w:tcPr>
            <w:tcW w:w="0" w:type="dxa"/>
            <w:vAlign w:val="bottom"/>
          </w:tcPr>
          <w:p>
            <w:pPr>
              <w:spacing w:after="0"/>
              <w:rPr>
                <w:sz w:val="1"/>
                <w:szCs w:val="1"/>
                <w:color w:val="auto"/>
              </w:rPr>
            </w:pPr>
          </w:p>
        </w:tc>
      </w:tr>
      <w:tr>
        <w:trPr>
          <w:trHeight w:val="20"/>
        </w:trPr>
        <w:tc>
          <w:tcPr>
            <w:tcW w:w="4140" w:type="dxa"/>
            <w:vAlign w:val="bottom"/>
            <w:vMerge w:val="restart"/>
          </w:tcPr>
          <w:p>
            <w:pPr>
              <w:spacing w:after="0"/>
              <w:rPr>
                <w:sz w:val="20"/>
                <w:szCs w:val="20"/>
                <w:color w:val="auto"/>
              </w:rPr>
            </w:pPr>
            <w:r>
              <w:rPr>
                <w:rFonts w:ascii="Arial" w:cs="Arial" w:eastAsia="Arial" w:hAnsi="Arial"/>
                <w:sz w:val="18"/>
                <w:szCs w:val="18"/>
                <w:color w:val="auto"/>
              </w:rPr>
              <w:t>Total significant non-cash charges (gains)</w:t>
            </w:r>
          </w:p>
        </w:tc>
        <w:tc>
          <w:tcPr>
            <w:tcW w:w="12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560" w:type="dxa"/>
            <w:vAlign w:val="bottom"/>
            <w:tcBorders>
              <w:right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4140" w:type="dxa"/>
            <w:vAlign w:val="bottom"/>
            <w:vMerge w:val="continue"/>
          </w:tcPr>
          <w:p>
            <w:pPr>
              <w:spacing w:after="0"/>
              <w:rPr>
                <w:sz w:val="19"/>
                <w:szCs w:val="19"/>
                <w:color w:val="auto"/>
              </w:rPr>
            </w:pP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163</w:t>
            </w:r>
          </w:p>
        </w:tc>
        <w:tc>
          <w:tcPr>
            <w:tcW w:w="6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226</w:t>
            </w:r>
          </w:p>
        </w:tc>
        <w:tc>
          <w:tcPr>
            <w:tcW w:w="600" w:type="dxa"/>
            <w:vAlign w:val="bottom"/>
            <w:gridSpan w:val="2"/>
          </w:tcPr>
          <w:p>
            <w:pPr>
              <w:ind w:left="460"/>
              <w:spacing w:after="0"/>
              <w:rPr>
                <w:sz w:val="20"/>
                <w:szCs w:val="20"/>
                <w:color w:val="auto"/>
              </w:rPr>
            </w:pPr>
            <w:r>
              <w:rPr>
                <w:rFonts w:ascii="Arial" w:cs="Arial" w:eastAsia="Arial" w:hAnsi="Arial"/>
                <w:sz w:val="18"/>
                <w:szCs w:val="18"/>
                <w:color w:val="auto"/>
              </w:rPr>
              <w:t>$</w:t>
            </w:r>
          </w:p>
        </w:tc>
        <w:tc>
          <w:tcPr>
            <w:tcW w:w="1560" w:type="dxa"/>
            <w:vAlign w:val="bottom"/>
            <w:tcBorders>
              <w:right w:val="single" w:sz="8" w:color="auto"/>
            </w:tcBorders>
            <w:gridSpan w:val="2"/>
          </w:tcPr>
          <w:p>
            <w:pPr>
              <w:jc w:val="right"/>
              <w:ind w:right="560"/>
              <w:spacing w:after="0"/>
              <w:rPr>
                <w:sz w:val="20"/>
                <w:szCs w:val="20"/>
                <w:color w:val="auto"/>
              </w:rPr>
            </w:pPr>
            <w:r>
              <w:rPr>
                <w:rFonts w:ascii="Arial" w:cs="Arial" w:eastAsia="Arial" w:hAnsi="Arial"/>
                <w:sz w:val="18"/>
                <w:szCs w:val="18"/>
                <w:color w:val="auto"/>
              </w:rPr>
              <w:t>13</w:t>
            </w:r>
          </w:p>
        </w:tc>
        <w:tc>
          <w:tcPr>
            <w:tcW w:w="460" w:type="dxa"/>
            <w:vAlign w:val="bottom"/>
            <w:gridSpan w:val="2"/>
          </w:tcPr>
          <w:p>
            <w:pPr>
              <w:ind w:left="360"/>
              <w:spacing w:after="0"/>
              <w:rPr>
                <w:sz w:val="20"/>
                <w:szCs w:val="20"/>
                <w:color w:val="auto"/>
              </w:rPr>
            </w:pPr>
            <w:r>
              <w:rPr>
                <w:rFonts w:ascii="Arial" w:cs="Arial" w:eastAsia="Arial" w:hAnsi="Arial"/>
                <w:sz w:val="18"/>
                <w:szCs w:val="18"/>
                <w:u w:val="single" w:color="auto"/>
                <w:color w:val="auto"/>
                <w:w w:val="79"/>
              </w:rPr>
              <w:t>$</w:t>
            </w:r>
          </w:p>
        </w:tc>
        <w:tc>
          <w:tcPr>
            <w:tcW w:w="900" w:type="dxa"/>
            <w:vAlign w:val="bottom"/>
            <w:gridSpan w:val="2"/>
          </w:tcPr>
          <w:p>
            <w:pPr>
              <w:jc w:val="right"/>
              <w:ind w:right="220"/>
              <w:spacing w:after="0"/>
              <w:rPr>
                <w:sz w:val="20"/>
                <w:szCs w:val="20"/>
                <w:color w:val="auto"/>
              </w:rPr>
            </w:pPr>
            <w:r>
              <w:rPr>
                <w:rFonts w:ascii="Arial" w:cs="Arial" w:eastAsia="Arial" w:hAnsi="Arial"/>
                <w:sz w:val="18"/>
                <w:szCs w:val="18"/>
                <w:color w:val="auto"/>
                <w:w w:val="85"/>
              </w:rPr>
              <w:t>(130,062)</w:t>
            </w:r>
          </w:p>
        </w:tc>
        <w:tc>
          <w:tcPr>
            <w:tcW w:w="30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w w:val="88"/>
              </w:rPr>
              <w:t>(130,074)</w:t>
            </w:r>
          </w:p>
        </w:tc>
        <w:tc>
          <w:tcPr>
            <w:tcW w:w="0" w:type="dxa"/>
            <w:vAlign w:val="bottom"/>
          </w:tcPr>
          <w:p>
            <w:pPr>
              <w:spacing w:after="0"/>
              <w:rPr>
                <w:sz w:val="1"/>
                <w:szCs w:val="1"/>
                <w:color w:val="auto"/>
              </w:rPr>
            </w:pPr>
          </w:p>
        </w:tc>
      </w:tr>
      <w:tr>
        <w:trPr>
          <w:trHeight w:val="20"/>
        </w:trPr>
        <w:tc>
          <w:tcPr>
            <w:tcW w:w="41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right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Defined Benefit Pension Plan Contributions</w:t>
      </w:r>
    </w:p>
    <w:p>
      <w:pPr>
        <w:spacing w:after="0" w:line="177" w:lineRule="exact"/>
        <w:rPr>
          <w:sz w:val="20"/>
          <w:szCs w:val="20"/>
          <w:color w:val="auto"/>
        </w:rPr>
      </w:pPr>
    </w:p>
    <w:p>
      <w:pPr>
        <w:ind w:right="120" w:firstLine="228"/>
        <w:spacing w:after="0" w:line="259" w:lineRule="auto"/>
        <w:rPr>
          <w:sz w:val="20"/>
          <w:szCs w:val="20"/>
          <w:color w:val="auto"/>
        </w:rPr>
      </w:pPr>
      <w:r>
        <w:rPr>
          <w:rFonts w:ascii="Arial" w:cs="Arial" w:eastAsia="Arial" w:hAnsi="Arial"/>
          <w:sz w:val="18"/>
          <w:szCs w:val="18"/>
          <w:color w:val="auto"/>
        </w:rPr>
        <w:t>We expect to make a voluntary contribution to the U.S. hourly and salaried defined benefit pension plans of $4.0 billion of cash and $2.0 billion of our common stock after the completion of the public offering. The common stock contribution is contingent upon approval from the Department of Labor, which we expect to receive in the near-term.</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Guarantees Provided to Third Parties</w:t>
      </w:r>
    </w:p>
    <w:p>
      <w:pPr>
        <w:spacing w:after="0" w:line="177" w:lineRule="exact"/>
        <w:rPr>
          <w:sz w:val="20"/>
          <w:szCs w:val="20"/>
          <w:color w:val="auto"/>
        </w:rPr>
      </w:pPr>
    </w:p>
    <w:p>
      <w:pPr>
        <w:ind w:right="120" w:firstLine="228"/>
        <w:spacing w:after="0" w:line="259" w:lineRule="auto"/>
        <w:rPr>
          <w:sz w:val="20"/>
          <w:szCs w:val="20"/>
          <w:color w:val="auto"/>
        </w:rPr>
      </w:pPr>
      <w:r>
        <w:rPr>
          <w:rFonts w:ascii="Arial" w:cs="Arial" w:eastAsia="Arial" w:hAnsi="Arial"/>
          <w:sz w:val="18"/>
          <w:szCs w:val="18"/>
          <w:color w:val="auto"/>
        </w:rPr>
        <w:t>We have provided guarantees related to the residual value of operating leases, certain suppliers’ commitments, certain product-related claims and commercial loans made by Ally Financial and outstanding with certain third parties excluding residual support and risk sharing related to Ally Financial. The maximum potential obligation under these commitments is $641 million at September 30, 2010.</w:t>
      </w:r>
    </w:p>
    <w:p>
      <w:pPr>
        <w:spacing w:after="0" w:line="140" w:lineRule="exact"/>
        <w:rPr>
          <w:sz w:val="20"/>
          <w:szCs w:val="20"/>
          <w:color w:val="auto"/>
        </w:rPr>
      </w:pPr>
    </w:p>
    <w:p>
      <w:pPr>
        <w:ind w:right="160" w:firstLine="228"/>
        <w:spacing w:after="0" w:line="256" w:lineRule="auto"/>
        <w:rPr>
          <w:sz w:val="20"/>
          <w:szCs w:val="20"/>
          <w:color w:val="auto"/>
        </w:rPr>
      </w:pPr>
      <w:r>
        <w:rPr>
          <w:rFonts w:ascii="Arial" w:cs="Arial" w:eastAsia="Arial" w:hAnsi="Arial"/>
          <w:sz w:val="18"/>
          <w:szCs w:val="18"/>
          <w:color w:val="auto"/>
        </w:rPr>
        <w:t>Our current agreement with Ally Financial requires the repurchase of Ally Financial financed inventory invoiced to dealers after September 1, 2009, with limited exclusions, in the event of a qualifying voluntary or involuntary termination of the dealer’s sales and service agreement. Repurchase obligations exclude vehicles which are damaged, have excessive mileage or have been altered. The repurchase obligation ends in August 2011 for vehicles invoiced through August 2010 and ends in August 2012 for vehicles invoiced through August 2011.</w:t>
      </w:r>
    </w:p>
    <w:p>
      <w:pPr>
        <w:spacing w:after="0" w:line="143" w:lineRule="exact"/>
        <w:rPr>
          <w:sz w:val="20"/>
          <w:szCs w:val="20"/>
          <w:color w:val="auto"/>
        </w:rPr>
      </w:pPr>
    </w:p>
    <w:p>
      <w:pPr>
        <w:ind w:right="20" w:firstLine="228"/>
        <w:spacing w:after="0" w:line="259" w:lineRule="auto"/>
        <w:rPr>
          <w:sz w:val="20"/>
          <w:szCs w:val="20"/>
          <w:color w:val="auto"/>
        </w:rPr>
      </w:pPr>
      <w:r>
        <w:rPr>
          <w:rFonts w:ascii="Arial" w:cs="Arial" w:eastAsia="Arial" w:hAnsi="Arial"/>
          <w:sz w:val="18"/>
          <w:szCs w:val="18"/>
          <w:color w:val="auto"/>
        </w:rPr>
        <w:t>The maximum potential amount of future payments required to be made to Ally Financial under this guarantee would be based on the repurchase value of total eligible vehicles financed by Ally Financial in dealer stock and is estimated to be $16.8 billion at September 30, 2010. If vehicles are required to be repurchased under this arrangement, the total exposure would be reduced to the</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132</w:t>
      </w:r>
    </w:p>
    <w:p>
      <w:pPr>
        <w:sectPr>
          <w:pgSz w:w="11900" w:h="16838" w:orient="portrait"/>
          <w:cols w:equalWidth="0" w:num="1">
            <w:col w:w="11420"/>
          </w:cols>
          <w:pgMar w:left="240" w:top="459" w:right="239" w:bottom="1440" w:gutter="0" w:footer="0" w:header="0"/>
        </w:sectPr>
      </w:pPr>
    </w:p>
    <w:bookmarkStart w:id="134" w:name="page135"/>
    <w:bookmarkEnd w:id="1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164" w:lineRule="exact"/>
        <w:rPr>
          <w:sz w:val="20"/>
          <w:szCs w:val="20"/>
          <w:color w:val="auto"/>
        </w:rPr>
      </w:pPr>
    </w:p>
    <w:p>
      <w:pPr>
        <w:ind w:right="220"/>
        <w:spacing w:after="0" w:line="268" w:lineRule="auto"/>
        <w:rPr>
          <w:sz w:val="20"/>
          <w:szCs w:val="20"/>
          <w:color w:val="auto"/>
        </w:rPr>
      </w:pPr>
      <w:r>
        <w:rPr>
          <w:rFonts w:ascii="Arial" w:cs="Arial" w:eastAsia="Arial" w:hAnsi="Arial"/>
          <w:sz w:val="18"/>
          <w:szCs w:val="18"/>
          <w:color w:val="auto"/>
        </w:rPr>
        <w:t>extent vehicles are able to be resold to another dealer or at auction. The fair value of the guarantee was $30 million at September 30, 2010, which considers the likelihood of dealers terminating and estimated loss exposure for the ultimate disposition of vehicles.</w:t>
      </w:r>
    </w:p>
    <w:p>
      <w:pPr>
        <w:spacing w:after="0" w:line="132" w:lineRule="exact"/>
        <w:rPr>
          <w:sz w:val="20"/>
          <w:szCs w:val="20"/>
          <w:color w:val="auto"/>
        </w:rPr>
      </w:pPr>
    </w:p>
    <w:p>
      <w:pPr>
        <w:ind w:right="1580" w:firstLine="228"/>
        <w:spacing w:after="0" w:line="438" w:lineRule="auto"/>
        <w:rPr>
          <w:sz w:val="20"/>
          <w:szCs w:val="20"/>
          <w:color w:val="auto"/>
        </w:rPr>
      </w:pPr>
      <w:r>
        <w:rPr>
          <w:rFonts w:ascii="Arial" w:cs="Arial" w:eastAsia="Arial" w:hAnsi="Arial"/>
          <w:sz w:val="18"/>
          <w:szCs w:val="18"/>
          <w:color w:val="auto"/>
        </w:rPr>
        <w:t xml:space="preserve">Refer to Notes 17 and 23 to the condensed consolidated financial statements for additional information on guarantees we have provided. </w:t>
      </w:r>
      <w:r>
        <w:rPr>
          <w:rFonts w:ascii="Arial" w:cs="Arial" w:eastAsia="Arial" w:hAnsi="Arial"/>
          <w:sz w:val="18"/>
          <w:szCs w:val="18"/>
          <w:b w:val="1"/>
          <w:bCs w:val="1"/>
          <w:color w:val="auto"/>
        </w:rPr>
        <w:t>Contractual Obligations and Other Long-Term Liabilities</w:t>
      </w:r>
    </w:p>
    <w:p>
      <w:pPr>
        <w:spacing w:after="0" w:line="1" w:lineRule="exact"/>
        <w:rPr>
          <w:sz w:val="20"/>
          <w:szCs w:val="20"/>
          <w:color w:val="auto"/>
        </w:rPr>
      </w:pPr>
    </w:p>
    <w:p>
      <w:pPr>
        <w:ind w:firstLine="228"/>
        <w:spacing w:after="0" w:line="268" w:lineRule="auto"/>
        <w:rPr>
          <w:sz w:val="20"/>
          <w:szCs w:val="20"/>
          <w:color w:val="auto"/>
        </w:rPr>
      </w:pPr>
      <w:r>
        <w:rPr>
          <w:rFonts w:ascii="Arial" w:cs="Arial" w:eastAsia="Arial" w:hAnsi="Arial"/>
          <w:sz w:val="18"/>
          <w:szCs w:val="18"/>
          <w:color w:val="auto"/>
        </w:rPr>
        <w:t>On October 26, 2010, we repaid in full the outstanding amount (together with accreted interest thereon) of the VEBA Notes of $2.8 billion, which resulted in a gain of $0.2 billion that will be recorded during the three months ending December 31, 2010.</w:t>
      </w:r>
    </w:p>
    <w:p>
      <w:pPr>
        <w:spacing w:after="0" w:line="132" w:lineRule="exact"/>
        <w:rPr>
          <w:sz w:val="20"/>
          <w:szCs w:val="20"/>
          <w:color w:val="auto"/>
        </w:rPr>
      </w:pPr>
    </w:p>
    <w:p>
      <w:pPr>
        <w:ind w:right="600" w:firstLine="228"/>
        <w:spacing w:after="0" w:line="332" w:lineRule="auto"/>
        <w:rPr>
          <w:sz w:val="20"/>
          <w:szCs w:val="20"/>
          <w:color w:val="auto"/>
        </w:rPr>
      </w:pPr>
      <w:r>
        <w:rPr>
          <w:rFonts w:ascii="Arial" w:cs="Arial" w:eastAsia="Arial" w:hAnsi="Arial"/>
          <w:sz w:val="16"/>
          <w:szCs w:val="16"/>
          <w:color w:val="auto"/>
        </w:rPr>
        <w:t>Other than the repayment of the VEBA Notes and related interest, there have been no significant changes in minimum commitments under contractual obligations since June 30, 2010. Refer to Item 2 in our Quarterly Report on Form 10-Q for the period ended June 30, 2010.</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Required Pension Funding Obligations</w:t>
      </w:r>
    </w:p>
    <w:p>
      <w:pPr>
        <w:spacing w:after="0" w:line="177" w:lineRule="exact"/>
        <w:rPr>
          <w:sz w:val="20"/>
          <w:szCs w:val="20"/>
          <w:color w:val="auto"/>
        </w:rPr>
      </w:pPr>
    </w:p>
    <w:p>
      <w:pPr>
        <w:ind w:right="60" w:firstLine="228"/>
        <w:spacing w:after="0" w:line="287" w:lineRule="auto"/>
        <w:rPr>
          <w:sz w:val="20"/>
          <w:szCs w:val="20"/>
          <w:color w:val="auto"/>
        </w:rPr>
      </w:pPr>
      <w:r>
        <w:rPr>
          <w:rFonts w:ascii="Arial" w:cs="Arial" w:eastAsia="Arial" w:hAnsi="Arial"/>
          <w:sz w:val="16"/>
          <w:szCs w:val="16"/>
          <w:color w:val="auto"/>
        </w:rPr>
        <w:t>We do not have any contributions due to our U.S. qualified plans in 2010. The next pension funding valuation date based on the requirements of the Pension Protection Act (PPA) of 2006 is October 1, 2010. Based on the PPA, we have the option to select a funding interest rate for the valuation based on either the Full Yield Curve method or the 3-Segment method, both of which are considered to be acceptable methods. PPA also provides the flexibility of selecting a 3-Segment rate up to the preceding five months from the valuation date of October 1, 2010, i.e., the 3-Segment rate at May 31, 2010. Therefore, for a hypothetical valuation at September 30, 2010, we have assumed the 3-Segment rate at May 31, 2010 as the potential floor for funding interest rate that we could use for the actual funding valuation. Since this hypothetical election does not limit us to only using the 3-Segment rate beyond 2010, we have assumed that we retain the flexibility of selecting a funding interest rate based on either the Full Yield Curve method or the 3-Segment method. A hypothetical funding valuation at September 30, 2010, using the 3-Segment rate at May 31, 2010 and assuming the September 30, 2010 Full Yield Curve funding interest rate for all future valuations projects contributions of $3.9 billion and $5.4 billion in 2014 and 2015 and additional contributions may be required thereafter. Contributions of $0.5 billion and $0.1 billion may be required in 2012 and 2013 in order to preserve our flexibility to use credit balances to reduce cash contributions.</w:t>
      </w:r>
    </w:p>
    <w:p>
      <w:pPr>
        <w:spacing w:after="0" w:line="123" w:lineRule="exact"/>
        <w:rPr>
          <w:sz w:val="20"/>
          <w:szCs w:val="20"/>
          <w:color w:val="auto"/>
        </w:rPr>
      </w:pPr>
    </w:p>
    <w:p>
      <w:pPr>
        <w:ind w:right="360" w:firstLine="228"/>
        <w:spacing w:after="0" w:line="332" w:lineRule="auto"/>
        <w:rPr>
          <w:sz w:val="20"/>
          <w:szCs w:val="20"/>
          <w:color w:val="auto"/>
        </w:rPr>
      </w:pPr>
      <w:r>
        <w:rPr>
          <w:rFonts w:ascii="Arial" w:cs="Arial" w:eastAsia="Arial" w:hAnsi="Arial"/>
          <w:sz w:val="16"/>
          <w:szCs w:val="16"/>
          <w:color w:val="auto"/>
        </w:rPr>
        <w:t>Alternatively, a hypothetical funding valuation at September 30, 2010 using the 3-Segment rate at May 31, 2010 and assuming the September 30, 2010 3-Segment funding interest rate for all future valuations projects contributions of $0.6 billion in 2015 and additional contributions may be required thereafter.</w:t>
      </w:r>
    </w:p>
    <w:p>
      <w:pPr>
        <w:spacing w:after="0" w:line="85" w:lineRule="exact"/>
        <w:rPr>
          <w:sz w:val="20"/>
          <w:szCs w:val="20"/>
          <w:color w:val="auto"/>
        </w:rPr>
      </w:pPr>
    </w:p>
    <w:p>
      <w:pPr>
        <w:ind w:right="20" w:firstLine="228"/>
        <w:spacing w:after="0" w:line="286" w:lineRule="auto"/>
        <w:rPr>
          <w:sz w:val="20"/>
          <w:szCs w:val="20"/>
          <w:color w:val="auto"/>
        </w:rPr>
      </w:pPr>
      <w:r>
        <w:rPr>
          <w:rFonts w:ascii="Arial" w:cs="Arial" w:eastAsia="Arial" w:hAnsi="Arial"/>
          <w:sz w:val="16"/>
          <w:szCs w:val="16"/>
          <w:color w:val="auto"/>
        </w:rPr>
        <w:t>In both cases, we have assumed that the pension plans earn the expected return of 8.40% in the future and no further changes in funding interest rates. However, future funding projections are sensitive to changes in these assumptions as the following scenarios depict. Under the first funding scenario presented above, if the plan assets return 7.40% instead of 8.40% (holding all other factors constant), the contributions in 2014 and 2015 would be $4.1 billion and $5.7 billion. The contributions in 2012 and 2013 would be $0.8 billion and $0.2 billion. Under the first funding scenario presented above, if the funding interest rates were to decrease by 25 basis points (holding all other factors constant), the contributions in 2014 and 2015 would not be materially changed. However, the contributions in 2012 and 2013 would increase to $1.8 billion and $0.9 billion. A decrease of the funding interest rate by 50 basis points (holding all other factors constant) would not materially change required contributions in 2014 and 2015, but would increase contributions to $3.1 billion in 2012, and $1.8 billion in 2013. If the funding interest rates were to increase by 25 basis points (holding all other factors constant) the contributions in 2012 and 2013 would no longer be needed. The contributions in 2014 and 2015 would be $2.1 billion and $5.4 billion. If there is an increase in the funding interest rates by 50 basis points (holding all other factors constant) the contributions in 2012 and 2013 would no longer be needed and contributions of $0.6 billion and $4.5 billion would be needed in 2014 and 2015. In addition to the funding interest rate and rate of return on assets, the pension contributions could be affected by various other factors including the effect of any legislative changes.</w:t>
      </w:r>
    </w:p>
    <w:p>
      <w:pPr>
        <w:spacing w:after="0" w:line="124" w:lineRule="exact"/>
        <w:rPr>
          <w:sz w:val="20"/>
          <w:szCs w:val="20"/>
          <w:color w:val="auto"/>
        </w:rPr>
      </w:pPr>
    </w:p>
    <w:p>
      <w:pPr>
        <w:ind w:right="140" w:firstLine="228"/>
        <w:spacing w:after="0" w:line="268" w:lineRule="auto"/>
        <w:rPr>
          <w:sz w:val="20"/>
          <w:szCs w:val="20"/>
          <w:color w:val="auto"/>
        </w:rPr>
      </w:pPr>
      <w:r>
        <w:rPr>
          <w:rFonts w:ascii="Arial" w:cs="Arial" w:eastAsia="Arial" w:hAnsi="Arial"/>
          <w:sz w:val="18"/>
          <w:szCs w:val="18"/>
          <w:color w:val="auto"/>
        </w:rPr>
        <w:t>The hypothetical valuations do not comprehend the potential election of relief provisions that are available to us under the Pension Relief Act of 2010 (PRA) for the 2010 and 2011 plan year valuations. Electing the relief provisions for either the 2010, 2011 or both</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133</w:t>
      </w:r>
    </w:p>
    <w:p>
      <w:pPr>
        <w:sectPr>
          <w:pgSz w:w="11900" w:h="16838" w:orient="portrait"/>
          <w:cols w:equalWidth="0" w:num="1">
            <w:col w:w="11400"/>
          </w:cols>
          <w:pgMar w:left="240" w:top="459" w:right="259" w:bottom="1440" w:gutter="0" w:footer="0" w:header="0"/>
        </w:sectPr>
      </w:pPr>
    </w:p>
    <w:bookmarkStart w:id="135" w:name="page136"/>
    <w:bookmarkEnd w:id="1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164" w:lineRule="exact"/>
        <w:rPr>
          <w:sz w:val="20"/>
          <w:szCs w:val="20"/>
          <w:color w:val="auto"/>
        </w:rPr>
      </w:pPr>
    </w:p>
    <w:p>
      <w:pPr>
        <w:ind w:right="360"/>
        <w:spacing w:after="0" w:line="259" w:lineRule="auto"/>
        <w:rPr>
          <w:sz w:val="20"/>
          <w:szCs w:val="20"/>
          <w:color w:val="auto"/>
        </w:rPr>
      </w:pPr>
      <w:r>
        <w:rPr>
          <w:rFonts w:ascii="Arial" w:cs="Arial" w:eastAsia="Arial" w:hAnsi="Arial"/>
          <w:sz w:val="18"/>
          <w:szCs w:val="18"/>
          <w:color w:val="auto"/>
        </w:rPr>
        <w:t>these valuations is projected to provide additional funding flexibility and allow additional deferral of significant contributions. However, the final regulations under the PRA have not yet been released, and as such we are not currently able to determine whether we would qualify or whether we would elect to avail ourselves of these relief provisions.</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Required Pension Funding Obligation Assuming Voluntary Contributions of $6.0 Billion</w:t>
      </w:r>
    </w:p>
    <w:p>
      <w:pPr>
        <w:spacing w:after="0" w:line="177" w:lineRule="exact"/>
        <w:rPr>
          <w:sz w:val="20"/>
          <w:szCs w:val="20"/>
          <w:color w:val="auto"/>
        </w:rPr>
      </w:pPr>
    </w:p>
    <w:p>
      <w:pPr>
        <w:ind w:right="180" w:firstLine="228"/>
        <w:spacing w:after="0" w:line="298" w:lineRule="auto"/>
        <w:rPr>
          <w:sz w:val="20"/>
          <w:szCs w:val="20"/>
          <w:color w:val="auto"/>
        </w:rPr>
      </w:pPr>
      <w:r>
        <w:rPr>
          <w:rFonts w:ascii="Arial" w:cs="Arial" w:eastAsia="Arial" w:hAnsi="Arial"/>
          <w:sz w:val="16"/>
          <w:szCs w:val="16"/>
          <w:color w:val="auto"/>
        </w:rPr>
        <w:t>After the completion of the common stock offering and Series B Preferred Stock offering, we intend to contribute $6.0 billion to our U.S. qualified plans consisting of cash of $4.0 billion and $2.0 billion of our common stock. We are currently awaiting the Department of Labor’s approval, which we expect to receive in the near-term, and which is required for our common stock contribution to qualify as a plan asset for funding purposes under ERISA. We assume that the approval is received in the funding projections which follow as the stock contribution is contingent on this review.</w:t>
      </w:r>
    </w:p>
    <w:p>
      <w:pPr>
        <w:spacing w:after="0" w:line="113" w:lineRule="exact"/>
        <w:rPr>
          <w:sz w:val="20"/>
          <w:szCs w:val="20"/>
          <w:color w:val="auto"/>
        </w:rPr>
      </w:pPr>
    </w:p>
    <w:p>
      <w:pPr>
        <w:ind w:right="100" w:firstLine="228"/>
        <w:spacing w:after="0" w:line="256" w:lineRule="auto"/>
        <w:rPr>
          <w:sz w:val="20"/>
          <w:szCs w:val="20"/>
          <w:color w:val="auto"/>
        </w:rPr>
      </w:pPr>
      <w:r>
        <w:rPr>
          <w:rFonts w:ascii="Arial" w:cs="Arial" w:eastAsia="Arial" w:hAnsi="Arial"/>
          <w:sz w:val="18"/>
          <w:szCs w:val="18"/>
          <w:color w:val="auto"/>
        </w:rPr>
        <w:t>As discussed above, we do not have any required contributions due to our U.S. qualified plans in 2010 and we have the option to select a funding interest rate based on the Full Yield Curve method or the 3-Segment method. A hypothetical funding valuation at September 30, 2010, using the 3-Segment rate at May 31, 2010 and assuming the September 30, 2010 Full Yield Curve funding interest rate for all future valuations projects contributions of $2.4 billion in 2015 and additional contributions may be required thereafter.</w:t>
      </w:r>
    </w:p>
    <w:p>
      <w:pPr>
        <w:spacing w:after="0" w:line="143" w:lineRule="exact"/>
        <w:rPr>
          <w:sz w:val="20"/>
          <w:szCs w:val="20"/>
          <w:color w:val="auto"/>
        </w:rPr>
      </w:pPr>
    </w:p>
    <w:p>
      <w:pPr>
        <w:ind w:right="380" w:firstLine="228"/>
        <w:spacing w:after="0" w:line="268" w:lineRule="auto"/>
        <w:rPr>
          <w:sz w:val="20"/>
          <w:szCs w:val="20"/>
          <w:color w:val="auto"/>
        </w:rPr>
      </w:pPr>
      <w:r>
        <w:rPr>
          <w:rFonts w:ascii="Arial" w:cs="Arial" w:eastAsia="Arial" w:hAnsi="Arial"/>
          <w:sz w:val="18"/>
          <w:szCs w:val="18"/>
          <w:color w:val="auto"/>
        </w:rPr>
        <w:t>Alternatively, a hypothetical funding valuation at September 30, 2010 using the 3-Segment rate at May 31, 2010 and assuming the September 30, 2010 3-Segment funding interest rate for all future valuations projects no contributions would be required through 2015.</w:t>
      </w:r>
    </w:p>
    <w:p>
      <w:pPr>
        <w:spacing w:after="0" w:line="132" w:lineRule="exact"/>
        <w:rPr>
          <w:sz w:val="20"/>
          <w:szCs w:val="20"/>
          <w:color w:val="auto"/>
        </w:rPr>
      </w:pPr>
    </w:p>
    <w:p>
      <w:pPr>
        <w:ind w:firstLine="228"/>
        <w:spacing w:after="0" w:line="312" w:lineRule="auto"/>
        <w:rPr>
          <w:sz w:val="20"/>
          <w:szCs w:val="20"/>
          <w:color w:val="auto"/>
        </w:rPr>
      </w:pPr>
      <w:r>
        <w:rPr>
          <w:rFonts w:ascii="Arial" w:cs="Arial" w:eastAsia="Arial" w:hAnsi="Arial"/>
          <w:sz w:val="15"/>
          <w:szCs w:val="15"/>
          <w:color w:val="auto"/>
        </w:rPr>
        <w:t>In both cases, we have assumed that $6.0 billion is contributed to the pension plans as of September 30, 2010 and the pension plans earn the expected return of 8.4% in the future and no further changes in funding interest rates. However, future funding projections are sensitive to changes in these assumptions as the following scenarios depict. Under the first funding scenario presented above, if the plan assets return 7.40% instead of 8.40% (holding all other factors constant), contributions of $3.3 billion would be required in 2015. Under the first funding scenario presented above, if the funding interest rates were to decrease by 50 basis points (holding all other factors constant), contributions would be $1.6 billion and $5.5 billion in 2014 and 2015. If the funding interest rates were to increase by 50 basis points, no contributions would be required through 2015, although additional contributions may be required thereafter. In addition to the funding interest rate and rate of return on assets, the pension contributions could be affected by various other factors including the effect of any legislative changes.</w:t>
      </w:r>
    </w:p>
    <w:p>
      <w:pPr>
        <w:spacing w:after="0" w:line="105" w:lineRule="exact"/>
        <w:rPr>
          <w:sz w:val="20"/>
          <w:szCs w:val="20"/>
          <w:color w:val="auto"/>
        </w:rPr>
      </w:pPr>
    </w:p>
    <w:p>
      <w:pPr>
        <w:ind w:right="100" w:firstLine="228"/>
        <w:spacing w:after="0" w:line="298" w:lineRule="auto"/>
        <w:rPr>
          <w:sz w:val="20"/>
          <w:szCs w:val="20"/>
          <w:color w:val="auto"/>
        </w:rPr>
      </w:pPr>
      <w:r>
        <w:rPr>
          <w:rFonts w:ascii="Arial" w:cs="Arial" w:eastAsia="Arial" w:hAnsi="Arial"/>
          <w:sz w:val="16"/>
          <w:szCs w:val="16"/>
          <w:color w:val="auto"/>
        </w:rPr>
        <w:t>The hypothetical valuations do not comprehend the potential election of relief provisions that are available to us under the PRA for the 2010 and 2011 plan year valuations. Electing the relief provisions for either the 2010, 2011 or both these valuations is projected to provide additional funding flexibility and allow additional deferral of significant contributions. However, the final regulations under the PRA have not yet been released, and as such we are not currently able to determine whether we would qualify or whether we would elect to avail ourselves of these relief provisions.</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Fair Value Measurements</w:t>
      </w:r>
    </w:p>
    <w:p>
      <w:pPr>
        <w:spacing w:after="0" w:line="177" w:lineRule="exact"/>
        <w:rPr>
          <w:sz w:val="20"/>
          <w:szCs w:val="20"/>
          <w:color w:val="auto"/>
        </w:rPr>
      </w:pPr>
    </w:p>
    <w:p>
      <w:pPr>
        <w:ind w:left="240"/>
        <w:spacing w:after="0"/>
        <w:rPr>
          <w:sz w:val="20"/>
          <w:szCs w:val="20"/>
          <w:color w:val="auto"/>
        </w:rPr>
      </w:pPr>
      <w:r>
        <w:rPr>
          <w:rFonts w:ascii="Arial" w:cs="Arial" w:eastAsia="Arial" w:hAnsi="Arial"/>
          <w:sz w:val="16"/>
          <w:szCs w:val="16"/>
          <w:color w:val="auto"/>
        </w:rPr>
        <w:t>In January 2009 Old GM adopted ASC 820-10, “Fair Value Measurements and Disclosures,” for nonfinancial assets and nonfinancial liabilities. Refer to Note</w:t>
      </w:r>
    </w:p>
    <w:p>
      <w:pPr>
        <w:spacing w:after="0" w:line="38" w:lineRule="exact"/>
        <w:rPr>
          <w:sz w:val="20"/>
          <w:szCs w:val="20"/>
          <w:color w:val="auto"/>
        </w:rPr>
      </w:pPr>
    </w:p>
    <w:p>
      <w:pPr>
        <w:ind w:right="260"/>
        <w:spacing w:after="0" w:line="255" w:lineRule="auto"/>
        <w:rPr>
          <w:sz w:val="20"/>
          <w:szCs w:val="20"/>
          <w:color w:val="auto"/>
        </w:rPr>
      </w:pPr>
      <w:r>
        <w:rPr>
          <w:rFonts w:ascii="Arial" w:cs="Arial" w:eastAsia="Arial" w:hAnsi="Arial"/>
          <w:sz w:val="18"/>
          <w:szCs w:val="18"/>
          <w:color w:val="auto"/>
        </w:rPr>
        <w:t>21 to the condensed consolidated financial statements for additional information regarding fair value measurements of nonfinancial assets and nonfinancial liabilities. Refer to Note 19 to the condensed consolidated financial statements for additional information regarding fair value measurements of financial assets and financial liabilities.</w:t>
      </w:r>
    </w:p>
    <w:p>
      <w:pPr>
        <w:spacing w:after="0" w:line="144" w:lineRule="exact"/>
        <w:rPr>
          <w:sz w:val="20"/>
          <w:szCs w:val="20"/>
          <w:color w:val="auto"/>
        </w:rPr>
      </w:pPr>
    </w:p>
    <w:p>
      <w:pPr>
        <w:ind w:left="240"/>
        <w:spacing w:after="0"/>
        <w:rPr>
          <w:sz w:val="20"/>
          <w:szCs w:val="20"/>
          <w:color w:val="auto"/>
        </w:rPr>
      </w:pPr>
      <w:r>
        <w:rPr>
          <w:rFonts w:ascii="Arial" w:cs="Arial" w:eastAsia="Arial" w:hAnsi="Arial"/>
          <w:sz w:val="18"/>
          <w:szCs w:val="18"/>
          <w:color w:val="auto"/>
        </w:rPr>
        <w:t>Significant assets and liabilities classified as Level 3, with the related Level 3 inputs, are as follows:</w:t>
      </w:r>
    </w:p>
    <w:p>
      <w:pPr>
        <w:spacing w:after="0" w:line="212" w:lineRule="exact"/>
        <w:rPr>
          <w:sz w:val="20"/>
          <w:szCs w:val="20"/>
          <w:color w:val="auto"/>
        </w:rPr>
      </w:pPr>
    </w:p>
    <w:p>
      <w:pPr>
        <w:ind w:left="660" w:right="200" w:hanging="436"/>
        <w:spacing w:after="0" w:line="256" w:lineRule="auto"/>
        <w:tabs>
          <w:tab w:leader="none" w:pos="660" w:val="left"/>
        </w:tabs>
        <w:numPr>
          <w:ilvl w:val="0"/>
          <w:numId w:val="104"/>
        </w:numPr>
        <w:rPr>
          <w:rFonts w:ascii="Arial" w:cs="Arial" w:eastAsia="Arial" w:hAnsi="Arial"/>
          <w:sz w:val="18"/>
          <w:szCs w:val="18"/>
          <w:color w:val="auto"/>
        </w:rPr>
      </w:pPr>
      <w:r>
        <w:rPr>
          <w:rFonts w:ascii="Arial" w:cs="Arial" w:eastAsia="Arial" w:hAnsi="Arial"/>
          <w:sz w:val="18"/>
          <w:szCs w:val="18"/>
          <w:color w:val="auto"/>
        </w:rPr>
        <w:t>Foreign currency derivatives — Level 3 inputs used to determine the fair value of foreign currency derivative liabilities include the appropriate credit spread to measure our nonperformance risk. Given our nonperformance risk is not observable through the credit default swap market we based this measurement on an analysis of comparable industrial companies to determine the appropriate credit spread which would be applied to us and Old GM by market participants in each period.</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134</w:t>
      </w:r>
    </w:p>
    <w:p>
      <w:pPr>
        <w:sectPr>
          <w:pgSz w:w="11900" w:h="16838" w:orient="portrait"/>
          <w:cols w:equalWidth="0" w:num="1">
            <w:col w:w="11420"/>
          </w:cols>
          <w:pgMar w:left="240" w:top="459" w:right="239" w:bottom="1440" w:gutter="0" w:footer="0" w:header="0"/>
        </w:sectPr>
      </w:pPr>
    </w:p>
    <w:bookmarkStart w:id="136" w:name="page137"/>
    <w:bookmarkEnd w:id="1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339"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Level 3 Assets and Liabilities</w:t>
      </w:r>
    </w:p>
    <w:p>
      <w:pPr>
        <w:spacing w:after="0" w:line="171" w:lineRule="exact"/>
        <w:rPr>
          <w:sz w:val="20"/>
          <w:szCs w:val="20"/>
          <w:color w:val="auto"/>
        </w:rPr>
      </w:pPr>
    </w:p>
    <w:p>
      <w:pPr>
        <w:ind w:firstLine="228"/>
        <w:spacing w:after="0" w:line="259" w:lineRule="auto"/>
        <w:rPr>
          <w:sz w:val="20"/>
          <w:szCs w:val="20"/>
          <w:color w:val="auto"/>
        </w:rPr>
      </w:pPr>
      <w:r>
        <w:rPr>
          <w:rFonts w:ascii="Arial" w:cs="Arial" w:eastAsia="Arial" w:hAnsi="Arial"/>
          <w:sz w:val="18"/>
          <w:szCs w:val="18"/>
          <w:color w:val="auto"/>
        </w:rPr>
        <w:t>At September 30, 2010 we used Level 3 inputs to measure net liabilities of $207 million (or 0.2%) of our total liabilities. These net liabilities included $31 million (or 0.1%) of the total assets, and $238 million (or 96.7%) of the total liabilities (of which $222 million were derivative liabilities) that we measured at fair value.</w:t>
      </w:r>
    </w:p>
    <w:p>
      <w:pPr>
        <w:spacing w:after="0" w:line="140" w:lineRule="exact"/>
        <w:rPr>
          <w:sz w:val="20"/>
          <w:szCs w:val="20"/>
          <w:color w:val="auto"/>
        </w:rPr>
      </w:pPr>
    </w:p>
    <w:p>
      <w:pPr>
        <w:ind w:right="240" w:firstLine="228"/>
        <w:spacing w:after="0" w:line="290" w:lineRule="auto"/>
        <w:rPr>
          <w:sz w:val="20"/>
          <w:szCs w:val="20"/>
          <w:color w:val="auto"/>
        </w:rPr>
      </w:pPr>
      <w:r>
        <w:rPr>
          <w:rFonts w:ascii="Arial" w:cs="Arial" w:eastAsia="Arial" w:hAnsi="Arial"/>
          <w:sz w:val="16"/>
          <w:szCs w:val="16"/>
          <w:color w:val="auto"/>
        </w:rPr>
        <w:t>At September 30, 2010 net liabilities of $207 million measured using Level 3 inputs were primarily comprised of foreign currency derivatives. Foreign currency derivatives were classified as Level 3 due to an unobservable input which relates to our nonperformance risk. Given our nonperformance risk is not observable through the credit default swap market we based this measurement on an analysis of comparable industrial companies to determine the appropriate credit spread which would be applied to us by market participants. At September 30, 2010 we included a non-performance risk adjustment of $3 million in the fair value measurement of these derivatives which reflects a discount of 1.4% to the fair value before considering our credit risk. We anticipate settling these derivatives at maturity at fair value unadjusted for our nonperformance risk. Credit risk adjustments made to a derivative liability reverse as the derivative contract approaches maturity. This effect is accelerated if a contract is settled prior to maturity.</w:t>
      </w:r>
    </w:p>
    <w:p>
      <w:pPr>
        <w:spacing w:after="0" w:line="118" w:lineRule="exact"/>
        <w:rPr>
          <w:sz w:val="20"/>
          <w:szCs w:val="20"/>
          <w:color w:val="auto"/>
        </w:rPr>
      </w:pPr>
    </w:p>
    <w:p>
      <w:pPr>
        <w:ind w:firstLine="228"/>
        <w:spacing w:after="0" w:line="256" w:lineRule="auto"/>
        <w:rPr>
          <w:sz w:val="20"/>
          <w:szCs w:val="20"/>
          <w:color w:val="auto"/>
        </w:rPr>
      </w:pPr>
      <w:r>
        <w:rPr>
          <w:rFonts w:ascii="Arial" w:cs="Arial" w:eastAsia="Arial" w:hAnsi="Arial"/>
          <w:sz w:val="18"/>
          <w:szCs w:val="18"/>
          <w:color w:val="auto"/>
        </w:rPr>
        <w:t>In the three months ended September 30, 2010 assets and liabilities measured using Level 3 inputs decreased $155 million from a net liability of $362 million to a net liability of $207 million primarily due to unrealized and realized gains on and the settlement of derivatives. In the nine months ended September 30, 2010 assets and liabilities measured using Level 3 inputs decreased $465 million from a net liability of $672 million to a net liability of $207 million primarily due to unrealized and realized gains on and the settlement of derivatives.</w:t>
      </w:r>
    </w:p>
    <w:p>
      <w:pPr>
        <w:spacing w:after="0" w:line="143" w:lineRule="exact"/>
        <w:rPr>
          <w:sz w:val="20"/>
          <w:szCs w:val="20"/>
          <w:color w:val="auto"/>
        </w:rPr>
      </w:pPr>
    </w:p>
    <w:p>
      <w:pPr>
        <w:ind w:right="40" w:firstLine="228"/>
        <w:spacing w:after="0" w:line="256" w:lineRule="auto"/>
        <w:rPr>
          <w:sz w:val="20"/>
          <w:szCs w:val="20"/>
          <w:color w:val="auto"/>
        </w:rPr>
      </w:pPr>
      <w:r>
        <w:rPr>
          <w:rFonts w:ascii="Arial" w:cs="Arial" w:eastAsia="Arial" w:hAnsi="Arial"/>
          <w:sz w:val="18"/>
          <w:szCs w:val="18"/>
          <w:color w:val="auto"/>
        </w:rPr>
        <w:t>At December 31, 2009 we used Level 3 inputs to measure net liabilities of $672 million (or 0.6%) of our total liabilities. These net liabilities included $33 million (or 0.1%) of the total assets, and $705 million (or 98.7%) of the total liabilities (all of which were derivative liabilities) that we measured at fair value. At December 31, 2009 we also included a non-performance risk adjustment of $47 million in the fair value measurement of these derivatives which reflects a discount of 6.5% to the fair value before considering our credit risk.</w:t>
      </w:r>
    </w:p>
    <w:p>
      <w:pPr>
        <w:spacing w:after="0" w:line="143" w:lineRule="exact"/>
        <w:rPr>
          <w:sz w:val="20"/>
          <w:szCs w:val="20"/>
          <w:color w:val="auto"/>
        </w:rPr>
      </w:pPr>
    </w:p>
    <w:p>
      <w:pPr>
        <w:ind w:left="240"/>
        <w:spacing w:after="0"/>
        <w:rPr>
          <w:sz w:val="20"/>
          <w:szCs w:val="20"/>
          <w:color w:val="auto"/>
        </w:rPr>
      </w:pPr>
      <w:r>
        <w:rPr>
          <w:rFonts w:ascii="Arial" w:cs="Arial" w:eastAsia="Arial" w:hAnsi="Arial"/>
          <w:sz w:val="15"/>
          <w:szCs w:val="15"/>
          <w:color w:val="auto"/>
        </w:rPr>
        <w:t>For periods presented after June 1, 2009 nonperformance risk for Old GM was not observable through the credit default swap market as a result of its Chapter</w:t>
      </w:r>
    </w:p>
    <w:p>
      <w:pPr>
        <w:spacing w:after="0" w:line="50" w:lineRule="exact"/>
        <w:rPr>
          <w:sz w:val="20"/>
          <w:szCs w:val="20"/>
          <w:color w:val="auto"/>
        </w:rPr>
      </w:pPr>
    </w:p>
    <w:p>
      <w:pPr>
        <w:spacing w:after="0"/>
        <w:rPr>
          <w:sz w:val="20"/>
          <w:szCs w:val="20"/>
          <w:color w:val="auto"/>
        </w:rPr>
      </w:pPr>
      <w:r>
        <w:rPr>
          <w:rFonts w:ascii="Arial" w:cs="Arial" w:eastAsia="Arial" w:hAnsi="Arial"/>
          <w:sz w:val="16"/>
          <w:szCs w:val="16"/>
          <w:color w:val="auto"/>
        </w:rPr>
        <w:t>11 Proceedings. As a result, foreign currency derivatives with a fair market value of $1.6 billion were transferred from Level 2 to Level 3 in the period January 1,</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2009 through July 9, 2009.</w:t>
      </w:r>
    </w:p>
    <w:p>
      <w:pPr>
        <w:spacing w:after="0" w:line="165" w:lineRule="exact"/>
        <w:rPr>
          <w:sz w:val="20"/>
          <w:szCs w:val="20"/>
          <w:color w:val="auto"/>
        </w:rPr>
      </w:pPr>
    </w:p>
    <w:p>
      <w:pPr>
        <w:ind w:right="480" w:firstLine="228"/>
        <w:spacing w:after="0" w:line="306" w:lineRule="auto"/>
        <w:rPr>
          <w:sz w:val="20"/>
          <w:szCs w:val="20"/>
          <w:color w:val="auto"/>
        </w:rPr>
      </w:pPr>
      <w:r>
        <w:rPr>
          <w:rFonts w:ascii="Arial" w:cs="Arial" w:eastAsia="Arial" w:hAnsi="Arial"/>
          <w:sz w:val="16"/>
          <w:szCs w:val="16"/>
          <w:color w:val="auto"/>
        </w:rPr>
        <w:t>In the period January 1, 2009 through July 9, 2009 Old GM determined the credit profile of certain foreign subsidiaries was equivalent to Old GM’s nonperformance risk which was observable through the credit default swap market and bond market based on prices for recent trades. Accordingly, foreign currency derivatives with a fair value of $2.1 billion were transferred from Level 3 into Level 2 in the period January 1, 2009 through July 9, 2009.</w:t>
      </w:r>
    </w:p>
    <w:p>
      <w:pPr>
        <w:spacing w:after="0" w:line="107" w:lineRule="exact"/>
        <w:rPr>
          <w:sz w:val="20"/>
          <w:szCs w:val="20"/>
          <w:color w:val="auto"/>
        </w:rPr>
      </w:pPr>
    </w:p>
    <w:p>
      <w:pPr>
        <w:ind w:right="160" w:firstLine="228"/>
        <w:spacing w:after="0" w:line="259" w:lineRule="auto"/>
        <w:rPr>
          <w:sz w:val="20"/>
          <w:szCs w:val="20"/>
          <w:color w:val="auto"/>
        </w:rPr>
      </w:pPr>
      <w:r>
        <w:rPr>
          <w:rFonts w:ascii="Arial" w:cs="Arial" w:eastAsia="Arial" w:hAnsi="Arial"/>
          <w:sz w:val="18"/>
          <w:szCs w:val="18"/>
          <w:color w:val="auto"/>
        </w:rPr>
        <w:t>Realized gains and losses related to assets and liabilities measured using Level 3 inputs did not have a material effect on operations, liquidity or capital resources in the three and nine months ended September 30, 2010 and the periods July 10, 2009 through September 30, 2009, July 1, 2009 through July 9, 2009 and January 1, 2009 through July 9, 2009.</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Dividends</w:t>
      </w:r>
    </w:p>
    <w:p>
      <w:pPr>
        <w:spacing w:after="0" w:line="177" w:lineRule="exact"/>
        <w:rPr>
          <w:sz w:val="20"/>
          <w:szCs w:val="20"/>
          <w:color w:val="auto"/>
        </w:rPr>
      </w:pPr>
    </w:p>
    <w:p>
      <w:pPr>
        <w:ind w:right="100" w:firstLine="228"/>
        <w:spacing w:after="0" w:line="255" w:lineRule="auto"/>
        <w:rPr>
          <w:sz w:val="20"/>
          <w:szCs w:val="20"/>
          <w:color w:val="auto"/>
        </w:rPr>
      </w:pPr>
      <w:r>
        <w:rPr>
          <w:rFonts w:ascii="Arial" w:cs="Arial" w:eastAsia="Arial" w:hAnsi="Arial"/>
          <w:sz w:val="18"/>
          <w:szCs w:val="18"/>
          <w:color w:val="auto"/>
        </w:rPr>
        <w:t>Since our formation, we have not paid any dividends on our common stock. We have no current plans to pay any dividends on our common stock. So long as any share of our Series A Preferred Stock remains outstanding, no dividend or distribution may be declared or paid on our common stock unless all accrued and unpaid dividends have been paid on our Series A Preferred Stock subject to exceptions such as dividends on our common stock payable solely in shares of our common stock. In addition, our new secured revolving credit facility contains certain restrictions on our ability to pay dividends, other than dividends payable solely in our shares of our capital stock.</w:t>
      </w:r>
    </w:p>
    <w:p>
      <w:pPr>
        <w:spacing w:after="0" w:line="143" w:lineRule="exact"/>
        <w:rPr>
          <w:sz w:val="20"/>
          <w:szCs w:val="20"/>
          <w:color w:val="auto"/>
        </w:rPr>
      </w:pPr>
    </w:p>
    <w:p>
      <w:pPr>
        <w:ind w:right="40" w:firstLine="228"/>
        <w:spacing w:after="0" w:line="259" w:lineRule="auto"/>
        <w:rPr>
          <w:sz w:val="20"/>
          <w:szCs w:val="20"/>
          <w:color w:val="auto"/>
        </w:rPr>
      </w:pPr>
      <w:r>
        <w:rPr>
          <w:rFonts w:ascii="Arial" w:cs="Arial" w:eastAsia="Arial" w:hAnsi="Arial"/>
          <w:sz w:val="18"/>
          <w:szCs w:val="18"/>
          <w:color w:val="auto"/>
        </w:rPr>
        <w:t>In particular, the VEBA Note Agreement provides that we may not pay any such dividends on our common stock unless no default or event of default has occurred under such agreement and is continuing at the time of such payment and, immediately prior to and after giving effect to such dividend, our consolidated leverage ratio is less than 3.00 to 1.00.</w:t>
      </w:r>
    </w:p>
    <w:p>
      <w:pPr>
        <w:spacing w:after="0" w:line="12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135</w:t>
      </w:r>
    </w:p>
    <w:p>
      <w:pPr>
        <w:sectPr>
          <w:pgSz w:w="11900" w:h="16838" w:orient="portrait"/>
          <w:cols w:equalWidth="0" w:num="1">
            <w:col w:w="11380"/>
          </w:cols>
          <w:pgMar w:left="240" w:top="459" w:right="279" w:bottom="1440" w:gutter="0" w:footer="0" w:header="0"/>
        </w:sectPr>
      </w:pPr>
    </w:p>
    <w:bookmarkStart w:id="137" w:name="page138"/>
    <w:bookmarkEnd w:id="1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339" w:lineRule="exact"/>
        <w:rPr>
          <w:sz w:val="20"/>
          <w:szCs w:val="20"/>
          <w:color w:val="auto"/>
        </w:rPr>
      </w:pPr>
    </w:p>
    <w:p>
      <w:pPr>
        <w:ind w:left="240"/>
        <w:spacing w:after="0"/>
        <w:rPr>
          <w:sz w:val="20"/>
          <w:szCs w:val="20"/>
          <w:color w:val="auto"/>
        </w:rPr>
      </w:pPr>
      <w:r>
        <w:rPr>
          <w:rFonts w:ascii="Arial" w:cs="Arial" w:eastAsia="Arial" w:hAnsi="Arial"/>
          <w:sz w:val="16"/>
          <w:szCs w:val="16"/>
          <w:color w:val="auto"/>
        </w:rPr>
        <w:t>Our payment of dividends in the future, if any, will be determined by our Board of Directors and will be paid out of funds legally available for that purpose.</w:t>
      </w:r>
    </w:p>
    <w:p>
      <w:pPr>
        <w:spacing w:after="0" w:line="194" w:lineRule="exact"/>
        <w:rPr>
          <w:sz w:val="20"/>
          <w:szCs w:val="20"/>
          <w:color w:val="auto"/>
        </w:rPr>
      </w:pPr>
    </w:p>
    <w:p>
      <w:pPr>
        <w:ind w:right="220" w:firstLine="228"/>
        <w:spacing w:after="0" w:line="259" w:lineRule="auto"/>
        <w:rPr>
          <w:sz w:val="20"/>
          <w:szCs w:val="20"/>
          <w:color w:val="auto"/>
        </w:rPr>
      </w:pPr>
      <w:r>
        <w:rPr>
          <w:rFonts w:ascii="Arial" w:cs="Arial" w:eastAsia="Arial" w:hAnsi="Arial"/>
          <w:sz w:val="18"/>
          <w:szCs w:val="18"/>
          <w:color w:val="auto"/>
        </w:rPr>
        <w:t>On March 15, 2010, June 15, 2010 and September 15, 2010, we paid dividends of $203 million, $202 million and $203 million on our Series A Preferred Stock for the periods December 15, 2009 to March 14, 2010, March 15, 2010 to June 14, 2010 and June 15, 2010 to September 14, 2010 following approval by our Board of Directors.</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Employees</w:t>
      </w:r>
    </w:p>
    <w:p>
      <w:pPr>
        <w:spacing w:after="0" w:line="177" w:lineRule="exact"/>
        <w:rPr>
          <w:sz w:val="20"/>
          <w:szCs w:val="20"/>
          <w:color w:val="auto"/>
        </w:rPr>
      </w:pPr>
    </w:p>
    <w:p>
      <w:pPr>
        <w:ind w:left="240"/>
        <w:spacing w:after="0"/>
        <w:rPr>
          <w:sz w:val="20"/>
          <w:szCs w:val="20"/>
          <w:color w:val="auto"/>
        </w:rPr>
      </w:pPr>
      <w:r>
        <w:rPr>
          <w:rFonts w:ascii="Arial" w:cs="Arial" w:eastAsia="Arial" w:hAnsi="Arial"/>
          <w:sz w:val="18"/>
          <w:szCs w:val="18"/>
          <w:color w:val="auto"/>
        </w:rPr>
        <w:t>At September 30, 2010 we employed 209,000 employees. The following table summarizes employment by region (in thousands):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9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300" w:type="dxa"/>
            <w:vAlign w:val="bottom"/>
            <w:gridSpan w:val="3"/>
          </w:tcPr>
          <w:p>
            <w:pPr>
              <w:ind w:left="260"/>
              <w:spacing w:after="0"/>
              <w:rPr>
                <w:sz w:val="20"/>
                <w:szCs w:val="20"/>
                <w:color w:val="auto"/>
              </w:rPr>
            </w:pPr>
            <w:r>
              <w:rPr>
                <w:rFonts w:ascii="Arial" w:cs="Arial" w:eastAsia="Arial" w:hAnsi="Arial"/>
                <w:sz w:val="14"/>
                <w:szCs w:val="14"/>
                <w:b w:val="1"/>
                <w:bCs w:val="1"/>
                <w:color w:val="auto"/>
              </w:rPr>
              <w:t>Successor</w:t>
            </w:r>
          </w:p>
        </w:tc>
      </w:tr>
      <w:tr>
        <w:trPr>
          <w:trHeight w:val="142"/>
        </w:trPr>
        <w:tc>
          <w:tcPr>
            <w:tcW w:w="7980" w:type="dxa"/>
            <w:vAlign w:val="bottom"/>
          </w:tcPr>
          <w:p>
            <w:pPr>
              <w:spacing w:after="0"/>
              <w:rPr>
                <w:sz w:val="12"/>
                <w:szCs w:val="12"/>
                <w:color w:val="auto"/>
              </w:rPr>
            </w:pPr>
          </w:p>
        </w:tc>
        <w:tc>
          <w:tcPr>
            <w:tcW w:w="114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85"/>
              </w:rPr>
              <w:t>September 30, 2010</w:t>
            </w:r>
          </w:p>
        </w:tc>
        <w:tc>
          <w:tcPr>
            <w:tcW w:w="1120" w:type="dxa"/>
            <w:vAlign w:val="bottom"/>
            <w:tcBorders>
              <w:top w:val="single" w:sz="8" w:color="auto"/>
            </w:tcBorders>
          </w:tcPr>
          <w:p>
            <w:pPr>
              <w:spacing w:after="0"/>
              <w:rPr>
                <w:sz w:val="12"/>
                <w:szCs w:val="12"/>
                <w:color w:val="auto"/>
              </w:rPr>
            </w:pPr>
          </w:p>
        </w:tc>
        <w:tc>
          <w:tcPr>
            <w:tcW w:w="108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84"/>
              </w:rPr>
              <w:t>December 31, 2009</w:t>
            </w:r>
          </w:p>
        </w:tc>
        <w:tc>
          <w:tcPr>
            <w:tcW w:w="100" w:type="dxa"/>
            <w:vAlign w:val="bottom"/>
          </w:tcPr>
          <w:p>
            <w:pPr>
              <w:spacing w:after="0"/>
              <w:rPr>
                <w:sz w:val="12"/>
                <w:szCs w:val="12"/>
                <w:color w:val="auto"/>
              </w:rPr>
            </w:pPr>
          </w:p>
        </w:tc>
      </w:tr>
      <w:tr>
        <w:trPr>
          <w:trHeight w:val="210"/>
        </w:trPr>
        <w:tc>
          <w:tcPr>
            <w:tcW w:w="7980" w:type="dxa"/>
            <w:vAlign w:val="bottom"/>
            <w:shd w:val="clear" w:color="auto" w:fill="CCEEFF"/>
          </w:tcPr>
          <w:p>
            <w:pPr>
              <w:spacing w:after="0"/>
              <w:rPr>
                <w:sz w:val="20"/>
                <w:szCs w:val="20"/>
                <w:color w:val="auto"/>
              </w:rPr>
            </w:pPr>
            <w:r>
              <w:rPr>
                <w:rFonts w:ascii="Arial" w:cs="Arial" w:eastAsia="Arial" w:hAnsi="Arial"/>
                <w:sz w:val="18"/>
                <w:szCs w:val="18"/>
                <w:color w:val="auto"/>
              </w:rPr>
              <w:t>GMNA (a)</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w:t>
            </w:r>
          </w:p>
        </w:tc>
        <w:tc>
          <w:tcPr>
            <w:tcW w:w="2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103</w:t>
            </w:r>
          </w:p>
        </w:tc>
        <w:tc>
          <w:tcPr>
            <w:tcW w:w="100" w:type="dxa"/>
            <w:vAlign w:val="bottom"/>
            <w:shd w:val="clear" w:color="auto" w:fill="CCEEFF"/>
          </w:tcPr>
          <w:p>
            <w:pPr>
              <w:spacing w:after="0"/>
              <w:rPr>
                <w:sz w:val="18"/>
                <w:szCs w:val="18"/>
                <w:color w:val="auto"/>
              </w:rPr>
            </w:pPr>
          </w:p>
        </w:tc>
      </w:tr>
      <w:tr>
        <w:trPr>
          <w:trHeight w:val="216"/>
        </w:trPr>
        <w:tc>
          <w:tcPr>
            <w:tcW w:w="7980" w:type="dxa"/>
            <w:vAlign w:val="bottom"/>
          </w:tcPr>
          <w:p>
            <w:pPr>
              <w:spacing w:after="0"/>
              <w:rPr>
                <w:sz w:val="20"/>
                <w:szCs w:val="20"/>
                <w:color w:val="auto"/>
              </w:rPr>
            </w:pPr>
            <w:r>
              <w:rPr>
                <w:rFonts w:ascii="Arial" w:cs="Arial" w:eastAsia="Arial" w:hAnsi="Arial"/>
                <w:sz w:val="18"/>
                <w:szCs w:val="18"/>
                <w:color w:val="auto"/>
              </w:rPr>
              <w:t>GMIO (b)</w:t>
            </w:r>
          </w:p>
        </w:tc>
        <w:tc>
          <w:tcPr>
            <w:tcW w:w="1140" w:type="dxa"/>
            <w:vAlign w:val="bottom"/>
          </w:tcPr>
          <w:p>
            <w:pPr>
              <w:jc w:val="right"/>
              <w:spacing w:after="0"/>
              <w:rPr>
                <w:sz w:val="20"/>
                <w:szCs w:val="20"/>
                <w:color w:val="auto"/>
              </w:rPr>
            </w:pPr>
            <w:r>
              <w:rPr>
                <w:rFonts w:ascii="Arial" w:cs="Arial" w:eastAsia="Arial" w:hAnsi="Arial"/>
                <w:sz w:val="18"/>
                <w:szCs w:val="18"/>
                <w:color w:val="auto"/>
              </w:rPr>
              <w:t>62</w:t>
            </w:r>
          </w:p>
        </w:tc>
        <w:tc>
          <w:tcPr>
            <w:tcW w:w="2200" w:type="dxa"/>
            <w:vAlign w:val="bottom"/>
            <w:gridSpan w:val="2"/>
          </w:tcPr>
          <w:p>
            <w:pPr>
              <w:jc w:val="right"/>
              <w:spacing w:after="0"/>
              <w:rPr>
                <w:sz w:val="20"/>
                <w:szCs w:val="20"/>
                <w:color w:val="auto"/>
              </w:rPr>
            </w:pPr>
            <w:r>
              <w:rPr>
                <w:rFonts w:ascii="Arial" w:cs="Arial" w:eastAsia="Arial" w:hAnsi="Arial"/>
                <w:sz w:val="18"/>
                <w:szCs w:val="18"/>
                <w:color w:val="auto"/>
              </w:rPr>
              <w:t>62</w:t>
            </w:r>
          </w:p>
        </w:tc>
        <w:tc>
          <w:tcPr>
            <w:tcW w:w="100" w:type="dxa"/>
            <w:vAlign w:val="bottom"/>
          </w:tcPr>
          <w:p>
            <w:pPr>
              <w:spacing w:after="0"/>
              <w:rPr>
                <w:sz w:val="18"/>
                <w:szCs w:val="18"/>
                <w:color w:val="auto"/>
              </w:rPr>
            </w:pPr>
          </w:p>
        </w:tc>
      </w:tr>
      <w:tr>
        <w:trPr>
          <w:trHeight w:val="216"/>
        </w:trPr>
        <w:tc>
          <w:tcPr>
            <w:tcW w:w="7980" w:type="dxa"/>
            <w:vAlign w:val="bottom"/>
            <w:shd w:val="clear" w:color="auto" w:fill="CCEEFF"/>
          </w:tcPr>
          <w:p>
            <w:pPr>
              <w:spacing w:after="0"/>
              <w:rPr>
                <w:sz w:val="20"/>
                <w:szCs w:val="20"/>
                <w:color w:val="auto"/>
              </w:rPr>
            </w:pPr>
            <w:r>
              <w:rPr>
                <w:rFonts w:ascii="Arial" w:cs="Arial" w:eastAsia="Arial" w:hAnsi="Arial"/>
                <w:sz w:val="18"/>
                <w:szCs w:val="18"/>
                <w:color w:val="auto"/>
              </w:rPr>
              <w:t>GME (c)</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w:t>
            </w:r>
          </w:p>
        </w:tc>
        <w:tc>
          <w:tcPr>
            <w:tcW w:w="1120" w:type="dxa"/>
            <w:vAlign w:val="bottom"/>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w:t>
            </w:r>
          </w:p>
        </w:tc>
        <w:tc>
          <w:tcPr>
            <w:tcW w:w="100" w:type="dxa"/>
            <w:vAlign w:val="bottom"/>
            <w:shd w:val="clear" w:color="auto" w:fill="CCEEFF"/>
          </w:tcPr>
          <w:p>
            <w:pPr>
              <w:spacing w:after="0"/>
              <w:rPr>
                <w:sz w:val="18"/>
                <w:szCs w:val="18"/>
                <w:color w:val="auto"/>
              </w:rPr>
            </w:pPr>
          </w:p>
        </w:tc>
      </w:tr>
      <w:tr>
        <w:trPr>
          <w:trHeight w:val="222"/>
        </w:trPr>
        <w:tc>
          <w:tcPr>
            <w:tcW w:w="7980" w:type="dxa"/>
            <w:vAlign w:val="bottom"/>
          </w:tcPr>
          <w:p>
            <w:pPr>
              <w:spacing w:after="0"/>
              <w:rPr>
                <w:sz w:val="20"/>
                <w:szCs w:val="20"/>
                <w:color w:val="auto"/>
              </w:rPr>
            </w:pPr>
            <w:r>
              <w:rPr>
                <w:rFonts w:ascii="Arial" w:cs="Arial" w:eastAsia="Arial" w:hAnsi="Arial"/>
                <w:sz w:val="18"/>
                <w:szCs w:val="18"/>
                <w:color w:val="auto"/>
              </w:rPr>
              <w:t>Total Worldwide</w:t>
            </w:r>
          </w:p>
        </w:tc>
        <w:tc>
          <w:tcPr>
            <w:tcW w:w="1140" w:type="dxa"/>
            <w:vAlign w:val="bottom"/>
          </w:tcPr>
          <w:p>
            <w:pPr>
              <w:jc w:val="right"/>
              <w:spacing w:after="0"/>
              <w:rPr>
                <w:sz w:val="20"/>
                <w:szCs w:val="20"/>
                <w:color w:val="auto"/>
              </w:rPr>
            </w:pPr>
            <w:r>
              <w:rPr>
                <w:rFonts w:ascii="Arial" w:cs="Arial" w:eastAsia="Arial" w:hAnsi="Arial"/>
                <w:sz w:val="18"/>
                <w:szCs w:val="18"/>
                <w:color w:val="auto"/>
              </w:rPr>
              <w:t>209</w:t>
            </w:r>
          </w:p>
        </w:tc>
        <w:tc>
          <w:tcPr>
            <w:tcW w:w="2200" w:type="dxa"/>
            <w:vAlign w:val="bottom"/>
            <w:gridSpan w:val="2"/>
          </w:tcPr>
          <w:p>
            <w:pPr>
              <w:jc w:val="right"/>
              <w:spacing w:after="0"/>
              <w:rPr>
                <w:sz w:val="20"/>
                <w:szCs w:val="20"/>
                <w:color w:val="auto"/>
              </w:rPr>
            </w:pPr>
            <w:r>
              <w:rPr>
                <w:rFonts w:ascii="Arial" w:cs="Arial" w:eastAsia="Arial" w:hAnsi="Arial"/>
                <w:sz w:val="18"/>
                <w:szCs w:val="18"/>
                <w:color w:val="auto"/>
              </w:rPr>
              <w:t>215</w:t>
            </w:r>
          </w:p>
        </w:tc>
        <w:tc>
          <w:tcPr>
            <w:tcW w:w="100" w:type="dxa"/>
            <w:vAlign w:val="bottom"/>
          </w:tcPr>
          <w:p>
            <w:pPr>
              <w:spacing w:after="0"/>
              <w:rPr>
                <w:sz w:val="19"/>
                <w:szCs w:val="19"/>
                <w:color w:val="auto"/>
              </w:rPr>
            </w:pPr>
          </w:p>
        </w:tc>
      </w:tr>
      <w:tr>
        <w:trPr>
          <w:trHeight w:val="20"/>
        </w:trPr>
        <w:tc>
          <w:tcPr>
            <w:tcW w:w="798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1"/>
        </w:trPr>
        <w:tc>
          <w:tcPr>
            <w:tcW w:w="7980" w:type="dxa"/>
            <w:vAlign w:val="bottom"/>
            <w:shd w:val="clear" w:color="auto" w:fill="CCEEFF"/>
          </w:tcPr>
          <w:p>
            <w:pPr>
              <w:spacing w:after="0"/>
              <w:rPr>
                <w:sz w:val="20"/>
                <w:szCs w:val="20"/>
                <w:color w:val="auto"/>
              </w:rPr>
            </w:pPr>
            <w:r>
              <w:rPr>
                <w:rFonts w:ascii="Arial" w:cs="Arial" w:eastAsia="Arial" w:hAnsi="Arial"/>
                <w:sz w:val="18"/>
                <w:szCs w:val="18"/>
                <w:color w:val="auto"/>
              </w:rPr>
              <w:t>United States — Salaried</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2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100" w:type="dxa"/>
            <w:vAlign w:val="bottom"/>
            <w:shd w:val="clear" w:color="auto" w:fill="CCEEFF"/>
          </w:tcPr>
          <w:p>
            <w:pPr>
              <w:spacing w:after="0"/>
              <w:rPr>
                <w:sz w:val="18"/>
                <w:szCs w:val="18"/>
                <w:color w:val="auto"/>
              </w:rPr>
            </w:pPr>
          </w:p>
        </w:tc>
      </w:tr>
      <w:tr>
        <w:trPr>
          <w:trHeight w:val="222"/>
        </w:trPr>
        <w:tc>
          <w:tcPr>
            <w:tcW w:w="7980" w:type="dxa"/>
            <w:vAlign w:val="bottom"/>
          </w:tcPr>
          <w:p>
            <w:pPr>
              <w:spacing w:after="0"/>
              <w:rPr>
                <w:sz w:val="20"/>
                <w:szCs w:val="20"/>
                <w:color w:val="auto"/>
              </w:rPr>
            </w:pPr>
            <w:r>
              <w:rPr>
                <w:rFonts w:ascii="Arial" w:cs="Arial" w:eastAsia="Arial" w:hAnsi="Arial"/>
                <w:sz w:val="18"/>
                <w:szCs w:val="18"/>
                <w:color w:val="auto"/>
              </w:rPr>
              <w:t>United States — Hourly</w:t>
            </w:r>
          </w:p>
        </w:tc>
        <w:tc>
          <w:tcPr>
            <w:tcW w:w="1140" w:type="dxa"/>
            <w:vAlign w:val="bottom"/>
          </w:tcPr>
          <w:p>
            <w:pPr>
              <w:jc w:val="right"/>
              <w:spacing w:after="0"/>
              <w:rPr>
                <w:sz w:val="20"/>
                <w:szCs w:val="20"/>
                <w:color w:val="auto"/>
              </w:rPr>
            </w:pPr>
            <w:r>
              <w:rPr>
                <w:rFonts w:ascii="Arial" w:cs="Arial" w:eastAsia="Arial" w:hAnsi="Arial"/>
                <w:sz w:val="18"/>
                <w:szCs w:val="18"/>
                <w:color w:val="auto"/>
              </w:rPr>
              <w:t>53</w:t>
            </w:r>
          </w:p>
        </w:tc>
        <w:tc>
          <w:tcPr>
            <w:tcW w:w="2200" w:type="dxa"/>
            <w:vAlign w:val="bottom"/>
            <w:gridSpan w:val="2"/>
          </w:tcPr>
          <w:p>
            <w:pPr>
              <w:jc w:val="right"/>
              <w:spacing w:after="0"/>
              <w:rPr>
                <w:sz w:val="20"/>
                <w:szCs w:val="20"/>
                <w:color w:val="auto"/>
              </w:rPr>
            </w:pPr>
            <w:r>
              <w:rPr>
                <w:rFonts w:ascii="Arial" w:cs="Arial" w:eastAsia="Arial" w:hAnsi="Arial"/>
                <w:sz w:val="18"/>
                <w:szCs w:val="18"/>
                <w:color w:val="auto"/>
              </w:rPr>
              <w:t>51</w:t>
            </w:r>
          </w:p>
        </w:tc>
        <w:tc>
          <w:tcPr>
            <w:tcW w:w="100" w:type="dxa"/>
            <w:vAlign w:val="bottom"/>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64770</wp:posOffset>
            </wp:positionV>
            <wp:extent cx="728980" cy="889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14" w:lineRule="exact"/>
        <w:rPr>
          <w:sz w:val="20"/>
          <w:szCs w:val="20"/>
          <w:color w:val="auto"/>
        </w:rPr>
      </w:pPr>
    </w:p>
    <w:p>
      <w:pPr>
        <w:ind w:left="460" w:right="180" w:hanging="452"/>
        <w:spacing w:after="0" w:line="332" w:lineRule="auto"/>
        <w:tabs>
          <w:tab w:leader="none" w:pos="460" w:val="left"/>
        </w:tabs>
        <w:numPr>
          <w:ilvl w:val="0"/>
          <w:numId w:val="105"/>
        </w:numPr>
        <w:rPr>
          <w:rFonts w:ascii="Arial" w:cs="Arial" w:eastAsia="Arial" w:hAnsi="Arial"/>
          <w:sz w:val="16"/>
          <w:szCs w:val="16"/>
          <w:color w:val="auto"/>
        </w:rPr>
      </w:pPr>
      <w:r>
        <w:rPr>
          <w:rFonts w:ascii="Arial" w:cs="Arial" w:eastAsia="Arial" w:hAnsi="Arial"/>
          <w:sz w:val="16"/>
          <w:szCs w:val="16"/>
          <w:color w:val="auto"/>
        </w:rPr>
        <w:t>We acquired GM Financial effective October 1, 2010. At September 30, 2010 GM Financial employed 3,000 employees in the United States and Canada. These employees were excluded from our amounts because the date of acquisition was subsequent to September 30, 2010.</w:t>
      </w:r>
    </w:p>
    <w:p>
      <w:pPr>
        <w:spacing w:after="0" w:line="4" w:lineRule="exact"/>
        <w:rPr>
          <w:rFonts w:ascii="Arial" w:cs="Arial" w:eastAsia="Arial" w:hAnsi="Arial"/>
          <w:sz w:val="16"/>
          <w:szCs w:val="16"/>
          <w:color w:val="auto"/>
        </w:rPr>
      </w:pPr>
    </w:p>
    <w:p>
      <w:pPr>
        <w:ind w:left="460" w:hanging="452"/>
        <w:spacing w:after="0"/>
        <w:tabs>
          <w:tab w:leader="none" w:pos="460" w:val="left"/>
        </w:tabs>
        <w:numPr>
          <w:ilvl w:val="0"/>
          <w:numId w:val="105"/>
        </w:numPr>
        <w:rPr>
          <w:rFonts w:ascii="Arial" w:cs="Arial" w:eastAsia="Arial" w:hAnsi="Arial"/>
          <w:sz w:val="18"/>
          <w:szCs w:val="18"/>
          <w:color w:val="auto"/>
        </w:rPr>
      </w:pPr>
      <w:r>
        <w:rPr>
          <w:rFonts w:ascii="Arial" w:cs="Arial" w:eastAsia="Arial" w:hAnsi="Arial"/>
          <w:sz w:val="18"/>
          <w:szCs w:val="18"/>
          <w:color w:val="auto"/>
        </w:rPr>
        <w:t>GMIO includes a reduction of 2,400 employees due to the sale of our India Operations.</w:t>
      </w:r>
    </w:p>
    <w:p>
      <w:pPr>
        <w:spacing w:after="0" w:line="90" w:lineRule="exact"/>
        <w:rPr>
          <w:rFonts w:ascii="Arial" w:cs="Arial" w:eastAsia="Arial" w:hAnsi="Arial"/>
          <w:sz w:val="18"/>
          <w:szCs w:val="18"/>
          <w:color w:val="auto"/>
        </w:rPr>
      </w:pPr>
    </w:p>
    <w:p>
      <w:pPr>
        <w:ind w:left="460" w:right="160" w:hanging="452"/>
        <w:spacing w:after="0" w:line="268" w:lineRule="auto"/>
        <w:tabs>
          <w:tab w:leader="none" w:pos="460" w:val="left"/>
        </w:tabs>
        <w:numPr>
          <w:ilvl w:val="0"/>
          <w:numId w:val="105"/>
        </w:numPr>
        <w:rPr>
          <w:rFonts w:ascii="Arial" w:cs="Arial" w:eastAsia="Arial" w:hAnsi="Arial"/>
          <w:sz w:val="18"/>
          <w:szCs w:val="18"/>
          <w:color w:val="auto"/>
        </w:rPr>
      </w:pPr>
      <w:r>
        <w:rPr>
          <w:rFonts w:ascii="Arial" w:cs="Arial" w:eastAsia="Arial" w:hAnsi="Arial"/>
          <w:sz w:val="18"/>
          <w:szCs w:val="18"/>
          <w:color w:val="auto"/>
        </w:rPr>
        <w:t>Decrease in GME primarily relates to the sale of Saab, employees located within Russia and Uzbekistan transferred from our GME segment to our GMIO segment and restructuring initiatives in Germany, Spain, and the United Kingdom.</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Estimates</w:t>
      </w:r>
    </w:p>
    <w:p>
      <w:pPr>
        <w:spacing w:after="0" w:line="177" w:lineRule="exact"/>
        <w:rPr>
          <w:sz w:val="20"/>
          <w:szCs w:val="20"/>
          <w:color w:val="auto"/>
        </w:rPr>
      </w:pPr>
    </w:p>
    <w:p>
      <w:pPr>
        <w:jc w:val="both"/>
        <w:ind w:right="100" w:firstLine="228"/>
        <w:spacing w:after="0" w:line="298" w:lineRule="auto"/>
        <w:rPr>
          <w:sz w:val="20"/>
          <w:szCs w:val="20"/>
          <w:color w:val="auto"/>
        </w:rPr>
      </w:pPr>
      <w:r>
        <w:rPr>
          <w:rFonts w:ascii="Arial" w:cs="Arial" w:eastAsia="Arial" w:hAnsi="Arial"/>
          <w:sz w:val="16"/>
          <w:szCs w:val="16"/>
          <w:color w:val="auto"/>
        </w:rPr>
        <w:t>The condensed consolidated financial statements are prepared in conformity with U.S. GAAP, which require the use of estimates, judgments and assumptions that affect the reported amounts of assets and liabilities, the disclosure of contingent assets and liabilities at the date of the financial statements, and the reported amounts of revenues and expenses in the periods presented. The critical accounting estimates that affect the condensed consolidated financial statements and the judgments and assumptions used are consistent with those described in the MD&amp;A section in our Form S-1.</w:t>
      </w:r>
    </w:p>
    <w:p>
      <w:pPr>
        <w:spacing w:after="0" w:line="113" w:lineRule="exact"/>
        <w:rPr>
          <w:sz w:val="20"/>
          <w:szCs w:val="20"/>
          <w:color w:val="auto"/>
        </w:rPr>
      </w:pPr>
    </w:p>
    <w:p>
      <w:pPr>
        <w:jc w:val="both"/>
        <w:ind w:right="200" w:firstLine="228"/>
        <w:spacing w:after="0" w:line="256" w:lineRule="auto"/>
        <w:rPr>
          <w:sz w:val="20"/>
          <w:szCs w:val="20"/>
          <w:color w:val="auto"/>
        </w:rPr>
      </w:pPr>
      <w:r>
        <w:rPr>
          <w:rFonts w:ascii="Arial" w:cs="Arial" w:eastAsia="Arial" w:hAnsi="Arial"/>
          <w:sz w:val="18"/>
          <w:szCs w:val="18"/>
          <w:color w:val="auto"/>
        </w:rPr>
        <w:t>We believe that the accounting estimates employed are appropriate and resulting balances are reasonable; however, due to inherent uncertainties in making estimates actual results could differ from the original estimates, requiring adjustments to these balances in future periods. We have discussed the development, selection and disclosures of our critical accounting estimates. Updates to our critical accounting estimates related to events occurring subsequent to the filing of our Form S-1 are discussed below.</w:t>
      </w:r>
    </w:p>
    <w:p>
      <w:pPr>
        <w:spacing w:after="0" w:line="143"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Pensions</w:t>
      </w:r>
    </w:p>
    <w:p>
      <w:pPr>
        <w:spacing w:after="0" w:line="171" w:lineRule="exact"/>
        <w:rPr>
          <w:sz w:val="20"/>
          <w:szCs w:val="20"/>
          <w:color w:val="auto"/>
        </w:rPr>
      </w:pPr>
    </w:p>
    <w:p>
      <w:pPr>
        <w:ind w:right="140" w:firstLine="228"/>
        <w:spacing w:after="0" w:line="255" w:lineRule="auto"/>
        <w:rPr>
          <w:sz w:val="20"/>
          <w:szCs w:val="20"/>
          <w:color w:val="auto"/>
        </w:rPr>
      </w:pPr>
      <w:r>
        <w:rPr>
          <w:rFonts w:ascii="Arial" w:cs="Arial" w:eastAsia="Arial" w:hAnsi="Arial"/>
          <w:sz w:val="18"/>
          <w:szCs w:val="18"/>
          <w:color w:val="auto"/>
        </w:rPr>
        <w:t>The defined benefit pension plans are accounted for on an actuarial basis, which requires the selection of various assumptions, including an expected rate of return on plan assets and a discount rate. Due to significant events including those discussed in Note 19 to our consolidated financial statements in our Form S-1 and in Note 15 to the condensed consolidated financial statements, certain of the pension plans were remeasured at various dates in the periods January 1, 2010 through September 30, 2010, July 10, 2009 through December 31, 2009, January 1, 2009 through July 9, 2009 and in the years ended December 31, 2008 and 2007.</w:t>
      </w:r>
    </w:p>
    <w:p>
      <w:pPr>
        <w:spacing w:after="0" w:line="143" w:lineRule="exact"/>
        <w:rPr>
          <w:sz w:val="20"/>
          <w:szCs w:val="20"/>
          <w:color w:val="auto"/>
        </w:rPr>
      </w:pPr>
    </w:p>
    <w:p>
      <w:pPr>
        <w:ind w:right="100" w:firstLine="228"/>
        <w:spacing w:after="0" w:line="268" w:lineRule="auto"/>
        <w:rPr>
          <w:sz w:val="20"/>
          <w:szCs w:val="20"/>
          <w:color w:val="auto"/>
        </w:rPr>
      </w:pPr>
      <w:r>
        <w:rPr>
          <w:rFonts w:ascii="Arial" w:cs="Arial" w:eastAsia="Arial" w:hAnsi="Arial"/>
          <w:sz w:val="18"/>
          <w:szCs w:val="18"/>
          <w:color w:val="auto"/>
        </w:rPr>
        <w:t>Net pension expense is calculated based on the expected return on plan assets and not the actual return on plan assets. The expected return on U.S. plan assets that is included in pension expense is determined from periodic studies, which include a review of asset</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136</w:t>
      </w:r>
    </w:p>
    <w:p>
      <w:pPr>
        <w:sectPr>
          <w:pgSz w:w="11900" w:h="16838" w:orient="portrait"/>
          <w:cols w:equalWidth="0" w:num="1">
            <w:col w:w="11420"/>
          </w:cols>
          <w:pgMar w:left="240" w:top="459" w:right="239" w:bottom="1440" w:gutter="0" w:footer="0" w:header="0"/>
        </w:sectPr>
      </w:pPr>
    </w:p>
    <w:bookmarkStart w:id="138" w:name="page139"/>
    <w:bookmarkEnd w:id="1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164" w:lineRule="exact"/>
        <w:rPr>
          <w:sz w:val="20"/>
          <w:szCs w:val="20"/>
          <w:color w:val="auto"/>
        </w:rPr>
      </w:pPr>
    </w:p>
    <w:p>
      <w:pPr>
        <w:ind w:right="20"/>
        <w:spacing w:after="0" w:line="288" w:lineRule="auto"/>
        <w:rPr>
          <w:sz w:val="20"/>
          <w:szCs w:val="20"/>
          <w:color w:val="auto"/>
        </w:rPr>
      </w:pPr>
      <w:r>
        <w:rPr>
          <w:rFonts w:ascii="Arial" w:cs="Arial" w:eastAsia="Arial" w:hAnsi="Arial"/>
          <w:sz w:val="16"/>
          <w:szCs w:val="16"/>
          <w:color w:val="auto"/>
        </w:rPr>
        <w:t>allocation strategies, anticipated future long-term performance of individual asset classes, risks using standard deviations, and correlations of returns among the asset classes that comprise the plans’ asset mix. While the studies give appropriate consideration to recent plan performance and historical returns, the assumptions are primarily long-term, prospective rates of return. Differences between the expected return on plan assets and the actual return on plan assets are recorded in Accumulated other comprehensive income (loss) as an actuarial gain or loss, and subject to possible amortization into net pension expense over future periods. A market-related value of plan assets, which averages gains and losses over a period of years, is utilized in the determination of future pension expense. For substantially all pension plans, market-related value is defined as an amount that initially recognizes 60.0% of the difference between the actual fair value of assets and the expected calculated value, and 10.0% of that difference over each of the next four years. The market-related value of assets at December 31, 2009 used to determine net periodic pension income for the year ending December 31, 2010 was $2.8 billion lower than the actual fair value of plan assets at December 31, 2009.</w:t>
      </w:r>
    </w:p>
    <w:p>
      <w:pPr>
        <w:spacing w:after="0" w:line="120" w:lineRule="exact"/>
        <w:rPr>
          <w:sz w:val="20"/>
          <w:szCs w:val="20"/>
          <w:color w:val="auto"/>
        </w:rPr>
      </w:pPr>
    </w:p>
    <w:p>
      <w:pPr>
        <w:ind w:right="20" w:firstLine="228"/>
        <w:spacing w:after="0" w:line="290" w:lineRule="auto"/>
        <w:rPr>
          <w:sz w:val="20"/>
          <w:szCs w:val="20"/>
          <w:color w:val="auto"/>
        </w:rPr>
      </w:pPr>
      <w:r>
        <w:rPr>
          <w:rFonts w:ascii="Arial" w:cs="Arial" w:eastAsia="Arial" w:hAnsi="Arial"/>
          <w:sz w:val="16"/>
          <w:szCs w:val="16"/>
          <w:color w:val="auto"/>
        </w:rPr>
        <w:t>Another key assumption in determining net pension expense is the assumed discount rate to be used to discount plan obligations. We estimate this rate for U.S. plans, using a cash flow matching approach, also called a spot rate yield curve approach, which uses projected cash flows matched to spot rates along a high quality corporate yield curve to determine the present value of cash flows to calculate a single equivalent discount rate. Old GM used an iterative process based on a hypothetical investment in a portfolio of high quality bonds rated AA or higher by a recognized rating agency and a hypothetical reinvestment of the proceeds of such bonds upon maturity using forward rates derived from a yield curve until the U.S. pension obligation was defeased. This reinvestment component was incorporated into the methodology because it was not feasible, in light of the magnitude and time horizon over which U.S. pension obligations extend, to accomplish full defeasance through direct cash flows from an actual set of bonds selected at any given measurement date.</w:t>
      </w:r>
    </w:p>
    <w:p>
      <w:pPr>
        <w:spacing w:after="0" w:line="118" w:lineRule="exact"/>
        <w:rPr>
          <w:sz w:val="20"/>
          <w:szCs w:val="20"/>
          <w:color w:val="auto"/>
        </w:rPr>
      </w:pPr>
    </w:p>
    <w:p>
      <w:pPr>
        <w:ind w:right="160" w:firstLine="228"/>
        <w:spacing w:after="0" w:line="256" w:lineRule="auto"/>
        <w:rPr>
          <w:sz w:val="20"/>
          <w:szCs w:val="20"/>
          <w:color w:val="auto"/>
        </w:rPr>
      </w:pPr>
      <w:r>
        <w:rPr>
          <w:rFonts w:ascii="Arial" w:cs="Arial" w:eastAsia="Arial" w:hAnsi="Arial"/>
          <w:sz w:val="18"/>
          <w:szCs w:val="18"/>
          <w:color w:val="auto"/>
        </w:rPr>
        <w:t>The benefit obligation for pension plans in Canada, the United Kingdom and Germany comprise 92% of the non-U.S. pension projected benefit obligation at December 31, 2009. The discount rates for Canadian plans are determined using a cash flow matching approach, similar to the U.S. The discount rates for plans in the United Kingdom and Germany use a curve derived from high quality corporate bonds with maturities consistent with the plans’ underlying duration of expected benefit payments.</w:t>
      </w:r>
    </w:p>
    <w:p>
      <w:pPr>
        <w:spacing w:after="0" w:line="143" w:lineRule="exact"/>
        <w:rPr>
          <w:sz w:val="20"/>
          <w:szCs w:val="20"/>
          <w:color w:val="auto"/>
        </w:rPr>
      </w:pPr>
    </w:p>
    <w:p>
      <w:pPr>
        <w:ind w:right="220" w:firstLine="228"/>
        <w:spacing w:after="0" w:line="291" w:lineRule="auto"/>
        <w:rPr>
          <w:sz w:val="20"/>
          <w:szCs w:val="20"/>
          <w:color w:val="auto"/>
        </w:rPr>
      </w:pPr>
      <w:r>
        <w:rPr>
          <w:rFonts w:ascii="Arial" w:cs="Arial" w:eastAsia="Arial" w:hAnsi="Arial"/>
          <w:sz w:val="16"/>
          <w:szCs w:val="16"/>
          <w:color w:val="auto"/>
        </w:rPr>
        <w:t>In the U.S., from December 31, 2009 to September 30, 2010, interest rates on high quality corporate bonds have decreased and this is reflected in the remeasurement of the U.S. hourly defined benefit pension plan on September 30, 2010, which resulted in a discount rate decrease of 93 basis points, increasing the PBO by $5.8 billion. If other U.S. defined benefit pension plans were remeasured, it would result in a similar decrease in discount rate and a proportional increase in PBO holding all other factors (e.g., actuarial assumptions) constant. However, the effect of the PBO increase on funded status would have been partially offset by higher than expected asset return. Under U.S. GAAP, we are not obligated to remeasure all of the pension plans at September 30, 2010. The following tables, present a 25 basis point discount rate sensitivity analysis for our U.S. pension plans.</w:t>
      </w:r>
    </w:p>
    <w:p>
      <w:pPr>
        <w:spacing w:after="0" w:line="14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740" w:type="dxa"/>
            <w:vAlign w:val="bottom"/>
          </w:tcPr>
          <w:p>
            <w:pPr>
              <w:spacing w:after="0"/>
              <w:rPr>
                <w:sz w:val="14"/>
                <w:szCs w:val="14"/>
                <w:color w:val="auto"/>
              </w:rPr>
            </w:pPr>
          </w:p>
        </w:tc>
        <w:tc>
          <w:tcPr>
            <w:tcW w:w="2720" w:type="dxa"/>
            <w:vAlign w:val="bottom"/>
          </w:tcPr>
          <w:p>
            <w:pPr>
              <w:spacing w:after="0"/>
              <w:rPr>
                <w:sz w:val="14"/>
                <w:szCs w:val="14"/>
                <w:color w:val="auto"/>
              </w:rPr>
            </w:pPr>
          </w:p>
        </w:tc>
        <w:tc>
          <w:tcPr>
            <w:tcW w:w="960" w:type="dxa"/>
            <w:vAlign w:val="bottom"/>
            <w:gridSpan w:val="3"/>
          </w:tcPr>
          <w:p>
            <w:pPr>
              <w:spacing w:after="0"/>
              <w:rPr>
                <w:sz w:val="20"/>
                <w:szCs w:val="20"/>
                <w:color w:val="auto"/>
              </w:rPr>
            </w:pPr>
            <w:r>
              <w:rPr>
                <w:rFonts w:ascii="Arial" w:cs="Arial" w:eastAsia="Arial" w:hAnsi="Arial"/>
                <w:sz w:val="14"/>
                <w:szCs w:val="14"/>
                <w:b w:val="1"/>
                <w:bCs w:val="1"/>
                <w:color w:val="auto"/>
              </w:rPr>
              <w:t>25 basis</w:t>
            </w:r>
          </w:p>
        </w:tc>
        <w:tc>
          <w:tcPr>
            <w:tcW w:w="400" w:type="dxa"/>
            <w:vAlign w:val="bottom"/>
          </w:tcPr>
          <w:p>
            <w:pPr>
              <w:spacing w:after="0"/>
              <w:rPr>
                <w:sz w:val="14"/>
                <w:szCs w:val="14"/>
                <w:color w:val="auto"/>
              </w:rPr>
            </w:pPr>
          </w:p>
        </w:tc>
        <w:tc>
          <w:tcPr>
            <w:tcW w:w="600" w:type="dxa"/>
            <w:vAlign w:val="bottom"/>
            <w:gridSpan w:val="3"/>
          </w:tcPr>
          <w:p>
            <w:pPr>
              <w:spacing w:after="0"/>
              <w:rPr>
                <w:sz w:val="20"/>
                <w:szCs w:val="20"/>
                <w:color w:val="auto"/>
              </w:rPr>
            </w:pPr>
            <w:r>
              <w:rPr>
                <w:rFonts w:ascii="Arial" w:cs="Arial" w:eastAsia="Arial" w:hAnsi="Arial"/>
                <w:sz w:val="14"/>
                <w:szCs w:val="14"/>
                <w:b w:val="1"/>
                <w:bCs w:val="1"/>
                <w:color w:val="auto"/>
              </w:rPr>
              <w:t>25 basis</w:t>
            </w:r>
          </w:p>
        </w:tc>
      </w:tr>
      <w:tr>
        <w:trPr>
          <w:trHeight w:val="149"/>
        </w:trPr>
        <w:tc>
          <w:tcPr>
            <w:tcW w:w="6740" w:type="dxa"/>
            <w:vAlign w:val="bottom"/>
          </w:tcPr>
          <w:p>
            <w:pPr>
              <w:spacing w:after="0"/>
              <w:rPr>
                <w:sz w:val="12"/>
                <w:szCs w:val="12"/>
                <w:color w:val="auto"/>
              </w:rPr>
            </w:pPr>
          </w:p>
        </w:tc>
        <w:tc>
          <w:tcPr>
            <w:tcW w:w="2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gridSpan w:val="2"/>
          </w:tcPr>
          <w:p>
            <w:pPr>
              <w:jc w:val="right"/>
              <w:ind w:right="560"/>
              <w:spacing w:after="0" w:line="149" w:lineRule="exact"/>
              <w:rPr>
                <w:sz w:val="20"/>
                <w:szCs w:val="20"/>
                <w:color w:val="auto"/>
              </w:rPr>
            </w:pPr>
            <w:r>
              <w:rPr>
                <w:rFonts w:ascii="Arial" w:cs="Arial" w:eastAsia="Arial" w:hAnsi="Arial"/>
                <w:sz w:val="14"/>
                <w:szCs w:val="14"/>
                <w:b w:val="1"/>
                <w:bCs w:val="1"/>
                <w:color w:val="auto"/>
                <w:w w:val="81"/>
              </w:rPr>
              <w:t>point</w:t>
            </w:r>
          </w:p>
        </w:tc>
        <w:tc>
          <w:tcPr>
            <w:tcW w:w="4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gridSpan w:val="2"/>
          </w:tcPr>
          <w:p>
            <w:pPr>
              <w:jc w:val="right"/>
              <w:ind w:right="200"/>
              <w:spacing w:after="0" w:line="149" w:lineRule="exact"/>
              <w:rPr>
                <w:sz w:val="20"/>
                <w:szCs w:val="20"/>
                <w:color w:val="auto"/>
              </w:rPr>
            </w:pPr>
            <w:r>
              <w:rPr>
                <w:rFonts w:ascii="Arial" w:cs="Arial" w:eastAsia="Arial" w:hAnsi="Arial"/>
                <w:sz w:val="14"/>
                <w:szCs w:val="14"/>
                <w:b w:val="1"/>
                <w:bCs w:val="1"/>
                <w:color w:val="auto"/>
                <w:w w:val="87"/>
              </w:rPr>
              <w:t>point</w:t>
            </w:r>
          </w:p>
        </w:tc>
      </w:tr>
      <w:tr>
        <w:trPr>
          <w:trHeight w:val="161"/>
        </w:trPr>
        <w:tc>
          <w:tcPr>
            <w:tcW w:w="6740" w:type="dxa"/>
            <w:vAlign w:val="bottom"/>
          </w:tcPr>
          <w:p>
            <w:pPr>
              <w:spacing w:after="0"/>
              <w:rPr>
                <w:sz w:val="14"/>
                <w:szCs w:val="14"/>
                <w:color w:val="auto"/>
              </w:rPr>
            </w:pPr>
          </w:p>
        </w:tc>
        <w:tc>
          <w:tcPr>
            <w:tcW w:w="2720" w:type="dxa"/>
            <w:vAlign w:val="bottom"/>
          </w:tcPr>
          <w:p>
            <w:pPr>
              <w:spacing w:after="0"/>
              <w:rPr>
                <w:sz w:val="14"/>
                <w:szCs w:val="14"/>
                <w:color w:val="auto"/>
              </w:rPr>
            </w:pPr>
          </w:p>
        </w:tc>
        <w:tc>
          <w:tcPr>
            <w:tcW w:w="960" w:type="dxa"/>
            <w:vAlign w:val="bottom"/>
            <w:gridSpan w:val="3"/>
          </w:tcPr>
          <w:p>
            <w:pPr>
              <w:ind w:left="20"/>
              <w:spacing w:after="0"/>
              <w:rPr>
                <w:sz w:val="20"/>
                <w:szCs w:val="20"/>
                <w:color w:val="auto"/>
              </w:rPr>
            </w:pPr>
            <w:r>
              <w:rPr>
                <w:rFonts w:ascii="Arial" w:cs="Arial" w:eastAsia="Arial" w:hAnsi="Arial"/>
                <w:sz w:val="14"/>
                <w:szCs w:val="14"/>
                <w:b w:val="1"/>
                <w:bCs w:val="1"/>
                <w:color w:val="auto"/>
              </w:rPr>
              <w:t>increase</w:t>
            </w:r>
          </w:p>
        </w:tc>
        <w:tc>
          <w:tcPr>
            <w:tcW w:w="400" w:type="dxa"/>
            <w:vAlign w:val="bottom"/>
          </w:tcPr>
          <w:p>
            <w:pPr>
              <w:spacing w:after="0"/>
              <w:rPr>
                <w:sz w:val="14"/>
                <w:szCs w:val="14"/>
                <w:color w:val="auto"/>
              </w:rPr>
            </w:pPr>
          </w:p>
        </w:tc>
        <w:tc>
          <w:tcPr>
            <w:tcW w:w="600" w:type="dxa"/>
            <w:vAlign w:val="bottom"/>
            <w:gridSpan w:val="3"/>
          </w:tcPr>
          <w:p>
            <w:pPr>
              <w:spacing w:after="0"/>
              <w:rPr>
                <w:sz w:val="20"/>
                <w:szCs w:val="20"/>
                <w:color w:val="auto"/>
              </w:rPr>
            </w:pPr>
            <w:r>
              <w:rPr>
                <w:rFonts w:ascii="Arial" w:cs="Arial" w:eastAsia="Arial" w:hAnsi="Arial"/>
                <w:sz w:val="14"/>
                <w:szCs w:val="14"/>
                <w:b w:val="1"/>
                <w:bCs w:val="1"/>
                <w:color w:val="auto"/>
                <w:w w:val="95"/>
              </w:rPr>
              <w:t>decrease</w:t>
            </w:r>
          </w:p>
        </w:tc>
      </w:tr>
      <w:tr>
        <w:trPr>
          <w:trHeight w:val="210"/>
        </w:trPr>
        <w:tc>
          <w:tcPr>
            <w:tcW w:w="67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U.S. Plans Remeasured at September 30, 2010</w:t>
            </w:r>
          </w:p>
        </w:tc>
        <w:tc>
          <w:tcPr>
            <w:tcW w:w="27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6740" w:type="dxa"/>
            <w:vAlign w:val="bottom"/>
          </w:tcPr>
          <w:p>
            <w:pPr>
              <w:spacing w:after="0"/>
              <w:rPr>
                <w:sz w:val="20"/>
                <w:szCs w:val="20"/>
                <w:color w:val="auto"/>
              </w:rPr>
            </w:pPr>
            <w:r>
              <w:rPr>
                <w:rFonts w:ascii="Arial" w:cs="Arial" w:eastAsia="Arial" w:hAnsi="Arial"/>
                <w:sz w:val="18"/>
                <w:szCs w:val="18"/>
                <w:color w:val="auto"/>
              </w:rPr>
              <w:t>Effect on Annual Pension Expense (in millions)</w:t>
            </w:r>
          </w:p>
        </w:tc>
        <w:tc>
          <w:tcPr>
            <w:tcW w:w="2820" w:type="dxa"/>
            <w:vAlign w:val="bottom"/>
            <w:gridSpan w:val="2"/>
          </w:tcPr>
          <w:p>
            <w:pPr>
              <w:ind w:left="2720"/>
              <w:spacing w:after="0"/>
              <w:rPr>
                <w:sz w:val="20"/>
                <w:szCs w:val="20"/>
                <w:color w:val="auto"/>
              </w:rPr>
            </w:pPr>
            <w:r>
              <w:rPr>
                <w:rFonts w:ascii="Arial" w:cs="Arial" w:eastAsia="Arial" w:hAnsi="Arial"/>
                <w:sz w:val="18"/>
                <w:szCs w:val="18"/>
                <w:color w:val="auto"/>
                <w:w w:val="79"/>
              </w:rPr>
              <w:t>$</w:t>
            </w:r>
          </w:p>
        </w:tc>
        <w:tc>
          <w:tcPr>
            <w:tcW w:w="860" w:type="dxa"/>
            <w:vAlign w:val="bottom"/>
            <w:gridSpan w:val="2"/>
          </w:tcPr>
          <w:p>
            <w:pPr>
              <w:jc w:val="right"/>
              <w:ind w:right="460"/>
              <w:spacing w:after="0"/>
              <w:rPr>
                <w:sz w:val="20"/>
                <w:szCs w:val="20"/>
                <w:color w:val="auto"/>
              </w:rPr>
            </w:pPr>
            <w:r>
              <w:rPr>
                <w:rFonts w:ascii="Arial" w:cs="Arial" w:eastAsia="Arial" w:hAnsi="Arial"/>
                <w:sz w:val="18"/>
                <w:szCs w:val="18"/>
                <w:color w:val="auto"/>
              </w:rPr>
              <w:t>78</w:t>
            </w:r>
          </w:p>
        </w:tc>
        <w:tc>
          <w:tcPr>
            <w:tcW w:w="480" w:type="dxa"/>
            <w:vAlign w:val="bottom"/>
            <w:gridSpan w:val="2"/>
          </w:tcPr>
          <w:p>
            <w:pPr>
              <w:ind w:left="400"/>
              <w:spacing w:after="0"/>
              <w:rPr>
                <w:sz w:val="20"/>
                <w:szCs w:val="20"/>
                <w:color w:val="auto"/>
              </w:rPr>
            </w:pPr>
            <w:r>
              <w:rPr>
                <w:rFonts w:ascii="Arial" w:cs="Arial" w:eastAsia="Arial" w:hAnsi="Arial"/>
                <w:sz w:val="15"/>
                <w:szCs w:val="15"/>
                <w:color w:val="auto"/>
                <w:w w:val="71"/>
              </w:rPr>
              <w:t>$</w:t>
            </w:r>
          </w:p>
        </w:tc>
        <w:tc>
          <w:tcPr>
            <w:tcW w:w="520" w:type="dxa"/>
            <w:vAlign w:val="bottom"/>
            <w:gridSpan w:val="2"/>
          </w:tcPr>
          <w:p>
            <w:pPr>
              <w:jc w:val="right"/>
              <w:ind w:right="40"/>
              <w:spacing w:after="0"/>
              <w:rPr>
                <w:sz w:val="20"/>
                <w:szCs w:val="20"/>
                <w:color w:val="auto"/>
              </w:rPr>
            </w:pPr>
            <w:r>
              <w:rPr>
                <w:rFonts w:ascii="Arial" w:cs="Arial" w:eastAsia="Arial" w:hAnsi="Arial"/>
                <w:sz w:val="18"/>
                <w:szCs w:val="18"/>
                <w:color w:val="auto"/>
              </w:rPr>
              <w:t>(83)</w:t>
            </w:r>
          </w:p>
        </w:tc>
      </w:tr>
      <w:tr>
        <w:trPr>
          <w:trHeight w:val="216"/>
        </w:trPr>
        <w:tc>
          <w:tcPr>
            <w:tcW w:w="6740" w:type="dxa"/>
            <w:vAlign w:val="bottom"/>
            <w:shd w:val="clear" w:color="auto" w:fill="CCEEFF"/>
          </w:tcPr>
          <w:p>
            <w:pPr>
              <w:spacing w:after="0"/>
              <w:rPr>
                <w:sz w:val="20"/>
                <w:szCs w:val="20"/>
                <w:color w:val="auto"/>
              </w:rPr>
            </w:pPr>
            <w:r>
              <w:rPr>
                <w:rFonts w:ascii="Arial" w:cs="Arial" w:eastAsia="Arial" w:hAnsi="Arial"/>
                <w:sz w:val="18"/>
                <w:szCs w:val="18"/>
                <w:color w:val="auto"/>
              </w:rPr>
              <w:t>Effect on September 30, 2010 PBO (in billions)</w:t>
            </w:r>
          </w:p>
        </w:tc>
        <w:tc>
          <w:tcPr>
            <w:tcW w:w="2820" w:type="dxa"/>
            <w:vAlign w:val="bottom"/>
            <w:gridSpan w:val="2"/>
            <w:shd w:val="clear" w:color="auto" w:fill="CCEEFF"/>
          </w:tcPr>
          <w:p>
            <w:pPr>
              <w:ind w:left="2720"/>
              <w:spacing w:after="0"/>
              <w:rPr>
                <w:sz w:val="20"/>
                <w:szCs w:val="20"/>
                <w:color w:val="auto"/>
              </w:rPr>
            </w:pPr>
            <w:r>
              <w:rPr>
                <w:rFonts w:ascii="Arial" w:cs="Arial" w:eastAsia="Arial" w:hAnsi="Arial"/>
                <w:sz w:val="18"/>
                <w:szCs w:val="18"/>
                <w:color w:val="auto"/>
                <w:w w:val="79"/>
              </w:rPr>
              <w:t>$</w:t>
            </w:r>
          </w:p>
        </w:tc>
        <w:tc>
          <w:tcPr>
            <w:tcW w:w="86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(1.7)</w:t>
            </w:r>
          </w:p>
        </w:tc>
        <w:tc>
          <w:tcPr>
            <w:tcW w:w="480" w:type="dxa"/>
            <w:vAlign w:val="bottom"/>
            <w:gridSpan w:val="2"/>
            <w:shd w:val="clear" w:color="auto" w:fill="CCEEFF"/>
          </w:tcPr>
          <w:p>
            <w:pPr>
              <w:ind w:left="400"/>
              <w:spacing w:after="0"/>
              <w:rPr>
                <w:sz w:val="20"/>
                <w:szCs w:val="20"/>
                <w:color w:val="auto"/>
              </w:rPr>
            </w:pPr>
            <w:r>
              <w:rPr>
                <w:rFonts w:ascii="Arial" w:cs="Arial" w:eastAsia="Arial" w:hAnsi="Arial"/>
                <w:sz w:val="15"/>
                <w:szCs w:val="15"/>
                <w:color w:val="auto"/>
                <w:w w:val="71"/>
              </w:rPr>
              <w:t>$</w:t>
            </w:r>
          </w:p>
        </w:tc>
        <w:tc>
          <w:tcPr>
            <w:tcW w:w="5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w:t>
            </w:r>
          </w:p>
        </w:tc>
      </w:tr>
      <w:tr>
        <w:trPr>
          <w:trHeight w:val="216"/>
        </w:trPr>
        <w:tc>
          <w:tcPr>
            <w:tcW w:w="6740" w:type="dxa"/>
            <w:vAlign w:val="bottom"/>
          </w:tcPr>
          <w:p>
            <w:pPr>
              <w:spacing w:after="0"/>
              <w:rPr>
                <w:sz w:val="20"/>
                <w:szCs w:val="20"/>
                <w:color w:val="auto"/>
              </w:rPr>
            </w:pPr>
            <w:r>
              <w:rPr>
                <w:rFonts w:ascii="Arial" w:cs="Arial" w:eastAsia="Arial" w:hAnsi="Arial"/>
                <w:sz w:val="18"/>
                <w:szCs w:val="18"/>
                <w:b w:val="1"/>
                <w:bCs w:val="1"/>
                <w:color w:val="auto"/>
              </w:rPr>
              <w:t>U.S. Plans Not Remeasured at September 30, 2010 (a)</w:t>
            </w:r>
          </w:p>
        </w:tc>
        <w:tc>
          <w:tcPr>
            <w:tcW w:w="2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740" w:type="dxa"/>
            <w:vAlign w:val="bottom"/>
            <w:shd w:val="clear" w:color="auto" w:fill="CCEEFF"/>
          </w:tcPr>
          <w:p>
            <w:pPr>
              <w:spacing w:after="0"/>
              <w:rPr>
                <w:sz w:val="20"/>
                <w:szCs w:val="20"/>
                <w:color w:val="auto"/>
              </w:rPr>
            </w:pPr>
            <w:r>
              <w:rPr>
                <w:rFonts w:ascii="Arial" w:cs="Arial" w:eastAsia="Arial" w:hAnsi="Arial"/>
                <w:sz w:val="18"/>
                <w:szCs w:val="18"/>
                <w:color w:val="auto"/>
              </w:rPr>
              <w:t>Effect on Annual Pension Expense (in millions)</w:t>
            </w:r>
          </w:p>
        </w:tc>
        <w:tc>
          <w:tcPr>
            <w:tcW w:w="2820" w:type="dxa"/>
            <w:vAlign w:val="bottom"/>
            <w:gridSpan w:val="2"/>
            <w:shd w:val="clear" w:color="auto" w:fill="CCEEFF"/>
          </w:tcPr>
          <w:p>
            <w:pPr>
              <w:ind w:left="2720"/>
              <w:spacing w:after="0"/>
              <w:rPr>
                <w:sz w:val="20"/>
                <w:szCs w:val="20"/>
                <w:color w:val="auto"/>
              </w:rPr>
            </w:pPr>
            <w:r>
              <w:rPr>
                <w:rFonts w:ascii="Arial" w:cs="Arial" w:eastAsia="Arial" w:hAnsi="Arial"/>
                <w:sz w:val="18"/>
                <w:szCs w:val="18"/>
                <w:color w:val="auto"/>
                <w:w w:val="79"/>
              </w:rPr>
              <w:t>$</w:t>
            </w:r>
          </w:p>
        </w:tc>
        <w:tc>
          <w:tcPr>
            <w:tcW w:w="86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23</w:t>
            </w:r>
          </w:p>
        </w:tc>
        <w:tc>
          <w:tcPr>
            <w:tcW w:w="480" w:type="dxa"/>
            <w:vAlign w:val="bottom"/>
            <w:gridSpan w:val="2"/>
            <w:shd w:val="clear" w:color="auto" w:fill="CCEEFF"/>
          </w:tcPr>
          <w:p>
            <w:pPr>
              <w:ind w:left="400"/>
              <w:spacing w:after="0"/>
              <w:rPr>
                <w:sz w:val="20"/>
                <w:szCs w:val="20"/>
                <w:color w:val="auto"/>
              </w:rPr>
            </w:pPr>
            <w:r>
              <w:rPr>
                <w:rFonts w:ascii="Arial" w:cs="Arial" w:eastAsia="Arial" w:hAnsi="Arial"/>
                <w:sz w:val="15"/>
                <w:szCs w:val="15"/>
                <w:color w:val="auto"/>
                <w:w w:val="71"/>
              </w:rPr>
              <w:t>$</w:t>
            </w:r>
          </w:p>
        </w:tc>
        <w:tc>
          <w:tcPr>
            <w:tcW w:w="5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(24)</w:t>
            </w:r>
          </w:p>
        </w:tc>
      </w:tr>
      <w:tr>
        <w:trPr>
          <w:trHeight w:val="222"/>
        </w:trPr>
        <w:tc>
          <w:tcPr>
            <w:tcW w:w="6740" w:type="dxa"/>
            <w:vAlign w:val="bottom"/>
          </w:tcPr>
          <w:p>
            <w:pPr>
              <w:spacing w:after="0"/>
              <w:rPr>
                <w:sz w:val="20"/>
                <w:szCs w:val="20"/>
                <w:color w:val="auto"/>
              </w:rPr>
            </w:pPr>
            <w:r>
              <w:rPr>
                <w:rFonts w:ascii="Arial" w:cs="Arial" w:eastAsia="Arial" w:hAnsi="Arial"/>
                <w:sz w:val="18"/>
                <w:szCs w:val="18"/>
                <w:color w:val="auto"/>
              </w:rPr>
              <w:t>Effect on December 31, 2009 PBO (in billions)</w:t>
            </w:r>
          </w:p>
        </w:tc>
        <w:tc>
          <w:tcPr>
            <w:tcW w:w="2820" w:type="dxa"/>
            <w:vAlign w:val="bottom"/>
            <w:gridSpan w:val="2"/>
          </w:tcPr>
          <w:p>
            <w:pPr>
              <w:ind w:left="2720"/>
              <w:spacing w:after="0"/>
              <w:rPr>
                <w:sz w:val="20"/>
                <w:szCs w:val="20"/>
                <w:color w:val="auto"/>
              </w:rPr>
            </w:pPr>
            <w:r>
              <w:rPr>
                <w:rFonts w:ascii="Arial" w:cs="Arial" w:eastAsia="Arial" w:hAnsi="Arial"/>
                <w:sz w:val="18"/>
                <w:szCs w:val="18"/>
                <w:color w:val="auto"/>
                <w:w w:val="79"/>
              </w:rPr>
              <w:t>$</w:t>
            </w:r>
          </w:p>
        </w:tc>
        <w:tc>
          <w:tcPr>
            <w:tcW w:w="860" w:type="dxa"/>
            <w:vAlign w:val="bottom"/>
            <w:gridSpan w:val="2"/>
          </w:tcPr>
          <w:p>
            <w:pPr>
              <w:jc w:val="right"/>
              <w:ind w:right="400"/>
              <w:spacing w:after="0"/>
              <w:rPr>
                <w:sz w:val="20"/>
                <w:szCs w:val="20"/>
                <w:color w:val="auto"/>
              </w:rPr>
            </w:pPr>
            <w:r>
              <w:rPr>
                <w:rFonts w:ascii="Arial" w:cs="Arial" w:eastAsia="Arial" w:hAnsi="Arial"/>
                <w:sz w:val="18"/>
                <w:szCs w:val="18"/>
                <w:color w:val="auto"/>
              </w:rPr>
              <w:t>(0.8)</w:t>
            </w:r>
          </w:p>
        </w:tc>
        <w:tc>
          <w:tcPr>
            <w:tcW w:w="480" w:type="dxa"/>
            <w:vAlign w:val="bottom"/>
            <w:gridSpan w:val="2"/>
          </w:tcPr>
          <w:p>
            <w:pPr>
              <w:ind w:left="400"/>
              <w:spacing w:after="0"/>
              <w:rPr>
                <w:sz w:val="20"/>
                <w:szCs w:val="20"/>
                <w:color w:val="auto"/>
              </w:rPr>
            </w:pPr>
            <w:r>
              <w:rPr>
                <w:rFonts w:ascii="Arial" w:cs="Arial" w:eastAsia="Arial" w:hAnsi="Arial"/>
                <w:sz w:val="15"/>
                <w:szCs w:val="15"/>
                <w:color w:val="auto"/>
                <w:w w:val="71"/>
              </w:rPr>
              <w:t>$</w:t>
            </w:r>
          </w:p>
        </w:tc>
        <w:tc>
          <w:tcPr>
            <w:tcW w:w="520" w:type="dxa"/>
            <w:vAlign w:val="bottom"/>
            <w:gridSpan w:val="2"/>
          </w:tcPr>
          <w:p>
            <w:pPr>
              <w:jc w:val="right"/>
              <w:ind w:right="100"/>
              <w:spacing w:after="0"/>
              <w:rPr>
                <w:sz w:val="20"/>
                <w:szCs w:val="20"/>
                <w:color w:val="auto"/>
              </w:rPr>
            </w:pPr>
            <w:r>
              <w:rPr>
                <w:rFonts w:ascii="Arial" w:cs="Arial" w:eastAsia="Arial" w:hAnsi="Arial"/>
                <w:sz w:val="18"/>
                <w:szCs w:val="18"/>
                <w:color w:val="auto"/>
              </w:rPr>
              <w:t>0.8</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64770</wp:posOffset>
            </wp:positionV>
            <wp:extent cx="728980" cy="889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14" w:lineRule="exact"/>
        <w:rPr>
          <w:sz w:val="20"/>
          <w:szCs w:val="20"/>
          <w:color w:val="auto"/>
        </w:rPr>
      </w:pPr>
    </w:p>
    <w:p>
      <w:pPr>
        <w:ind w:left="460" w:hanging="452"/>
        <w:spacing w:after="0"/>
        <w:tabs>
          <w:tab w:leader="none" w:pos="460" w:val="left"/>
        </w:tabs>
        <w:numPr>
          <w:ilvl w:val="0"/>
          <w:numId w:val="106"/>
        </w:numPr>
        <w:rPr>
          <w:rFonts w:ascii="Arial" w:cs="Arial" w:eastAsia="Arial" w:hAnsi="Arial"/>
          <w:sz w:val="18"/>
          <w:szCs w:val="18"/>
          <w:color w:val="auto"/>
        </w:rPr>
      </w:pPr>
      <w:r>
        <w:rPr>
          <w:rFonts w:ascii="Arial" w:cs="Arial" w:eastAsia="Arial" w:hAnsi="Arial"/>
          <w:sz w:val="18"/>
          <w:szCs w:val="18"/>
          <w:color w:val="auto"/>
        </w:rPr>
        <w:t>Based on December 31, 2009 remeasurements, represents 33% of total U.S. Plans PBO.</w:t>
      </w:r>
    </w:p>
    <w:p>
      <w:pPr>
        <w:spacing w:after="0" w:line="171" w:lineRule="exact"/>
        <w:rPr>
          <w:sz w:val="20"/>
          <w:szCs w:val="20"/>
          <w:color w:val="auto"/>
        </w:rPr>
      </w:pPr>
    </w:p>
    <w:p>
      <w:pPr>
        <w:ind w:right="160" w:firstLine="228"/>
        <w:spacing w:after="0" w:line="306" w:lineRule="auto"/>
        <w:rPr>
          <w:sz w:val="20"/>
          <w:szCs w:val="20"/>
          <w:color w:val="auto"/>
        </w:rPr>
      </w:pPr>
      <w:r>
        <w:rPr>
          <w:rFonts w:ascii="Arial" w:cs="Arial" w:eastAsia="Arial" w:hAnsi="Arial"/>
          <w:sz w:val="16"/>
          <w:szCs w:val="16"/>
          <w:color w:val="auto"/>
        </w:rPr>
        <w:t>It is not possible for us to predict what the economic environment will be at our next scheduled remeasurement at December 31, 2010 or any earlier date that may be used for an interim remeasurement of our U.S. pension plans due to a significant event such as a plan amendment, curtailment or a settlement. Accordingly, discount rates and plan assets may be considerably different than those at September 30, 2010.</w:t>
      </w:r>
    </w:p>
    <w:p>
      <w:pPr>
        <w:spacing w:after="0" w:line="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137</w:t>
      </w:r>
    </w:p>
    <w:p>
      <w:pPr>
        <w:sectPr>
          <w:pgSz w:w="11900" w:h="16838" w:orient="portrait"/>
          <w:cols w:equalWidth="0" w:num="1">
            <w:col w:w="11420"/>
          </w:cols>
          <w:pgMar w:left="240" w:top="459" w:right="239" w:bottom="1440" w:gutter="0" w:footer="0" w:header="0"/>
        </w:sectPr>
      </w:pPr>
    </w:p>
    <w:bookmarkStart w:id="139" w:name="page140"/>
    <w:bookmarkEnd w:id="1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339" w:lineRule="exact"/>
        <w:rPr>
          <w:sz w:val="20"/>
          <w:szCs w:val="20"/>
          <w:color w:val="auto"/>
        </w:rPr>
      </w:pPr>
    </w:p>
    <w:p>
      <w:pPr>
        <w:ind w:right="160" w:firstLine="228"/>
        <w:spacing w:after="0" w:line="306" w:lineRule="auto"/>
        <w:rPr>
          <w:sz w:val="20"/>
          <w:szCs w:val="20"/>
          <w:color w:val="auto"/>
        </w:rPr>
      </w:pPr>
      <w:r>
        <w:rPr>
          <w:rFonts w:ascii="Arial" w:cs="Arial" w:eastAsia="Arial" w:hAnsi="Arial"/>
          <w:sz w:val="16"/>
          <w:szCs w:val="16"/>
          <w:color w:val="auto"/>
        </w:rPr>
        <w:t>Interest rates have declined since December 31, 2009, in most non-U.S. countries in which we have pension plans. If all non-U.S. plans were remeasured at September 30, 2010, we believe that the weighted average discount rate would be approximately 50 basis points lower than the rate used to measure the plans at the last remeasurement date. The following table presents a 25 basis point discount rate sensitivity analysis for non-U.S. plans.</w:t>
      </w:r>
    </w:p>
    <w:p>
      <w:pPr>
        <w:spacing w:after="0" w:line="13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420" w:type="dxa"/>
            <w:vAlign w:val="bottom"/>
          </w:tcPr>
          <w:p>
            <w:pPr>
              <w:spacing w:after="0"/>
              <w:rPr>
                <w:sz w:val="14"/>
                <w:szCs w:val="14"/>
                <w:color w:val="auto"/>
              </w:rPr>
            </w:pPr>
          </w:p>
        </w:tc>
        <w:tc>
          <w:tcPr>
            <w:tcW w:w="3060" w:type="dxa"/>
            <w:vAlign w:val="bottom"/>
          </w:tcPr>
          <w:p>
            <w:pPr>
              <w:spacing w:after="0"/>
              <w:rPr>
                <w:sz w:val="14"/>
                <w:szCs w:val="14"/>
                <w:color w:val="auto"/>
              </w:rPr>
            </w:pPr>
          </w:p>
        </w:tc>
        <w:tc>
          <w:tcPr>
            <w:tcW w:w="1340" w:type="dxa"/>
            <w:vAlign w:val="bottom"/>
            <w:gridSpan w:val="3"/>
          </w:tcPr>
          <w:p>
            <w:pPr>
              <w:spacing w:after="0"/>
              <w:rPr>
                <w:sz w:val="20"/>
                <w:szCs w:val="20"/>
                <w:color w:val="auto"/>
              </w:rPr>
            </w:pPr>
            <w:r>
              <w:rPr>
                <w:rFonts w:ascii="Arial" w:cs="Arial" w:eastAsia="Arial" w:hAnsi="Arial"/>
                <w:sz w:val="14"/>
                <w:szCs w:val="14"/>
                <w:b w:val="1"/>
                <w:bCs w:val="1"/>
                <w:color w:val="auto"/>
              </w:rPr>
              <w:t>25 basis</w:t>
            </w:r>
          </w:p>
        </w:tc>
        <w:tc>
          <w:tcPr>
            <w:tcW w:w="600" w:type="dxa"/>
            <w:vAlign w:val="bottom"/>
            <w:gridSpan w:val="3"/>
          </w:tcPr>
          <w:p>
            <w:pPr>
              <w:ind w:left="20"/>
              <w:spacing w:after="0"/>
              <w:rPr>
                <w:sz w:val="20"/>
                <w:szCs w:val="20"/>
                <w:color w:val="auto"/>
              </w:rPr>
            </w:pPr>
            <w:r>
              <w:rPr>
                <w:rFonts w:ascii="Arial" w:cs="Arial" w:eastAsia="Arial" w:hAnsi="Arial"/>
                <w:sz w:val="14"/>
                <w:szCs w:val="14"/>
                <w:b w:val="1"/>
                <w:bCs w:val="1"/>
                <w:color w:val="auto"/>
              </w:rPr>
              <w:t>25 basis</w:t>
            </w:r>
          </w:p>
        </w:tc>
      </w:tr>
      <w:tr>
        <w:trPr>
          <w:trHeight w:val="149"/>
        </w:trPr>
        <w:tc>
          <w:tcPr>
            <w:tcW w:w="6420" w:type="dxa"/>
            <w:vAlign w:val="bottom"/>
          </w:tcPr>
          <w:p>
            <w:pPr>
              <w:spacing w:after="0"/>
              <w:rPr>
                <w:sz w:val="12"/>
                <w:szCs w:val="12"/>
                <w:color w:val="auto"/>
              </w:rPr>
            </w:pPr>
          </w:p>
        </w:tc>
        <w:tc>
          <w:tcPr>
            <w:tcW w:w="30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60" w:type="dxa"/>
            <w:vAlign w:val="bottom"/>
            <w:gridSpan w:val="2"/>
          </w:tcPr>
          <w:p>
            <w:pPr>
              <w:jc w:val="right"/>
              <w:ind w:right="940"/>
              <w:spacing w:after="0" w:line="149" w:lineRule="exact"/>
              <w:rPr>
                <w:sz w:val="20"/>
                <w:szCs w:val="20"/>
                <w:color w:val="auto"/>
              </w:rPr>
            </w:pPr>
            <w:r>
              <w:rPr>
                <w:rFonts w:ascii="Arial" w:cs="Arial" w:eastAsia="Arial" w:hAnsi="Arial"/>
                <w:sz w:val="14"/>
                <w:szCs w:val="14"/>
                <w:b w:val="1"/>
                <w:bCs w:val="1"/>
                <w:color w:val="auto"/>
                <w:w w:val="87"/>
              </w:rPr>
              <w:t>point</w:t>
            </w:r>
          </w:p>
        </w:tc>
        <w:tc>
          <w:tcPr>
            <w:tcW w:w="100" w:type="dxa"/>
            <w:vAlign w:val="bottom"/>
          </w:tcPr>
          <w:p>
            <w:pPr>
              <w:spacing w:after="0"/>
              <w:rPr>
                <w:sz w:val="12"/>
                <w:szCs w:val="12"/>
                <w:color w:val="auto"/>
              </w:rPr>
            </w:pPr>
          </w:p>
        </w:tc>
        <w:tc>
          <w:tcPr>
            <w:tcW w:w="50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rPr>
              <w:t>point</w:t>
            </w:r>
          </w:p>
        </w:tc>
      </w:tr>
      <w:tr>
        <w:trPr>
          <w:trHeight w:val="161"/>
        </w:trPr>
        <w:tc>
          <w:tcPr>
            <w:tcW w:w="6420" w:type="dxa"/>
            <w:vAlign w:val="bottom"/>
          </w:tcPr>
          <w:p>
            <w:pPr>
              <w:spacing w:after="0"/>
              <w:rPr>
                <w:sz w:val="14"/>
                <w:szCs w:val="14"/>
                <w:color w:val="auto"/>
              </w:rPr>
            </w:pPr>
          </w:p>
        </w:tc>
        <w:tc>
          <w:tcPr>
            <w:tcW w:w="3060" w:type="dxa"/>
            <w:vAlign w:val="bottom"/>
          </w:tcPr>
          <w:p>
            <w:pPr>
              <w:spacing w:after="0"/>
              <w:rPr>
                <w:sz w:val="14"/>
                <w:szCs w:val="14"/>
                <w:color w:val="auto"/>
              </w:rPr>
            </w:pPr>
          </w:p>
        </w:tc>
        <w:tc>
          <w:tcPr>
            <w:tcW w:w="1340" w:type="dxa"/>
            <w:vAlign w:val="bottom"/>
            <w:gridSpan w:val="3"/>
          </w:tcPr>
          <w:p>
            <w:pPr>
              <w:ind w:left="20"/>
              <w:spacing w:after="0"/>
              <w:rPr>
                <w:sz w:val="20"/>
                <w:szCs w:val="20"/>
                <w:color w:val="auto"/>
              </w:rPr>
            </w:pPr>
            <w:r>
              <w:rPr>
                <w:rFonts w:ascii="Arial" w:cs="Arial" w:eastAsia="Arial" w:hAnsi="Arial"/>
                <w:sz w:val="14"/>
                <w:szCs w:val="14"/>
                <w:b w:val="1"/>
                <w:bCs w:val="1"/>
                <w:color w:val="auto"/>
              </w:rPr>
              <w:t>increase</w:t>
            </w:r>
          </w:p>
        </w:tc>
        <w:tc>
          <w:tcPr>
            <w:tcW w:w="600" w:type="dxa"/>
            <w:vAlign w:val="bottom"/>
            <w:gridSpan w:val="3"/>
          </w:tcPr>
          <w:p>
            <w:pPr>
              <w:spacing w:after="0"/>
              <w:rPr>
                <w:sz w:val="20"/>
                <w:szCs w:val="20"/>
                <w:color w:val="auto"/>
              </w:rPr>
            </w:pPr>
            <w:r>
              <w:rPr>
                <w:rFonts w:ascii="Arial" w:cs="Arial" w:eastAsia="Arial" w:hAnsi="Arial"/>
                <w:sz w:val="14"/>
                <w:szCs w:val="14"/>
                <w:b w:val="1"/>
                <w:bCs w:val="1"/>
                <w:color w:val="auto"/>
                <w:w w:val="95"/>
              </w:rPr>
              <w:t>decrease</w:t>
            </w:r>
          </w:p>
        </w:tc>
      </w:tr>
      <w:tr>
        <w:trPr>
          <w:trHeight w:val="210"/>
        </w:trPr>
        <w:tc>
          <w:tcPr>
            <w:tcW w:w="64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Non-U.S. Plans (a)</w:t>
            </w:r>
          </w:p>
        </w:tc>
        <w:tc>
          <w:tcPr>
            <w:tcW w:w="306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6420" w:type="dxa"/>
            <w:vAlign w:val="bottom"/>
          </w:tcPr>
          <w:p>
            <w:pPr>
              <w:spacing w:after="0"/>
              <w:rPr>
                <w:sz w:val="20"/>
                <w:szCs w:val="20"/>
                <w:color w:val="auto"/>
              </w:rPr>
            </w:pPr>
            <w:r>
              <w:rPr>
                <w:rFonts w:ascii="Arial" w:cs="Arial" w:eastAsia="Arial" w:hAnsi="Arial"/>
                <w:sz w:val="18"/>
                <w:szCs w:val="18"/>
                <w:color w:val="auto"/>
              </w:rPr>
              <w:t>Effect on Annual Pension Expense (in millions)</w:t>
            </w:r>
          </w:p>
        </w:tc>
        <w:tc>
          <w:tcPr>
            <w:tcW w:w="3140" w:type="dxa"/>
            <w:vAlign w:val="bottom"/>
            <w:gridSpan w:val="2"/>
          </w:tcPr>
          <w:p>
            <w:pPr>
              <w:ind w:left="3060"/>
              <w:spacing w:after="0"/>
              <w:rPr>
                <w:sz w:val="20"/>
                <w:szCs w:val="20"/>
                <w:color w:val="auto"/>
              </w:rPr>
            </w:pPr>
            <w:r>
              <w:rPr>
                <w:rFonts w:ascii="Arial" w:cs="Arial" w:eastAsia="Arial" w:hAnsi="Arial"/>
                <w:sz w:val="15"/>
                <w:szCs w:val="15"/>
                <w:color w:val="auto"/>
                <w:w w:val="71"/>
              </w:rPr>
              <w:t>$</w:t>
            </w:r>
          </w:p>
        </w:tc>
        <w:tc>
          <w:tcPr>
            <w:tcW w:w="1260" w:type="dxa"/>
            <w:vAlign w:val="bottom"/>
            <w:gridSpan w:val="2"/>
          </w:tcPr>
          <w:p>
            <w:pPr>
              <w:jc w:val="right"/>
              <w:ind w:right="780"/>
              <w:spacing w:after="0"/>
              <w:rPr>
                <w:sz w:val="20"/>
                <w:szCs w:val="20"/>
                <w:color w:val="auto"/>
              </w:rPr>
            </w:pPr>
            <w:r>
              <w:rPr>
                <w:rFonts w:ascii="Arial" w:cs="Arial" w:eastAsia="Arial" w:hAnsi="Arial"/>
                <w:sz w:val="18"/>
                <w:szCs w:val="18"/>
                <w:color w:val="auto"/>
              </w:rPr>
              <w:t>(6)</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400" w:type="dxa"/>
            <w:vAlign w:val="bottom"/>
          </w:tcPr>
          <w:p>
            <w:pPr>
              <w:jc w:val="right"/>
              <w:spacing w:after="0"/>
              <w:rPr>
                <w:sz w:val="20"/>
                <w:szCs w:val="20"/>
                <w:color w:val="auto"/>
              </w:rPr>
            </w:pPr>
            <w:r>
              <w:rPr>
                <w:rFonts w:ascii="Arial" w:cs="Arial" w:eastAsia="Arial" w:hAnsi="Arial"/>
                <w:sz w:val="18"/>
                <w:szCs w:val="18"/>
                <w:color w:val="auto"/>
              </w:rPr>
              <w:t>11</w:t>
            </w:r>
          </w:p>
        </w:tc>
        <w:tc>
          <w:tcPr>
            <w:tcW w:w="100" w:type="dxa"/>
            <w:vAlign w:val="bottom"/>
          </w:tcPr>
          <w:p>
            <w:pPr>
              <w:spacing w:after="0"/>
              <w:rPr>
                <w:sz w:val="18"/>
                <w:szCs w:val="18"/>
                <w:color w:val="auto"/>
              </w:rPr>
            </w:pPr>
          </w:p>
        </w:tc>
      </w:tr>
      <w:tr>
        <w:trPr>
          <w:trHeight w:val="216"/>
        </w:trPr>
        <w:tc>
          <w:tcPr>
            <w:tcW w:w="6420" w:type="dxa"/>
            <w:vAlign w:val="bottom"/>
            <w:shd w:val="clear" w:color="auto" w:fill="CCEEFF"/>
          </w:tcPr>
          <w:p>
            <w:pPr>
              <w:spacing w:after="0"/>
              <w:rPr>
                <w:sz w:val="20"/>
                <w:szCs w:val="20"/>
                <w:color w:val="auto"/>
              </w:rPr>
            </w:pPr>
            <w:r>
              <w:rPr>
                <w:rFonts w:ascii="Arial" w:cs="Arial" w:eastAsia="Arial" w:hAnsi="Arial"/>
                <w:sz w:val="18"/>
                <w:szCs w:val="18"/>
                <w:color w:val="auto"/>
              </w:rPr>
              <w:t>Effect on December 31, 2009 PBO (in billions)</w:t>
            </w:r>
          </w:p>
        </w:tc>
        <w:tc>
          <w:tcPr>
            <w:tcW w:w="3140" w:type="dxa"/>
            <w:vAlign w:val="bottom"/>
            <w:gridSpan w:val="2"/>
            <w:shd w:val="clear" w:color="auto" w:fill="CCEEFF"/>
          </w:tcPr>
          <w:p>
            <w:pPr>
              <w:ind w:left="3060"/>
              <w:spacing w:after="0"/>
              <w:rPr>
                <w:sz w:val="20"/>
                <w:szCs w:val="20"/>
                <w:color w:val="auto"/>
              </w:rPr>
            </w:pPr>
            <w:r>
              <w:rPr>
                <w:rFonts w:ascii="Arial" w:cs="Arial" w:eastAsia="Arial" w:hAnsi="Arial"/>
                <w:sz w:val="15"/>
                <w:szCs w:val="15"/>
                <w:color w:val="auto"/>
                <w:w w:val="71"/>
              </w:rPr>
              <w:t>$</w:t>
            </w:r>
          </w:p>
        </w:tc>
        <w:tc>
          <w:tcPr>
            <w:tcW w:w="1260" w:type="dxa"/>
            <w:vAlign w:val="bottom"/>
            <w:gridSpan w:val="2"/>
            <w:shd w:val="clear" w:color="auto" w:fill="CCEEFF"/>
          </w:tcPr>
          <w:p>
            <w:pPr>
              <w:jc w:val="right"/>
              <w:ind w:right="780"/>
              <w:spacing w:after="0"/>
              <w:rPr>
                <w:sz w:val="20"/>
                <w:szCs w:val="20"/>
                <w:color w:val="auto"/>
              </w:rPr>
            </w:pPr>
            <w:r>
              <w:rPr>
                <w:rFonts w:ascii="Arial" w:cs="Arial" w:eastAsia="Arial" w:hAnsi="Arial"/>
                <w:sz w:val="18"/>
                <w:szCs w:val="18"/>
                <w:color w:val="auto"/>
              </w:rPr>
              <w:t>(0.6)</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0.7</w:t>
            </w:r>
          </w:p>
        </w:tc>
        <w:tc>
          <w:tcPr>
            <w:tcW w:w="100" w:type="dxa"/>
            <w:vAlign w:val="bottom"/>
            <w:shd w:val="clear" w:color="auto" w:fill="CCEEFF"/>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728980" cy="889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20" w:lineRule="exact"/>
        <w:rPr>
          <w:sz w:val="20"/>
          <w:szCs w:val="20"/>
          <w:color w:val="auto"/>
        </w:rPr>
      </w:pPr>
    </w:p>
    <w:p>
      <w:pPr>
        <w:ind w:left="460" w:right="420" w:hanging="452"/>
        <w:spacing w:after="0" w:line="268" w:lineRule="auto"/>
        <w:tabs>
          <w:tab w:leader="none" w:pos="460" w:val="left"/>
        </w:tabs>
        <w:numPr>
          <w:ilvl w:val="0"/>
          <w:numId w:val="107"/>
        </w:numPr>
        <w:rPr>
          <w:rFonts w:ascii="Arial" w:cs="Arial" w:eastAsia="Arial" w:hAnsi="Arial"/>
          <w:sz w:val="18"/>
          <w:szCs w:val="18"/>
          <w:color w:val="auto"/>
        </w:rPr>
      </w:pPr>
      <w:r>
        <w:rPr>
          <w:rFonts w:ascii="Arial" w:cs="Arial" w:eastAsia="Arial" w:hAnsi="Arial"/>
          <w:sz w:val="18"/>
          <w:szCs w:val="18"/>
          <w:color w:val="auto"/>
        </w:rPr>
        <w:t>Our largest plans are in Canada, Germany and the U.K. The largest plans in Germany and the U.K. were remeasured at June 30, 2010 and our plans in Canada at December 31, 2009.</w:t>
      </w:r>
    </w:p>
    <w:p>
      <w:pPr>
        <w:spacing w:after="0" w:line="132" w:lineRule="exact"/>
        <w:rPr>
          <w:sz w:val="20"/>
          <w:szCs w:val="20"/>
          <w:color w:val="auto"/>
        </w:rPr>
      </w:pPr>
    </w:p>
    <w:p>
      <w:pPr>
        <w:ind w:left="240"/>
        <w:spacing w:after="0"/>
        <w:rPr>
          <w:sz w:val="20"/>
          <w:szCs w:val="20"/>
          <w:color w:val="auto"/>
        </w:rPr>
      </w:pPr>
      <w:r>
        <w:rPr>
          <w:rFonts w:ascii="Arial" w:cs="Arial" w:eastAsia="Arial" w:hAnsi="Arial"/>
          <w:sz w:val="18"/>
          <w:szCs w:val="18"/>
          <w:color w:val="auto"/>
        </w:rPr>
        <w:t>The following table summarizes rates used to determine net pension expense:</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240" w:type="dxa"/>
            <w:vAlign w:val="bottom"/>
          </w:tcPr>
          <w:p>
            <w:pPr>
              <w:spacing w:after="0"/>
              <w:rPr>
                <w:sz w:val="14"/>
                <w:szCs w:val="14"/>
                <w:color w:val="auto"/>
              </w:rPr>
            </w:pPr>
          </w:p>
        </w:tc>
        <w:tc>
          <w:tcPr>
            <w:tcW w:w="1300" w:type="dxa"/>
            <w:vAlign w:val="bottom"/>
            <w:tcBorders>
              <w:bottom w:val="single" w:sz="8" w:color="auto"/>
            </w:tcBorders>
            <w:gridSpan w:val="2"/>
          </w:tcPr>
          <w:p>
            <w:pPr>
              <w:ind w:left="680"/>
              <w:spacing w:after="0"/>
              <w:rPr>
                <w:sz w:val="20"/>
                <w:szCs w:val="20"/>
                <w:color w:val="auto"/>
              </w:rPr>
            </w:pPr>
            <w:r>
              <w:rPr>
                <w:rFonts w:ascii="Arial" w:cs="Arial" w:eastAsia="Arial" w:hAnsi="Arial"/>
                <w:sz w:val="14"/>
                <w:szCs w:val="14"/>
                <w:b w:val="1"/>
                <w:bCs w:val="1"/>
                <w:color w:val="auto"/>
                <w:w w:val="84"/>
              </w:rPr>
              <w:t>Successor</w:t>
            </w:r>
          </w:p>
        </w:tc>
        <w:tc>
          <w:tcPr>
            <w:tcW w:w="620" w:type="dxa"/>
            <w:vAlign w:val="bottom"/>
            <w:tcBorders>
              <w:bottom w:val="single" w:sz="8" w:color="auto"/>
            </w:tcBorders>
          </w:tcPr>
          <w:p>
            <w:pPr>
              <w:spacing w:after="0"/>
              <w:rPr>
                <w:sz w:val="14"/>
                <w:szCs w:val="14"/>
                <w:color w:val="auto"/>
              </w:rPr>
            </w:pPr>
          </w:p>
        </w:tc>
        <w:tc>
          <w:tcPr>
            <w:tcW w:w="560" w:type="dxa"/>
            <w:vAlign w:val="bottom"/>
            <w:tcBorders>
              <w:right w:val="single" w:sz="8" w:color="auto"/>
            </w:tcBorders>
          </w:tcPr>
          <w:p>
            <w:pPr>
              <w:spacing w:after="0"/>
              <w:rPr>
                <w:sz w:val="14"/>
                <w:szCs w:val="14"/>
                <w:color w:val="auto"/>
              </w:rPr>
            </w:pPr>
          </w:p>
        </w:tc>
        <w:tc>
          <w:tcPr>
            <w:tcW w:w="380" w:type="dxa"/>
            <w:vAlign w:val="bottom"/>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1280" w:type="dxa"/>
            <w:vAlign w:val="bottom"/>
            <w:tcBorders>
              <w:bottom w:val="single" w:sz="8" w:color="auto"/>
            </w:tcBorders>
            <w:gridSpan w:val="2"/>
          </w:tcPr>
          <w:p>
            <w:pPr>
              <w:ind w:left="120"/>
              <w:spacing w:after="0"/>
              <w:rPr>
                <w:sz w:val="20"/>
                <w:szCs w:val="20"/>
                <w:color w:val="auto"/>
              </w:rPr>
            </w:pPr>
            <w:r>
              <w:rPr>
                <w:rFonts w:ascii="Arial" w:cs="Arial" w:eastAsia="Arial" w:hAnsi="Arial"/>
                <w:sz w:val="14"/>
                <w:szCs w:val="14"/>
                <w:b w:val="1"/>
                <w:bCs w:val="1"/>
                <w:color w:val="auto"/>
              </w:rPr>
              <w:t>Predecessor</w:t>
            </w:r>
          </w:p>
        </w:tc>
        <w:tc>
          <w:tcPr>
            <w:tcW w:w="8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29"/>
        </w:trPr>
        <w:tc>
          <w:tcPr>
            <w:tcW w:w="52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20" w:type="dxa"/>
            <w:vAlign w:val="bottom"/>
          </w:tcPr>
          <w:p>
            <w:pPr>
              <w:jc w:val="center"/>
              <w:spacing w:after="0" w:line="129" w:lineRule="exact"/>
              <w:rPr>
                <w:sz w:val="20"/>
                <w:szCs w:val="20"/>
                <w:color w:val="auto"/>
              </w:rPr>
            </w:pPr>
            <w:r>
              <w:rPr>
                <w:rFonts w:ascii="Arial" w:cs="Arial" w:eastAsia="Arial" w:hAnsi="Arial"/>
                <w:sz w:val="14"/>
                <w:szCs w:val="14"/>
                <w:b w:val="1"/>
                <w:bCs w:val="1"/>
                <w:color w:val="auto"/>
                <w:w w:val="85"/>
              </w:rPr>
              <w:t>July 10,</w:t>
            </w:r>
          </w:p>
        </w:tc>
        <w:tc>
          <w:tcPr>
            <w:tcW w:w="560" w:type="dxa"/>
            <w:vAlign w:val="bottom"/>
            <w:tcBorders>
              <w:right w:val="single" w:sz="8" w:color="auto"/>
            </w:tcBorders>
          </w:tcPr>
          <w:p>
            <w:pPr>
              <w:spacing w:after="0"/>
              <w:rPr>
                <w:sz w:val="11"/>
                <w:szCs w:val="11"/>
                <w:color w:val="auto"/>
              </w:rPr>
            </w:pPr>
          </w:p>
        </w:tc>
        <w:tc>
          <w:tcPr>
            <w:tcW w:w="3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149"/>
        </w:trPr>
        <w:tc>
          <w:tcPr>
            <w:tcW w:w="5240" w:type="dxa"/>
            <w:vAlign w:val="bottom"/>
          </w:tcPr>
          <w:p>
            <w:pPr>
              <w:spacing w:after="0"/>
              <w:rPr>
                <w:sz w:val="12"/>
                <w:szCs w:val="12"/>
                <w:color w:val="auto"/>
              </w:rPr>
            </w:pPr>
          </w:p>
        </w:tc>
        <w:tc>
          <w:tcPr>
            <w:tcW w:w="1300" w:type="dxa"/>
            <w:vAlign w:val="bottom"/>
            <w:gridSpan w:val="2"/>
          </w:tcPr>
          <w:p>
            <w:pPr>
              <w:jc w:val="center"/>
              <w:ind w:right="520"/>
              <w:spacing w:after="0" w:line="149" w:lineRule="exact"/>
              <w:rPr>
                <w:sz w:val="20"/>
                <w:szCs w:val="20"/>
                <w:color w:val="auto"/>
              </w:rPr>
            </w:pPr>
            <w:r>
              <w:rPr>
                <w:rFonts w:ascii="Arial" w:cs="Arial" w:eastAsia="Arial" w:hAnsi="Arial"/>
                <w:sz w:val="14"/>
                <w:szCs w:val="14"/>
                <w:b w:val="1"/>
                <w:bCs w:val="1"/>
                <w:color w:val="auto"/>
                <w:w w:val="89"/>
              </w:rPr>
              <w:t>January 1,</w:t>
            </w:r>
          </w:p>
        </w:tc>
        <w:tc>
          <w:tcPr>
            <w:tcW w:w="6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2009</w:t>
            </w:r>
          </w:p>
        </w:tc>
        <w:tc>
          <w:tcPr>
            <w:tcW w:w="560" w:type="dxa"/>
            <w:vAlign w:val="bottom"/>
            <w:tcBorders>
              <w:right w:val="single" w:sz="8" w:color="auto"/>
            </w:tcBorders>
          </w:tcPr>
          <w:p>
            <w:pPr>
              <w:spacing w:after="0"/>
              <w:rPr>
                <w:sz w:val="12"/>
                <w:szCs w:val="12"/>
                <w:color w:val="auto"/>
              </w:rPr>
            </w:pPr>
          </w:p>
        </w:tc>
        <w:tc>
          <w:tcPr>
            <w:tcW w:w="380" w:type="dxa"/>
            <w:vAlign w:val="bottom"/>
          </w:tcPr>
          <w:p>
            <w:pPr>
              <w:spacing w:after="0"/>
              <w:rPr>
                <w:sz w:val="12"/>
                <w:szCs w:val="12"/>
                <w:color w:val="auto"/>
              </w:rPr>
            </w:pPr>
          </w:p>
        </w:tc>
        <w:tc>
          <w:tcPr>
            <w:tcW w:w="6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January 1,</w:t>
            </w:r>
          </w:p>
        </w:tc>
        <w:tc>
          <w:tcPr>
            <w:tcW w:w="4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49"/>
        </w:trPr>
        <w:tc>
          <w:tcPr>
            <w:tcW w:w="5240" w:type="dxa"/>
            <w:vAlign w:val="bottom"/>
          </w:tcPr>
          <w:p>
            <w:pPr>
              <w:spacing w:after="0"/>
              <w:rPr>
                <w:sz w:val="12"/>
                <w:szCs w:val="12"/>
                <w:color w:val="auto"/>
              </w:rPr>
            </w:pPr>
          </w:p>
        </w:tc>
        <w:tc>
          <w:tcPr>
            <w:tcW w:w="8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3"/>
              </w:rPr>
              <w:t>2010</w:t>
            </w:r>
          </w:p>
        </w:tc>
        <w:tc>
          <w:tcPr>
            <w:tcW w:w="480" w:type="dxa"/>
            <w:vAlign w:val="bottom"/>
          </w:tcPr>
          <w:p>
            <w:pPr>
              <w:spacing w:after="0"/>
              <w:rPr>
                <w:sz w:val="12"/>
                <w:szCs w:val="12"/>
                <w:color w:val="auto"/>
              </w:rPr>
            </w:pPr>
          </w:p>
        </w:tc>
        <w:tc>
          <w:tcPr>
            <w:tcW w:w="1180" w:type="dxa"/>
            <w:vAlign w:val="bottom"/>
            <w:tcBorders>
              <w:right w:val="single" w:sz="8" w:color="auto"/>
            </w:tcBorders>
            <w:gridSpan w:val="2"/>
          </w:tcPr>
          <w:p>
            <w:pPr>
              <w:jc w:val="center"/>
              <w:ind w:right="580"/>
              <w:spacing w:after="0" w:line="149" w:lineRule="exact"/>
              <w:rPr>
                <w:sz w:val="20"/>
                <w:szCs w:val="20"/>
                <w:color w:val="auto"/>
              </w:rPr>
            </w:pPr>
            <w:r>
              <w:rPr>
                <w:rFonts w:ascii="Arial" w:cs="Arial" w:eastAsia="Arial" w:hAnsi="Arial"/>
                <w:sz w:val="14"/>
                <w:szCs w:val="14"/>
                <w:b w:val="1"/>
                <w:bCs w:val="1"/>
                <w:color w:val="auto"/>
                <w:w w:val="91"/>
              </w:rPr>
              <w:t>Through</w:t>
            </w:r>
          </w:p>
        </w:tc>
        <w:tc>
          <w:tcPr>
            <w:tcW w:w="380" w:type="dxa"/>
            <w:vAlign w:val="bottom"/>
          </w:tcPr>
          <w:p>
            <w:pPr>
              <w:spacing w:after="0"/>
              <w:rPr>
                <w:sz w:val="12"/>
                <w:szCs w:val="12"/>
                <w:color w:val="auto"/>
              </w:rPr>
            </w:pPr>
          </w:p>
        </w:tc>
        <w:tc>
          <w:tcPr>
            <w:tcW w:w="660" w:type="dxa"/>
            <w:vAlign w:val="bottom"/>
          </w:tcPr>
          <w:p>
            <w:pPr>
              <w:ind w:left="200"/>
              <w:spacing w:after="0" w:line="149" w:lineRule="exact"/>
              <w:rPr>
                <w:sz w:val="20"/>
                <w:szCs w:val="20"/>
                <w:color w:val="auto"/>
              </w:rPr>
            </w:pPr>
            <w:r>
              <w:rPr>
                <w:rFonts w:ascii="Arial" w:cs="Arial" w:eastAsia="Arial" w:hAnsi="Arial"/>
                <w:sz w:val="14"/>
                <w:szCs w:val="14"/>
                <w:b w:val="1"/>
                <w:bCs w:val="1"/>
                <w:color w:val="auto"/>
              </w:rPr>
              <w:t>2009</w:t>
            </w:r>
          </w:p>
        </w:tc>
        <w:tc>
          <w:tcPr>
            <w:tcW w:w="4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49"/>
        </w:trPr>
        <w:tc>
          <w:tcPr>
            <w:tcW w:w="5240" w:type="dxa"/>
            <w:vAlign w:val="bottom"/>
          </w:tcPr>
          <w:p>
            <w:pPr>
              <w:spacing w:after="0"/>
              <w:rPr>
                <w:sz w:val="12"/>
                <w:szCs w:val="12"/>
                <w:color w:val="auto"/>
              </w:rPr>
            </w:pPr>
          </w:p>
        </w:tc>
        <w:tc>
          <w:tcPr>
            <w:tcW w:w="1300" w:type="dxa"/>
            <w:vAlign w:val="bottom"/>
            <w:gridSpan w:val="2"/>
          </w:tcPr>
          <w:p>
            <w:pPr>
              <w:jc w:val="center"/>
              <w:ind w:right="480"/>
              <w:spacing w:after="0" w:line="149" w:lineRule="exact"/>
              <w:rPr>
                <w:sz w:val="20"/>
                <w:szCs w:val="20"/>
                <w:color w:val="auto"/>
              </w:rPr>
            </w:pPr>
            <w:r>
              <w:rPr>
                <w:rFonts w:ascii="Arial" w:cs="Arial" w:eastAsia="Arial" w:hAnsi="Arial"/>
                <w:sz w:val="14"/>
                <w:szCs w:val="14"/>
                <w:b w:val="1"/>
                <w:bCs w:val="1"/>
                <w:color w:val="auto"/>
                <w:w w:val="87"/>
              </w:rPr>
              <w:t>Through</w:t>
            </w:r>
          </w:p>
        </w:tc>
        <w:tc>
          <w:tcPr>
            <w:tcW w:w="1180" w:type="dxa"/>
            <w:vAlign w:val="bottom"/>
            <w:tcBorders>
              <w:right w:val="single" w:sz="8" w:color="auto"/>
            </w:tcBorders>
            <w:gridSpan w:val="2"/>
          </w:tcPr>
          <w:p>
            <w:pPr>
              <w:jc w:val="center"/>
              <w:ind w:right="600"/>
              <w:spacing w:after="0" w:line="149" w:lineRule="exact"/>
              <w:rPr>
                <w:sz w:val="20"/>
                <w:szCs w:val="20"/>
                <w:color w:val="auto"/>
              </w:rPr>
            </w:pPr>
            <w:r>
              <w:rPr>
                <w:rFonts w:ascii="Arial" w:cs="Arial" w:eastAsia="Arial" w:hAnsi="Arial"/>
                <w:sz w:val="14"/>
                <w:szCs w:val="14"/>
                <w:b w:val="1"/>
                <w:bCs w:val="1"/>
                <w:color w:val="auto"/>
                <w:w w:val="85"/>
              </w:rPr>
              <w:t>December</w:t>
            </w:r>
          </w:p>
        </w:tc>
        <w:tc>
          <w:tcPr>
            <w:tcW w:w="380" w:type="dxa"/>
            <w:vAlign w:val="bottom"/>
          </w:tcPr>
          <w:p>
            <w:pPr>
              <w:spacing w:after="0"/>
              <w:rPr>
                <w:sz w:val="12"/>
                <w:szCs w:val="12"/>
                <w:color w:val="auto"/>
              </w:rPr>
            </w:pPr>
          </w:p>
        </w:tc>
        <w:tc>
          <w:tcPr>
            <w:tcW w:w="6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7"/>
              </w:rPr>
              <w:t>Through</w:t>
            </w:r>
          </w:p>
        </w:tc>
        <w:tc>
          <w:tcPr>
            <w:tcW w:w="480" w:type="dxa"/>
            <w:vAlign w:val="bottom"/>
          </w:tcPr>
          <w:p>
            <w:pPr>
              <w:spacing w:after="0"/>
              <w:rPr>
                <w:sz w:val="12"/>
                <w:szCs w:val="12"/>
                <w:color w:val="auto"/>
              </w:rPr>
            </w:pPr>
          </w:p>
        </w:tc>
        <w:tc>
          <w:tcPr>
            <w:tcW w:w="128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rPr>
              <w:t>Year Ended</w:t>
            </w:r>
          </w:p>
        </w:tc>
        <w:tc>
          <w:tcPr>
            <w:tcW w:w="90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rPr>
              <w:t>Year Ended</w:t>
            </w:r>
          </w:p>
        </w:tc>
      </w:tr>
      <w:tr>
        <w:trPr>
          <w:trHeight w:val="149"/>
        </w:trPr>
        <w:tc>
          <w:tcPr>
            <w:tcW w:w="5240" w:type="dxa"/>
            <w:vAlign w:val="bottom"/>
          </w:tcPr>
          <w:p>
            <w:pPr>
              <w:spacing w:after="0"/>
              <w:rPr>
                <w:sz w:val="12"/>
                <w:szCs w:val="12"/>
                <w:color w:val="auto"/>
              </w:rPr>
            </w:pPr>
          </w:p>
        </w:tc>
        <w:tc>
          <w:tcPr>
            <w:tcW w:w="1300" w:type="dxa"/>
            <w:vAlign w:val="bottom"/>
            <w:gridSpan w:val="2"/>
          </w:tcPr>
          <w:p>
            <w:pPr>
              <w:jc w:val="right"/>
              <w:ind w:right="480"/>
              <w:spacing w:after="0" w:line="149" w:lineRule="exact"/>
              <w:rPr>
                <w:sz w:val="20"/>
                <w:szCs w:val="20"/>
                <w:color w:val="auto"/>
              </w:rPr>
            </w:pPr>
            <w:r>
              <w:rPr>
                <w:rFonts w:ascii="Arial" w:cs="Arial" w:eastAsia="Arial" w:hAnsi="Arial"/>
                <w:sz w:val="14"/>
                <w:szCs w:val="14"/>
                <w:b w:val="1"/>
                <w:bCs w:val="1"/>
                <w:color w:val="auto"/>
                <w:w w:val="83"/>
              </w:rPr>
              <w:t>September 30,</w:t>
            </w:r>
          </w:p>
        </w:tc>
        <w:tc>
          <w:tcPr>
            <w:tcW w:w="6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1"/>
              </w:rPr>
              <w:t>31,</w:t>
            </w:r>
          </w:p>
        </w:tc>
        <w:tc>
          <w:tcPr>
            <w:tcW w:w="560" w:type="dxa"/>
            <w:vAlign w:val="bottom"/>
            <w:tcBorders>
              <w:right w:val="single" w:sz="8" w:color="auto"/>
            </w:tcBorders>
          </w:tcPr>
          <w:p>
            <w:pPr>
              <w:spacing w:after="0"/>
              <w:rPr>
                <w:sz w:val="12"/>
                <w:szCs w:val="12"/>
                <w:color w:val="auto"/>
              </w:rPr>
            </w:pPr>
          </w:p>
        </w:tc>
        <w:tc>
          <w:tcPr>
            <w:tcW w:w="380" w:type="dxa"/>
            <w:vAlign w:val="bottom"/>
          </w:tcPr>
          <w:p>
            <w:pPr>
              <w:spacing w:after="0"/>
              <w:rPr>
                <w:sz w:val="12"/>
                <w:szCs w:val="12"/>
                <w:color w:val="auto"/>
              </w:rPr>
            </w:pPr>
          </w:p>
        </w:tc>
        <w:tc>
          <w:tcPr>
            <w:tcW w:w="6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7"/>
              </w:rPr>
              <w:t>July 9,</w:t>
            </w:r>
          </w:p>
        </w:tc>
        <w:tc>
          <w:tcPr>
            <w:tcW w:w="480" w:type="dxa"/>
            <w:vAlign w:val="bottom"/>
          </w:tcPr>
          <w:p>
            <w:pPr>
              <w:spacing w:after="0"/>
              <w:rPr>
                <w:sz w:val="12"/>
                <w:szCs w:val="12"/>
                <w:color w:val="auto"/>
              </w:rPr>
            </w:pPr>
          </w:p>
        </w:tc>
        <w:tc>
          <w:tcPr>
            <w:tcW w:w="1280" w:type="dxa"/>
            <w:vAlign w:val="bottom"/>
            <w:gridSpan w:val="2"/>
          </w:tcPr>
          <w:p>
            <w:pPr>
              <w:jc w:val="right"/>
              <w:ind w:right="480"/>
              <w:spacing w:after="0" w:line="149" w:lineRule="exact"/>
              <w:rPr>
                <w:sz w:val="20"/>
                <w:szCs w:val="20"/>
                <w:color w:val="auto"/>
              </w:rPr>
            </w:pPr>
            <w:r>
              <w:rPr>
                <w:rFonts w:ascii="Arial" w:cs="Arial" w:eastAsia="Arial" w:hAnsi="Arial"/>
                <w:sz w:val="14"/>
                <w:szCs w:val="14"/>
                <w:b w:val="1"/>
                <w:bCs w:val="1"/>
                <w:color w:val="auto"/>
                <w:w w:val="85"/>
              </w:rPr>
              <w:t>December 31,</w:t>
            </w:r>
          </w:p>
        </w:tc>
        <w:tc>
          <w:tcPr>
            <w:tcW w:w="900" w:type="dxa"/>
            <w:vAlign w:val="bottom"/>
            <w:gridSpan w:val="2"/>
          </w:tcPr>
          <w:p>
            <w:pPr>
              <w:jc w:val="right"/>
              <w:ind w:right="100"/>
              <w:spacing w:after="0" w:line="149" w:lineRule="exact"/>
              <w:rPr>
                <w:sz w:val="20"/>
                <w:szCs w:val="20"/>
                <w:color w:val="auto"/>
              </w:rPr>
            </w:pPr>
            <w:r>
              <w:rPr>
                <w:rFonts w:ascii="Arial" w:cs="Arial" w:eastAsia="Arial" w:hAnsi="Arial"/>
                <w:sz w:val="14"/>
                <w:szCs w:val="14"/>
                <w:b w:val="1"/>
                <w:bCs w:val="1"/>
                <w:color w:val="auto"/>
                <w:w w:val="85"/>
              </w:rPr>
              <w:t>December 31,</w:t>
            </w:r>
          </w:p>
        </w:tc>
      </w:tr>
      <w:tr>
        <w:trPr>
          <w:trHeight w:val="161"/>
        </w:trPr>
        <w:tc>
          <w:tcPr>
            <w:tcW w:w="5240" w:type="dxa"/>
            <w:vAlign w:val="bottom"/>
          </w:tcPr>
          <w:p>
            <w:pPr>
              <w:spacing w:after="0"/>
              <w:rPr>
                <w:sz w:val="14"/>
                <w:szCs w:val="14"/>
                <w:color w:val="auto"/>
              </w:rPr>
            </w:pPr>
          </w:p>
        </w:tc>
        <w:tc>
          <w:tcPr>
            <w:tcW w:w="1300" w:type="dxa"/>
            <w:vAlign w:val="bottom"/>
            <w:gridSpan w:val="2"/>
          </w:tcPr>
          <w:p>
            <w:pPr>
              <w:jc w:val="center"/>
              <w:ind w:right="480"/>
              <w:spacing w:after="0"/>
              <w:rPr>
                <w:sz w:val="20"/>
                <w:szCs w:val="20"/>
                <w:color w:val="auto"/>
              </w:rPr>
            </w:pPr>
            <w:r>
              <w:rPr>
                <w:rFonts w:ascii="Arial" w:cs="Arial" w:eastAsia="Arial" w:hAnsi="Arial"/>
                <w:sz w:val="14"/>
                <w:szCs w:val="14"/>
                <w:b w:val="1"/>
                <w:bCs w:val="1"/>
                <w:color w:val="auto"/>
                <w:w w:val="88"/>
              </w:rPr>
              <w:t>2010 (a)</w:t>
            </w:r>
          </w:p>
        </w:tc>
        <w:tc>
          <w:tcPr>
            <w:tcW w:w="620" w:type="dxa"/>
            <w:vAlign w:val="bottom"/>
          </w:tcPr>
          <w:p>
            <w:pPr>
              <w:jc w:val="center"/>
              <w:spacing w:after="0"/>
              <w:rPr>
                <w:sz w:val="20"/>
                <w:szCs w:val="20"/>
                <w:color w:val="auto"/>
              </w:rPr>
            </w:pPr>
            <w:r>
              <w:rPr>
                <w:rFonts w:ascii="Arial" w:cs="Arial" w:eastAsia="Arial" w:hAnsi="Arial"/>
                <w:sz w:val="14"/>
                <w:szCs w:val="14"/>
                <w:b w:val="1"/>
                <w:bCs w:val="1"/>
                <w:color w:val="auto"/>
                <w:w w:val="89"/>
              </w:rPr>
              <w:t>2009</w:t>
            </w:r>
          </w:p>
        </w:tc>
        <w:tc>
          <w:tcPr>
            <w:tcW w:w="560" w:type="dxa"/>
            <w:vAlign w:val="bottom"/>
            <w:tcBorders>
              <w:right w:val="single" w:sz="8" w:color="auto"/>
            </w:tcBorders>
          </w:tcPr>
          <w:p>
            <w:pPr>
              <w:spacing w:after="0"/>
              <w:rPr>
                <w:sz w:val="14"/>
                <w:szCs w:val="14"/>
                <w:color w:val="auto"/>
              </w:rPr>
            </w:pPr>
          </w:p>
        </w:tc>
        <w:tc>
          <w:tcPr>
            <w:tcW w:w="380" w:type="dxa"/>
            <w:vAlign w:val="bottom"/>
          </w:tcPr>
          <w:p>
            <w:pPr>
              <w:spacing w:after="0"/>
              <w:rPr>
                <w:sz w:val="14"/>
                <w:szCs w:val="14"/>
                <w:color w:val="auto"/>
              </w:rPr>
            </w:pPr>
          </w:p>
        </w:tc>
        <w:tc>
          <w:tcPr>
            <w:tcW w:w="660" w:type="dxa"/>
            <w:vAlign w:val="bottom"/>
          </w:tcPr>
          <w:p>
            <w:pPr>
              <w:ind w:left="200"/>
              <w:spacing w:after="0"/>
              <w:rPr>
                <w:sz w:val="20"/>
                <w:szCs w:val="20"/>
                <w:color w:val="auto"/>
              </w:rPr>
            </w:pPr>
            <w:r>
              <w:rPr>
                <w:rFonts w:ascii="Arial" w:cs="Arial" w:eastAsia="Arial" w:hAnsi="Arial"/>
                <w:sz w:val="14"/>
                <w:szCs w:val="14"/>
                <w:b w:val="1"/>
                <w:bCs w:val="1"/>
                <w:color w:val="auto"/>
              </w:rPr>
              <w:t>2009</w:t>
            </w:r>
          </w:p>
        </w:tc>
        <w:tc>
          <w:tcPr>
            <w:tcW w:w="1280" w:type="dxa"/>
            <w:vAlign w:val="bottom"/>
            <w:gridSpan w:val="2"/>
          </w:tcPr>
          <w:p>
            <w:pPr>
              <w:jc w:val="right"/>
              <w:ind w:right="192"/>
              <w:spacing w:after="0"/>
              <w:rPr>
                <w:sz w:val="20"/>
                <w:szCs w:val="20"/>
                <w:color w:val="auto"/>
              </w:rPr>
            </w:pPr>
            <w:r>
              <w:rPr>
                <w:rFonts w:ascii="Arial" w:cs="Arial" w:eastAsia="Arial" w:hAnsi="Arial"/>
                <w:sz w:val="14"/>
                <w:szCs w:val="14"/>
                <w:b w:val="1"/>
                <w:bCs w:val="1"/>
                <w:color w:val="auto"/>
              </w:rPr>
              <w:t>2008</w:t>
            </w:r>
          </w:p>
        </w:tc>
        <w:tc>
          <w:tcPr>
            <w:tcW w:w="480" w:type="dxa"/>
            <w:vAlign w:val="bottom"/>
          </w:tcPr>
          <w:p>
            <w:pPr>
              <w:spacing w:after="0"/>
              <w:rPr>
                <w:sz w:val="14"/>
                <w:szCs w:val="14"/>
                <w:color w:val="auto"/>
              </w:rPr>
            </w:pPr>
          </w:p>
        </w:tc>
        <w:tc>
          <w:tcPr>
            <w:tcW w:w="800" w:type="dxa"/>
            <w:vAlign w:val="bottom"/>
          </w:tcPr>
          <w:p>
            <w:pPr>
              <w:jc w:val="right"/>
              <w:ind w:right="181"/>
              <w:spacing w:after="0"/>
              <w:rPr>
                <w:sz w:val="20"/>
                <w:szCs w:val="20"/>
                <w:color w:val="auto"/>
              </w:rPr>
            </w:pPr>
            <w:r>
              <w:rPr>
                <w:rFonts w:ascii="Arial" w:cs="Arial" w:eastAsia="Arial" w:hAnsi="Arial"/>
                <w:sz w:val="14"/>
                <w:szCs w:val="14"/>
                <w:b w:val="1"/>
                <w:bCs w:val="1"/>
                <w:color w:val="auto"/>
              </w:rPr>
              <w:t>2007</w:t>
            </w:r>
          </w:p>
        </w:tc>
        <w:tc>
          <w:tcPr>
            <w:tcW w:w="100" w:type="dxa"/>
            <w:vAlign w:val="bottom"/>
          </w:tcPr>
          <w:p>
            <w:pPr>
              <w:spacing w:after="0"/>
              <w:rPr>
                <w:sz w:val="14"/>
                <w:szCs w:val="14"/>
                <w:color w:val="auto"/>
              </w:rPr>
            </w:pPr>
          </w:p>
        </w:tc>
      </w:tr>
      <w:tr>
        <w:trPr>
          <w:trHeight w:val="201"/>
        </w:trPr>
        <w:tc>
          <w:tcPr>
            <w:tcW w:w="524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Weighted-average expected long-term rate of return on U.S. plan</w:t>
            </w:r>
          </w:p>
        </w:tc>
        <w:tc>
          <w:tcPr>
            <w:tcW w:w="820" w:type="dxa"/>
            <w:vAlign w:val="bottom"/>
            <w:tcBorders>
              <w:top w:val="single" w:sz="8" w:color="auto"/>
            </w:tcBorders>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620" w:type="dxa"/>
            <w:vAlign w:val="bottom"/>
            <w:tcBorders>
              <w:top w:val="single" w:sz="8" w:color="auto"/>
            </w:tcBorders>
            <w:shd w:val="clear" w:color="auto" w:fill="CCEEFF"/>
          </w:tcPr>
          <w:p>
            <w:pPr>
              <w:spacing w:after="0"/>
              <w:rPr>
                <w:sz w:val="17"/>
                <w:szCs w:val="17"/>
                <w:color w:val="auto"/>
              </w:rPr>
            </w:pPr>
          </w:p>
        </w:tc>
        <w:tc>
          <w:tcPr>
            <w:tcW w:w="560" w:type="dxa"/>
            <w:vAlign w:val="bottom"/>
            <w:tcBorders>
              <w:right w:val="single" w:sz="8" w:color="auto"/>
            </w:tcBorders>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800" w:type="dxa"/>
            <w:vAlign w:val="bottom"/>
            <w:tcBorders>
              <w:top w:val="single" w:sz="8" w:color="auto"/>
            </w:tcBorders>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800" w:type="dxa"/>
            <w:vAlign w:val="bottom"/>
            <w:tcBorders>
              <w:top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24"/>
        </w:trPr>
        <w:tc>
          <w:tcPr>
            <w:tcW w:w="52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assets</w:t>
            </w:r>
          </w:p>
        </w:tc>
        <w:tc>
          <w:tcPr>
            <w:tcW w:w="130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8.50%</w:t>
            </w:r>
          </w:p>
        </w:tc>
        <w:tc>
          <w:tcPr>
            <w:tcW w:w="1180" w:type="dxa"/>
            <w:vAlign w:val="bottom"/>
            <w:tcBorders>
              <w:right w:val="single" w:sz="8" w:color="auto"/>
            </w:tcBorders>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8.50%</w:t>
            </w:r>
          </w:p>
        </w:tc>
        <w:tc>
          <w:tcPr>
            <w:tcW w:w="380" w:type="dxa"/>
            <w:vAlign w:val="bottom"/>
            <w:shd w:val="clear" w:color="auto" w:fill="CCEEFF"/>
          </w:tcPr>
          <w:p>
            <w:pPr>
              <w:spacing w:after="0"/>
              <w:rPr>
                <w:sz w:val="19"/>
                <w:szCs w:val="19"/>
                <w:color w:val="auto"/>
              </w:rPr>
            </w:pPr>
          </w:p>
        </w:tc>
        <w:tc>
          <w:tcPr>
            <w:tcW w:w="660" w:type="dxa"/>
            <w:vAlign w:val="bottom"/>
            <w:shd w:val="clear" w:color="auto" w:fill="CCEEFF"/>
          </w:tcPr>
          <w:p>
            <w:pPr>
              <w:ind w:left="200"/>
              <w:spacing w:after="0"/>
              <w:rPr>
                <w:sz w:val="20"/>
                <w:szCs w:val="20"/>
                <w:color w:val="auto"/>
              </w:rPr>
            </w:pPr>
            <w:r>
              <w:rPr>
                <w:rFonts w:ascii="Arial" w:cs="Arial" w:eastAsia="Arial" w:hAnsi="Arial"/>
                <w:sz w:val="18"/>
                <w:szCs w:val="18"/>
                <w:color w:val="auto"/>
                <w:w w:val="86"/>
              </w:rPr>
              <w:t>8.50%</w:t>
            </w:r>
          </w:p>
        </w:tc>
        <w:tc>
          <w:tcPr>
            <w:tcW w:w="1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8.50%</w:t>
            </w:r>
          </w:p>
        </w:tc>
        <w:tc>
          <w:tcPr>
            <w:tcW w:w="48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8.50%</w:t>
            </w:r>
          </w:p>
        </w:tc>
        <w:tc>
          <w:tcPr>
            <w:tcW w:w="100" w:type="dxa"/>
            <w:vAlign w:val="bottom"/>
            <w:shd w:val="clear" w:color="auto" w:fill="CCEEFF"/>
          </w:tcPr>
          <w:p>
            <w:pPr>
              <w:spacing w:after="0"/>
              <w:rPr>
                <w:sz w:val="19"/>
                <w:szCs w:val="19"/>
                <w:color w:val="auto"/>
              </w:rPr>
            </w:pPr>
          </w:p>
        </w:tc>
      </w:tr>
      <w:tr>
        <w:trPr>
          <w:trHeight w:val="208"/>
        </w:trPr>
        <w:tc>
          <w:tcPr>
            <w:tcW w:w="5240" w:type="dxa"/>
            <w:vAlign w:val="bottom"/>
          </w:tcPr>
          <w:p>
            <w:pPr>
              <w:spacing w:after="0"/>
              <w:rPr>
                <w:sz w:val="20"/>
                <w:szCs w:val="20"/>
                <w:color w:val="auto"/>
              </w:rPr>
            </w:pPr>
            <w:r>
              <w:rPr>
                <w:rFonts w:ascii="Arial" w:cs="Arial" w:eastAsia="Arial" w:hAnsi="Arial"/>
                <w:sz w:val="18"/>
                <w:szCs w:val="18"/>
                <w:color w:val="auto"/>
              </w:rPr>
              <w:t>Weighted-average expected long-term rate of return on non-U.S.</w:t>
            </w:r>
          </w:p>
        </w:tc>
        <w:tc>
          <w:tcPr>
            <w:tcW w:w="8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560" w:type="dxa"/>
            <w:vAlign w:val="bottom"/>
            <w:tcBorders>
              <w:right w:val="single" w:sz="8" w:color="auto"/>
            </w:tcBorders>
          </w:tcPr>
          <w:p>
            <w:pPr>
              <w:spacing w:after="0"/>
              <w:rPr>
                <w:sz w:val="18"/>
                <w:szCs w:val="18"/>
                <w:color w:val="auto"/>
              </w:rPr>
            </w:pPr>
          </w:p>
        </w:tc>
        <w:tc>
          <w:tcPr>
            <w:tcW w:w="3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22"/>
        </w:trPr>
        <w:tc>
          <w:tcPr>
            <w:tcW w:w="5240" w:type="dxa"/>
            <w:vAlign w:val="bottom"/>
          </w:tcPr>
          <w:p>
            <w:pPr>
              <w:ind w:left="220"/>
              <w:spacing w:after="0"/>
              <w:rPr>
                <w:sz w:val="20"/>
                <w:szCs w:val="20"/>
                <w:color w:val="auto"/>
              </w:rPr>
            </w:pPr>
            <w:r>
              <w:rPr>
                <w:rFonts w:ascii="Arial" w:cs="Arial" w:eastAsia="Arial" w:hAnsi="Arial"/>
                <w:sz w:val="18"/>
                <w:szCs w:val="18"/>
                <w:color w:val="auto"/>
              </w:rPr>
              <w:t>plan assets</w:t>
            </w:r>
          </w:p>
        </w:tc>
        <w:tc>
          <w:tcPr>
            <w:tcW w:w="1300" w:type="dxa"/>
            <w:vAlign w:val="bottom"/>
            <w:gridSpan w:val="2"/>
          </w:tcPr>
          <w:p>
            <w:pPr>
              <w:jc w:val="right"/>
              <w:ind w:right="480"/>
              <w:spacing w:after="0"/>
              <w:rPr>
                <w:sz w:val="20"/>
                <w:szCs w:val="20"/>
                <w:color w:val="auto"/>
              </w:rPr>
            </w:pPr>
            <w:r>
              <w:rPr>
                <w:rFonts w:ascii="Arial" w:cs="Arial" w:eastAsia="Arial" w:hAnsi="Arial"/>
                <w:sz w:val="18"/>
                <w:szCs w:val="18"/>
                <w:color w:val="auto"/>
              </w:rPr>
              <w:t>7.34%</w:t>
            </w:r>
          </w:p>
        </w:tc>
        <w:tc>
          <w:tcPr>
            <w:tcW w:w="1180" w:type="dxa"/>
            <w:vAlign w:val="bottom"/>
            <w:tcBorders>
              <w:right w:val="single" w:sz="8" w:color="auto"/>
            </w:tcBorders>
            <w:gridSpan w:val="2"/>
          </w:tcPr>
          <w:p>
            <w:pPr>
              <w:jc w:val="right"/>
              <w:ind w:right="560"/>
              <w:spacing w:after="0"/>
              <w:rPr>
                <w:sz w:val="20"/>
                <w:szCs w:val="20"/>
                <w:color w:val="auto"/>
              </w:rPr>
            </w:pPr>
            <w:r>
              <w:rPr>
                <w:rFonts w:ascii="Arial" w:cs="Arial" w:eastAsia="Arial" w:hAnsi="Arial"/>
                <w:sz w:val="18"/>
                <w:szCs w:val="18"/>
                <w:color w:val="auto"/>
              </w:rPr>
              <w:t>7.97%</w:t>
            </w:r>
          </w:p>
        </w:tc>
        <w:tc>
          <w:tcPr>
            <w:tcW w:w="380" w:type="dxa"/>
            <w:vAlign w:val="bottom"/>
          </w:tcPr>
          <w:p>
            <w:pPr>
              <w:spacing w:after="0"/>
              <w:rPr>
                <w:sz w:val="19"/>
                <w:szCs w:val="19"/>
                <w:color w:val="auto"/>
              </w:rPr>
            </w:pPr>
          </w:p>
        </w:tc>
        <w:tc>
          <w:tcPr>
            <w:tcW w:w="660" w:type="dxa"/>
            <w:vAlign w:val="bottom"/>
          </w:tcPr>
          <w:p>
            <w:pPr>
              <w:ind w:left="200"/>
              <w:spacing w:after="0"/>
              <w:rPr>
                <w:sz w:val="20"/>
                <w:szCs w:val="20"/>
                <w:color w:val="auto"/>
              </w:rPr>
            </w:pPr>
            <w:r>
              <w:rPr>
                <w:rFonts w:ascii="Arial" w:cs="Arial" w:eastAsia="Arial" w:hAnsi="Arial"/>
                <w:sz w:val="18"/>
                <w:szCs w:val="18"/>
                <w:color w:val="auto"/>
                <w:w w:val="86"/>
              </w:rPr>
              <w:t>7.74%</w:t>
            </w:r>
          </w:p>
        </w:tc>
        <w:tc>
          <w:tcPr>
            <w:tcW w:w="1280" w:type="dxa"/>
            <w:vAlign w:val="bottom"/>
            <w:gridSpan w:val="2"/>
          </w:tcPr>
          <w:p>
            <w:pPr>
              <w:jc w:val="right"/>
              <w:spacing w:after="0"/>
              <w:rPr>
                <w:sz w:val="20"/>
                <w:szCs w:val="20"/>
                <w:color w:val="auto"/>
              </w:rPr>
            </w:pPr>
            <w:r>
              <w:rPr>
                <w:rFonts w:ascii="Arial" w:cs="Arial" w:eastAsia="Arial" w:hAnsi="Arial"/>
                <w:sz w:val="18"/>
                <w:szCs w:val="18"/>
                <w:color w:val="auto"/>
              </w:rPr>
              <w:t>7.78%</w:t>
            </w:r>
          </w:p>
        </w:tc>
        <w:tc>
          <w:tcPr>
            <w:tcW w:w="4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7.85%</w:t>
            </w:r>
          </w:p>
        </w:tc>
        <w:tc>
          <w:tcPr>
            <w:tcW w:w="100" w:type="dxa"/>
            <w:vAlign w:val="bottom"/>
          </w:tcPr>
          <w:p>
            <w:pPr>
              <w:spacing w:after="0"/>
              <w:rPr>
                <w:sz w:val="19"/>
                <w:szCs w:val="19"/>
                <w:color w:val="auto"/>
              </w:rPr>
            </w:pPr>
          </w:p>
        </w:tc>
      </w:tr>
      <w:tr>
        <w:trPr>
          <w:trHeight w:val="218"/>
        </w:trPr>
        <w:tc>
          <w:tcPr>
            <w:tcW w:w="5240" w:type="dxa"/>
            <w:vAlign w:val="bottom"/>
            <w:shd w:val="clear" w:color="auto" w:fill="CCEEFF"/>
          </w:tcPr>
          <w:p>
            <w:pPr>
              <w:spacing w:after="0"/>
              <w:rPr>
                <w:sz w:val="20"/>
                <w:szCs w:val="20"/>
                <w:color w:val="auto"/>
              </w:rPr>
            </w:pPr>
            <w:r>
              <w:rPr>
                <w:rFonts w:ascii="Arial" w:cs="Arial" w:eastAsia="Arial" w:hAnsi="Arial"/>
                <w:sz w:val="18"/>
                <w:szCs w:val="18"/>
                <w:color w:val="auto"/>
              </w:rPr>
              <w:t>Weighted-average discount rate for U.S. plan obligations</w:t>
            </w:r>
          </w:p>
        </w:tc>
        <w:tc>
          <w:tcPr>
            <w:tcW w:w="130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5.52%</w:t>
            </w:r>
          </w:p>
        </w:tc>
        <w:tc>
          <w:tcPr>
            <w:tcW w:w="1180" w:type="dxa"/>
            <w:vAlign w:val="bottom"/>
            <w:tcBorders>
              <w:right w:val="single" w:sz="8" w:color="auto"/>
            </w:tcBorders>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5.63%</w:t>
            </w:r>
          </w:p>
        </w:tc>
        <w:tc>
          <w:tcPr>
            <w:tcW w:w="380" w:type="dxa"/>
            <w:vAlign w:val="bottom"/>
            <w:shd w:val="clear" w:color="auto" w:fill="CCEEFF"/>
          </w:tcPr>
          <w:p>
            <w:pPr>
              <w:spacing w:after="0"/>
              <w:rPr>
                <w:sz w:val="18"/>
                <w:szCs w:val="18"/>
                <w:color w:val="auto"/>
              </w:rPr>
            </w:pPr>
          </w:p>
        </w:tc>
        <w:tc>
          <w:tcPr>
            <w:tcW w:w="660" w:type="dxa"/>
            <w:vAlign w:val="bottom"/>
            <w:shd w:val="clear" w:color="auto" w:fill="CCEEFF"/>
          </w:tcPr>
          <w:p>
            <w:pPr>
              <w:ind w:left="200"/>
              <w:spacing w:after="0"/>
              <w:rPr>
                <w:sz w:val="20"/>
                <w:szCs w:val="20"/>
                <w:color w:val="auto"/>
              </w:rPr>
            </w:pPr>
            <w:r>
              <w:rPr>
                <w:rFonts w:ascii="Arial" w:cs="Arial" w:eastAsia="Arial" w:hAnsi="Arial"/>
                <w:sz w:val="18"/>
                <w:szCs w:val="18"/>
                <w:color w:val="auto"/>
                <w:w w:val="86"/>
              </w:rPr>
              <w:t>6.27%</w:t>
            </w:r>
          </w:p>
        </w:tc>
        <w:tc>
          <w:tcPr>
            <w:tcW w:w="1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6.56%</w:t>
            </w:r>
          </w:p>
        </w:tc>
        <w:tc>
          <w:tcPr>
            <w:tcW w:w="4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5.97%</w:t>
            </w:r>
          </w:p>
        </w:tc>
        <w:tc>
          <w:tcPr>
            <w:tcW w:w="100" w:type="dxa"/>
            <w:vAlign w:val="bottom"/>
            <w:shd w:val="clear" w:color="auto" w:fill="CCEEFF"/>
          </w:tcPr>
          <w:p>
            <w:pPr>
              <w:spacing w:after="0"/>
              <w:rPr>
                <w:sz w:val="18"/>
                <w:szCs w:val="18"/>
                <w:color w:val="auto"/>
              </w:rPr>
            </w:pPr>
          </w:p>
        </w:tc>
      </w:tr>
      <w:tr>
        <w:trPr>
          <w:trHeight w:val="216"/>
        </w:trPr>
        <w:tc>
          <w:tcPr>
            <w:tcW w:w="5240" w:type="dxa"/>
            <w:vAlign w:val="bottom"/>
          </w:tcPr>
          <w:p>
            <w:pPr>
              <w:spacing w:after="0"/>
              <w:rPr>
                <w:sz w:val="20"/>
                <w:szCs w:val="20"/>
                <w:color w:val="auto"/>
              </w:rPr>
            </w:pPr>
            <w:r>
              <w:rPr>
                <w:rFonts w:ascii="Arial" w:cs="Arial" w:eastAsia="Arial" w:hAnsi="Arial"/>
                <w:sz w:val="18"/>
                <w:szCs w:val="18"/>
                <w:color w:val="auto"/>
              </w:rPr>
              <w:t>Weighted-average discount rate for non-U.S. plan obligations</w:t>
            </w:r>
          </w:p>
        </w:tc>
        <w:tc>
          <w:tcPr>
            <w:tcW w:w="1300" w:type="dxa"/>
            <w:vAlign w:val="bottom"/>
            <w:gridSpan w:val="2"/>
          </w:tcPr>
          <w:p>
            <w:pPr>
              <w:jc w:val="right"/>
              <w:ind w:right="480"/>
              <w:spacing w:after="0"/>
              <w:rPr>
                <w:sz w:val="20"/>
                <w:szCs w:val="20"/>
                <w:color w:val="auto"/>
              </w:rPr>
            </w:pPr>
            <w:r>
              <w:rPr>
                <w:rFonts w:ascii="Arial" w:cs="Arial" w:eastAsia="Arial" w:hAnsi="Arial"/>
                <w:sz w:val="18"/>
                <w:szCs w:val="18"/>
                <w:color w:val="auto"/>
              </w:rPr>
              <w:t>5.23%</w:t>
            </w:r>
          </w:p>
        </w:tc>
        <w:tc>
          <w:tcPr>
            <w:tcW w:w="1180" w:type="dxa"/>
            <w:vAlign w:val="bottom"/>
            <w:tcBorders>
              <w:right w:val="single" w:sz="8" w:color="auto"/>
            </w:tcBorders>
            <w:gridSpan w:val="2"/>
          </w:tcPr>
          <w:p>
            <w:pPr>
              <w:jc w:val="right"/>
              <w:ind w:right="560"/>
              <w:spacing w:after="0"/>
              <w:rPr>
                <w:sz w:val="20"/>
                <w:szCs w:val="20"/>
                <w:color w:val="auto"/>
              </w:rPr>
            </w:pPr>
            <w:r>
              <w:rPr>
                <w:rFonts w:ascii="Arial" w:cs="Arial" w:eastAsia="Arial" w:hAnsi="Arial"/>
                <w:sz w:val="18"/>
                <w:szCs w:val="18"/>
                <w:color w:val="auto"/>
              </w:rPr>
              <w:t>5.82%</w:t>
            </w:r>
          </w:p>
        </w:tc>
        <w:tc>
          <w:tcPr>
            <w:tcW w:w="380" w:type="dxa"/>
            <w:vAlign w:val="bottom"/>
          </w:tcPr>
          <w:p>
            <w:pPr>
              <w:spacing w:after="0"/>
              <w:rPr>
                <w:sz w:val="18"/>
                <w:szCs w:val="18"/>
                <w:color w:val="auto"/>
              </w:rPr>
            </w:pPr>
          </w:p>
        </w:tc>
        <w:tc>
          <w:tcPr>
            <w:tcW w:w="660" w:type="dxa"/>
            <w:vAlign w:val="bottom"/>
          </w:tcPr>
          <w:p>
            <w:pPr>
              <w:ind w:left="200"/>
              <w:spacing w:after="0"/>
              <w:rPr>
                <w:sz w:val="20"/>
                <w:szCs w:val="20"/>
                <w:color w:val="auto"/>
              </w:rPr>
            </w:pPr>
            <w:r>
              <w:rPr>
                <w:rFonts w:ascii="Arial" w:cs="Arial" w:eastAsia="Arial" w:hAnsi="Arial"/>
                <w:sz w:val="18"/>
                <w:szCs w:val="18"/>
                <w:color w:val="auto"/>
                <w:w w:val="86"/>
              </w:rPr>
              <w:t>6.23%</w:t>
            </w:r>
          </w:p>
        </w:tc>
        <w:tc>
          <w:tcPr>
            <w:tcW w:w="1280" w:type="dxa"/>
            <w:vAlign w:val="bottom"/>
            <w:gridSpan w:val="2"/>
          </w:tcPr>
          <w:p>
            <w:pPr>
              <w:jc w:val="right"/>
              <w:spacing w:after="0"/>
              <w:rPr>
                <w:sz w:val="20"/>
                <w:szCs w:val="20"/>
                <w:color w:val="auto"/>
              </w:rPr>
            </w:pPr>
            <w:r>
              <w:rPr>
                <w:rFonts w:ascii="Arial" w:cs="Arial" w:eastAsia="Arial" w:hAnsi="Arial"/>
                <w:sz w:val="18"/>
                <w:szCs w:val="18"/>
                <w:color w:val="auto"/>
              </w:rPr>
              <w:t>5.77%</w:t>
            </w:r>
          </w:p>
        </w:tc>
        <w:tc>
          <w:tcPr>
            <w:tcW w:w="4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4.97%</w:t>
            </w:r>
          </w:p>
        </w:tc>
        <w:tc>
          <w:tcPr>
            <w:tcW w:w="100" w:type="dxa"/>
            <w:vAlign w:val="bottom"/>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728980" cy="889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20" w:lineRule="exact"/>
        <w:rPr>
          <w:sz w:val="20"/>
          <w:szCs w:val="20"/>
          <w:color w:val="auto"/>
        </w:rPr>
      </w:pPr>
    </w:p>
    <w:p>
      <w:pPr>
        <w:ind w:left="460" w:right="20" w:hanging="452"/>
        <w:spacing w:after="0" w:line="332" w:lineRule="auto"/>
        <w:tabs>
          <w:tab w:leader="none" w:pos="460" w:val="left"/>
        </w:tabs>
        <w:numPr>
          <w:ilvl w:val="0"/>
          <w:numId w:val="108"/>
        </w:numPr>
        <w:rPr>
          <w:rFonts w:ascii="Arial" w:cs="Arial" w:eastAsia="Arial" w:hAnsi="Arial"/>
          <w:sz w:val="16"/>
          <w:szCs w:val="16"/>
          <w:color w:val="auto"/>
        </w:rPr>
      </w:pPr>
      <w:r>
        <w:rPr>
          <w:rFonts w:ascii="Arial" w:cs="Arial" w:eastAsia="Arial" w:hAnsi="Arial"/>
          <w:sz w:val="16"/>
          <w:szCs w:val="16"/>
          <w:color w:val="auto"/>
        </w:rPr>
        <w:t>No remeasurement except for pension plans in the United Kingdom, Belgium, Germany, and Australia. The September 30, 2010 remeasurement of the U.S. hourly defined benefit pension plan had no effect on net pension expense in the nine months ended September 30, 2010.</w:t>
      </w:r>
    </w:p>
    <w:p>
      <w:pPr>
        <w:spacing w:after="0" w:line="85" w:lineRule="exact"/>
        <w:rPr>
          <w:sz w:val="20"/>
          <w:szCs w:val="20"/>
          <w:color w:val="auto"/>
        </w:rPr>
      </w:pPr>
    </w:p>
    <w:p>
      <w:pPr>
        <w:ind w:right="60" w:firstLine="228"/>
        <w:spacing w:after="0" w:line="259" w:lineRule="auto"/>
        <w:rPr>
          <w:sz w:val="20"/>
          <w:szCs w:val="20"/>
          <w:color w:val="auto"/>
        </w:rPr>
      </w:pPr>
      <w:r>
        <w:rPr>
          <w:rFonts w:ascii="Arial" w:cs="Arial" w:eastAsia="Arial" w:hAnsi="Arial"/>
          <w:sz w:val="18"/>
          <w:szCs w:val="18"/>
          <w:color w:val="auto"/>
        </w:rPr>
        <w:t>Significant differences in actual experience or significant changes in assumptions may materially affect the pension obligations. The effect of actual results differing from assumptions and the changing of assumptions are included in unamortized net actuarial gains and losses that are subject to amortization to expense over future periods.</w:t>
      </w:r>
    </w:p>
    <w:p>
      <w:pPr>
        <w:spacing w:after="0" w:line="140" w:lineRule="exact"/>
        <w:rPr>
          <w:sz w:val="20"/>
          <w:szCs w:val="20"/>
          <w:color w:val="auto"/>
        </w:rPr>
      </w:pPr>
    </w:p>
    <w:p>
      <w:pPr>
        <w:ind w:left="240"/>
        <w:spacing w:after="0"/>
        <w:rPr>
          <w:sz w:val="20"/>
          <w:szCs w:val="20"/>
          <w:color w:val="auto"/>
        </w:rPr>
      </w:pPr>
      <w:r>
        <w:rPr>
          <w:rFonts w:ascii="Arial" w:cs="Arial" w:eastAsia="Arial" w:hAnsi="Arial"/>
          <w:sz w:val="18"/>
          <w:szCs w:val="18"/>
          <w:color w:val="auto"/>
        </w:rPr>
        <w:t>The following table summarizes the unamortized actuarial (gain) loss (before tax) on pension plans (dollars in billions):</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780" w:type="dxa"/>
            <w:vAlign w:val="bottom"/>
          </w:tcPr>
          <w:p>
            <w:pPr>
              <w:spacing w:after="0"/>
              <w:rPr>
                <w:sz w:val="14"/>
                <w:szCs w:val="14"/>
                <w:color w:val="auto"/>
              </w:rPr>
            </w:pPr>
          </w:p>
        </w:tc>
        <w:tc>
          <w:tcPr>
            <w:tcW w:w="24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0" w:type="dxa"/>
            <w:vAlign w:val="bottom"/>
            <w:gridSpan w:val="2"/>
          </w:tcPr>
          <w:p>
            <w:pPr>
              <w:jc w:val="right"/>
              <w:spacing w:after="0"/>
              <w:rPr>
                <w:sz w:val="20"/>
                <w:szCs w:val="20"/>
                <w:color w:val="auto"/>
              </w:rPr>
            </w:pPr>
            <w:r>
              <w:rPr>
                <w:rFonts w:ascii="Arial" w:cs="Arial" w:eastAsia="Arial" w:hAnsi="Arial"/>
                <w:sz w:val="14"/>
                <w:szCs w:val="14"/>
                <w:b w:val="1"/>
                <w:bCs w:val="1"/>
                <w:color w:val="auto"/>
              </w:rPr>
              <w:t>Successor</w:t>
            </w: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80" w:type="dxa"/>
            <w:vAlign w:val="bottom"/>
            <w:tcBorders>
              <w:right w:val="single" w:sz="8" w:color="auto"/>
            </w:tcBorders>
          </w:tcPr>
          <w:p>
            <w:pPr>
              <w:spacing w:after="0"/>
              <w:rPr>
                <w:sz w:val="14"/>
                <w:szCs w:val="14"/>
                <w:color w:val="auto"/>
              </w:rPr>
            </w:pPr>
          </w:p>
        </w:tc>
        <w:tc>
          <w:tcPr>
            <w:tcW w:w="440" w:type="dxa"/>
            <w:vAlign w:val="bottom"/>
          </w:tcPr>
          <w:p>
            <w:pPr>
              <w:spacing w:after="0"/>
              <w:rPr>
                <w:sz w:val="14"/>
                <w:szCs w:val="14"/>
                <w:color w:val="auto"/>
              </w:rPr>
            </w:pPr>
          </w:p>
        </w:tc>
        <w:tc>
          <w:tcPr>
            <w:tcW w:w="900" w:type="dxa"/>
            <w:vAlign w:val="bottom"/>
            <w:gridSpan w:val="3"/>
          </w:tcPr>
          <w:p>
            <w:pPr>
              <w:jc w:val="center"/>
              <w:ind w:right="80"/>
              <w:spacing w:after="0"/>
              <w:rPr>
                <w:sz w:val="20"/>
                <w:szCs w:val="20"/>
                <w:color w:val="auto"/>
              </w:rPr>
            </w:pPr>
            <w:r>
              <w:rPr>
                <w:rFonts w:ascii="Arial" w:cs="Arial" w:eastAsia="Arial" w:hAnsi="Arial"/>
                <w:sz w:val="14"/>
                <w:szCs w:val="14"/>
                <w:b w:val="1"/>
                <w:bCs w:val="1"/>
                <w:color w:val="auto"/>
                <w:w w:val="83"/>
              </w:rPr>
              <w:t>Predecessor</w:t>
            </w:r>
          </w:p>
        </w:tc>
      </w:tr>
      <w:tr>
        <w:trPr>
          <w:trHeight w:val="129"/>
        </w:trPr>
        <w:tc>
          <w:tcPr>
            <w:tcW w:w="4780" w:type="dxa"/>
            <w:vAlign w:val="bottom"/>
          </w:tcPr>
          <w:p>
            <w:pPr>
              <w:spacing w:after="0"/>
              <w:rPr>
                <w:sz w:val="11"/>
                <w:szCs w:val="11"/>
                <w:color w:val="auto"/>
              </w:rPr>
            </w:pPr>
          </w:p>
        </w:tc>
        <w:tc>
          <w:tcPr>
            <w:tcW w:w="2440" w:type="dxa"/>
            <w:vAlign w:val="bottom"/>
          </w:tcPr>
          <w:p>
            <w:pPr>
              <w:spacing w:after="0"/>
              <w:rPr>
                <w:sz w:val="11"/>
                <w:szCs w:val="11"/>
                <w:color w:val="auto"/>
              </w:rPr>
            </w:pPr>
          </w:p>
        </w:tc>
        <w:tc>
          <w:tcPr>
            <w:tcW w:w="1380" w:type="dxa"/>
            <w:vAlign w:val="bottom"/>
            <w:tcBorders>
              <w:top w:val="single" w:sz="8" w:color="auto"/>
            </w:tcBorders>
            <w:gridSpan w:val="3"/>
          </w:tcPr>
          <w:p>
            <w:pPr>
              <w:spacing w:after="0" w:line="129" w:lineRule="exact"/>
              <w:rPr>
                <w:sz w:val="20"/>
                <w:szCs w:val="20"/>
                <w:color w:val="auto"/>
              </w:rPr>
            </w:pPr>
            <w:r>
              <w:rPr>
                <w:rFonts w:ascii="Arial" w:cs="Arial" w:eastAsia="Arial" w:hAnsi="Arial"/>
                <w:sz w:val="14"/>
                <w:szCs w:val="14"/>
                <w:b w:val="1"/>
                <w:bCs w:val="1"/>
                <w:color w:val="auto"/>
              </w:rPr>
              <w:t>September 30,</w:t>
            </w:r>
          </w:p>
        </w:tc>
        <w:tc>
          <w:tcPr>
            <w:tcW w:w="20" w:type="dxa"/>
            <w:vAlign w:val="bottom"/>
            <w:tcBorders>
              <w:top w:val="single" w:sz="8" w:color="auto"/>
            </w:tcBorders>
          </w:tcPr>
          <w:p>
            <w:pPr>
              <w:spacing w:after="0"/>
              <w:rPr>
                <w:sz w:val="11"/>
                <w:szCs w:val="11"/>
                <w:color w:val="auto"/>
              </w:rPr>
            </w:pPr>
          </w:p>
        </w:tc>
        <w:tc>
          <w:tcPr>
            <w:tcW w:w="780" w:type="dxa"/>
            <w:vAlign w:val="bottom"/>
            <w:tcBorders>
              <w:top w:val="single" w:sz="8" w:color="auto"/>
            </w:tcBorders>
            <w:gridSpan w:val="2"/>
          </w:tcPr>
          <w:p>
            <w:pPr>
              <w:spacing w:after="0" w:line="129" w:lineRule="exact"/>
              <w:rPr>
                <w:sz w:val="20"/>
                <w:szCs w:val="20"/>
                <w:color w:val="auto"/>
              </w:rPr>
            </w:pPr>
            <w:r>
              <w:rPr>
                <w:rFonts w:ascii="Arial" w:cs="Arial" w:eastAsia="Arial" w:hAnsi="Arial"/>
                <w:sz w:val="14"/>
                <w:szCs w:val="14"/>
                <w:b w:val="1"/>
                <w:bCs w:val="1"/>
                <w:color w:val="auto"/>
                <w:w w:val="83"/>
              </w:rPr>
              <w:t>December 31,</w:t>
            </w:r>
          </w:p>
        </w:tc>
        <w:tc>
          <w:tcPr>
            <w:tcW w:w="680" w:type="dxa"/>
            <w:vAlign w:val="bottom"/>
            <w:tcBorders>
              <w:right w:val="single" w:sz="8" w:color="auto"/>
            </w:tcBorders>
          </w:tcPr>
          <w:p>
            <w:pPr>
              <w:spacing w:after="0"/>
              <w:rPr>
                <w:sz w:val="11"/>
                <w:szCs w:val="11"/>
                <w:color w:val="auto"/>
              </w:rPr>
            </w:pPr>
          </w:p>
        </w:tc>
        <w:tc>
          <w:tcPr>
            <w:tcW w:w="440" w:type="dxa"/>
            <w:vAlign w:val="bottom"/>
          </w:tcPr>
          <w:p>
            <w:pPr>
              <w:spacing w:after="0"/>
              <w:rPr>
                <w:sz w:val="11"/>
                <w:szCs w:val="11"/>
                <w:color w:val="auto"/>
              </w:rPr>
            </w:pPr>
          </w:p>
        </w:tc>
        <w:tc>
          <w:tcPr>
            <w:tcW w:w="800" w:type="dxa"/>
            <w:vAlign w:val="bottom"/>
            <w:tcBorders>
              <w:top w:val="single" w:sz="8" w:color="auto"/>
            </w:tcBorders>
            <w:gridSpan w:val="2"/>
          </w:tcPr>
          <w:p>
            <w:pPr>
              <w:jc w:val="center"/>
              <w:spacing w:after="0" w:line="129" w:lineRule="exact"/>
              <w:rPr>
                <w:sz w:val="20"/>
                <w:szCs w:val="20"/>
                <w:color w:val="auto"/>
              </w:rPr>
            </w:pPr>
            <w:r>
              <w:rPr>
                <w:rFonts w:ascii="Arial" w:cs="Arial" w:eastAsia="Arial" w:hAnsi="Arial"/>
                <w:sz w:val="14"/>
                <w:szCs w:val="14"/>
                <w:b w:val="1"/>
                <w:bCs w:val="1"/>
                <w:color w:val="auto"/>
                <w:w w:val="85"/>
              </w:rPr>
              <w:t>December 31,</w:t>
            </w:r>
          </w:p>
        </w:tc>
        <w:tc>
          <w:tcPr>
            <w:tcW w:w="100" w:type="dxa"/>
            <w:vAlign w:val="bottom"/>
          </w:tcPr>
          <w:p>
            <w:pPr>
              <w:spacing w:after="0"/>
              <w:rPr>
                <w:sz w:val="11"/>
                <w:szCs w:val="11"/>
                <w:color w:val="auto"/>
              </w:rPr>
            </w:pPr>
          </w:p>
        </w:tc>
      </w:tr>
      <w:tr>
        <w:trPr>
          <w:trHeight w:val="161"/>
        </w:trPr>
        <w:tc>
          <w:tcPr>
            <w:tcW w:w="4780" w:type="dxa"/>
            <w:vAlign w:val="bottom"/>
          </w:tcPr>
          <w:p>
            <w:pPr>
              <w:spacing w:after="0"/>
              <w:rPr>
                <w:sz w:val="14"/>
                <w:szCs w:val="14"/>
                <w:color w:val="auto"/>
              </w:rPr>
            </w:pPr>
          </w:p>
        </w:tc>
        <w:tc>
          <w:tcPr>
            <w:tcW w:w="244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206"/>
              <w:spacing w:after="0"/>
              <w:rPr>
                <w:sz w:val="20"/>
                <w:szCs w:val="20"/>
                <w:color w:val="auto"/>
              </w:rPr>
            </w:pPr>
            <w:r>
              <w:rPr>
                <w:rFonts w:ascii="Arial" w:cs="Arial" w:eastAsia="Arial" w:hAnsi="Arial"/>
                <w:sz w:val="14"/>
                <w:szCs w:val="14"/>
                <w:b w:val="1"/>
                <w:bCs w:val="1"/>
                <w:color w:val="auto"/>
              </w:rPr>
              <w:t>2010</w:t>
            </w:r>
          </w:p>
        </w:tc>
        <w:tc>
          <w:tcPr>
            <w:tcW w:w="5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ind w:right="182"/>
              <w:spacing w:after="0"/>
              <w:rPr>
                <w:sz w:val="20"/>
                <w:szCs w:val="20"/>
                <w:color w:val="auto"/>
              </w:rPr>
            </w:pPr>
            <w:r>
              <w:rPr>
                <w:rFonts w:ascii="Arial" w:cs="Arial" w:eastAsia="Arial" w:hAnsi="Arial"/>
                <w:sz w:val="14"/>
                <w:szCs w:val="14"/>
                <w:b w:val="1"/>
                <w:bCs w:val="1"/>
                <w:color w:val="auto"/>
              </w:rPr>
              <w:t>2009</w:t>
            </w:r>
          </w:p>
        </w:tc>
        <w:tc>
          <w:tcPr>
            <w:tcW w:w="680" w:type="dxa"/>
            <w:vAlign w:val="bottom"/>
            <w:tcBorders>
              <w:right w:val="single" w:sz="8" w:color="auto"/>
            </w:tcBorders>
          </w:tcPr>
          <w:p>
            <w:pPr>
              <w:spacing w:after="0"/>
              <w:rPr>
                <w:sz w:val="14"/>
                <w:szCs w:val="14"/>
                <w:color w:val="auto"/>
              </w:rPr>
            </w:pPr>
          </w:p>
        </w:tc>
        <w:tc>
          <w:tcPr>
            <w:tcW w:w="44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center"/>
              <w:ind w:right="82"/>
              <w:spacing w:after="0"/>
              <w:rPr>
                <w:sz w:val="20"/>
                <w:szCs w:val="20"/>
                <w:color w:val="auto"/>
              </w:rPr>
            </w:pPr>
            <w:r>
              <w:rPr>
                <w:rFonts w:ascii="Arial" w:cs="Arial" w:eastAsia="Arial" w:hAnsi="Arial"/>
                <w:sz w:val="14"/>
                <w:szCs w:val="14"/>
                <w:b w:val="1"/>
                <w:bCs w:val="1"/>
                <w:color w:val="auto"/>
                <w:w w:val="83"/>
              </w:rPr>
              <w:t>2008</w:t>
            </w:r>
          </w:p>
        </w:tc>
        <w:tc>
          <w:tcPr>
            <w:tcW w:w="100" w:type="dxa"/>
            <w:vAlign w:val="bottom"/>
          </w:tcPr>
          <w:p>
            <w:pPr>
              <w:spacing w:after="0"/>
              <w:rPr>
                <w:sz w:val="14"/>
                <w:szCs w:val="14"/>
                <w:color w:val="auto"/>
              </w:rPr>
            </w:pPr>
          </w:p>
        </w:tc>
      </w:tr>
      <w:tr>
        <w:trPr>
          <w:trHeight w:val="210"/>
        </w:trPr>
        <w:tc>
          <w:tcPr>
            <w:tcW w:w="4780" w:type="dxa"/>
            <w:vAlign w:val="bottom"/>
            <w:shd w:val="clear" w:color="auto" w:fill="CCEEFF"/>
          </w:tcPr>
          <w:p>
            <w:pPr>
              <w:spacing w:after="0"/>
              <w:rPr>
                <w:sz w:val="20"/>
                <w:szCs w:val="20"/>
                <w:color w:val="auto"/>
              </w:rPr>
            </w:pPr>
            <w:r>
              <w:rPr>
                <w:rFonts w:ascii="Arial" w:cs="Arial" w:eastAsia="Arial" w:hAnsi="Arial"/>
                <w:sz w:val="18"/>
                <w:szCs w:val="18"/>
                <w:color w:val="auto"/>
              </w:rPr>
              <w:t>Unamortized actuarial (gain) loss</w:t>
            </w:r>
          </w:p>
        </w:tc>
        <w:tc>
          <w:tcPr>
            <w:tcW w:w="2620" w:type="dxa"/>
            <w:vAlign w:val="bottom"/>
            <w:gridSpan w:val="2"/>
            <w:shd w:val="clear" w:color="auto" w:fill="CCEEFF"/>
          </w:tcPr>
          <w:p>
            <w:pPr>
              <w:ind w:left="2440"/>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(0.2)</w:t>
            </w:r>
          </w:p>
        </w:tc>
        <w:tc>
          <w:tcPr>
            <w:tcW w:w="1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300" w:type="dxa"/>
            <w:vAlign w:val="bottom"/>
            <w:tcBorders>
              <w:right w:val="single" w:sz="8" w:color="auto"/>
            </w:tcBorders>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(3.0)</w:t>
            </w:r>
          </w:p>
        </w:tc>
        <w:tc>
          <w:tcPr>
            <w:tcW w:w="620" w:type="dxa"/>
            <w:vAlign w:val="bottom"/>
            <w:gridSpan w:val="2"/>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41.1</w:t>
            </w:r>
          </w:p>
        </w:tc>
        <w:tc>
          <w:tcPr>
            <w:tcW w:w="100" w:type="dxa"/>
            <w:vAlign w:val="bottom"/>
            <w:shd w:val="clear" w:color="auto" w:fill="CCEEFF"/>
          </w:tcPr>
          <w:p>
            <w:pPr>
              <w:spacing w:after="0"/>
              <w:rPr>
                <w:sz w:val="18"/>
                <w:szCs w:val="18"/>
                <w:color w:val="auto"/>
              </w:rPr>
            </w:pPr>
          </w:p>
        </w:tc>
      </w:tr>
    </w:tbl>
    <w:p>
      <w:pPr>
        <w:spacing w:after="0" w:line="154" w:lineRule="exact"/>
        <w:rPr>
          <w:sz w:val="20"/>
          <w:szCs w:val="20"/>
          <w:color w:val="auto"/>
        </w:rPr>
      </w:pPr>
    </w:p>
    <w:p>
      <w:pPr>
        <w:ind w:right="40" w:firstLine="228"/>
        <w:spacing w:after="0" w:line="259" w:lineRule="auto"/>
        <w:rPr>
          <w:sz w:val="20"/>
          <w:szCs w:val="20"/>
          <w:color w:val="auto"/>
        </w:rPr>
      </w:pPr>
      <w:r>
        <w:rPr>
          <w:rFonts w:ascii="Arial" w:cs="Arial" w:eastAsia="Arial" w:hAnsi="Arial"/>
          <w:sz w:val="18"/>
          <w:szCs w:val="18"/>
          <w:color w:val="auto"/>
        </w:rPr>
        <w:t>The unamortized actuarial gain of $0.2 billion at September 30, 2010, reflects the December 31, 2009 amount updated for accounting activity in the nine months ended September 30, 2010, arising primarily from the remeasurements in the non-U.S. pension plans resulting in a $0.4 billion loss and remeasurement of the U.S. hourly defined benefit pension plan resulting in a $2.4 billion loss.</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138</w:t>
      </w:r>
    </w:p>
    <w:p>
      <w:pPr>
        <w:sectPr>
          <w:pgSz w:w="11900" w:h="16838" w:orient="portrait"/>
          <w:cols w:equalWidth="0" w:num="1">
            <w:col w:w="11420"/>
          </w:cols>
          <w:pgMar w:left="240" w:top="459" w:right="239" w:bottom="1440" w:gutter="0" w:footer="0" w:header="0"/>
        </w:sectPr>
      </w:pPr>
    </w:p>
    <w:bookmarkStart w:id="140" w:name="page141"/>
    <w:bookmarkEnd w:id="14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339" w:lineRule="exact"/>
        <w:rPr>
          <w:sz w:val="20"/>
          <w:szCs w:val="20"/>
          <w:color w:val="auto"/>
        </w:rPr>
      </w:pPr>
    </w:p>
    <w:p>
      <w:pPr>
        <w:ind w:left="240"/>
        <w:spacing w:after="0"/>
        <w:rPr>
          <w:sz w:val="20"/>
          <w:szCs w:val="20"/>
          <w:color w:val="auto"/>
        </w:rPr>
      </w:pPr>
      <w:r>
        <w:rPr>
          <w:rFonts w:ascii="Arial" w:cs="Arial" w:eastAsia="Arial" w:hAnsi="Arial"/>
          <w:sz w:val="18"/>
          <w:szCs w:val="18"/>
          <w:color w:val="auto"/>
        </w:rPr>
        <w:t>The following table summarizes the actual and expected return on pension plan assets (dollars in billions):</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820" w:type="dxa"/>
            <w:vAlign w:val="bottom"/>
          </w:tcPr>
          <w:p>
            <w:pPr>
              <w:spacing w:after="0"/>
              <w:rPr>
                <w:sz w:val="14"/>
                <w:szCs w:val="14"/>
                <w:color w:val="auto"/>
              </w:rPr>
            </w:pPr>
          </w:p>
        </w:tc>
        <w:tc>
          <w:tcPr>
            <w:tcW w:w="196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center"/>
              <w:ind w:right="41"/>
              <w:spacing w:after="0"/>
              <w:rPr>
                <w:sz w:val="20"/>
                <w:szCs w:val="20"/>
                <w:color w:val="auto"/>
              </w:rPr>
            </w:pPr>
            <w:r>
              <w:rPr>
                <w:rFonts w:ascii="Arial" w:cs="Arial" w:eastAsia="Arial" w:hAnsi="Arial"/>
                <w:sz w:val="14"/>
                <w:szCs w:val="14"/>
                <w:b w:val="1"/>
                <w:bCs w:val="1"/>
                <w:color w:val="auto"/>
                <w:w w:val="79"/>
              </w:rPr>
              <w:t>Successor</w:t>
            </w:r>
          </w:p>
        </w:tc>
        <w:tc>
          <w:tcPr>
            <w:tcW w:w="720" w:type="dxa"/>
            <w:vAlign w:val="bottom"/>
            <w:tcBorders>
              <w:right w:val="single" w:sz="8" w:color="auto"/>
            </w:tcBorders>
          </w:tcPr>
          <w:p>
            <w:pPr>
              <w:spacing w:after="0"/>
              <w:rPr>
                <w:sz w:val="14"/>
                <w:szCs w:val="14"/>
                <w:color w:val="auto"/>
              </w:rPr>
            </w:pPr>
          </w:p>
        </w:tc>
        <w:tc>
          <w:tcPr>
            <w:tcW w:w="5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gridSpan w:val="2"/>
          </w:tcPr>
          <w:p>
            <w:pPr>
              <w:jc w:val="right"/>
              <w:ind w:right="320"/>
              <w:spacing w:after="0"/>
              <w:rPr>
                <w:sz w:val="20"/>
                <w:szCs w:val="20"/>
                <w:color w:val="auto"/>
              </w:rPr>
            </w:pPr>
            <w:r>
              <w:rPr>
                <w:rFonts w:ascii="Arial" w:cs="Arial" w:eastAsia="Arial" w:hAnsi="Arial"/>
                <w:sz w:val="14"/>
                <w:szCs w:val="14"/>
                <w:b w:val="1"/>
                <w:bCs w:val="1"/>
                <w:color w:val="auto"/>
                <w:w w:val="80"/>
              </w:rPr>
              <w:t>Predecessor</w:t>
            </w:r>
          </w:p>
        </w:tc>
        <w:tc>
          <w:tcPr>
            <w:tcW w:w="28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29"/>
        </w:trPr>
        <w:tc>
          <w:tcPr>
            <w:tcW w:w="3820" w:type="dxa"/>
            <w:vAlign w:val="bottom"/>
          </w:tcPr>
          <w:p>
            <w:pPr>
              <w:spacing w:after="0"/>
              <w:rPr>
                <w:sz w:val="11"/>
                <w:szCs w:val="11"/>
                <w:color w:val="auto"/>
              </w:rPr>
            </w:pPr>
          </w:p>
        </w:tc>
        <w:tc>
          <w:tcPr>
            <w:tcW w:w="19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Borders>
              <w:right w:val="single" w:sz="8" w:color="auto"/>
            </w:tcBorders>
          </w:tcPr>
          <w:p>
            <w:pPr>
              <w:spacing w:after="0"/>
              <w:rPr>
                <w:sz w:val="11"/>
                <w:szCs w:val="11"/>
                <w:color w:val="auto"/>
              </w:rPr>
            </w:pPr>
          </w:p>
        </w:tc>
        <w:tc>
          <w:tcPr>
            <w:tcW w:w="520" w:type="dxa"/>
            <w:vAlign w:val="bottom"/>
          </w:tcPr>
          <w:p>
            <w:pPr>
              <w:spacing w:after="0"/>
              <w:rPr>
                <w:sz w:val="11"/>
                <w:szCs w:val="11"/>
                <w:color w:val="auto"/>
              </w:rPr>
            </w:pPr>
          </w:p>
        </w:tc>
        <w:tc>
          <w:tcPr>
            <w:tcW w:w="1300" w:type="dxa"/>
            <w:vAlign w:val="bottom"/>
            <w:gridSpan w:val="3"/>
          </w:tcPr>
          <w:p>
            <w:pPr>
              <w:ind w:left="20"/>
              <w:spacing w:after="0" w:line="129" w:lineRule="exact"/>
              <w:rPr>
                <w:sz w:val="20"/>
                <w:szCs w:val="20"/>
                <w:color w:val="auto"/>
              </w:rPr>
            </w:pPr>
            <w:r>
              <w:rPr>
                <w:rFonts w:ascii="Arial" w:cs="Arial" w:eastAsia="Arial" w:hAnsi="Arial"/>
                <w:sz w:val="14"/>
                <w:szCs w:val="14"/>
                <w:b w:val="1"/>
                <w:bCs w:val="1"/>
                <w:color w:val="auto"/>
              </w:rPr>
              <w:t>January 1,</w:t>
            </w: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149"/>
        </w:trPr>
        <w:tc>
          <w:tcPr>
            <w:tcW w:w="3820" w:type="dxa"/>
            <w:vAlign w:val="bottom"/>
          </w:tcPr>
          <w:p>
            <w:pPr>
              <w:spacing w:after="0"/>
              <w:rPr>
                <w:sz w:val="12"/>
                <w:szCs w:val="12"/>
                <w:color w:val="auto"/>
              </w:rPr>
            </w:pPr>
          </w:p>
        </w:tc>
        <w:tc>
          <w:tcPr>
            <w:tcW w:w="1960" w:type="dxa"/>
            <w:vAlign w:val="bottom"/>
          </w:tcPr>
          <w:p>
            <w:pPr>
              <w:spacing w:after="0"/>
              <w:rPr>
                <w:sz w:val="12"/>
                <w:szCs w:val="12"/>
                <w:color w:val="auto"/>
              </w:rPr>
            </w:pPr>
          </w:p>
        </w:tc>
        <w:tc>
          <w:tcPr>
            <w:tcW w:w="800" w:type="dxa"/>
            <w:vAlign w:val="bottom"/>
            <w:gridSpan w:val="2"/>
          </w:tcPr>
          <w:p>
            <w:pPr>
              <w:ind w:left="20"/>
              <w:spacing w:after="0" w:line="149" w:lineRule="exact"/>
              <w:rPr>
                <w:sz w:val="20"/>
                <w:szCs w:val="20"/>
                <w:color w:val="auto"/>
              </w:rPr>
            </w:pPr>
            <w:r>
              <w:rPr>
                <w:rFonts w:ascii="Arial" w:cs="Arial" w:eastAsia="Arial" w:hAnsi="Arial"/>
                <w:sz w:val="14"/>
                <w:szCs w:val="14"/>
                <w:b w:val="1"/>
                <w:bCs w:val="1"/>
                <w:color w:val="auto"/>
                <w:w w:val="87"/>
              </w:rPr>
              <w:t>July 10, 2009</w:t>
            </w:r>
          </w:p>
        </w:tc>
        <w:tc>
          <w:tcPr>
            <w:tcW w:w="720" w:type="dxa"/>
            <w:vAlign w:val="bottom"/>
            <w:tcBorders>
              <w:right w:val="single" w:sz="8" w:color="auto"/>
            </w:tcBorders>
          </w:tcPr>
          <w:p>
            <w:pPr>
              <w:spacing w:after="0"/>
              <w:rPr>
                <w:sz w:val="12"/>
                <w:szCs w:val="12"/>
                <w:color w:val="auto"/>
              </w:rPr>
            </w:pPr>
          </w:p>
        </w:tc>
        <w:tc>
          <w:tcPr>
            <w:tcW w:w="5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jc w:val="center"/>
              <w:ind w:right="21"/>
              <w:spacing w:after="0" w:line="149" w:lineRule="exact"/>
              <w:rPr>
                <w:sz w:val="20"/>
                <w:szCs w:val="20"/>
                <w:color w:val="auto"/>
              </w:rPr>
            </w:pPr>
            <w:r>
              <w:rPr>
                <w:rFonts w:ascii="Arial" w:cs="Arial" w:eastAsia="Arial" w:hAnsi="Arial"/>
                <w:sz w:val="14"/>
                <w:szCs w:val="14"/>
                <w:b w:val="1"/>
                <w:bCs w:val="1"/>
                <w:color w:val="auto"/>
                <w:w w:val="89"/>
              </w:rPr>
              <w:t>2009</w:t>
            </w: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49"/>
        </w:trPr>
        <w:tc>
          <w:tcPr>
            <w:tcW w:w="3820" w:type="dxa"/>
            <w:vAlign w:val="bottom"/>
          </w:tcPr>
          <w:p>
            <w:pPr>
              <w:spacing w:after="0"/>
              <w:rPr>
                <w:sz w:val="12"/>
                <w:szCs w:val="12"/>
                <w:color w:val="auto"/>
              </w:rPr>
            </w:pPr>
          </w:p>
        </w:tc>
        <w:tc>
          <w:tcPr>
            <w:tcW w:w="19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jc w:val="center"/>
              <w:ind w:right="21"/>
              <w:spacing w:after="0" w:line="149" w:lineRule="exact"/>
              <w:rPr>
                <w:sz w:val="20"/>
                <w:szCs w:val="20"/>
                <w:color w:val="auto"/>
              </w:rPr>
            </w:pPr>
            <w:r>
              <w:rPr>
                <w:rFonts w:ascii="Arial" w:cs="Arial" w:eastAsia="Arial" w:hAnsi="Arial"/>
                <w:sz w:val="14"/>
                <w:szCs w:val="14"/>
                <w:b w:val="1"/>
                <w:bCs w:val="1"/>
                <w:color w:val="auto"/>
                <w:w w:val="87"/>
              </w:rPr>
              <w:t>Through</w:t>
            </w:r>
          </w:p>
        </w:tc>
        <w:tc>
          <w:tcPr>
            <w:tcW w:w="720" w:type="dxa"/>
            <w:vAlign w:val="bottom"/>
            <w:tcBorders>
              <w:right w:val="single" w:sz="8" w:color="auto"/>
            </w:tcBorders>
          </w:tcPr>
          <w:p>
            <w:pPr>
              <w:spacing w:after="0"/>
              <w:rPr>
                <w:sz w:val="12"/>
                <w:szCs w:val="12"/>
                <w:color w:val="auto"/>
              </w:rPr>
            </w:pPr>
          </w:p>
        </w:tc>
        <w:tc>
          <w:tcPr>
            <w:tcW w:w="520" w:type="dxa"/>
            <w:vAlign w:val="bottom"/>
          </w:tcPr>
          <w:p>
            <w:pPr>
              <w:spacing w:after="0"/>
              <w:rPr>
                <w:sz w:val="12"/>
                <w:szCs w:val="12"/>
                <w:color w:val="auto"/>
              </w:rPr>
            </w:pPr>
          </w:p>
        </w:tc>
        <w:tc>
          <w:tcPr>
            <w:tcW w:w="1300" w:type="dxa"/>
            <w:vAlign w:val="bottom"/>
            <w:gridSpan w:val="3"/>
          </w:tcPr>
          <w:p>
            <w:pPr>
              <w:jc w:val="center"/>
              <w:ind w:right="620"/>
              <w:spacing w:after="0" w:line="149" w:lineRule="exact"/>
              <w:rPr>
                <w:sz w:val="20"/>
                <w:szCs w:val="20"/>
                <w:color w:val="auto"/>
              </w:rPr>
            </w:pPr>
            <w:r>
              <w:rPr>
                <w:rFonts w:ascii="Arial" w:cs="Arial" w:eastAsia="Arial" w:hAnsi="Arial"/>
                <w:sz w:val="14"/>
                <w:szCs w:val="14"/>
                <w:b w:val="1"/>
                <w:bCs w:val="1"/>
                <w:color w:val="auto"/>
                <w:w w:val="91"/>
              </w:rPr>
              <w:t>Through</w:t>
            </w:r>
          </w:p>
        </w:tc>
        <w:tc>
          <w:tcPr>
            <w:tcW w:w="1120" w:type="dxa"/>
            <w:vAlign w:val="bottom"/>
            <w:gridSpan w:val="3"/>
          </w:tcPr>
          <w:p>
            <w:pPr>
              <w:jc w:val="center"/>
              <w:ind w:right="360"/>
              <w:spacing w:after="0" w:line="149" w:lineRule="exact"/>
              <w:rPr>
                <w:sz w:val="20"/>
                <w:szCs w:val="20"/>
                <w:color w:val="auto"/>
              </w:rPr>
            </w:pPr>
            <w:r>
              <w:rPr>
                <w:rFonts w:ascii="Arial" w:cs="Arial" w:eastAsia="Arial" w:hAnsi="Arial"/>
                <w:sz w:val="14"/>
                <w:szCs w:val="14"/>
                <w:b w:val="1"/>
                <w:bCs w:val="1"/>
                <w:color w:val="auto"/>
                <w:w w:val="88"/>
              </w:rPr>
              <w:t>Year Ended</w:t>
            </w:r>
          </w:p>
        </w:tc>
        <w:tc>
          <w:tcPr>
            <w:tcW w:w="280" w:type="dxa"/>
            <w:vAlign w:val="bottom"/>
          </w:tcPr>
          <w:p>
            <w:pPr>
              <w:spacing w:after="0"/>
              <w:rPr>
                <w:sz w:val="12"/>
                <w:szCs w:val="12"/>
                <w:color w:val="auto"/>
              </w:rPr>
            </w:pPr>
          </w:p>
        </w:tc>
        <w:tc>
          <w:tcPr>
            <w:tcW w:w="900" w:type="dxa"/>
            <w:vAlign w:val="bottom"/>
            <w:gridSpan w:val="3"/>
          </w:tcPr>
          <w:p>
            <w:pPr>
              <w:ind w:left="60"/>
              <w:spacing w:after="0" w:line="149" w:lineRule="exact"/>
              <w:rPr>
                <w:sz w:val="20"/>
                <w:szCs w:val="20"/>
                <w:color w:val="auto"/>
              </w:rPr>
            </w:pPr>
            <w:r>
              <w:rPr>
                <w:rFonts w:ascii="Arial" w:cs="Arial" w:eastAsia="Arial" w:hAnsi="Arial"/>
                <w:sz w:val="14"/>
                <w:szCs w:val="14"/>
                <w:b w:val="1"/>
                <w:bCs w:val="1"/>
                <w:color w:val="auto"/>
              </w:rPr>
              <w:t>Year Ended</w:t>
            </w:r>
          </w:p>
        </w:tc>
      </w:tr>
      <w:tr>
        <w:trPr>
          <w:trHeight w:val="149"/>
        </w:trPr>
        <w:tc>
          <w:tcPr>
            <w:tcW w:w="3820" w:type="dxa"/>
            <w:vAlign w:val="bottom"/>
          </w:tcPr>
          <w:p>
            <w:pPr>
              <w:spacing w:after="0"/>
              <w:rPr>
                <w:sz w:val="12"/>
                <w:szCs w:val="12"/>
                <w:color w:val="auto"/>
              </w:rPr>
            </w:pPr>
          </w:p>
        </w:tc>
        <w:tc>
          <w:tcPr>
            <w:tcW w:w="1960" w:type="dxa"/>
            <w:vAlign w:val="bottom"/>
          </w:tcPr>
          <w:p>
            <w:pPr>
              <w:spacing w:after="0"/>
              <w:rPr>
                <w:sz w:val="12"/>
                <w:szCs w:val="12"/>
                <w:color w:val="auto"/>
              </w:rPr>
            </w:pPr>
          </w:p>
        </w:tc>
        <w:tc>
          <w:tcPr>
            <w:tcW w:w="800" w:type="dxa"/>
            <w:vAlign w:val="bottom"/>
            <w:gridSpan w:val="2"/>
          </w:tcPr>
          <w:p>
            <w:pPr>
              <w:ind w:left="20"/>
              <w:spacing w:after="0" w:line="149" w:lineRule="exact"/>
              <w:rPr>
                <w:sz w:val="20"/>
                <w:szCs w:val="20"/>
                <w:color w:val="auto"/>
              </w:rPr>
            </w:pPr>
            <w:r>
              <w:rPr>
                <w:rFonts w:ascii="Arial" w:cs="Arial" w:eastAsia="Arial" w:hAnsi="Arial"/>
                <w:sz w:val="14"/>
                <w:szCs w:val="14"/>
                <w:b w:val="1"/>
                <w:bCs w:val="1"/>
                <w:color w:val="auto"/>
                <w:w w:val="83"/>
              </w:rPr>
              <w:t>December 31,</w:t>
            </w:r>
          </w:p>
        </w:tc>
        <w:tc>
          <w:tcPr>
            <w:tcW w:w="720" w:type="dxa"/>
            <w:vAlign w:val="bottom"/>
            <w:tcBorders>
              <w:right w:val="single" w:sz="8" w:color="auto"/>
            </w:tcBorders>
          </w:tcPr>
          <w:p>
            <w:pPr>
              <w:spacing w:after="0"/>
              <w:rPr>
                <w:sz w:val="12"/>
                <w:szCs w:val="12"/>
                <w:color w:val="auto"/>
              </w:rPr>
            </w:pPr>
          </w:p>
        </w:tc>
        <w:tc>
          <w:tcPr>
            <w:tcW w:w="5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80" w:type="dxa"/>
            <w:vAlign w:val="bottom"/>
            <w:gridSpan w:val="2"/>
          </w:tcPr>
          <w:p>
            <w:pPr>
              <w:jc w:val="center"/>
              <w:ind w:right="760"/>
              <w:spacing w:after="0" w:line="149" w:lineRule="exact"/>
              <w:rPr>
                <w:sz w:val="20"/>
                <w:szCs w:val="20"/>
                <w:color w:val="auto"/>
              </w:rPr>
            </w:pPr>
            <w:r>
              <w:rPr>
                <w:rFonts w:ascii="Arial" w:cs="Arial" w:eastAsia="Arial" w:hAnsi="Arial"/>
                <w:sz w:val="14"/>
                <w:szCs w:val="14"/>
                <w:b w:val="1"/>
                <w:bCs w:val="1"/>
                <w:color w:val="auto"/>
                <w:w w:val="87"/>
              </w:rPr>
              <w:t>July 9,</w:t>
            </w:r>
          </w:p>
        </w:tc>
        <w:tc>
          <w:tcPr>
            <w:tcW w:w="112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December 31,</w:t>
            </w:r>
          </w:p>
        </w:tc>
        <w:tc>
          <w:tcPr>
            <w:tcW w:w="280" w:type="dxa"/>
            <w:vAlign w:val="bottom"/>
          </w:tcPr>
          <w:p>
            <w:pPr>
              <w:spacing w:after="0"/>
              <w:rPr>
                <w:sz w:val="12"/>
                <w:szCs w:val="12"/>
                <w:color w:val="auto"/>
              </w:rPr>
            </w:pPr>
          </w:p>
        </w:tc>
        <w:tc>
          <w:tcPr>
            <w:tcW w:w="900" w:type="dxa"/>
            <w:vAlign w:val="bottom"/>
            <w:gridSpan w:val="3"/>
          </w:tcPr>
          <w:p>
            <w:pPr>
              <w:ind w:left="20"/>
              <w:spacing w:after="0" w:line="149" w:lineRule="exact"/>
              <w:rPr>
                <w:sz w:val="20"/>
                <w:szCs w:val="20"/>
                <w:color w:val="auto"/>
              </w:rPr>
            </w:pPr>
            <w:r>
              <w:rPr>
                <w:rFonts w:ascii="Arial" w:cs="Arial" w:eastAsia="Arial" w:hAnsi="Arial"/>
                <w:sz w:val="14"/>
                <w:szCs w:val="14"/>
                <w:b w:val="1"/>
                <w:bCs w:val="1"/>
                <w:color w:val="auto"/>
                <w:w w:val="94"/>
              </w:rPr>
              <w:t>December 31,</w:t>
            </w:r>
          </w:p>
        </w:tc>
      </w:tr>
      <w:tr>
        <w:trPr>
          <w:trHeight w:val="161"/>
        </w:trPr>
        <w:tc>
          <w:tcPr>
            <w:tcW w:w="3820" w:type="dxa"/>
            <w:vAlign w:val="bottom"/>
          </w:tcPr>
          <w:p>
            <w:pPr>
              <w:spacing w:after="0"/>
              <w:rPr>
                <w:sz w:val="14"/>
                <w:szCs w:val="14"/>
                <w:color w:val="auto"/>
              </w:rPr>
            </w:pPr>
          </w:p>
        </w:tc>
        <w:tc>
          <w:tcPr>
            <w:tcW w:w="196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center"/>
              <w:ind w:right="21"/>
              <w:spacing w:after="0"/>
              <w:rPr>
                <w:sz w:val="20"/>
                <w:szCs w:val="20"/>
                <w:color w:val="auto"/>
              </w:rPr>
            </w:pPr>
            <w:r>
              <w:rPr>
                <w:rFonts w:ascii="Arial" w:cs="Arial" w:eastAsia="Arial" w:hAnsi="Arial"/>
                <w:sz w:val="14"/>
                <w:szCs w:val="14"/>
                <w:b w:val="1"/>
                <w:bCs w:val="1"/>
                <w:color w:val="auto"/>
                <w:w w:val="83"/>
              </w:rPr>
              <w:t>2009</w:t>
            </w:r>
          </w:p>
        </w:tc>
        <w:tc>
          <w:tcPr>
            <w:tcW w:w="720" w:type="dxa"/>
            <w:vAlign w:val="bottom"/>
            <w:tcBorders>
              <w:right w:val="single" w:sz="8" w:color="auto"/>
            </w:tcBorders>
          </w:tcPr>
          <w:p>
            <w:pPr>
              <w:spacing w:after="0"/>
              <w:rPr>
                <w:sz w:val="14"/>
                <w:szCs w:val="14"/>
                <w:color w:val="auto"/>
              </w:rPr>
            </w:pPr>
          </w:p>
        </w:tc>
        <w:tc>
          <w:tcPr>
            <w:tcW w:w="5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center"/>
              <w:ind w:right="21"/>
              <w:spacing w:after="0"/>
              <w:rPr>
                <w:sz w:val="20"/>
                <w:szCs w:val="20"/>
                <w:color w:val="auto"/>
              </w:rPr>
            </w:pPr>
            <w:r>
              <w:rPr>
                <w:rFonts w:ascii="Arial" w:cs="Arial" w:eastAsia="Arial" w:hAnsi="Arial"/>
                <w:sz w:val="14"/>
                <w:szCs w:val="14"/>
                <w:b w:val="1"/>
                <w:bCs w:val="1"/>
                <w:color w:val="auto"/>
                <w:w w:val="89"/>
              </w:rPr>
              <w:t>2009</w:t>
            </w:r>
          </w:p>
        </w:tc>
        <w:tc>
          <w:tcPr>
            <w:tcW w:w="6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ind w:right="179"/>
              <w:spacing w:after="0"/>
              <w:rPr>
                <w:sz w:val="20"/>
                <w:szCs w:val="20"/>
                <w:color w:val="auto"/>
              </w:rPr>
            </w:pPr>
            <w:r>
              <w:rPr>
                <w:rFonts w:ascii="Arial" w:cs="Arial" w:eastAsia="Arial" w:hAnsi="Arial"/>
                <w:sz w:val="14"/>
                <w:szCs w:val="14"/>
                <w:b w:val="1"/>
                <w:bCs w:val="1"/>
                <w:color w:val="auto"/>
              </w:rPr>
              <w:t>2008</w:t>
            </w:r>
          </w:p>
        </w:tc>
        <w:tc>
          <w:tcPr>
            <w:tcW w:w="3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ind w:right="176"/>
              <w:spacing w:after="0"/>
              <w:rPr>
                <w:sz w:val="20"/>
                <w:szCs w:val="20"/>
                <w:color w:val="auto"/>
              </w:rPr>
            </w:pPr>
            <w:r>
              <w:rPr>
                <w:rFonts w:ascii="Arial" w:cs="Arial" w:eastAsia="Arial" w:hAnsi="Arial"/>
                <w:sz w:val="14"/>
                <w:szCs w:val="14"/>
                <w:b w:val="1"/>
                <w:bCs w:val="1"/>
                <w:color w:val="auto"/>
              </w:rPr>
              <w:t>2007</w:t>
            </w:r>
          </w:p>
        </w:tc>
        <w:tc>
          <w:tcPr>
            <w:tcW w:w="100" w:type="dxa"/>
            <w:vAlign w:val="bottom"/>
          </w:tcPr>
          <w:p>
            <w:pPr>
              <w:spacing w:after="0"/>
              <w:rPr>
                <w:sz w:val="14"/>
                <w:szCs w:val="14"/>
                <w:color w:val="auto"/>
              </w:rPr>
            </w:pPr>
          </w:p>
        </w:tc>
      </w:tr>
      <w:tr>
        <w:trPr>
          <w:trHeight w:val="210"/>
        </w:trPr>
        <w:tc>
          <w:tcPr>
            <w:tcW w:w="3820" w:type="dxa"/>
            <w:vAlign w:val="bottom"/>
            <w:shd w:val="clear" w:color="auto" w:fill="CCEEFF"/>
          </w:tcPr>
          <w:p>
            <w:pPr>
              <w:spacing w:after="0"/>
              <w:rPr>
                <w:sz w:val="20"/>
                <w:szCs w:val="20"/>
                <w:color w:val="auto"/>
              </w:rPr>
            </w:pPr>
            <w:r>
              <w:rPr>
                <w:rFonts w:ascii="Arial" w:cs="Arial" w:eastAsia="Arial" w:hAnsi="Arial"/>
                <w:sz w:val="18"/>
                <w:szCs w:val="18"/>
                <w:color w:val="auto"/>
              </w:rPr>
              <w:t>U.S. actual return (a)</w:t>
            </w:r>
          </w:p>
        </w:tc>
        <w:tc>
          <w:tcPr>
            <w:tcW w:w="2080" w:type="dxa"/>
            <w:vAlign w:val="bottom"/>
            <w:gridSpan w:val="2"/>
            <w:shd w:val="clear" w:color="auto" w:fill="CCEEFF"/>
          </w:tcPr>
          <w:p>
            <w:pPr>
              <w:ind w:left="1960"/>
              <w:spacing w:after="0"/>
              <w:rPr>
                <w:sz w:val="20"/>
                <w:szCs w:val="20"/>
                <w:color w:val="auto"/>
              </w:rPr>
            </w:pPr>
            <w:r>
              <w:rPr>
                <w:rFonts w:ascii="Arial" w:cs="Arial" w:eastAsia="Arial" w:hAnsi="Arial"/>
                <w:sz w:val="18"/>
                <w:szCs w:val="18"/>
                <w:color w:val="auto"/>
                <w:w w:val="99"/>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w:t>
            </w:r>
          </w:p>
        </w:tc>
        <w:tc>
          <w:tcPr>
            <w:tcW w:w="720" w:type="dxa"/>
            <w:vAlign w:val="bottom"/>
            <w:tcBorders>
              <w:right w:val="single" w:sz="8" w:color="auto"/>
            </w:tcBorders>
            <w:shd w:val="clear" w:color="auto" w:fill="CCEEFF"/>
          </w:tcPr>
          <w:p>
            <w:pPr>
              <w:spacing w:after="0"/>
              <w:rPr>
                <w:sz w:val="18"/>
                <w:szCs w:val="18"/>
                <w:color w:val="auto"/>
              </w:rPr>
            </w:pPr>
          </w:p>
        </w:tc>
        <w:tc>
          <w:tcPr>
            <w:tcW w:w="640" w:type="dxa"/>
            <w:vAlign w:val="bottom"/>
            <w:gridSpan w:val="2"/>
            <w:shd w:val="clear" w:color="auto" w:fill="CCEEFF"/>
          </w:tcPr>
          <w:p>
            <w:pPr>
              <w:ind w:left="520"/>
              <w:spacing w:after="0"/>
              <w:rPr>
                <w:sz w:val="20"/>
                <w:szCs w:val="20"/>
                <w:color w:val="auto"/>
              </w:rPr>
            </w:pPr>
            <w:r>
              <w:rPr>
                <w:rFonts w:ascii="Arial" w:cs="Arial" w:eastAsia="Arial" w:hAnsi="Arial"/>
                <w:sz w:val="18"/>
                <w:szCs w:val="18"/>
                <w:color w:val="auto"/>
                <w:w w:val="99"/>
              </w:rPr>
              <w:t>$</w:t>
            </w:r>
          </w:p>
        </w:tc>
        <w:tc>
          <w:tcPr>
            <w:tcW w:w="118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(0.2)</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10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(11.4)</w:t>
            </w:r>
          </w:p>
        </w:tc>
        <w:tc>
          <w:tcPr>
            <w:tcW w:w="46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w:t>
            </w:r>
          </w:p>
        </w:tc>
        <w:tc>
          <w:tcPr>
            <w:tcW w:w="100" w:type="dxa"/>
            <w:vAlign w:val="bottom"/>
            <w:shd w:val="clear" w:color="auto" w:fill="CCEEFF"/>
          </w:tcPr>
          <w:p>
            <w:pPr>
              <w:spacing w:after="0"/>
              <w:rPr>
                <w:sz w:val="18"/>
                <w:szCs w:val="18"/>
                <w:color w:val="auto"/>
              </w:rPr>
            </w:pPr>
          </w:p>
        </w:tc>
      </w:tr>
      <w:tr>
        <w:trPr>
          <w:trHeight w:val="216"/>
        </w:trPr>
        <w:tc>
          <w:tcPr>
            <w:tcW w:w="3820" w:type="dxa"/>
            <w:vAlign w:val="bottom"/>
          </w:tcPr>
          <w:p>
            <w:pPr>
              <w:spacing w:after="0"/>
              <w:rPr>
                <w:sz w:val="20"/>
                <w:szCs w:val="20"/>
                <w:color w:val="auto"/>
              </w:rPr>
            </w:pPr>
            <w:r>
              <w:rPr>
                <w:rFonts w:ascii="Arial" w:cs="Arial" w:eastAsia="Arial" w:hAnsi="Arial"/>
                <w:sz w:val="18"/>
                <w:szCs w:val="18"/>
                <w:color w:val="auto"/>
              </w:rPr>
              <w:t>U.S. expected return</w:t>
            </w:r>
          </w:p>
        </w:tc>
        <w:tc>
          <w:tcPr>
            <w:tcW w:w="2080" w:type="dxa"/>
            <w:vAlign w:val="bottom"/>
            <w:gridSpan w:val="2"/>
          </w:tcPr>
          <w:p>
            <w:pPr>
              <w:ind w:left="1960"/>
              <w:spacing w:after="0"/>
              <w:rPr>
                <w:sz w:val="20"/>
                <w:szCs w:val="20"/>
                <w:color w:val="auto"/>
              </w:rPr>
            </w:pPr>
            <w:r>
              <w:rPr>
                <w:rFonts w:ascii="Arial" w:cs="Arial" w:eastAsia="Arial" w:hAnsi="Arial"/>
                <w:sz w:val="18"/>
                <w:szCs w:val="18"/>
                <w:color w:val="auto"/>
                <w:w w:val="99"/>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3.0</w:t>
            </w:r>
          </w:p>
        </w:tc>
        <w:tc>
          <w:tcPr>
            <w:tcW w:w="720" w:type="dxa"/>
            <w:vAlign w:val="bottom"/>
            <w:tcBorders>
              <w:right w:val="single" w:sz="8" w:color="auto"/>
            </w:tcBorders>
          </w:tcPr>
          <w:p>
            <w:pPr>
              <w:spacing w:after="0"/>
              <w:rPr>
                <w:sz w:val="18"/>
                <w:szCs w:val="18"/>
                <w:color w:val="auto"/>
              </w:rPr>
            </w:pPr>
          </w:p>
        </w:tc>
        <w:tc>
          <w:tcPr>
            <w:tcW w:w="640" w:type="dxa"/>
            <w:vAlign w:val="bottom"/>
            <w:gridSpan w:val="2"/>
          </w:tcPr>
          <w:p>
            <w:pPr>
              <w:ind w:left="520"/>
              <w:spacing w:after="0"/>
              <w:rPr>
                <w:sz w:val="20"/>
                <w:szCs w:val="20"/>
                <w:color w:val="auto"/>
              </w:rPr>
            </w:pPr>
            <w:r>
              <w:rPr>
                <w:rFonts w:ascii="Arial" w:cs="Arial" w:eastAsia="Arial" w:hAnsi="Arial"/>
                <w:sz w:val="18"/>
                <w:szCs w:val="18"/>
                <w:color w:val="auto"/>
                <w:w w:val="99"/>
              </w:rPr>
              <w:t>$</w:t>
            </w:r>
          </w:p>
        </w:tc>
        <w:tc>
          <w:tcPr>
            <w:tcW w:w="1180" w:type="dxa"/>
            <w:vAlign w:val="bottom"/>
            <w:gridSpan w:val="2"/>
          </w:tcPr>
          <w:p>
            <w:pPr>
              <w:jc w:val="right"/>
              <w:ind w:right="640"/>
              <w:spacing w:after="0"/>
              <w:rPr>
                <w:sz w:val="20"/>
                <w:szCs w:val="20"/>
                <w:color w:val="auto"/>
              </w:rPr>
            </w:pPr>
            <w:r>
              <w:rPr>
                <w:rFonts w:ascii="Arial" w:cs="Arial" w:eastAsia="Arial" w:hAnsi="Arial"/>
                <w:sz w:val="18"/>
                <w:szCs w:val="18"/>
                <w:color w:val="auto"/>
              </w:rPr>
              <w:t>3.8</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1020" w:type="dxa"/>
            <w:vAlign w:val="bottom"/>
            <w:gridSpan w:val="2"/>
          </w:tcPr>
          <w:p>
            <w:pPr>
              <w:jc w:val="right"/>
              <w:ind w:right="340"/>
              <w:spacing w:after="0"/>
              <w:rPr>
                <w:sz w:val="20"/>
                <w:szCs w:val="20"/>
                <w:color w:val="auto"/>
              </w:rPr>
            </w:pPr>
            <w:r>
              <w:rPr>
                <w:rFonts w:ascii="Arial" w:cs="Arial" w:eastAsia="Arial" w:hAnsi="Arial"/>
                <w:sz w:val="18"/>
                <w:szCs w:val="18"/>
                <w:color w:val="auto"/>
              </w:rPr>
              <w:t>8.0</w:t>
            </w:r>
          </w:p>
        </w:tc>
        <w:tc>
          <w:tcPr>
            <w:tcW w:w="46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8.0</w:t>
            </w:r>
          </w:p>
        </w:tc>
        <w:tc>
          <w:tcPr>
            <w:tcW w:w="100" w:type="dxa"/>
            <w:vAlign w:val="bottom"/>
          </w:tcPr>
          <w:p>
            <w:pPr>
              <w:spacing w:after="0"/>
              <w:rPr>
                <w:sz w:val="18"/>
                <w:szCs w:val="18"/>
                <w:color w:val="auto"/>
              </w:rPr>
            </w:pPr>
          </w:p>
        </w:tc>
      </w:tr>
      <w:tr>
        <w:trPr>
          <w:trHeight w:val="216"/>
        </w:trPr>
        <w:tc>
          <w:tcPr>
            <w:tcW w:w="3820" w:type="dxa"/>
            <w:vAlign w:val="bottom"/>
            <w:shd w:val="clear" w:color="auto" w:fill="CCEEFF"/>
          </w:tcPr>
          <w:p>
            <w:pPr>
              <w:spacing w:after="0"/>
              <w:rPr>
                <w:sz w:val="20"/>
                <w:szCs w:val="20"/>
                <w:color w:val="auto"/>
              </w:rPr>
            </w:pPr>
            <w:r>
              <w:rPr>
                <w:rFonts w:ascii="Arial" w:cs="Arial" w:eastAsia="Arial" w:hAnsi="Arial"/>
                <w:sz w:val="18"/>
                <w:szCs w:val="18"/>
                <w:color w:val="auto"/>
              </w:rPr>
              <w:t>Non-U.S. actual return (a)</w:t>
            </w:r>
          </w:p>
        </w:tc>
        <w:tc>
          <w:tcPr>
            <w:tcW w:w="2080" w:type="dxa"/>
            <w:vAlign w:val="bottom"/>
            <w:gridSpan w:val="2"/>
            <w:shd w:val="clear" w:color="auto" w:fill="CCEEFF"/>
          </w:tcPr>
          <w:p>
            <w:pPr>
              <w:ind w:left="1960"/>
              <w:spacing w:after="0"/>
              <w:rPr>
                <w:sz w:val="20"/>
                <w:szCs w:val="20"/>
                <w:color w:val="auto"/>
              </w:rPr>
            </w:pPr>
            <w:r>
              <w:rPr>
                <w:rFonts w:ascii="Arial" w:cs="Arial" w:eastAsia="Arial" w:hAnsi="Arial"/>
                <w:sz w:val="18"/>
                <w:szCs w:val="18"/>
                <w:color w:val="auto"/>
                <w:w w:val="99"/>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720" w:type="dxa"/>
            <w:vAlign w:val="bottom"/>
            <w:tcBorders>
              <w:right w:val="single" w:sz="8" w:color="auto"/>
            </w:tcBorders>
            <w:shd w:val="clear" w:color="auto" w:fill="CCEEFF"/>
          </w:tcPr>
          <w:p>
            <w:pPr>
              <w:spacing w:after="0"/>
              <w:rPr>
                <w:sz w:val="18"/>
                <w:szCs w:val="18"/>
                <w:color w:val="auto"/>
              </w:rPr>
            </w:pPr>
          </w:p>
        </w:tc>
        <w:tc>
          <w:tcPr>
            <w:tcW w:w="640" w:type="dxa"/>
            <w:vAlign w:val="bottom"/>
            <w:gridSpan w:val="2"/>
            <w:shd w:val="clear" w:color="auto" w:fill="CCEEFF"/>
          </w:tcPr>
          <w:p>
            <w:pPr>
              <w:ind w:left="520"/>
              <w:spacing w:after="0"/>
              <w:rPr>
                <w:sz w:val="20"/>
                <w:szCs w:val="20"/>
                <w:color w:val="auto"/>
              </w:rPr>
            </w:pPr>
            <w:r>
              <w:rPr>
                <w:rFonts w:ascii="Arial" w:cs="Arial" w:eastAsia="Arial" w:hAnsi="Arial"/>
                <w:sz w:val="18"/>
                <w:szCs w:val="18"/>
                <w:color w:val="auto"/>
                <w:w w:val="99"/>
              </w:rPr>
              <w:t>$</w:t>
            </w:r>
          </w:p>
        </w:tc>
        <w:tc>
          <w:tcPr>
            <w:tcW w:w="118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0.2</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10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(2.9)</w:t>
            </w:r>
          </w:p>
        </w:tc>
        <w:tc>
          <w:tcPr>
            <w:tcW w:w="46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0.5</w:t>
            </w:r>
          </w:p>
        </w:tc>
        <w:tc>
          <w:tcPr>
            <w:tcW w:w="100" w:type="dxa"/>
            <w:vAlign w:val="bottom"/>
            <w:shd w:val="clear" w:color="auto" w:fill="CCEEFF"/>
          </w:tcPr>
          <w:p>
            <w:pPr>
              <w:spacing w:after="0"/>
              <w:rPr>
                <w:sz w:val="18"/>
                <w:szCs w:val="18"/>
                <w:color w:val="auto"/>
              </w:rPr>
            </w:pPr>
          </w:p>
        </w:tc>
      </w:tr>
      <w:tr>
        <w:trPr>
          <w:trHeight w:val="216"/>
        </w:trPr>
        <w:tc>
          <w:tcPr>
            <w:tcW w:w="3820" w:type="dxa"/>
            <w:vAlign w:val="bottom"/>
          </w:tcPr>
          <w:p>
            <w:pPr>
              <w:spacing w:after="0"/>
              <w:rPr>
                <w:sz w:val="20"/>
                <w:szCs w:val="20"/>
                <w:color w:val="auto"/>
              </w:rPr>
            </w:pPr>
            <w:r>
              <w:rPr>
                <w:rFonts w:ascii="Arial" w:cs="Arial" w:eastAsia="Arial" w:hAnsi="Arial"/>
                <w:sz w:val="18"/>
                <w:szCs w:val="18"/>
                <w:color w:val="auto"/>
              </w:rPr>
              <w:t>Non-U.S. expected return</w:t>
            </w:r>
          </w:p>
        </w:tc>
        <w:tc>
          <w:tcPr>
            <w:tcW w:w="2080" w:type="dxa"/>
            <w:vAlign w:val="bottom"/>
            <w:gridSpan w:val="2"/>
          </w:tcPr>
          <w:p>
            <w:pPr>
              <w:ind w:left="1960"/>
              <w:spacing w:after="0"/>
              <w:rPr>
                <w:sz w:val="20"/>
                <w:szCs w:val="20"/>
                <w:color w:val="auto"/>
              </w:rPr>
            </w:pPr>
            <w:r>
              <w:rPr>
                <w:rFonts w:ascii="Arial" w:cs="Arial" w:eastAsia="Arial" w:hAnsi="Arial"/>
                <w:sz w:val="18"/>
                <w:szCs w:val="18"/>
                <w:color w:val="auto"/>
                <w:w w:val="99"/>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0.4</w:t>
            </w:r>
          </w:p>
        </w:tc>
        <w:tc>
          <w:tcPr>
            <w:tcW w:w="720" w:type="dxa"/>
            <w:vAlign w:val="bottom"/>
            <w:tcBorders>
              <w:right w:val="single" w:sz="8" w:color="auto"/>
            </w:tcBorders>
          </w:tcPr>
          <w:p>
            <w:pPr>
              <w:spacing w:after="0"/>
              <w:rPr>
                <w:sz w:val="18"/>
                <w:szCs w:val="18"/>
                <w:color w:val="auto"/>
              </w:rPr>
            </w:pPr>
          </w:p>
        </w:tc>
        <w:tc>
          <w:tcPr>
            <w:tcW w:w="640" w:type="dxa"/>
            <w:vAlign w:val="bottom"/>
            <w:gridSpan w:val="2"/>
          </w:tcPr>
          <w:p>
            <w:pPr>
              <w:ind w:left="520"/>
              <w:spacing w:after="0"/>
              <w:rPr>
                <w:sz w:val="20"/>
                <w:szCs w:val="20"/>
                <w:color w:val="auto"/>
              </w:rPr>
            </w:pPr>
            <w:r>
              <w:rPr>
                <w:rFonts w:ascii="Arial" w:cs="Arial" w:eastAsia="Arial" w:hAnsi="Arial"/>
                <w:sz w:val="18"/>
                <w:szCs w:val="18"/>
                <w:color w:val="auto"/>
                <w:w w:val="99"/>
              </w:rPr>
              <w:t>$</w:t>
            </w:r>
          </w:p>
        </w:tc>
        <w:tc>
          <w:tcPr>
            <w:tcW w:w="1180" w:type="dxa"/>
            <w:vAlign w:val="bottom"/>
            <w:gridSpan w:val="2"/>
          </w:tcPr>
          <w:p>
            <w:pPr>
              <w:jc w:val="right"/>
              <w:ind w:right="640"/>
              <w:spacing w:after="0"/>
              <w:rPr>
                <w:sz w:val="20"/>
                <w:szCs w:val="20"/>
                <w:color w:val="auto"/>
              </w:rPr>
            </w:pPr>
            <w:r>
              <w:rPr>
                <w:rFonts w:ascii="Arial" w:cs="Arial" w:eastAsia="Arial" w:hAnsi="Arial"/>
                <w:sz w:val="18"/>
                <w:szCs w:val="18"/>
                <w:color w:val="auto"/>
              </w:rPr>
              <w:t>0.4</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1020" w:type="dxa"/>
            <w:vAlign w:val="bottom"/>
            <w:gridSpan w:val="2"/>
          </w:tcPr>
          <w:p>
            <w:pPr>
              <w:jc w:val="right"/>
              <w:ind w:right="340"/>
              <w:spacing w:after="0"/>
              <w:rPr>
                <w:sz w:val="20"/>
                <w:szCs w:val="20"/>
                <w:color w:val="auto"/>
              </w:rPr>
            </w:pPr>
            <w:r>
              <w:rPr>
                <w:rFonts w:ascii="Arial" w:cs="Arial" w:eastAsia="Arial" w:hAnsi="Arial"/>
                <w:sz w:val="18"/>
                <w:szCs w:val="18"/>
                <w:color w:val="auto"/>
              </w:rPr>
              <w:t>1.0</w:t>
            </w:r>
          </w:p>
        </w:tc>
        <w:tc>
          <w:tcPr>
            <w:tcW w:w="46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1.0</w:t>
            </w:r>
          </w:p>
        </w:tc>
        <w:tc>
          <w:tcPr>
            <w:tcW w:w="100" w:type="dxa"/>
            <w:vAlign w:val="bottom"/>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728980" cy="889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20" w:lineRule="exact"/>
        <w:rPr>
          <w:sz w:val="20"/>
          <w:szCs w:val="20"/>
          <w:color w:val="auto"/>
        </w:rPr>
      </w:pPr>
    </w:p>
    <w:p>
      <w:pPr>
        <w:ind w:left="460" w:hanging="452"/>
        <w:spacing w:after="0"/>
        <w:tabs>
          <w:tab w:leader="none" w:pos="460" w:val="left"/>
        </w:tabs>
        <w:numPr>
          <w:ilvl w:val="0"/>
          <w:numId w:val="109"/>
        </w:numPr>
        <w:rPr>
          <w:rFonts w:ascii="Arial" w:cs="Arial" w:eastAsia="Arial" w:hAnsi="Arial"/>
          <w:sz w:val="18"/>
          <w:szCs w:val="18"/>
          <w:color w:val="auto"/>
        </w:rPr>
      </w:pPr>
      <w:r>
        <w:rPr>
          <w:rFonts w:ascii="Arial" w:cs="Arial" w:eastAsia="Arial" w:hAnsi="Arial"/>
          <w:sz w:val="18"/>
          <w:szCs w:val="18"/>
          <w:color w:val="auto"/>
        </w:rPr>
        <w:t>Actual return not available for the nine months ended September 30, 2010 as all of the plans were not remeasured.</w:t>
      </w:r>
    </w:p>
    <w:p>
      <w:pPr>
        <w:spacing w:after="0" w:line="171" w:lineRule="exact"/>
        <w:rPr>
          <w:sz w:val="20"/>
          <w:szCs w:val="20"/>
          <w:color w:val="auto"/>
        </w:rPr>
      </w:pPr>
    </w:p>
    <w:p>
      <w:pPr>
        <w:ind w:right="40" w:firstLine="228"/>
        <w:spacing w:after="0" w:line="298" w:lineRule="auto"/>
        <w:rPr>
          <w:sz w:val="20"/>
          <w:szCs w:val="20"/>
          <w:color w:val="auto"/>
        </w:rPr>
      </w:pPr>
      <w:r>
        <w:rPr>
          <w:rFonts w:ascii="Arial" w:cs="Arial" w:eastAsia="Arial" w:hAnsi="Arial"/>
          <w:sz w:val="16"/>
          <w:szCs w:val="16"/>
          <w:color w:val="auto"/>
        </w:rPr>
        <w:t>Based on the last full set of pension plan remeasurements that was completed at December 31, 2009, a change in the expected return on assets (EROA) assumption has the following effects: For the U.S. plans, an increase in the EROA of 25 basis points will decrease annual pension expense by $193 million; while a decrease to the EROA of 25 basis points will increase pension expense by $193 million. For the non-U.S. plans, an increase in the EROA of 25 basis points will decrease annual pension expense by $32 million, while a decrease to the EROA of 25 basis points will increase pension expense by $32 million.</w:t>
      </w:r>
    </w:p>
    <w:p>
      <w:pPr>
        <w:spacing w:after="0" w:line="113" w:lineRule="exact"/>
        <w:rPr>
          <w:sz w:val="20"/>
          <w:szCs w:val="20"/>
          <w:color w:val="auto"/>
        </w:rPr>
      </w:pPr>
    </w:p>
    <w:p>
      <w:pPr>
        <w:ind w:right="80" w:firstLine="228"/>
        <w:spacing w:after="0" w:line="290" w:lineRule="auto"/>
        <w:rPr>
          <w:sz w:val="20"/>
          <w:szCs w:val="20"/>
          <w:color w:val="auto"/>
        </w:rPr>
      </w:pPr>
      <w:r>
        <w:rPr>
          <w:rFonts w:ascii="Arial" w:cs="Arial" w:eastAsia="Arial" w:hAnsi="Arial"/>
          <w:sz w:val="16"/>
          <w:szCs w:val="16"/>
          <w:color w:val="auto"/>
        </w:rPr>
        <w:t>The U.S. pension plans generally provide covered U.S. hourly employees hired prior to October 15, 2007 with pension benefits of negotiated, flat dollar amounts for each year of credited service earned by an individual employee. Early retirement supplements are also provided to those who retire prior to age 62. Hourly employees hired after October 15, 2007 participate in a cash balance pension plan. Formulas providing for such stated amounts are contained in the applicable labor contract. Pension expense in the nine months ended September 30, 2010, the periods July 10, 2009 through December 31, 2009, January 1, 2009 through July 9, 2009, and in the years ended December 31, 2008 and 2007 and the pension obligations at September 30, 2010, December 31, 2009 and 2008 do not comprehend any future benefit increases or decreases that may occur beyond current labor contracts. The usual cycle for negotiating new labor contracts is every four years. There is not a past practice of maintaining a consistent level of benefit increases or decreases from one contract to the next.</w:t>
      </w:r>
    </w:p>
    <w:p>
      <w:pPr>
        <w:spacing w:after="0" w:line="118" w:lineRule="exact"/>
        <w:rPr>
          <w:sz w:val="20"/>
          <w:szCs w:val="20"/>
          <w:color w:val="auto"/>
        </w:rPr>
      </w:pPr>
    </w:p>
    <w:p>
      <w:pPr>
        <w:ind w:right="60" w:firstLine="228"/>
        <w:spacing w:after="0" w:line="332" w:lineRule="auto"/>
        <w:rPr>
          <w:sz w:val="20"/>
          <w:szCs w:val="20"/>
          <w:color w:val="auto"/>
        </w:rPr>
      </w:pPr>
      <w:r>
        <w:rPr>
          <w:rFonts w:ascii="Arial" w:cs="Arial" w:eastAsia="Arial" w:hAnsi="Arial"/>
          <w:sz w:val="16"/>
          <w:szCs w:val="16"/>
          <w:color w:val="auto"/>
        </w:rPr>
        <w:t>The following data illustrates the sensitivity of changes in pension expense and pension obligation based on the last remeasurement of the U.S. hourly pension plan at September 30, 2010, as a result of changes in future benefit units for U.S. hourly employees, effective after the expiration of the current contract:</w:t>
      </w:r>
    </w:p>
    <w:p>
      <w:pPr>
        <w:spacing w:after="0" w:line="10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820" w:type="dxa"/>
            <w:vAlign w:val="bottom"/>
          </w:tcPr>
          <w:p>
            <w:pPr>
              <w:spacing w:after="0"/>
              <w:rPr>
                <w:sz w:val="14"/>
                <w:szCs w:val="14"/>
                <w:color w:val="auto"/>
              </w:rPr>
            </w:pPr>
          </w:p>
        </w:tc>
        <w:tc>
          <w:tcPr>
            <w:tcW w:w="6940" w:type="dxa"/>
            <w:vAlign w:val="bottom"/>
          </w:tcPr>
          <w:p>
            <w:pPr>
              <w:spacing w:after="0"/>
              <w:rPr>
                <w:sz w:val="14"/>
                <w:szCs w:val="14"/>
                <w:color w:val="auto"/>
              </w:rPr>
            </w:pPr>
          </w:p>
        </w:tc>
        <w:tc>
          <w:tcPr>
            <w:tcW w:w="1420" w:type="dxa"/>
            <w:vAlign w:val="bottom"/>
            <w:gridSpan w:val="2"/>
          </w:tcPr>
          <w:p>
            <w:pPr>
              <w:jc w:val="right"/>
              <w:ind w:right="440"/>
              <w:spacing w:after="0"/>
              <w:rPr>
                <w:sz w:val="20"/>
                <w:szCs w:val="20"/>
                <w:color w:val="auto"/>
              </w:rPr>
            </w:pPr>
            <w:r>
              <w:rPr>
                <w:rFonts w:ascii="Arial" w:cs="Arial" w:eastAsia="Arial" w:hAnsi="Arial"/>
                <w:sz w:val="14"/>
                <w:szCs w:val="14"/>
                <w:b w:val="1"/>
                <w:bCs w:val="1"/>
                <w:color w:val="auto"/>
                <w:w w:val="86"/>
              </w:rPr>
              <w:t>Annual Effect on</w:t>
            </w:r>
          </w:p>
        </w:tc>
        <w:tc>
          <w:tcPr>
            <w:tcW w:w="1220" w:type="dxa"/>
            <w:vAlign w:val="bottom"/>
            <w:gridSpan w:val="2"/>
          </w:tcPr>
          <w:p>
            <w:pPr>
              <w:jc w:val="right"/>
              <w:ind w:right="400"/>
              <w:spacing w:after="0"/>
              <w:rPr>
                <w:sz w:val="20"/>
                <w:szCs w:val="20"/>
                <w:color w:val="auto"/>
              </w:rPr>
            </w:pPr>
            <w:r>
              <w:rPr>
                <w:rFonts w:ascii="Arial" w:cs="Arial" w:eastAsia="Arial" w:hAnsi="Arial"/>
                <w:sz w:val="14"/>
                <w:szCs w:val="14"/>
                <w:b w:val="1"/>
                <w:bCs w:val="1"/>
                <w:color w:val="auto"/>
              </w:rPr>
              <w:t>Effect on</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820" w:type="dxa"/>
            <w:vAlign w:val="bottom"/>
          </w:tcPr>
          <w:p>
            <w:pPr>
              <w:spacing w:after="0"/>
              <w:rPr>
                <w:sz w:val="12"/>
                <w:szCs w:val="12"/>
                <w:color w:val="auto"/>
              </w:rPr>
            </w:pPr>
          </w:p>
        </w:tc>
        <w:tc>
          <w:tcPr>
            <w:tcW w:w="6940" w:type="dxa"/>
            <w:vAlign w:val="bottom"/>
          </w:tcPr>
          <w:p>
            <w:pPr>
              <w:spacing w:after="0"/>
              <w:rPr>
                <w:sz w:val="12"/>
                <w:szCs w:val="12"/>
                <w:color w:val="auto"/>
              </w:rPr>
            </w:pPr>
          </w:p>
        </w:tc>
        <w:tc>
          <w:tcPr>
            <w:tcW w:w="1420" w:type="dxa"/>
            <w:vAlign w:val="bottom"/>
            <w:gridSpan w:val="2"/>
          </w:tcPr>
          <w:p>
            <w:pPr>
              <w:ind w:left="240"/>
              <w:spacing w:after="0" w:line="149" w:lineRule="exact"/>
              <w:rPr>
                <w:sz w:val="20"/>
                <w:szCs w:val="20"/>
                <w:color w:val="auto"/>
              </w:rPr>
            </w:pPr>
            <w:r>
              <w:rPr>
                <w:rFonts w:ascii="Arial" w:cs="Arial" w:eastAsia="Arial" w:hAnsi="Arial"/>
                <w:sz w:val="14"/>
                <w:szCs w:val="14"/>
                <w:b w:val="1"/>
                <w:bCs w:val="1"/>
                <w:color w:val="auto"/>
              </w:rPr>
              <w:t>Pension</w:t>
            </w:r>
          </w:p>
        </w:tc>
        <w:tc>
          <w:tcPr>
            <w:tcW w:w="1220" w:type="dxa"/>
            <w:vAlign w:val="bottom"/>
            <w:gridSpan w:val="2"/>
          </w:tcPr>
          <w:p>
            <w:pPr>
              <w:jc w:val="right"/>
              <w:ind w:right="100"/>
              <w:spacing w:after="0" w:line="149" w:lineRule="exact"/>
              <w:rPr>
                <w:sz w:val="20"/>
                <w:szCs w:val="20"/>
                <w:color w:val="auto"/>
              </w:rPr>
            </w:pPr>
            <w:r>
              <w:rPr>
                <w:rFonts w:ascii="Arial" w:cs="Arial" w:eastAsia="Arial" w:hAnsi="Arial"/>
                <w:sz w:val="14"/>
                <w:szCs w:val="14"/>
                <w:b w:val="1"/>
                <w:bCs w:val="1"/>
                <w:color w:val="auto"/>
                <w:w w:val="84"/>
              </w:rPr>
              <w:t>September 30, 2010</w:t>
            </w:r>
          </w:p>
        </w:tc>
        <w:tc>
          <w:tcPr>
            <w:tcW w:w="0" w:type="dxa"/>
            <w:vAlign w:val="bottom"/>
          </w:tcPr>
          <w:p>
            <w:pPr>
              <w:spacing w:after="0"/>
              <w:rPr>
                <w:sz w:val="1"/>
                <w:szCs w:val="1"/>
                <w:color w:val="auto"/>
              </w:rPr>
            </w:pPr>
          </w:p>
        </w:tc>
      </w:tr>
      <w:tr>
        <w:trPr>
          <w:trHeight w:val="161"/>
        </w:trPr>
        <w:tc>
          <w:tcPr>
            <w:tcW w:w="8780" w:type="dxa"/>
            <w:vAlign w:val="bottom"/>
            <w:gridSpan w:val="3"/>
          </w:tcPr>
          <w:p>
            <w:pPr>
              <w:spacing w:after="0"/>
              <w:rPr>
                <w:sz w:val="20"/>
                <w:szCs w:val="20"/>
                <w:color w:val="auto"/>
              </w:rPr>
            </w:pPr>
            <w:r>
              <w:rPr>
                <w:rFonts w:ascii="Arial" w:cs="Arial" w:eastAsia="Arial" w:hAnsi="Arial"/>
                <w:sz w:val="14"/>
                <w:szCs w:val="14"/>
                <w:b w:val="1"/>
                <w:bCs w:val="1"/>
                <w:color w:val="auto"/>
              </w:rPr>
              <w:t>Change in future benefit units</w:t>
            </w:r>
          </w:p>
        </w:tc>
        <w:tc>
          <w:tcPr>
            <w:tcW w:w="1420" w:type="dxa"/>
            <w:vAlign w:val="bottom"/>
            <w:gridSpan w:val="2"/>
          </w:tcPr>
          <w:p>
            <w:pPr>
              <w:ind w:left="240"/>
              <w:spacing w:after="0"/>
              <w:rPr>
                <w:sz w:val="20"/>
                <w:szCs w:val="20"/>
                <w:color w:val="auto"/>
              </w:rPr>
            </w:pPr>
            <w:r>
              <w:rPr>
                <w:rFonts w:ascii="Arial" w:cs="Arial" w:eastAsia="Arial" w:hAnsi="Arial"/>
                <w:sz w:val="14"/>
                <w:szCs w:val="14"/>
                <w:b w:val="1"/>
                <w:bCs w:val="1"/>
                <w:color w:val="auto"/>
              </w:rPr>
              <w:t>Expense</w:t>
            </w:r>
          </w:p>
        </w:tc>
        <w:tc>
          <w:tcPr>
            <w:tcW w:w="1220" w:type="dxa"/>
            <w:vAlign w:val="bottom"/>
            <w:gridSpan w:val="2"/>
          </w:tcPr>
          <w:p>
            <w:pPr>
              <w:jc w:val="right"/>
              <w:ind w:right="520"/>
              <w:spacing w:after="0"/>
              <w:rPr>
                <w:sz w:val="20"/>
                <w:szCs w:val="20"/>
                <w:color w:val="auto"/>
              </w:rPr>
            </w:pPr>
            <w:r>
              <w:rPr>
                <w:rFonts w:ascii="Arial" w:cs="Arial" w:eastAsia="Arial" w:hAnsi="Arial"/>
                <w:sz w:val="14"/>
                <w:szCs w:val="14"/>
                <w:b w:val="1"/>
                <w:bCs w:val="1"/>
                <w:color w:val="auto"/>
              </w:rPr>
              <w:t>PBO</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1820" w:type="dxa"/>
            <w:vAlign w:val="bottom"/>
            <w:shd w:val="clear" w:color="auto" w:fill="000000"/>
          </w:tcPr>
          <w:p>
            <w:pPr>
              <w:spacing w:after="0" w:line="20" w:lineRule="exact"/>
              <w:rPr>
                <w:sz w:val="1"/>
                <w:szCs w:val="1"/>
                <w:color w:val="auto"/>
              </w:rPr>
            </w:pPr>
          </w:p>
        </w:tc>
        <w:tc>
          <w:tcPr>
            <w:tcW w:w="6940" w:type="dxa"/>
            <w:vAlign w:val="bottom"/>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87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One percentage point increase in benefit units</w:t>
            </w:r>
          </w:p>
        </w:tc>
        <w:tc>
          <w:tcPr>
            <w:tcW w:w="142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w w:val="99"/>
              </w:rPr>
              <w:t>+$96 million</w:t>
            </w: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+$292 million</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8760" w:type="dxa"/>
            <w:vAlign w:val="bottom"/>
            <w:gridSpan w:val="2"/>
          </w:tcPr>
          <w:p>
            <w:pPr>
              <w:spacing w:after="0"/>
              <w:rPr>
                <w:sz w:val="20"/>
                <w:szCs w:val="20"/>
                <w:color w:val="auto"/>
              </w:rPr>
            </w:pPr>
            <w:r>
              <w:rPr>
                <w:rFonts w:ascii="Arial" w:cs="Arial" w:eastAsia="Arial" w:hAnsi="Arial"/>
                <w:sz w:val="18"/>
                <w:szCs w:val="18"/>
                <w:color w:val="auto"/>
              </w:rPr>
              <w:t>One percentage point decrease in benefit units</w:t>
            </w:r>
          </w:p>
        </w:tc>
        <w:tc>
          <w:tcPr>
            <w:tcW w:w="1420" w:type="dxa"/>
            <w:vAlign w:val="bottom"/>
            <w:gridSpan w:val="2"/>
          </w:tcPr>
          <w:p>
            <w:pPr>
              <w:jc w:val="right"/>
              <w:ind w:right="440"/>
              <w:spacing w:after="0"/>
              <w:rPr>
                <w:sz w:val="20"/>
                <w:szCs w:val="20"/>
                <w:color w:val="auto"/>
              </w:rPr>
            </w:pPr>
            <w:r>
              <w:rPr>
                <w:rFonts w:ascii="Arial" w:cs="Arial" w:eastAsia="Arial" w:hAnsi="Arial"/>
                <w:sz w:val="18"/>
                <w:szCs w:val="18"/>
                <w:color w:val="auto"/>
              </w:rPr>
              <w:t>-$94 million</w:t>
            </w: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-$283 million</w:t>
            </w:r>
          </w:p>
        </w:tc>
        <w:tc>
          <w:tcPr>
            <w:tcW w:w="0" w:type="dxa"/>
            <w:vAlign w:val="bottom"/>
          </w:tcPr>
          <w:p>
            <w:pPr>
              <w:spacing w:after="0"/>
              <w:rPr>
                <w:sz w:val="1"/>
                <w:szCs w:val="1"/>
                <w:color w:val="auto"/>
              </w:rPr>
            </w:pPr>
          </w:p>
        </w:tc>
      </w:tr>
    </w:tbl>
    <w:p>
      <w:pPr>
        <w:spacing w:after="0" w:line="147" w:lineRule="exact"/>
        <w:rPr>
          <w:sz w:val="20"/>
          <w:szCs w:val="20"/>
          <w:color w:val="auto"/>
        </w:rPr>
      </w:pPr>
    </w:p>
    <w:p>
      <w:pPr>
        <w:jc w:val="both"/>
        <w:ind w:right="100" w:firstLine="228"/>
        <w:spacing w:after="0" w:line="259" w:lineRule="auto"/>
        <w:rPr>
          <w:sz w:val="20"/>
          <w:szCs w:val="20"/>
          <w:color w:val="auto"/>
        </w:rPr>
      </w:pPr>
      <w:r>
        <w:rPr>
          <w:rFonts w:ascii="Arial" w:cs="Arial" w:eastAsia="Arial" w:hAnsi="Arial"/>
          <w:sz w:val="18"/>
          <w:szCs w:val="18"/>
          <w:color w:val="auto"/>
        </w:rPr>
        <w:t>We utilize a variety of pricing sources to estimate the fair value of our pension assets, including: independent pricing vendors, dealer or counterparty supplied valuations, third party appraisals, appraisals prepared by investment managers, or investment sponsor or third party administrator supplied net asset value (NAV) used as a practical expedient.</w:t>
      </w:r>
    </w:p>
    <w:p>
      <w:pPr>
        <w:spacing w:after="0" w:line="140" w:lineRule="exact"/>
        <w:rPr>
          <w:sz w:val="20"/>
          <w:szCs w:val="20"/>
          <w:color w:val="auto"/>
        </w:rPr>
      </w:pPr>
    </w:p>
    <w:p>
      <w:pPr>
        <w:ind w:right="20" w:firstLine="228"/>
        <w:spacing w:after="0" w:line="256" w:lineRule="auto"/>
        <w:rPr>
          <w:sz w:val="20"/>
          <w:szCs w:val="20"/>
          <w:color w:val="auto"/>
        </w:rPr>
      </w:pPr>
      <w:r>
        <w:rPr>
          <w:rFonts w:ascii="Arial" w:cs="Arial" w:eastAsia="Arial" w:hAnsi="Arial"/>
          <w:sz w:val="18"/>
          <w:szCs w:val="18"/>
          <w:color w:val="auto"/>
        </w:rPr>
        <w:t>A significant portion of our pension assets are classified within the fair value hierarchy as Level 3 fair value measurements. Pension assets for which fair value is determined through the use of NAV per share and for which we may not have the ability to redeem our entire investment with the investee at NAV as of the measurement date, are classified as Level 3 fair value measurements. In addition, we classify pension assets that include significant unobservable inputs as Level 3 in the fair value hierarchy.</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139</w:t>
      </w:r>
    </w:p>
    <w:p>
      <w:pPr>
        <w:sectPr>
          <w:pgSz w:w="11900" w:h="16838" w:orient="portrait"/>
          <w:cols w:equalWidth="0" w:num="1">
            <w:col w:w="11420"/>
          </w:cols>
          <w:pgMar w:left="240" w:top="459" w:right="239" w:bottom="1440" w:gutter="0" w:footer="0" w:header="0"/>
        </w:sectPr>
      </w:pPr>
    </w:p>
    <w:bookmarkStart w:id="141" w:name="page142"/>
    <w:bookmarkEnd w:id="14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339" w:lineRule="exact"/>
        <w:rPr>
          <w:sz w:val="20"/>
          <w:szCs w:val="20"/>
          <w:color w:val="auto"/>
        </w:rPr>
      </w:pPr>
    </w:p>
    <w:p>
      <w:pPr>
        <w:ind w:right="120" w:firstLine="228"/>
        <w:spacing w:after="0" w:line="268" w:lineRule="auto"/>
        <w:rPr>
          <w:sz w:val="20"/>
          <w:szCs w:val="20"/>
          <w:color w:val="auto"/>
        </w:rPr>
      </w:pPr>
      <w:r>
        <w:rPr>
          <w:rFonts w:ascii="Arial" w:cs="Arial" w:eastAsia="Arial" w:hAnsi="Arial"/>
          <w:sz w:val="18"/>
          <w:szCs w:val="18"/>
          <w:color w:val="auto"/>
        </w:rPr>
        <w:t>Significant assets classified as Level 3, with the related Level 3 inputs to valuation that may be subject to volatility and change, and additional considerations for leveling, are as follows:</w:t>
      </w:r>
    </w:p>
    <w:p>
      <w:pPr>
        <w:spacing w:after="0" w:line="172" w:lineRule="exact"/>
        <w:rPr>
          <w:sz w:val="20"/>
          <w:szCs w:val="20"/>
          <w:color w:val="auto"/>
        </w:rPr>
      </w:pPr>
    </w:p>
    <w:p>
      <w:pPr>
        <w:ind w:left="660" w:right="100" w:hanging="436"/>
        <w:spacing w:after="0" w:line="256" w:lineRule="auto"/>
        <w:tabs>
          <w:tab w:leader="none" w:pos="660" w:val="left"/>
        </w:tabs>
        <w:numPr>
          <w:ilvl w:val="0"/>
          <w:numId w:val="110"/>
        </w:numPr>
        <w:rPr>
          <w:rFonts w:ascii="Arial" w:cs="Arial" w:eastAsia="Arial" w:hAnsi="Arial"/>
          <w:sz w:val="18"/>
          <w:szCs w:val="18"/>
          <w:color w:val="auto"/>
        </w:rPr>
      </w:pPr>
      <w:r>
        <w:rPr>
          <w:rFonts w:ascii="Arial" w:cs="Arial" w:eastAsia="Arial" w:hAnsi="Arial"/>
          <w:sz w:val="18"/>
          <w:szCs w:val="18"/>
          <w:color w:val="auto"/>
        </w:rPr>
        <w:t>Government, agency and corporate debt securities — Pricing services and dealers often use proprietary pricing models which incorporate unobservable inputs. These inputs primarily consist of yield and credit spread assumptions. Additionally, management may consider other security attributes such as liquidity, market activity, price level, credit ratings and geo-political risk, in assessing the observability of inputs used by pricing services or dealers, which may affect placement in the fair value hierarchy.</w:t>
      </w:r>
    </w:p>
    <w:p>
      <w:pPr>
        <w:spacing w:after="0" w:line="62" w:lineRule="exact"/>
        <w:rPr>
          <w:rFonts w:ascii="Arial" w:cs="Arial" w:eastAsia="Arial" w:hAnsi="Arial"/>
          <w:sz w:val="18"/>
          <w:szCs w:val="18"/>
          <w:color w:val="auto"/>
        </w:rPr>
      </w:pPr>
    </w:p>
    <w:p>
      <w:pPr>
        <w:ind w:left="660" w:right="100" w:hanging="436"/>
        <w:spacing w:after="0" w:line="298" w:lineRule="auto"/>
        <w:tabs>
          <w:tab w:leader="none" w:pos="660" w:val="left"/>
        </w:tabs>
        <w:numPr>
          <w:ilvl w:val="0"/>
          <w:numId w:val="110"/>
        </w:numPr>
        <w:rPr>
          <w:rFonts w:ascii="Arial" w:cs="Arial" w:eastAsia="Arial" w:hAnsi="Arial"/>
          <w:sz w:val="16"/>
          <w:szCs w:val="16"/>
          <w:color w:val="auto"/>
        </w:rPr>
      </w:pPr>
      <w:r>
        <w:rPr>
          <w:rFonts w:ascii="Arial" w:cs="Arial" w:eastAsia="Arial" w:hAnsi="Arial"/>
          <w:sz w:val="16"/>
          <w:szCs w:val="16"/>
          <w:color w:val="auto"/>
        </w:rPr>
        <w:t>Agency, non-agency mortgage and other asset-backed securities — Pricing services and dealers often use proprietary pricing models which incorporate unobservable inputs. These inputs typically consist of prepayment curves, discount rates, default assumptions and recovery rates. Additionally, management may consider other security attributes such as liquidity, market activity, price level, credit ratings and geo-political risk, in assessing the observability of inputs used by pricing services or dealers, which may affect placement in the fair value hierarchy.</w:t>
      </w:r>
    </w:p>
    <w:p>
      <w:pPr>
        <w:spacing w:after="0" w:line="31" w:lineRule="exact"/>
        <w:rPr>
          <w:rFonts w:ascii="Arial" w:cs="Arial" w:eastAsia="Arial" w:hAnsi="Arial"/>
          <w:sz w:val="16"/>
          <w:szCs w:val="16"/>
          <w:color w:val="auto"/>
        </w:rPr>
      </w:pPr>
    </w:p>
    <w:p>
      <w:pPr>
        <w:ind w:left="660" w:right="100" w:hanging="436"/>
        <w:spacing w:after="0" w:line="318" w:lineRule="auto"/>
        <w:tabs>
          <w:tab w:leader="none" w:pos="660" w:val="left"/>
        </w:tabs>
        <w:numPr>
          <w:ilvl w:val="0"/>
          <w:numId w:val="110"/>
        </w:numPr>
        <w:rPr>
          <w:rFonts w:ascii="Arial" w:cs="Arial" w:eastAsia="Arial" w:hAnsi="Arial"/>
          <w:sz w:val="15"/>
          <w:szCs w:val="15"/>
          <w:color w:val="auto"/>
        </w:rPr>
      </w:pPr>
      <w:r>
        <w:rPr>
          <w:rFonts w:ascii="Arial" w:cs="Arial" w:eastAsia="Arial" w:hAnsi="Arial"/>
          <w:sz w:val="15"/>
          <w:szCs w:val="15"/>
          <w:color w:val="auto"/>
        </w:rPr>
        <w:t>Investment funds/Private equity and debt investments/Real estate assets — Level 3 inputs for alternative investment funds and special purpose entities (e.g., limited partnerships, limited liability companies) include estimated changes in the composition or performance of the underlying investment portfolio, overall market conditions and other economic factors that may possibly have a favorable or unfavorable effect on the reported NAV per share (or its equivalent) between the NAV calculation date and the financial reporting measurement date. When NAV was not used as a practical expedient, Level 3 factors used in estimating fair value included NAV (as one factor), overall market conditions, and expected future cash flows.</w:t>
      </w:r>
    </w:p>
    <w:p>
      <w:pPr>
        <w:spacing w:after="0" w:line="100" w:lineRule="exact"/>
        <w:rPr>
          <w:sz w:val="20"/>
          <w:szCs w:val="20"/>
          <w:color w:val="auto"/>
        </w:rPr>
      </w:pPr>
    </w:p>
    <w:p>
      <w:pPr>
        <w:ind w:right="380" w:firstLine="228"/>
        <w:spacing w:after="0" w:line="268" w:lineRule="auto"/>
        <w:rPr>
          <w:sz w:val="20"/>
          <w:szCs w:val="20"/>
          <w:color w:val="auto"/>
        </w:rPr>
      </w:pPr>
      <w:r>
        <w:rPr>
          <w:rFonts w:ascii="Arial" w:cs="Arial" w:eastAsia="Arial" w:hAnsi="Arial"/>
          <w:sz w:val="18"/>
          <w:szCs w:val="18"/>
          <w:color w:val="auto"/>
        </w:rPr>
        <w:t>Refer to Note 4 to our consolidated financial statements in our Form S-1 for a more detailed discussion of the inputs used to determine fair value for each significant asset class or category.</w:t>
      </w:r>
    </w:p>
    <w:p>
      <w:pPr>
        <w:spacing w:after="0" w:line="132"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Other Postretirement Benefits</w:t>
      </w:r>
    </w:p>
    <w:p>
      <w:pPr>
        <w:spacing w:after="0" w:line="171" w:lineRule="exact"/>
        <w:rPr>
          <w:sz w:val="20"/>
          <w:szCs w:val="20"/>
          <w:color w:val="auto"/>
        </w:rPr>
      </w:pPr>
    </w:p>
    <w:p>
      <w:pPr>
        <w:ind w:firstLine="228"/>
        <w:spacing w:after="0" w:line="318" w:lineRule="auto"/>
        <w:rPr>
          <w:sz w:val="20"/>
          <w:szCs w:val="20"/>
          <w:color w:val="auto"/>
        </w:rPr>
      </w:pPr>
      <w:r>
        <w:rPr>
          <w:rFonts w:ascii="Arial" w:cs="Arial" w:eastAsia="Arial" w:hAnsi="Arial"/>
          <w:sz w:val="15"/>
          <w:szCs w:val="15"/>
          <w:color w:val="auto"/>
        </w:rPr>
        <w:t>OPEB plans are accounted for on an actuarial basis, which requires the selection of various assumptions, including a discount rate and healthcare cost trend rates. Old GM used an iterative process based on a hypothetical investment in a portfolio of high-quality bonds rated AA or higher by a recognized rating agency and a hypothetical reinvestment of the proceeds of such bonds upon maturity using forward rates derived from a yield curve until the U.S. OPEB obligation was defeased. This reinvestment component was incorporated into the methodology because it was not feasible, in light of the magnitude and time horizon over which the U.S. OPEB obligations extend, to accomplish full defeasance through direct cash flows from an actual set of bonds selected at any given measurement date.</w:t>
      </w:r>
    </w:p>
    <w:p>
      <w:pPr>
        <w:spacing w:after="0" w:line="100" w:lineRule="exact"/>
        <w:rPr>
          <w:sz w:val="20"/>
          <w:szCs w:val="20"/>
          <w:color w:val="auto"/>
        </w:rPr>
      </w:pPr>
    </w:p>
    <w:p>
      <w:pPr>
        <w:ind w:firstLine="228"/>
        <w:spacing w:after="0" w:line="318" w:lineRule="auto"/>
        <w:rPr>
          <w:sz w:val="20"/>
          <w:szCs w:val="20"/>
          <w:color w:val="auto"/>
        </w:rPr>
      </w:pPr>
      <w:r>
        <w:rPr>
          <w:rFonts w:ascii="Arial" w:cs="Arial" w:eastAsia="Arial" w:hAnsi="Arial"/>
          <w:sz w:val="15"/>
          <w:szCs w:val="15"/>
          <w:color w:val="auto"/>
        </w:rPr>
        <w:t>Beginning in September 2008, the discount rate used for the benefits to be paid from the UAW retiree medical plan during the period September 2008 through December 2009 is based on a yield curve which uses projected cash flows of representative high-quality AA rated bonds matched to spot rates along a yield curve to determine the present value of cash flows to calculate a single equivalent discount rate. All other U.S. OPEB plans started using a discount rate based on a yield curve on July 10, 2009. The UAW retiree medical plan was settled on December 31, 2009 and the plan assets were contributed to the New VEBA as part of the payment terms under the 2009 Revised UAW Settlement Agreement. We are released from UAW retiree healthcare claims incurred after December 31, 2009.</w:t>
      </w:r>
    </w:p>
    <w:p>
      <w:pPr>
        <w:spacing w:after="0" w:line="100" w:lineRule="exact"/>
        <w:rPr>
          <w:sz w:val="20"/>
          <w:szCs w:val="20"/>
          <w:color w:val="auto"/>
        </w:rPr>
      </w:pPr>
    </w:p>
    <w:p>
      <w:pPr>
        <w:ind w:firstLine="228"/>
        <w:spacing w:after="0" w:line="255" w:lineRule="auto"/>
        <w:rPr>
          <w:sz w:val="20"/>
          <w:szCs w:val="20"/>
          <w:color w:val="auto"/>
        </w:rPr>
      </w:pPr>
      <w:r>
        <w:rPr>
          <w:rFonts w:ascii="Arial" w:cs="Arial" w:eastAsia="Arial" w:hAnsi="Arial"/>
          <w:sz w:val="18"/>
          <w:szCs w:val="18"/>
          <w:color w:val="auto"/>
        </w:rPr>
        <w:t>An estimate is developed of the healthcare cost trend rates used to value benefit obligations through review of historical retiree cost data and near-term healthcare outlook which includes appropriate cost control measures that have been implemented. Changes in the assumed discount rate or healthcare cost trend rate can have significant effect on the actuarially determined obligation and related U.S. OPEB expense. As a result of modifications made as part of the 363 Sale, there are no significant uncapped U.S. healthcare plans remaining at December 31, 2009 and, therefore, the healthcare cost trend rate no longer has a significant effect on the U.S. plans.</w:t>
      </w:r>
    </w:p>
    <w:p>
      <w:pPr>
        <w:spacing w:after="0" w:line="143" w:lineRule="exact"/>
        <w:rPr>
          <w:sz w:val="20"/>
          <w:szCs w:val="20"/>
          <w:color w:val="auto"/>
        </w:rPr>
      </w:pPr>
    </w:p>
    <w:p>
      <w:pPr>
        <w:ind w:right="520" w:firstLine="228"/>
        <w:spacing w:after="0" w:line="268" w:lineRule="auto"/>
        <w:rPr>
          <w:sz w:val="20"/>
          <w:szCs w:val="20"/>
          <w:color w:val="auto"/>
        </w:rPr>
      </w:pPr>
      <w:r>
        <w:rPr>
          <w:rFonts w:ascii="Arial" w:cs="Arial" w:eastAsia="Arial" w:hAnsi="Arial"/>
          <w:sz w:val="18"/>
          <w:szCs w:val="18"/>
          <w:color w:val="auto"/>
        </w:rPr>
        <w:t>The significant non-U.S. OPEB plans cover Canadian employees. The discount rates for the Canadian plans are determined using a cash flow matching approach, similar to the U.S. OPEB obligations.</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140</w:t>
      </w:r>
    </w:p>
    <w:p>
      <w:pPr>
        <w:sectPr>
          <w:pgSz w:w="11900" w:h="16838" w:orient="portrait"/>
          <w:cols w:equalWidth="0" w:num="1">
            <w:col w:w="11400"/>
          </w:cols>
          <w:pgMar w:left="240" w:top="459" w:right="259" w:bottom="1440" w:gutter="0" w:footer="0" w:header="0"/>
        </w:sectPr>
      </w:pPr>
    </w:p>
    <w:bookmarkStart w:id="142" w:name="page143"/>
    <w:bookmarkEnd w:id="14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339" w:lineRule="exact"/>
        <w:rPr>
          <w:sz w:val="20"/>
          <w:szCs w:val="20"/>
          <w:color w:val="auto"/>
        </w:rPr>
      </w:pPr>
    </w:p>
    <w:p>
      <w:pPr>
        <w:ind w:right="120" w:firstLine="228"/>
        <w:spacing w:after="0" w:line="259" w:lineRule="auto"/>
        <w:rPr>
          <w:sz w:val="20"/>
          <w:szCs w:val="20"/>
          <w:color w:val="auto"/>
        </w:rPr>
      </w:pPr>
      <w:r>
        <w:rPr>
          <w:rFonts w:ascii="Arial" w:cs="Arial" w:eastAsia="Arial" w:hAnsi="Arial"/>
          <w:sz w:val="18"/>
          <w:szCs w:val="18"/>
          <w:color w:val="auto"/>
        </w:rPr>
        <w:t>Due to the significant events discussed in Note 19 to our consolidated financial statements in our Form S-1, the U.S. and non-U.S. OPEB plans were remeasured at various dates in the periods July 10, 2009 through December 31, 2009, January 1, 2009 through July 9, 2009 and in the years ended December 31, 2008 and 2007.</w:t>
      </w:r>
    </w:p>
    <w:p>
      <w:pPr>
        <w:spacing w:after="0" w:line="140" w:lineRule="exact"/>
        <w:rPr>
          <w:sz w:val="20"/>
          <w:szCs w:val="20"/>
          <w:color w:val="auto"/>
        </w:rPr>
      </w:pPr>
    </w:p>
    <w:p>
      <w:pPr>
        <w:jc w:val="both"/>
        <w:ind w:right="240" w:firstLine="228"/>
        <w:spacing w:after="0" w:line="259" w:lineRule="auto"/>
        <w:rPr>
          <w:sz w:val="20"/>
          <w:szCs w:val="20"/>
          <w:color w:val="auto"/>
        </w:rPr>
      </w:pPr>
      <w:r>
        <w:rPr>
          <w:rFonts w:ascii="Arial" w:cs="Arial" w:eastAsia="Arial" w:hAnsi="Arial"/>
          <w:sz w:val="18"/>
          <w:szCs w:val="18"/>
          <w:color w:val="auto"/>
        </w:rPr>
        <w:t>Significant differences in actual experience or significant changes in assumptions may materially affect the OPEB obligations. The effects of actual results differing from assumptions and the effects of changing assumptions are included in net actuarial gains and losses in Accumulated other comprehensive income (loss) that are subject to amortization over future periods.</w:t>
      </w:r>
    </w:p>
    <w:p>
      <w:pPr>
        <w:spacing w:after="0" w:line="140" w:lineRule="exact"/>
        <w:rPr>
          <w:sz w:val="20"/>
          <w:szCs w:val="20"/>
          <w:color w:val="auto"/>
        </w:rPr>
      </w:pPr>
    </w:p>
    <w:p>
      <w:pPr>
        <w:ind w:right="140" w:firstLine="228"/>
        <w:spacing w:after="0" w:line="294" w:lineRule="auto"/>
        <w:rPr>
          <w:sz w:val="20"/>
          <w:szCs w:val="20"/>
          <w:color w:val="auto"/>
        </w:rPr>
      </w:pPr>
      <w:r>
        <w:rPr>
          <w:rFonts w:ascii="Arial" w:cs="Arial" w:eastAsia="Arial" w:hAnsi="Arial"/>
          <w:sz w:val="16"/>
          <w:szCs w:val="16"/>
          <w:color w:val="auto"/>
        </w:rPr>
        <w:t>From December 31, 2009 to September 30, 2010, interest rates on high quality corporate bonds have declined in the U.S. and Canada. We believe that a discount rate calculated at September 30, 2010 using the methods described previously for OPEB plans would be approximately 85 basis points lower for U.S. OPEB plans and 50 basis points lower for Canadian OPEB plans than the rates used to measure the plans at December 31, 2009, the date of the last remeasurements. As a result, funded status would decrease if the plans were remeasured at September 30, 2010, holding all other factors constant (e.g., actuarial assumptions). Under U.S. GAAP, we are not obligated to remeasure the plans at September 30, 2010.</w:t>
      </w:r>
    </w:p>
    <w:p>
      <w:pPr>
        <w:spacing w:after="0" w:line="116" w:lineRule="exact"/>
        <w:rPr>
          <w:sz w:val="20"/>
          <w:szCs w:val="20"/>
          <w:color w:val="auto"/>
        </w:rPr>
      </w:pPr>
    </w:p>
    <w:p>
      <w:pPr>
        <w:ind w:left="240"/>
        <w:spacing w:after="0"/>
        <w:rPr>
          <w:sz w:val="20"/>
          <w:szCs w:val="20"/>
          <w:color w:val="auto"/>
        </w:rPr>
      </w:pPr>
      <w:r>
        <w:rPr>
          <w:rFonts w:ascii="Arial" w:cs="Arial" w:eastAsia="Arial" w:hAnsi="Arial"/>
          <w:sz w:val="18"/>
          <w:szCs w:val="18"/>
          <w:color w:val="auto"/>
        </w:rPr>
        <w:t>The following table summarizes the estimated effect of a 25 basis point change in discount rate:</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460" w:type="dxa"/>
            <w:vAlign w:val="bottom"/>
          </w:tcPr>
          <w:p>
            <w:pPr>
              <w:spacing w:after="0"/>
              <w:rPr>
                <w:sz w:val="14"/>
                <w:szCs w:val="14"/>
                <w:color w:val="auto"/>
              </w:rPr>
            </w:pPr>
          </w:p>
        </w:tc>
        <w:tc>
          <w:tcPr>
            <w:tcW w:w="3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60" w:type="dxa"/>
            <w:vAlign w:val="bottom"/>
            <w:gridSpan w:val="6"/>
          </w:tcPr>
          <w:p>
            <w:pPr>
              <w:jc w:val="right"/>
              <w:ind w:right="380"/>
              <w:spacing w:after="0"/>
              <w:rPr>
                <w:sz w:val="20"/>
                <w:szCs w:val="20"/>
                <w:color w:val="auto"/>
              </w:rPr>
            </w:pPr>
            <w:r>
              <w:rPr>
                <w:rFonts w:ascii="Arial" w:cs="Arial" w:eastAsia="Arial" w:hAnsi="Arial"/>
                <w:sz w:val="14"/>
                <w:szCs w:val="14"/>
                <w:b w:val="1"/>
                <w:bCs w:val="1"/>
                <w:color w:val="auto"/>
                <w:w w:val="95"/>
              </w:rPr>
              <w:t>Change in Assumption</w:t>
            </w:r>
          </w:p>
        </w:tc>
      </w:tr>
      <w:tr>
        <w:trPr>
          <w:trHeight w:val="129"/>
        </w:trPr>
        <w:tc>
          <w:tcPr>
            <w:tcW w:w="6460" w:type="dxa"/>
            <w:vAlign w:val="bottom"/>
          </w:tcPr>
          <w:p>
            <w:pPr>
              <w:spacing w:after="0"/>
              <w:rPr>
                <w:sz w:val="11"/>
                <w:szCs w:val="11"/>
                <w:color w:val="auto"/>
              </w:rPr>
            </w:pPr>
          </w:p>
        </w:tc>
        <w:tc>
          <w:tcPr>
            <w:tcW w:w="3000" w:type="dxa"/>
            <w:vAlign w:val="bottom"/>
          </w:tcPr>
          <w:p>
            <w:pPr>
              <w:spacing w:after="0"/>
              <w:rPr>
                <w:sz w:val="11"/>
                <w:szCs w:val="11"/>
                <w:color w:val="auto"/>
              </w:rPr>
            </w:pPr>
          </w:p>
        </w:tc>
        <w:tc>
          <w:tcPr>
            <w:tcW w:w="960" w:type="dxa"/>
            <w:vAlign w:val="bottom"/>
            <w:tcBorders>
              <w:top w:val="single" w:sz="8" w:color="auto"/>
            </w:tcBorders>
            <w:gridSpan w:val="3"/>
          </w:tcPr>
          <w:p>
            <w:pPr>
              <w:spacing w:after="0" w:line="129" w:lineRule="exact"/>
              <w:rPr>
                <w:sz w:val="20"/>
                <w:szCs w:val="20"/>
                <w:color w:val="auto"/>
              </w:rPr>
            </w:pPr>
            <w:r>
              <w:rPr>
                <w:rFonts w:ascii="Arial" w:cs="Arial" w:eastAsia="Arial" w:hAnsi="Arial"/>
                <w:sz w:val="14"/>
                <w:szCs w:val="14"/>
                <w:b w:val="1"/>
                <w:bCs w:val="1"/>
                <w:color w:val="auto"/>
              </w:rPr>
              <w:t>25 basis</w:t>
            </w:r>
          </w:p>
        </w:tc>
        <w:tc>
          <w:tcPr>
            <w:tcW w:w="400" w:type="dxa"/>
            <w:vAlign w:val="bottom"/>
            <w:tcBorders>
              <w:top w:val="single" w:sz="8" w:color="auto"/>
            </w:tcBorders>
          </w:tcPr>
          <w:p>
            <w:pPr>
              <w:spacing w:after="0"/>
              <w:rPr>
                <w:sz w:val="11"/>
                <w:szCs w:val="11"/>
                <w:color w:val="auto"/>
              </w:rPr>
            </w:pPr>
          </w:p>
        </w:tc>
        <w:tc>
          <w:tcPr>
            <w:tcW w:w="500" w:type="dxa"/>
            <w:vAlign w:val="bottom"/>
            <w:tcBorders>
              <w:top w:val="single" w:sz="8" w:color="auto"/>
            </w:tcBorders>
            <w:gridSpan w:val="2"/>
          </w:tcPr>
          <w:p>
            <w:pPr>
              <w:spacing w:after="0" w:line="129" w:lineRule="exact"/>
              <w:rPr>
                <w:sz w:val="20"/>
                <w:szCs w:val="20"/>
                <w:color w:val="auto"/>
              </w:rPr>
            </w:pPr>
            <w:r>
              <w:rPr>
                <w:rFonts w:ascii="Arial" w:cs="Arial" w:eastAsia="Arial" w:hAnsi="Arial"/>
                <w:sz w:val="14"/>
                <w:szCs w:val="14"/>
                <w:b w:val="1"/>
                <w:bCs w:val="1"/>
                <w:color w:val="auto"/>
                <w:w w:val="86"/>
              </w:rPr>
              <w:t>25 basis</w:t>
            </w:r>
          </w:p>
        </w:tc>
        <w:tc>
          <w:tcPr>
            <w:tcW w:w="100" w:type="dxa"/>
            <w:vAlign w:val="bottom"/>
          </w:tcPr>
          <w:p>
            <w:pPr>
              <w:spacing w:after="0"/>
              <w:rPr>
                <w:sz w:val="11"/>
                <w:szCs w:val="11"/>
                <w:color w:val="auto"/>
              </w:rPr>
            </w:pPr>
          </w:p>
        </w:tc>
      </w:tr>
      <w:tr>
        <w:trPr>
          <w:trHeight w:val="149"/>
        </w:trPr>
        <w:tc>
          <w:tcPr>
            <w:tcW w:w="6460" w:type="dxa"/>
            <w:vAlign w:val="bottom"/>
          </w:tcPr>
          <w:p>
            <w:pPr>
              <w:spacing w:after="0"/>
              <w:rPr>
                <w:sz w:val="12"/>
                <w:szCs w:val="12"/>
                <w:color w:val="auto"/>
              </w:rPr>
            </w:pPr>
          </w:p>
        </w:tc>
        <w:tc>
          <w:tcPr>
            <w:tcW w:w="30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gridSpan w:val="2"/>
          </w:tcPr>
          <w:p>
            <w:pPr>
              <w:jc w:val="right"/>
              <w:ind w:right="560"/>
              <w:spacing w:after="0" w:line="149" w:lineRule="exact"/>
              <w:rPr>
                <w:sz w:val="20"/>
                <w:szCs w:val="20"/>
                <w:color w:val="auto"/>
              </w:rPr>
            </w:pPr>
            <w:r>
              <w:rPr>
                <w:rFonts w:ascii="Arial" w:cs="Arial" w:eastAsia="Arial" w:hAnsi="Arial"/>
                <w:sz w:val="14"/>
                <w:szCs w:val="14"/>
                <w:b w:val="1"/>
                <w:bCs w:val="1"/>
                <w:color w:val="auto"/>
                <w:w w:val="81"/>
              </w:rPr>
              <w:t>point</w:t>
            </w:r>
          </w:p>
        </w:tc>
        <w:tc>
          <w:tcPr>
            <w:tcW w:w="4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gridSpan w:val="2"/>
          </w:tcPr>
          <w:p>
            <w:pPr>
              <w:jc w:val="right"/>
              <w:ind w:right="200"/>
              <w:spacing w:after="0" w:line="149" w:lineRule="exact"/>
              <w:rPr>
                <w:sz w:val="20"/>
                <w:szCs w:val="20"/>
                <w:color w:val="auto"/>
              </w:rPr>
            </w:pPr>
            <w:r>
              <w:rPr>
                <w:rFonts w:ascii="Arial" w:cs="Arial" w:eastAsia="Arial" w:hAnsi="Arial"/>
                <w:sz w:val="14"/>
                <w:szCs w:val="14"/>
                <w:b w:val="1"/>
                <w:bCs w:val="1"/>
                <w:color w:val="auto"/>
                <w:w w:val="87"/>
              </w:rPr>
              <w:t>point</w:t>
            </w:r>
          </w:p>
        </w:tc>
      </w:tr>
      <w:tr>
        <w:trPr>
          <w:trHeight w:val="161"/>
        </w:trPr>
        <w:tc>
          <w:tcPr>
            <w:tcW w:w="6460" w:type="dxa"/>
            <w:vAlign w:val="bottom"/>
          </w:tcPr>
          <w:p>
            <w:pPr>
              <w:spacing w:after="0"/>
              <w:rPr>
                <w:sz w:val="14"/>
                <w:szCs w:val="14"/>
                <w:color w:val="auto"/>
              </w:rPr>
            </w:pPr>
          </w:p>
        </w:tc>
        <w:tc>
          <w:tcPr>
            <w:tcW w:w="3000" w:type="dxa"/>
            <w:vAlign w:val="bottom"/>
          </w:tcPr>
          <w:p>
            <w:pPr>
              <w:spacing w:after="0"/>
              <w:rPr>
                <w:sz w:val="14"/>
                <w:szCs w:val="14"/>
                <w:color w:val="auto"/>
              </w:rPr>
            </w:pPr>
          </w:p>
        </w:tc>
        <w:tc>
          <w:tcPr>
            <w:tcW w:w="960" w:type="dxa"/>
            <w:vAlign w:val="bottom"/>
            <w:gridSpan w:val="3"/>
          </w:tcPr>
          <w:p>
            <w:pPr>
              <w:ind w:left="20"/>
              <w:spacing w:after="0"/>
              <w:rPr>
                <w:sz w:val="20"/>
                <w:szCs w:val="20"/>
                <w:color w:val="auto"/>
              </w:rPr>
            </w:pPr>
            <w:r>
              <w:rPr>
                <w:rFonts w:ascii="Arial" w:cs="Arial" w:eastAsia="Arial" w:hAnsi="Arial"/>
                <w:sz w:val="14"/>
                <w:szCs w:val="14"/>
                <w:b w:val="1"/>
                <w:bCs w:val="1"/>
                <w:color w:val="auto"/>
              </w:rPr>
              <w:t>increase</w:t>
            </w:r>
          </w:p>
        </w:tc>
        <w:tc>
          <w:tcPr>
            <w:tcW w:w="400" w:type="dxa"/>
            <w:vAlign w:val="bottom"/>
          </w:tcPr>
          <w:p>
            <w:pPr>
              <w:spacing w:after="0"/>
              <w:rPr>
                <w:sz w:val="14"/>
                <w:szCs w:val="14"/>
                <w:color w:val="auto"/>
              </w:rPr>
            </w:pPr>
          </w:p>
        </w:tc>
        <w:tc>
          <w:tcPr>
            <w:tcW w:w="600" w:type="dxa"/>
            <w:vAlign w:val="bottom"/>
            <w:gridSpan w:val="3"/>
          </w:tcPr>
          <w:p>
            <w:pPr>
              <w:spacing w:after="0"/>
              <w:rPr>
                <w:sz w:val="20"/>
                <w:szCs w:val="20"/>
                <w:color w:val="auto"/>
              </w:rPr>
            </w:pPr>
            <w:r>
              <w:rPr>
                <w:rFonts w:ascii="Arial" w:cs="Arial" w:eastAsia="Arial" w:hAnsi="Arial"/>
                <w:sz w:val="14"/>
                <w:szCs w:val="14"/>
                <w:b w:val="1"/>
                <w:bCs w:val="1"/>
                <w:color w:val="auto"/>
                <w:w w:val="95"/>
              </w:rPr>
              <w:t>decrease</w:t>
            </w:r>
          </w:p>
        </w:tc>
      </w:tr>
      <w:tr>
        <w:trPr>
          <w:trHeight w:val="210"/>
        </w:trPr>
        <w:tc>
          <w:tcPr>
            <w:tcW w:w="64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U.S. Plans</w:t>
            </w:r>
          </w:p>
        </w:tc>
        <w:tc>
          <w:tcPr>
            <w:tcW w:w="300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6460" w:type="dxa"/>
            <w:vAlign w:val="bottom"/>
          </w:tcPr>
          <w:p>
            <w:pPr>
              <w:spacing w:after="0"/>
              <w:rPr>
                <w:sz w:val="20"/>
                <w:szCs w:val="20"/>
                <w:color w:val="auto"/>
              </w:rPr>
            </w:pPr>
            <w:r>
              <w:rPr>
                <w:rFonts w:ascii="Arial" w:cs="Arial" w:eastAsia="Arial" w:hAnsi="Arial"/>
                <w:sz w:val="18"/>
                <w:szCs w:val="18"/>
                <w:color w:val="auto"/>
              </w:rPr>
              <w:t>Effect on Annual OPEB Expense (in millions)</w:t>
            </w:r>
          </w:p>
        </w:tc>
        <w:tc>
          <w:tcPr>
            <w:tcW w:w="3100" w:type="dxa"/>
            <w:vAlign w:val="bottom"/>
            <w:gridSpan w:val="2"/>
          </w:tcPr>
          <w:p>
            <w:pPr>
              <w:ind w:left="3000"/>
              <w:spacing w:after="0"/>
              <w:rPr>
                <w:sz w:val="20"/>
                <w:szCs w:val="20"/>
                <w:color w:val="auto"/>
              </w:rPr>
            </w:pPr>
            <w:r>
              <w:rPr>
                <w:rFonts w:ascii="Arial" w:cs="Arial" w:eastAsia="Arial" w:hAnsi="Arial"/>
                <w:sz w:val="18"/>
                <w:szCs w:val="18"/>
                <w:color w:val="auto"/>
                <w:w w:val="79"/>
              </w:rPr>
              <w:t>$</w:t>
            </w:r>
          </w:p>
        </w:tc>
        <w:tc>
          <w:tcPr>
            <w:tcW w:w="860" w:type="dxa"/>
            <w:vAlign w:val="bottom"/>
            <w:gridSpan w:val="2"/>
          </w:tcPr>
          <w:p>
            <w:pPr>
              <w:jc w:val="right"/>
              <w:ind w:right="460"/>
              <w:spacing w:after="0"/>
              <w:rPr>
                <w:sz w:val="20"/>
                <w:szCs w:val="20"/>
                <w:color w:val="auto"/>
              </w:rPr>
            </w:pPr>
            <w:r>
              <w:rPr>
                <w:rFonts w:ascii="Arial" w:cs="Arial" w:eastAsia="Arial" w:hAnsi="Arial"/>
                <w:sz w:val="18"/>
                <w:szCs w:val="18"/>
                <w:color w:val="auto"/>
              </w:rPr>
              <w:t>5</w:t>
            </w:r>
          </w:p>
        </w:tc>
        <w:tc>
          <w:tcPr>
            <w:tcW w:w="480" w:type="dxa"/>
            <w:vAlign w:val="bottom"/>
            <w:gridSpan w:val="2"/>
          </w:tcPr>
          <w:p>
            <w:pPr>
              <w:ind w:left="400"/>
              <w:spacing w:after="0"/>
              <w:rPr>
                <w:sz w:val="20"/>
                <w:szCs w:val="20"/>
                <w:color w:val="auto"/>
              </w:rPr>
            </w:pPr>
            <w:r>
              <w:rPr>
                <w:rFonts w:ascii="Arial" w:cs="Arial" w:eastAsia="Arial" w:hAnsi="Arial"/>
                <w:sz w:val="15"/>
                <w:szCs w:val="15"/>
                <w:color w:val="auto"/>
                <w:w w:val="71"/>
              </w:rPr>
              <w:t>$</w:t>
            </w:r>
          </w:p>
        </w:tc>
        <w:tc>
          <w:tcPr>
            <w:tcW w:w="520" w:type="dxa"/>
            <w:vAlign w:val="bottom"/>
            <w:gridSpan w:val="2"/>
          </w:tcPr>
          <w:p>
            <w:pPr>
              <w:jc w:val="right"/>
              <w:ind w:right="40"/>
              <w:spacing w:after="0"/>
              <w:rPr>
                <w:sz w:val="20"/>
                <w:szCs w:val="20"/>
                <w:color w:val="auto"/>
              </w:rPr>
            </w:pPr>
            <w:r>
              <w:rPr>
                <w:rFonts w:ascii="Arial" w:cs="Arial" w:eastAsia="Arial" w:hAnsi="Arial"/>
                <w:sz w:val="18"/>
                <w:szCs w:val="18"/>
                <w:color w:val="auto"/>
              </w:rPr>
              <w:t>(3)</w:t>
            </w:r>
          </w:p>
        </w:tc>
      </w:tr>
      <w:tr>
        <w:trPr>
          <w:trHeight w:val="216"/>
        </w:trPr>
        <w:tc>
          <w:tcPr>
            <w:tcW w:w="6460" w:type="dxa"/>
            <w:vAlign w:val="bottom"/>
            <w:shd w:val="clear" w:color="auto" w:fill="CCEEFF"/>
          </w:tcPr>
          <w:p>
            <w:pPr>
              <w:spacing w:after="0"/>
              <w:rPr>
                <w:sz w:val="20"/>
                <w:szCs w:val="20"/>
                <w:color w:val="auto"/>
              </w:rPr>
            </w:pPr>
            <w:r>
              <w:rPr>
                <w:rFonts w:ascii="Arial" w:cs="Arial" w:eastAsia="Arial" w:hAnsi="Arial"/>
                <w:sz w:val="18"/>
                <w:szCs w:val="18"/>
                <w:color w:val="auto"/>
              </w:rPr>
              <w:t>Effect on December 31, 2009 APBO (in billions)</w:t>
            </w:r>
          </w:p>
        </w:tc>
        <w:tc>
          <w:tcPr>
            <w:tcW w:w="3100" w:type="dxa"/>
            <w:vAlign w:val="bottom"/>
            <w:gridSpan w:val="2"/>
            <w:shd w:val="clear" w:color="auto" w:fill="CCEEFF"/>
          </w:tcPr>
          <w:p>
            <w:pPr>
              <w:ind w:left="3000"/>
              <w:spacing w:after="0"/>
              <w:rPr>
                <w:sz w:val="20"/>
                <w:szCs w:val="20"/>
                <w:color w:val="auto"/>
              </w:rPr>
            </w:pPr>
            <w:r>
              <w:rPr>
                <w:rFonts w:ascii="Arial" w:cs="Arial" w:eastAsia="Arial" w:hAnsi="Arial"/>
                <w:sz w:val="18"/>
                <w:szCs w:val="18"/>
                <w:color w:val="auto"/>
                <w:w w:val="79"/>
              </w:rPr>
              <w:t>$</w:t>
            </w:r>
          </w:p>
        </w:tc>
        <w:tc>
          <w:tcPr>
            <w:tcW w:w="86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(0.1)</w:t>
            </w:r>
          </w:p>
        </w:tc>
        <w:tc>
          <w:tcPr>
            <w:tcW w:w="480" w:type="dxa"/>
            <w:vAlign w:val="bottom"/>
            <w:gridSpan w:val="2"/>
            <w:shd w:val="clear" w:color="auto" w:fill="CCEEFF"/>
          </w:tcPr>
          <w:p>
            <w:pPr>
              <w:ind w:left="400"/>
              <w:spacing w:after="0"/>
              <w:rPr>
                <w:sz w:val="20"/>
                <w:szCs w:val="20"/>
                <w:color w:val="auto"/>
              </w:rPr>
            </w:pPr>
            <w:r>
              <w:rPr>
                <w:rFonts w:ascii="Arial" w:cs="Arial" w:eastAsia="Arial" w:hAnsi="Arial"/>
                <w:sz w:val="15"/>
                <w:szCs w:val="15"/>
                <w:color w:val="auto"/>
                <w:w w:val="71"/>
              </w:rPr>
              <w:t>$</w:t>
            </w:r>
          </w:p>
        </w:tc>
        <w:tc>
          <w:tcPr>
            <w:tcW w:w="5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0.1</w:t>
            </w:r>
          </w:p>
        </w:tc>
      </w:tr>
      <w:tr>
        <w:trPr>
          <w:trHeight w:val="322"/>
        </w:trPr>
        <w:tc>
          <w:tcPr>
            <w:tcW w:w="6460" w:type="dxa"/>
            <w:vAlign w:val="bottom"/>
          </w:tcPr>
          <w:p>
            <w:pPr>
              <w:spacing w:after="0"/>
              <w:rPr>
                <w:sz w:val="20"/>
                <w:szCs w:val="20"/>
                <w:color w:val="auto"/>
              </w:rPr>
            </w:pPr>
            <w:r>
              <w:rPr>
                <w:rFonts w:ascii="Arial" w:cs="Arial" w:eastAsia="Arial" w:hAnsi="Arial"/>
                <w:sz w:val="18"/>
                <w:szCs w:val="18"/>
                <w:b w:val="1"/>
                <w:bCs w:val="1"/>
                <w:color w:val="auto"/>
              </w:rPr>
              <w:t>Non-U.S. Plans</w:t>
            </w:r>
          </w:p>
        </w:tc>
        <w:tc>
          <w:tcPr>
            <w:tcW w:w="3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18"/>
        </w:trPr>
        <w:tc>
          <w:tcPr>
            <w:tcW w:w="6460" w:type="dxa"/>
            <w:vAlign w:val="bottom"/>
            <w:shd w:val="clear" w:color="auto" w:fill="CCEEFF"/>
          </w:tcPr>
          <w:p>
            <w:pPr>
              <w:spacing w:after="0"/>
              <w:rPr>
                <w:sz w:val="20"/>
                <w:szCs w:val="20"/>
                <w:color w:val="auto"/>
              </w:rPr>
            </w:pPr>
            <w:r>
              <w:rPr>
                <w:rFonts w:ascii="Arial" w:cs="Arial" w:eastAsia="Arial" w:hAnsi="Arial"/>
                <w:sz w:val="18"/>
                <w:szCs w:val="18"/>
                <w:color w:val="auto"/>
              </w:rPr>
              <w:t>Effect on Annual OPEB Expense (in millions)</w:t>
            </w:r>
          </w:p>
        </w:tc>
        <w:tc>
          <w:tcPr>
            <w:tcW w:w="3100" w:type="dxa"/>
            <w:vAlign w:val="bottom"/>
            <w:gridSpan w:val="2"/>
            <w:shd w:val="clear" w:color="auto" w:fill="CCEEFF"/>
          </w:tcPr>
          <w:p>
            <w:pPr>
              <w:ind w:left="3000"/>
              <w:spacing w:after="0"/>
              <w:rPr>
                <w:sz w:val="20"/>
                <w:szCs w:val="20"/>
                <w:color w:val="auto"/>
              </w:rPr>
            </w:pPr>
            <w:r>
              <w:rPr>
                <w:rFonts w:ascii="Arial" w:cs="Arial" w:eastAsia="Arial" w:hAnsi="Arial"/>
                <w:sz w:val="18"/>
                <w:szCs w:val="18"/>
                <w:color w:val="auto"/>
                <w:w w:val="79"/>
              </w:rPr>
              <w:t>$</w:t>
            </w:r>
          </w:p>
        </w:tc>
        <w:tc>
          <w:tcPr>
            <w:tcW w:w="86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1</w:t>
            </w:r>
          </w:p>
        </w:tc>
        <w:tc>
          <w:tcPr>
            <w:tcW w:w="480" w:type="dxa"/>
            <w:vAlign w:val="bottom"/>
            <w:gridSpan w:val="2"/>
            <w:shd w:val="clear" w:color="auto" w:fill="CCEEFF"/>
          </w:tcPr>
          <w:p>
            <w:pPr>
              <w:ind w:left="400"/>
              <w:spacing w:after="0"/>
              <w:rPr>
                <w:sz w:val="20"/>
                <w:szCs w:val="20"/>
                <w:color w:val="auto"/>
              </w:rPr>
            </w:pPr>
            <w:r>
              <w:rPr>
                <w:rFonts w:ascii="Arial" w:cs="Arial" w:eastAsia="Arial" w:hAnsi="Arial"/>
                <w:sz w:val="15"/>
                <w:szCs w:val="15"/>
                <w:color w:val="auto"/>
                <w:w w:val="71"/>
              </w:rPr>
              <w:t>$</w:t>
            </w:r>
          </w:p>
        </w:tc>
        <w:tc>
          <w:tcPr>
            <w:tcW w:w="5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w:t>
            </w:r>
          </w:p>
        </w:tc>
      </w:tr>
      <w:tr>
        <w:trPr>
          <w:trHeight w:val="222"/>
        </w:trPr>
        <w:tc>
          <w:tcPr>
            <w:tcW w:w="6460" w:type="dxa"/>
            <w:vAlign w:val="bottom"/>
          </w:tcPr>
          <w:p>
            <w:pPr>
              <w:spacing w:after="0"/>
              <w:rPr>
                <w:sz w:val="20"/>
                <w:szCs w:val="20"/>
                <w:color w:val="auto"/>
              </w:rPr>
            </w:pPr>
            <w:r>
              <w:rPr>
                <w:rFonts w:ascii="Arial" w:cs="Arial" w:eastAsia="Arial" w:hAnsi="Arial"/>
                <w:sz w:val="18"/>
                <w:szCs w:val="18"/>
                <w:color w:val="auto"/>
              </w:rPr>
              <w:t>Effect on December 31, 2009 APBO (in billions)</w:t>
            </w:r>
          </w:p>
        </w:tc>
        <w:tc>
          <w:tcPr>
            <w:tcW w:w="3100" w:type="dxa"/>
            <w:vAlign w:val="bottom"/>
            <w:gridSpan w:val="2"/>
          </w:tcPr>
          <w:p>
            <w:pPr>
              <w:ind w:left="3000"/>
              <w:spacing w:after="0"/>
              <w:rPr>
                <w:sz w:val="20"/>
                <w:szCs w:val="20"/>
                <w:color w:val="auto"/>
              </w:rPr>
            </w:pPr>
            <w:r>
              <w:rPr>
                <w:rFonts w:ascii="Arial" w:cs="Arial" w:eastAsia="Arial" w:hAnsi="Arial"/>
                <w:sz w:val="18"/>
                <w:szCs w:val="18"/>
                <w:color w:val="auto"/>
                <w:w w:val="79"/>
              </w:rPr>
              <w:t>$</w:t>
            </w:r>
          </w:p>
        </w:tc>
        <w:tc>
          <w:tcPr>
            <w:tcW w:w="860" w:type="dxa"/>
            <w:vAlign w:val="bottom"/>
            <w:gridSpan w:val="2"/>
          </w:tcPr>
          <w:p>
            <w:pPr>
              <w:jc w:val="right"/>
              <w:ind w:right="400"/>
              <w:spacing w:after="0"/>
              <w:rPr>
                <w:sz w:val="20"/>
                <w:szCs w:val="20"/>
                <w:color w:val="auto"/>
              </w:rPr>
            </w:pPr>
            <w:r>
              <w:rPr>
                <w:rFonts w:ascii="Arial" w:cs="Arial" w:eastAsia="Arial" w:hAnsi="Arial"/>
                <w:sz w:val="18"/>
                <w:szCs w:val="18"/>
                <w:color w:val="auto"/>
              </w:rPr>
              <w:t>(0.1)</w:t>
            </w:r>
          </w:p>
        </w:tc>
        <w:tc>
          <w:tcPr>
            <w:tcW w:w="480" w:type="dxa"/>
            <w:vAlign w:val="bottom"/>
            <w:gridSpan w:val="2"/>
          </w:tcPr>
          <w:p>
            <w:pPr>
              <w:ind w:left="400"/>
              <w:spacing w:after="0"/>
              <w:rPr>
                <w:sz w:val="20"/>
                <w:szCs w:val="20"/>
                <w:color w:val="auto"/>
              </w:rPr>
            </w:pPr>
            <w:r>
              <w:rPr>
                <w:rFonts w:ascii="Arial" w:cs="Arial" w:eastAsia="Arial" w:hAnsi="Arial"/>
                <w:sz w:val="15"/>
                <w:szCs w:val="15"/>
                <w:color w:val="auto"/>
                <w:w w:val="71"/>
              </w:rPr>
              <w:t>$</w:t>
            </w:r>
          </w:p>
        </w:tc>
        <w:tc>
          <w:tcPr>
            <w:tcW w:w="520" w:type="dxa"/>
            <w:vAlign w:val="bottom"/>
            <w:gridSpan w:val="2"/>
          </w:tcPr>
          <w:p>
            <w:pPr>
              <w:jc w:val="right"/>
              <w:ind w:right="100"/>
              <w:spacing w:after="0"/>
              <w:rPr>
                <w:sz w:val="20"/>
                <w:szCs w:val="20"/>
                <w:color w:val="auto"/>
              </w:rPr>
            </w:pPr>
            <w:r>
              <w:rPr>
                <w:rFonts w:ascii="Arial" w:cs="Arial" w:eastAsia="Arial" w:hAnsi="Arial"/>
                <w:sz w:val="18"/>
                <w:szCs w:val="18"/>
                <w:color w:val="auto"/>
              </w:rPr>
              <w:t>0.1</w:t>
            </w:r>
          </w:p>
        </w:tc>
      </w:tr>
    </w:tbl>
    <w:p>
      <w:pPr>
        <w:spacing w:after="0" w:line="147" w:lineRule="exact"/>
        <w:rPr>
          <w:sz w:val="20"/>
          <w:szCs w:val="20"/>
          <w:color w:val="auto"/>
        </w:rPr>
      </w:pPr>
    </w:p>
    <w:p>
      <w:pPr>
        <w:ind w:right="160" w:firstLine="228"/>
        <w:spacing w:after="0" w:line="259" w:lineRule="auto"/>
        <w:rPr>
          <w:sz w:val="20"/>
          <w:szCs w:val="20"/>
          <w:color w:val="auto"/>
        </w:rPr>
      </w:pPr>
      <w:r>
        <w:rPr>
          <w:rFonts w:ascii="Arial" w:cs="Arial" w:eastAsia="Arial" w:hAnsi="Arial"/>
          <w:sz w:val="18"/>
          <w:szCs w:val="18"/>
          <w:color w:val="auto"/>
        </w:rPr>
        <w:t>It is not possible for us to predict what the economic environment will be at our next scheduled remeasurement at December 31, 2010 or any earlier date that may be used for an interim remeasurement of the OPEB plans due to a significant event such as a plan amendment, curtailment or a settlement. Accordingly, discount rates may be considerably different than those at September 30, 2010.</w:t>
      </w:r>
    </w:p>
    <w:p>
      <w:pPr>
        <w:spacing w:after="0" w:line="140" w:lineRule="exact"/>
        <w:rPr>
          <w:sz w:val="20"/>
          <w:szCs w:val="20"/>
          <w:color w:val="auto"/>
        </w:rPr>
      </w:pPr>
    </w:p>
    <w:p>
      <w:pPr>
        <w:ind w:left="240"/>
        <w:spacing w:after="0"/>
        <w:rPr>
          <w:sz w:val="20"/>
          <w:szCs w:val="20"/>
          <w:color w:val="auto"/>
        </w:rPr>
      </w:pPr>
      <w:r>
        <w:rPr>
          <w:rFonts w:ascii="Arial" w:cs="Arial" w:eastAsia="Arial" w:hAnsi="Arial"/>
          <w:sz w:val="18"/>
          <w:szCs w:val="18"/>
          <w:color w:val="auto"/>
        </w:rPr>
        <w:t>The following table summarizes the weighted-average discount rate used to determine net OPEB expense for the significant plans:</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660" w:type="dxa"/>
            <w:vAlign w:val="bottom"/>
          </w:tcPr>
          <w:p>
            <w:pPr>
              <w:spacing w:after="0"/>
              <w:rPr>
                <w:sz w:val="14"/>
                <w:szCs w:val="14"/>
                <w:color w:val="auto"/>
              </w:rPr>
            </w:pPr>
          </w:p>
        </w:tc>
        <w:tc>
          <w:tcPr>
            <w:tcW w:w="2660" w:type="dxa"/>
            <w:vAlign w:val="bottom"/>
            <w:tcBorders>
              <w:bottom w:val="single" w:sz="8" w:color="auto"/>
            </w:tcBorders>
            <w:gridSpan w:val="3"/>
          </w:tcPr>
          <w:p>
            <w:pPr>
              <w:jc w:val="right"/>
              <w:ind w:right="964"/>
              <w:spacing w:after="0"/>
              <w:rPr>
                <w:sz w:val="20"/>
                <w:szCs w:val="20"/>
                <w:color w:val="auto"/>
              </w:rPr>
            </w:pPr>
            <w:r>
              <w:rPr>
                <w:rFonts w:ascii="Arial" w:cs="Arial" w:eastAsia="Arial" w:hAnsi="Arial"/>
                <w:sz w:val="14"/>
                <w:szCs w:val="14"/>
                <w:b w:val="1"/>
                <w:bCs w:val="1"/>
                <w:color w:val="auto"/>
              </w:rPr>
              <w:t>Successor</w:t>
            </w:r>
          </w:p>
        </w:tc>
        <w:tc>
          <w:tcPr>
            <w:tcW w:w="540" w:type="dxa"/>
            <w:vAlign w:val="bottom"/>
            <w:tcBorders>
              <w:right w:val="single" w:sz="8" w:color="auto"/>
            </w:tcBorders>
          </w:tcPr>
          <w:p>
            <w:pPr>
              <w:spacing w:after="0"/>
              <w:rPr>
                <w:sz w:val="14"/>
                <w:szCs w:val="14"/>
                <w:color w:val="auto"/>
              </w:rPr>
            </w:pPr>
          </w:p>
        </w:tc>
        <w:tc>
          <w:tcPr>
            <w:tcW w:w="340" w:type="dxa"/>
            <w:vAlign w:val="bottom"/>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1240" w:type="dxa"/>
            <w:vAlign w:val="bottom"/>
            <w:tcBorders>
              <w:bottom w:val="single" w:sz="8" w:color="auto"/>
            </w:tcBorders>
            <w:gridSpan w:val="2"/>
          </w:tcPr>
          <w:p>
            <w:pPr>
              <w:jc w:val="right"/>
              <w:ind w:right="420"/>
              <w:spacing w:after="0"/>
              <w:rPr>
                <w:sz w:val="20"/>
                <w:szCs w:val="20"/>
                <w:color w:val="auto"/>
              </w:rPr>
            </w:pPr>
            <w:r>
              <w:rPr>
                <w:rFonts w:ascii="Arial" w:cs="Arial" w:eastAsia="Arial" w:hAnsi="Arial"/>
                <w:sz w:val="14"/>
                <w:szCs w:val="14"/>
                <w:b w:val="1"/>
                <w:bCs w:val="1"/>
                <w:color w:val="auto"/>
                <w:w w:val="95"/>
              </w:rPr>
              <w:t>Predecessor</w:t>
            </w:r>
          </w:p>
        </w:tc>
        <w:tc>
          <w:tcPr>
            <w:tcW w:w="8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29"/>
        </w:trPr>
        <w:tc>
          <w:tcPr>
            <w:tcW w:w="466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540" w:type="dxa"/>
            <w:vAlign w:val="bottom"/>
            <w:tcBorders>
              <w:right w:val="single" w:sz="8" w:color="auto"/>
            </w:tcBorders>
          </w:tcPr>
          <w:p>
            <w:pPr>
              <w:spacing w:after="0"/>
              <w:rPr>
                <w:sz w:val="11"/>
                <w:szCs w:val="11"/>
                <w:color w:val="auto"/>
              </w:rPr>
            </w:pPr>
          </w:p>
        </w:tc>
        <w:tc>
          <w:tcPr>
            <w:tcW w:w="340" w:type="dxa"/>
            <w:vAlign w:val="bottom"/>
          </w:tcPr>
          <w:p>
            <w:pPr>
              <w:spacing w:after="0"/>
              <w:rPr>
                <w:sz w:val="11"/>
                <w:szCs w:val="11"/>
                <w:color w:val="auto"/>
              </w:rPr>
            </w:pPr>
          </w:p>
        </w:tc>
        <w:tc>
          <w:tcPr>
            <w:tcW w:w="1080" w:type="dxa"/>
            <w:vAlign w:val="bottom"/>
            <w:gridSpan w:val="2"/>
          </w:tcPr>
          <w:p>
            <w:pPr>
              <w:jc w:val="center"/>
              <w:ind w:right="460"/>
              <w:spacing w:after="0" w:line="129" w:lineRule="exact"/>
              <w:rPr>
                <w:sz w:val="20"/>
                <w:szCs w:val="20"/>
                <w:color w:val="auto"/>
              </w:rPr>
            </w:pPr>
            <w:r>
              <w:rPr>
                <w:rFonts w:ascii="Arial" w:cs="Arial" w:eastAsia="Arial" w:hAnsi="Arial"/>
                <w:sz w:val="14"/>
                <w:szCs w:val="14"/>
                <w:b w:val="1"/>
                <w:bCs w:val="1"/>
                <w:color w:val="auto"/>
                <w:w w:val="89"/>
              </w:rPr>
              <w:t>January 1,</w:t>
            </w:r>
          </w:p>
        </w:tc>
        <w:tc>
          <w:tcPr>
            <w:tcW w:w="8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149"/>
        </w:trPr>
        <w:tc>
          <w:tcPr>
            <w:tcW w:w="466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540" w:type="dxa"/>
            <w:vAlign w:val="bottom"/>
            <w:tcBorders>
              <w:right w:val="single" w:sz="8" w:color="auto"/>
            </w:tcBorders>
          </w:tcPr>
          <w:p>
            <w:pPr>
              <w:spacing w:after="0"/>
              <w:rPr>
                <w:sz w:val="12"/>
                <w:szCs w:val="12"/>
                <w:color w:val="auto"/>
              </w:rPr>
            </w:pPr>
          </w:p>
        </w:tc>
        <w:tc>
          <w:tcPr>
            <w:tcW w:w="1000" w:type="dxa"/>
            <w:vAlign w:val="bottom"/>
            <w:gridSpan w:val="2"/>
          </w:tcPr>
          <w:p>
            <w:pPr>
              <w:jc w:val="center"/>
              <w:ind w:left="239"/>
              <w:spacing w:after="0" w:line="149" w:lineRule="exact"/>
              <w:rPr>
                <w:sz w:val="20"/>
                <w:szCs w:val="20"/>
                <w:color w:val="auto"/>
              </w:rPr>
            </w:pPr>
            <w:r>
              <w:rPr>
                <w:rFonts w:ascii="Arial" w:cs="Arial" w:eastAsia="Arial" w:hAnsi="Arial"/>
                <w:sz w:val="14"/>
                <w:szCs w:val="14"/>
                <w:b w:val="1"/>
                <w:bCs w:val="1"/>
                <w:color w:val="auto"/>
                <w:w w:val="89"/>
              </w:rPr>
              <w:t>2009</w:t>
            </w:r>
          </w:p>
        </w:tc>
        <w:tc>
          <w:tcPr>
            <w:tcW w:w="4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49"/>
        </w:trPr>
        <w:tc>
          <w:tcPr>
            <w:tcW w:w="4660" w:type="dxa"/>
            <w:vAlign w:val="bottom"/>
          </w:tcPr>
          <w:p>
            <w:pPr>
              <w:spacing w:after="0"/>
              <w:rPr>
                <w:sz w:val="12"/>
                <w:szCs w:val="12"/>
                <w:color w:val="auto"/>
              </w:rPr>
            </w:pPr>
          </w:p>
        </w:tc>
        <w:tc>
          <w:tcPr>
            <w:tcW w:w="1580" w:type="dxa"/>
            <w:vAlign w:val="bottom"/>
            <w:gridSpan w:val="2"/>
          </w:tcPr>
          <w:p>
            <w:pPr>
              <w:jc w:val="right"/>
              <w:ind w:right="520"/>
              <w:spacing w:after="0" w:line="149" w:lineRule="exact"/>
              <w:rPr>
                <w:sz w:val="20"/>
                <w:szCs w:val="20"/>
                <w:color w:val="auto"/>
              </w:rPr>
            </w:pPr>
            <w:r>
              <w:rPr>
                <w:rFonts w:ascii="Arial" w:cs="Arial" w:eastAsia="Arial" w:hAnsi="Arial"/>
                <w:sz w:val="14"/>
                <w:szCs w:val="14"/>
                <w:b w:val="1"/>
                <w:bCs w:val="1"/>
                <w:color w:val="auto"/>
                <w:w w:val="99"/>
              </w:rPr>
              <w:t>January 1, 2010</w:t>
            </w:r>
          </w:p>
        </w:tc>
        <w:tc>
          <w:tcPr>
            <w:tcW w:w="1080" w:type="dxa"/>
            <w:vAlign w:val="bottom"/>
          </w:tcPr>
          <w:p>
            <w:pPr>
              <w:jc w:val="right"/>
              <w:ind w:right="84"/>
              <w:spacing w:after="0" w:line="149" w:lineRule="exact"/>
              <w:rPr>
                <w:sz w:val="20"/>
                <w:szCs w:val="20"/>
                <w:color w:val="auto"/>
              </w:rPr>
            </w:pPr>
            <w:r>
              <w:rPr>
                <w:rFonts w:ascii="Arial" w:cs="Arial" w:eastAsia="Arial" w:hAnsi="Arial"/>
                <w:sz w:val="14"/>
                <w:szCs w:val="14"/>
                <w:b w:val="1"/>
                <w:bCs w:val="1"/>
                <w:color w:val="auto"/>
              </w:rPr>
              <w:t>July 10, 2009</w:t>
            </w:r>
          </w:p>
        </w:tc>
        <w:tc>
          <w:tcPr>
            <w:tcW w:w="540" w:type="dxa"/>
            <w:vAlign w:val="bottom"/>
            <w:tcBorders>
              <w:right w:val="single" w:sz="8" w:color="auto"/>
            </w:tcBorders>
          </w:tcPr>
          <w:p>
            <w:pPr>
              <w:spacing w:after="0"/>
              <w:rPr>
                <w:sz w:val="12"/>
                <w:szCs w:val="12"/>
                <w:color w:val="auto"/>
              </w:rPr>
            </w:pPr>
          </w:p>
        </w:tc>
        <w:tc>
          <w:tcPr>
            <w:tcW w:w="340" w:type="dxa"/>
            <w:vAlign w:val="bottom"/>
          </w:tcPr>
          <w:p>
            <w:pPr>
              <w:spacing w:after="0"/>
              <w:rPr>
                <w:sz w:val="12"/>
                <w:szCs w:val="12"/>
                <w:color w:val="auto"/>
              </w:rPr>
            </w:pPr>
          </w:p>
        </w:tc>
        <w:tc>
          <w:tcPr>
            <w:tcW w:w="1080" w:type="dxa"/>
            <w:vAlign w:val="bottom"/>
            <w:gridSpan w:val="2"/>
          </w:tcPr>
          <w:p>
            <w:pPr>
              <w:jc w:val="center"/>
              <w:ind w:right="440"/>
              <w:spacing w:after="0" w:line="149" w:lineRule="exact"/>
              <w:rPr>
                <w:sz w:val="20"/>
                <w:szCs w:val="20"/>
                <w:color w:val="auto"/>
              </w:rPr>
            </w:pPr>
            <w:r>
              <w:rPr>
                <w:rFonts w:ascii="Arial" w:cs="Arial" w:eastAsia="Arial" w:hAnsi="Arial"/>
                <w:sz w:val="14"/>
                <w:szCs w:val="14"/>
                <w:b w:val="1"/>
                <w:bCs w:val="1"/>
                <w:color w:val="auto"/>
                <w:w w:val="91"/>
              </w:rPr>
              <w:t>Through</w:t>
            </w:r>
          </w:p>
        </w:tc>
        <w:tc>
          <w:tcPr>
            <w:tcW w:w="1240" w:type="dxa"/>
            <w:vAlign w:val="bottom"/>
            <w:gridSpan w:val="2"/>
          </w:tcPr>
          <w:p>
            <w:pPr>
              <w:jc w:val="right"/>
              <w:ind w:right="500"/>
              <w:spacing w:after="0" w:line="149" w:lineRule="exact"/>
              <w:rPr>
                <w:sz w:val="20"/>
                <w:szCs w:val="20"/>
                <w:color w:val="auto"/>
              </w:rPr>
            </w:pPr>
            <w:r>
              <w:rPr>
                <w:rFonts w:ascii="Arial" w:cs="Arial" w:eastAsia="Arial" w:hAnsi="Arial"/>
                <w:sz w:val="14"/>
                <w:szCs w:val="14"/>
                <w:b w:val="1"/>
                <w:bCs w:val="1"/>
                <w:color w:val="auto"/>
                <w:w w:val="93"/>
              </w:rPr>
              <w:t>Year Ended</w:t>
            </w:r>
          </w:p>
        </w:tc>
        <w:tc>
          <w:tcPr>
            <w:tcW w:w="90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rPr>
              <w:t>Year Ended</w:t>
            </w:r>
          </w:p>
        </w:tc>
      </w:tr>
      <w:tr>
        <w:trPr>
          <w:trHeight w:val="149"/>
        </w:trPr>
        <w:tc>
          <w:tcPr>
            <w:tcW w:w="4660" w:type="dxa"/>
            <w:vAlign w:val="bottom"/>
          </w:tcPr>
          <w:p>
            <w:pPr>
              <w:spacing w:after="0"/>
              <w:rPr>
                <w:sz w:val="12"/>
                <w:szCs w:val="12"/>
                <w:color w:val="auto"/>
              </w:rPr>
            </w:pPr>
          </w:p>
        </w:tc>
        <w:tc>
          <w:tcPr>
            <w:tcW w:w="1580" w:type="dxa"/>
            <w:vAlign w:val="bottom"/>
            <w:gridSpan w:val="2"/>
          </w:tcPr>
          <w:p>
            <w:pPr>
              <w:jc w:val="right"/>
              <w:ind w:right="760"/>
              <w:spacing w:after="0" w:line="149" w:lineRule="exact"/>
              <w:rPr>
                <w:sz w:val="20"/>
                <w:szCs w:val="20"/>
                <w:color w:val="auto"/>
              </w:rPr>
            </w:pPr>
            <w:r>
              <w:rPr>
                <w:rFonts w:ascii="Arial" w:cs="Arial" w:eastAsia="Arial" w:hAnsi="Arial"/>
                <w:sz w:val="14"/>
                <w:szCs w:val="14"/>
                <w:b w:val="1"/>
                <w:bCs w:val="1"/>
                <w:color w:val="auto"/>
              </w:rPr>
              <w:t>Through</w:t>
            </w:r>
          </w:p>
        </w:tc>
        <w:tc>
          <w:tcPr>
            <w:tcW w:w="1080" w:type="dxa"/>
            <w:vAlign w:val="bottom"/>
          </w:tcPr>
          <w:p>
            <w:pPr>
              <w:jc w:val="right"/>
              <w:ind w:right="204"/>
              <w:spacing w:after="0" w:line="149" w:lineRule="exact"/>
              <w:rPr>
                <w:sz w:val="20"/>
                <w:szCs w:val="20"/>
                <w:color w:val="auto"/>
              </w:rPr>
            </w:pPr>
            <w:r>
              <w:rPr>
                <w:rFonts w:ascii="Arial" w:cs="Arial" w:eastAsia="Arial" w:hAnsi="Arial"/>
                <w:sz w:val="14"/>
                <w:szCs w:val="14"/>
                <w:b w:val="1"/>
                <w:bCs w:val="1"/>
                <w:color w:val="auto"/>
              </w:rPr>
              <w:t>Through</w:t>
            </w:r>
          </w:p>
        </w:tc>
        <w:tc>
          <w:tcPr>
            <w:tcW w:w="540" w:type="dxa"/>
            <w:vAlign w:val="bottom"/>
            <w:tcBorders>
              <w:right w:val="single" w:sz="8" w:color="auto"/>
            </w:tcBorders>
          </w:tcPr>
          <w:p>
            <w:pPr>
              <w:spacing w:after="0"/>
              <w:rPr>
                <w:sz w:val="12"/>
                <w:szCs w:val="12"/>
                <w:color w:val="auto"/>
              </w:rPr>
            </w:pPr>
          </w:p>
        </w:tc>
        <w:tc>
          <w:tcPr>
            <w:tcW w:w="340" w:type="dxa"/>
            <w:vAlign w:val="bottom"/>
          </w:tcPr>
          <w:p>
            <w:pPr>
              <w:spacing w:after="0"/>
              <w:rPr>
                <w:sz w:val="12"/>
                <w:szCs w:val="12"/>
                <w:color w:val="auto"/>
              </w:rPr>
            </w:pPr>
          </w:p>
        </w:tc>
        <w:tc>
          <w:tcPr>
            <w:tcW w:w="1080" w:type="dxa"/>
            <w:vAlign w:val="bottom"/>
            <w:gridSpan w:val="2"/>
          </w:tcPr>
          <w:p>
            <w:pPr>
              <w:jc w:val="center"/>
              <w:ind w:right="420"/>
              <w:spacing w:after="0" w:line="149" w:lineRule="exact"/>
              <w:rPr>
                <w:sz w:val="20"/>
                <w:szCs w:val="20"/>
                <w:color w:val="auto"/>
              </w:rPr>
            </w:pPr>
            <w:r>
              <w:rPr>
                <w:rFonts w:ascii="Arial" w:cs="Arial" w:eastAsia="Arial" w:hAnsi="Arial"/>
                <w:sz w:val="14"/>
                <w:szCs w:val="14"/>
                <w:b w:val="1"/>
                <w:bCs w:val="1"/>
                <w:color w:val="auto"/>
                <w:w w:val="87"/>
              </w:rPr>
              <w:t>July 9,</w:t>
            </w:r>
          </w:p>
        </w:tc>
        <w:tc>
          <w:tcPr>
            <w:tcW w:w="1240" w:type="dxa"/>
            <w:vAlign w:val="bottom"/>
            <w:gridSpan w:val="2"/>
          </w:tcPr>
          <w:p>
            <w:pPr>
              <w:jc w:val="right"/>
              <w:ind w:right="440"/>
              <w:spacing w:after="0" w:line="149" w:lineRule="exact"/>
              <w:rPr>
                <w:sz w:val="20"/>
                <w:szCs w:val="20"/>
                <w:color w:val="auto"/>
              </w:rPr>
            </w:pPr>
            <w:r>
              <w:rPr>
                <w:rFonts w:ascii="Arial" w:cs="Arial" w:eastAsia="Arial" w:hAnsi="Arial"/>
                <w:sz w:val="14"/>
                <w:szCs w:val="14"/>
                <w:b w:val="1"/>
                <w:bCs w:val="1"/>
                <w:color w:val="auto"/>
                <w:w w:val="85"/>
              </w:rPr>
              <w:t>December 31,</w:t>
            </w:r>
          </w:p>
        </w:tc>
        <w:tc>
          <w:tcPr>
            <w:tcW w:w="900" w:type="dxa"/>
            <w:vAlign w:val="bottom"/>
            <w:gridSpan w:val="2"/>
          </w:tcPr>
          <w:p>
            <w:pPr>
              <w:jc w:val="right"/>
              <w:ind w:right="100"/>
              <w:spacing w:after="0" w:line="149" w:lineRule="exact"/>
              <w:rPr>
                <w:sz w:val="20"/>
                <w:szCs w:val="20"/>
                <w:color w:val="auto"/>
              </w:rPr>
            </w:pPr>
            <w:r>
              <w:rPr>
                <w:rFonts w:ascii="Arial" w:cs="Arial" w:eastAsia="Arial" w:hAnsi="Arial"/>
                <w:sz w:val="14"/>
                <w:szCs w:val="14"/>
                <w:b w:val="1"/>
                <w:bCs w:val="1"/>
                <w:color w:val="auto"/>
                <w:w w:val="85"/>
              </w:rPr>
              <w:t>December 31,</w:t>
            </w:r>
          </w:p>
        </w:tc>
      </w:tr>
      <w:tr>
        <w:trPr>
          <w:trHeight w:val="161"/>
        </w:trPr>
        <w:tc>
          <w:tcPr>
            <w:tcW w:w="4660" w:type="dxa"/>
            <w:vAlign w:val="bottom"/>
          </w:tcPr>
          <w:p>
            <w:pPr>
              <w:spacing w:after="0"/>
              <w:rPr>
                <w:sz w:val="14"/>
                <w:szCs w:val="14"/>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85"/>
              </w:rPr>
              <w:t>September 30, 2010</w:t>
            </w:r>
          </w:p>
        </w:tc>
        <w:tc>
          <w:tcPr>
            <w:tcW w:w="440" w:type="dxa"/>
            <w:vAlign w:val="bottom"/>
          </w:tcPr>
          <w:p>
            <w:pPr>
              <w:spacing w:after="0"/>
              <w:rPr>
                <w:sz w:val="14"/>
                <w:szCs w:val="14"/>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84"/>
              </w:rPr>
              <w:t>December 31, 2009</w:t>
            </w:r>
          </w:p>
        </w:tc>
        <w:tc>
          <w:tcPr>
            <w:tcW w:w="540" w:type="dxa"/>
            <w:vAlign w:val="bottom"/>
            <w:tcBorders>
              <w:right w:val="single" w:sz="8" w:color="auto"/>
            </w:tcBorders>
          </w:tcPr>
          <w:p>
            <w:pPr>
              <w:spacing w:after="0"/>
              <w:rPr>
                <w:sz w:val="14"/>
                <w:szCs w:val="14"/>
                <w:color w:val="auto"/>
              </w:rPr>
            </w:pPr>
          </w:p>
        </w:tc>
        <w:tc>
          <w:tcPr>
            <w:tcW w:w="340" w:type="dxa"/>
            <w:vAlign w:val="bottom"/>
          </w:tcPr>
          <w:p>
            <w:pPr>
              <w:spacing w:after="0"/>
              <w:rPr>
                <w:sz w:val="14"/>
                <w:szCs w:val="14"/>
                <w:color w:val="auto"/>
              </w:rPr>
            </w:pPr>
          </w:p>
        </w:tc>
        <w:tc>
          <w:tcPr>
            <w:tcW w:w="6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2009</w:t>
            </w:r>
          </w:p>
        </w:tc>
        <w:tc>
          <w:tcPr>
            <w:tcW w:w="420" w:type="dxa"/>
            <w:vAlign w:val="bottom"/>
          </w:tcPr>
          <w:p>
            <w:pPr>
              <w:spacing w:after="0"/>
              <w:rPr>
                <w:sz w:val="14"/>
                <w:szCs w:val="14"/>
                <w:color w:val="auto"/>
              </w:rPr>
            </w:pPr>
          </w:p>
        </w:tc>
        <w:tc>
          <w:tcPr>
            <w:tcW w:w="800" w:type="dxa"/>
            <w:vAlign w:val="bottom"/>
            <w:tcBorders>
              <w:bottom w:val="single" w:sz="8" w:color="auto"/>
            </w:tcBorders>
          </w:tcPr>
          <w:p>
            <w:pPr>
              <w:jc w:val="right"/>
              <w:ind w:right="186"/>
              <w:spacing w:after="0"/>
              <w:rPr>
                <w:sz w:val="20"/>
                <w:szCs w:val="20"/>
                <w:color w:val="auto"/>
              </w:rPr>
            </w:pPr>
            <w:r>
              <w:rPr>
                <w:rFonts w:ascii="Arial" w:cs="Arial" w:eastAsia="Arial" w:hAnsi="Arial"/>
                <w:sz w:val="14"/>
                <w:szCs w:val="14"/>
                <w:b w:val="1"/>
                <w:bCs w:val="1"/>
                <w:color w:val="auto"/>
              </w:rPr>
              <w:t>2008</w:t>
            </w:r>
          </w:p>
        </w:tc>
        <w:tc>
          <w:tcPr>
            <w:tcW w:w="440" w:type="dxa"/>
            <w:vAlign w:val="bottom"/>
          </w:tcPr>
          <w:p>
            <w:pPr>
              <w:spacing w:after="0"/>
              <w:rPr>
                <w:sz w:val="14"/>
                <w:szCs w:val="14"/>
                <w:color w:val="auto"/>
              </w:rPr>
            </w:pPr>
          </w:p>
        </w:tc>
        <w:tc>
          <w:tcPr>
            <w:tcW w:w="800" w:type="dxa"/>
            <w:vAlign w:val="bottom"/>
            <w:tcBorders>
              <w:bottom w:val="single" w:sz="8" w:color="auto"/>
            </w:tcBorders>
          </w:tcPr>
          <w:p>
            <w:pPr>
              <w:jc w:val="right"/>
              <w:ind w:right="184"/>
              <w:spacing w:after="0"/>
              <w:rPr>
                <w:sz w:val="20"/>
                <w:szCs w:val="20"/>
                <w:color w:val="auto"/>
              </w:rPr>
            </w:pPr>
            <w:r>
              <w:rPr>
                <w:rFonts w:ascii="Arial" w:cs="Arial" w:eastAsia="Arial" w:hAnsi="Arial"/>
                <w:sz w:val="14"/>
                <w:szCs w:val="14"/>
                <w:b w:val="1"/>
                <w:bCs w:val="1"/>
                <w:color w:val="auto"/>
              </w:rPr>
              <w:t>2007</w:t>
            </w:r>
          </w:p>
        </w:tc>
        <w:tc>
          <w:tcPr>
            <w:tcW w:w="100" w:type="dxa"/>
            <w:vAlign w:val="bottom"/>
          </w:tcPr>
          <w:p>
            <w:pPr>
              <w:spacing w:after="0"/>
              <w:rPr>
                <w:sz w:val="14"/>
                <w:szCs w:val="14"/>
                <w:color w:val="auto"/>
              </w:rPr>
            </w:pPr>
          </w:p>
        </w:tc>
      </w:tr>
      <w:tr>
        <w:trPr>
          <w:trHeight w:val="210"/>
        </w:trPr>
        <w:tc>
          <w:tcPr>
            <w:tcW w:w="4660" w:type="dxa"/>
            <w:vAlign w:val="bottom"/>
            <w:shd w:val="clear" w:color="auto" w:fill="CCEEFF"/>
          </w:tcPr>
          <w:p>
            <w:pPr>
              <w:spacing w:after="0"/>
              <w:rPr>
                <w:sz w:val="20"/>
                <w:szCs w:val="20"/>
                <w:color w:val="auto"/>
              </w:rPr>
            </w:pPr>
            <w:r>
              <w:rPr>
                <w:rFonts w:ascii="Arial" w:cs="Arial" w:eastAsia="Arial" w:hAnsi="Arial"/>
                <w:sz w:val="18"/>
                <w:szCs w:val="18"/>
                <w:color w:val="auto"/>
              </w:rPr>
              <w:t>Weighted-average discount rate for U.S. plans</w:t>
            </w:r>
          </w:p>
        </w:tc>
        <w:tc>
          <w:tcPr>
            <w:tcW w:w="158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5.57%</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6.81%</w:t>
            </w:r>
          </w:p>
        </w:tc>
        <w:tc>
          <w:tcPr>
            <w:tcW w:w="540" w:type="dxa"/>
            <w:vAlign w:val="bottom"/>
            <w:tcBorders>
              <w:right w:val="single" w:sz="8" w:color="auto"/>
            </w:tcBorders>
            <w:shd w:val="clear" w:color="auto" w:fill="CCEEFF"/>
          </w:tcPr>
          <w:p>
            <w:pPr>
              <w:spacing w:after="0"/>
              <w:rPr>
                <w:sz w:val="18"/>
                <w:szCs w:val="18"/>
                <w:color w:val="auto"/>
              </w:rPr>
            </w:pPr>
          </w:p>
        </w:tc>
        <w:tc>
          <w:tcPr>
            <w:tcW w:w="1420" w:type="dxa"/>
            <w:vAlign w:val="bottom"/>
            <w:gridSpan w:val="3"/>
            <w:shd w:val="clear" w:color="auto" w:fill="CCEEFF"/>
          </w:tcPr>
          <w:p>
            <w:pPr>
              <w:jc w:val="right"/>
              <w:ind w:right="420"/>
              <w:spacing w:after="0"/>
              <w:rPr>
                <w:sz w:val="20"/>
                <w:szCs w:val="20"/>
                <w:color w:val="auto"/>
              </w:rPr>
            </w:pPr>
            <w:r>
              <w:rPr>
                <w:rFonts w:ascii="Arial" w:cs="Arial" w:eastAsia="Arial" w:hAnsi="Arial"/>
                <w:sz w:val="18"/>
                <w:szCs w:val="18"/>
                <w:color w:val="auto"/>
              </w:rPr>
              <w:t>8.11%</w:t>
            </w:r>
          </w:p>
        </w:tc>
        <w:tc>
          <w:tcPr>
            <w:tcW w:w="124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7.02%</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5.90%</w:t>
            </w:r>
          </w:p>
        </w:tc>
        <w:tc>
          <w:tcPr>
            <w:tcW w:w="100" w:type="dxa"/>
            <w:vAlign w:val="bottom"/>
            <w:shd w:val="clear" w:color="auto" w:fill="CCEEFF"/>
          </w:tcPr>
          <w:p>
            <w:pPr>
              <w:spacing w:after="0"/>
              <w:rPr>
                <w:sz w:val="18"/>
                <w:szCs w:val="18"/>
                <w:color w:val="auto"/>
              </w:rPr>
            </w:pPr>
          </w:p>
        </w:tc>
      </w:tr>
      <w:tr>
        <w:trPr>
          <w:trHeight w:val="216"/>
        </w:trPr>
        <w:tc>
          <w:tcPr>
            <w:tcW w:w="4660" w:type="dxa"/>
            <w:vAlign w:val="bottom"/>
          </w:tcPr>
          <w:p>
            <w:pPr>
              <w:spacing w:after="0"/>
              <w:rPr>
                <w:sz w:val="20"/>
                <w:szCs w:val="20"/>
                <w:color w:val="auto"/>
              </w:rPr>
            </w:pPr>
            <w:r>
              <w:rPr>
                <w:rFonts w:ascii="Arial" w:cs="Arial" w:eastAsia="Arial" w:hAnsi="Arial"/>
                <w:sz w:val="18"/>
                <w:szCs w:val="18"/>
                <w:color w:val="auto"/>
              </w:rPr>
              <w:t>Weighted-average discount rate for non-U.S. plans</w:t>
            </w:r>
          </w:p>
        </w:tc>
        <w:tc>
          <w:tcPr>
            <w:tcW w:w="1580" w:type="dxa"/>
            <w:vAlign w:val="bottom"/>
            <w:gridSpan w:val="2"/>
          </w:tcPr>
          <w:p>
            <w:pPr>
              <w:jc w:val="right"/>
              <w:ind w:right="440"/>
              <w:spacing w:after="0"/>
              <w:rPr>
                <w:sz w:val="20"/>
                <w:szCs w:val="20"/>
                <w:color w:val="auto"/>
              </w:rPr>
            </w:pPr>
            <w:r>
              <w:rPr>
                <w:rFonts w:ascii="Arial" w:cs="Arial" w:eastAsia="Arial" w:hAnsi="Arial"/>
                <w:sz w:val="18"/>
                <w:szCs w:val="18"/>
                <w:color w:val="auto"/>
              </w:rPr>
              <w:t>5.22%</w:t>
            </w:r>
          </w:p>
        </w:tc>
        <w:tc>
          <w:tcPr>
            <w:tcW w:w="1080" w:type="dxa"/>
            <w:vAlign w:val="bottom"/>
          </w:tcPr>
          <w:p>
            <w:pPr>
              <w:jc w:val="right"/>
              <w:spacing w:after="0"/>
              <w:rPr>
                <w:sz w:val="20"/>
                <w:szCs w:val="20"/>
                <w:color w:val="auto"/>
              </w:rPr>
            </w:pPr>
            <w:r>
              <w:rPr>
                <w:rFonts w:ascii="Arial" w:cs="Arial" w:eastAsia="Arial" w:hAnsi="Arial"/>
                <w:sz w:val="18"/>
                <w:szCs w:val="18"/>
                <w:color w:val="auto"/>
              </w:rPr>
              <w:t>5.47%</w:t>
            </w:r>
          </w:p>
        </w:tc>
        <w:tc>
          <w:tcPr>
            <w:tcW w:w="540" w:type="dxa"/>
            <w:vAlign w:val="bottom"/>
            <w:tcBorders>
              <w:right w:val="single" w:sz="8" w:color="auto"/>
            </w:tcBorders>
          </w:tcPr>
          <w:p>
            <w:pPr>
              <w:spacing w:after="0"/>
              <w:rPr>
                <w:sz w:val="18"/>
                <w:szCs w:val="18"/>
                <w:color w:val="auto"/>
              </w:rPr>
            </w:pPr>
          </w:p>
        </w:tc>
        <w:tc>
          <w:tcPr>
            <w:tcW w:w="1420" w:type="dxa"/>
            <w:vAlign w:val="bottom"/>
            <w:gridSpan w:val="3"/>
          </w:tcPr>
          <w:p>
            <w:pPr>
              <w:jc w:val="right"/>
              <w:ind w:right="420"/>
              <w:spacing w:after="0"/>
              <w:rPr>
                <w:sz w:val="20"/>
                <w:szCs w:val="20"/>
                <w:color w:val="auto"/>
              </w:rPr>
            </w:pPr>
            <w:r>
              <w:rPr>
                <w:rFonts w:ascii="Arial" w:cs="Arial" w:eastAsia="Arial" w:hAnsi="Arial"/>
                <w:sz w:val="18"/>
                <w:szCs w:val="18"/>
                <w:color w:val="auto"/>
              </w:rPr>
              <w:t>6.77%</w:t>
            </w:r>
          </w:p>
        </w:tc>
        <w:tc>
          <w:tcPr>
            <w:tcW w:w="1240" w:type="dxa"/>
            <w:vAlign w:val="bottom"/>
            <w:gridSpan w:val="2"/>
          </w:tcPr>
          <w:p>
            <w:pPr>
              <w:jc w:val="right"/>
              <w:ind w:right="440"/>
              <w:spacing w:after="0"/>
              <w:rPr>
                <w:sz w:val="20"/>
                <w:szCs w:val="20"/>
                <w:color w:val="auto"/>
              </w:rPr>
            </w:pPr>
            <w:r>
              <w:rPr>
                <w:rFonts w:ascii="Arial" w:cs="Arial" w:eastAsia="Arial" w:hAnsi="Arial"/>
                <w:sz w:val="18"/>
                <w:szCs w:val="18"/>
                <w:color w:val="auto"/>
              </w:rPr>
              <w:t>5.90%</w:t>
            </w:r>
          </w:p>
        </w:tc>
        <w:tc>
          <w:tcPr>
            <w:tcW w:w="800" w:type="dxa"/>
            <w:vAlign w:val="bottom"/>
          </w:tcPr>
          <w:p>
            <w:pPr>
              <w:jc w:val="right"/>
              <w:spacing w:after="0"/>
              <w:rPr>
                <w:sz w:val="20"/>
                <w:szCs w:val="20"/>
                <w:color w:val="auto"/>
              </w:rPr>
            </w:pPr>
            <w:r>
              <w:rPr>
                <w:rFonts w:ascii="Arial" w:cs="Arial" w:eastAsia="Arial" w:hAnsi="Arial"/>
                <w:sz w:val="18"/>
                <w:szCs w:val="18"/>
                <w:color w:val="auto"/>
              </w:rPr>
              <w:t>5.00%</w:t>
            </w:r>
          </w:p>
        </w:tc>
        <w:tc>
          <w:tcPr>
            <w:tcW w:w="100" w:type="dxa"/>
            <w:vAlign w:val="bottom"/>
          </w:tcPr>
          <w:p>
            <w:pPr>
              <w:spacing w:after="0"/>
              <w:rPr>
                <w:sz w:val="18"/>
                <w:szCs w:val="18"/>
                <w:color w:val="auto"/>
              </w:rPr>
            </w:pPr>
          </w:p>
        </w:tc>
      </w:tr>
      <w:tr>
        <w:trPr>
          <w:trHeight w:val="363"/>
        </w:trPr>
        <w:tc>
          <w:tcPr>
            <w:tcW w:w="4660" w:type="dxa"/>
            <w:vAlign w:val="bottom"/>
          </w:tcPr>
          <w:p>
            <w:pPr>
              <w:spacing w:after="0"/>
              <w:rPr>
                <w:sz w:val="24"/>
                <w:szCs w:val="24"/>
                <w:color w:val="auto"/>
              </w:rPr>
            </w:pPr>
          </w:p>
        </w:tc>
        <w:tc>
          <w:tcPr>
            <w:tcW w:w="1580" w:type="dxa"/>
            <w:vAlign w:val="bottom"/>
            <w:gridSpan w:val="2"/>
          </w:tcPr>
          <w:p>
            <w:pPr>
              <w:jc w:val="right"/>
              <w:ind w:right="400"/>
              <w:spacing w:after="0"/>
              <w:rPr>
                <w:sz w:val="20"/>
                <w:szCs w:val="20"/>
                <w:color w:val="auto"/>
              </w:rPr>
            </w:pPr>
            <w:r>
              <w:rPr>
                <w:rFonts w:ascii="Arial" w:cs="Arial" w:eastAsia="Arial" w:hAnsi="Arial"/>
                <w:sz w:val="18"/>
                <w:szCs w:val="18"/>
                <w:color w:val="auto"/>
              </w:rPr>
              <w:t>141</w:t>
            </w:r>
          </w:p>
        </w:tc>
        <w:tc>
          <w:tcPr>
            <w:tcW w:w="10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r>
    </w:tbl>
    <w:p>
      <w:pPr>
        <w:sectPr>
          <w:pgSz w:w="11900" w:h="16838" w:orient="portrait"/>
          <w:cols w:equalWidth="0" w:num="1">
            <w:col w:w="11420"/>
          </w:cols>
          <w:pgMar w:left="240" w:top="459" w:right="239" w:bottom="1440" w:gutter="0" w:footer="0" w:header="0"/>
        </w:sectPr>
      </w:pPr>
    </w:p>
    <w:bookmarkStart w:id="143" w:name="page144"/>
    <w:bookmarkEnd w:id="14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339" w:lineRule="exact"/>
        <w:rPr>
          <w:sz w:val="20"/>
          <w:szCs w:val="20"/>
          <w:color w:val="auto"/>
        </w:rPr>
      </w:pPr>
    </w:p>
    <w:p>
      <w:pPr>
        <w:ind w:left="240"/>
        <w:spacing w:after="0"/>
        <w:rPr>
          <w:sz w:val="20"/>
          <w:szCs w:val="20"/>
          <w:color w:val="auto"/>
        </w:rPr>
      </w:pPr>
      <w:r>
        <w:rPr>
          <w:rFonts w:ascii="Arial" w:cs="Arial" w:eastAsia="Arial" w:hAnsi="Arial"/>
          <w:sz w:val="16"/>
          <w:szCs w:val="16"/>
          <w:color w:val="auto"/>
        </w:rPr>
        <w:t>The following table summarizes the healthcare cost trend rates used in the last remeasurement of the accumulated postretirement benefit obligations (APBO)</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at December 31:</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060" w:type="dxa"/>
            <w:vAlign w:val="bottom"/>
          </w:tcPr>
          <w:p>
            <w:pPr>
              <w:spacing w:after="0"/>
              <w:rPr>
                <w:sz w:val="14"/>
                <w:szCs w:val="14"/>
                <w:color w:val="auto"/>
              </w:rPr>
            </w:pPr>
          </w:p>
        </w:tc>
        <w:tc>
          <w:tcPr>
            <w:tcW w:w="32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340" w:type="dxa"/>
            <w:vAlign w:val="bottom"/>
            <w:tcBorders>
              <w:right w:val="single" w:sz="8" w:color="auto"/>
            </w:tcBorders>
            <w:gridSpan w:val="3"/>
          </w:tcPr>
          <w:p>
            <w:pPr>
              <w:jc w:val="right"/>
              <w:ind w:right="1760"/>
              <w:spacing w:after="0"/>
              <w:rPr>
                <w:sz w:val="20"/>
                <w:szCs w:val="20"/>
                <w:color w:val="auto"/>
              </w:rPr>
            </w:pPr>
            <w:r>
              <w:rPr>
                <w:rFonts w:ascii="Arial" w:cs="Arial" w:eastAsia="Arial" w:hAnsi="Arial"/>
                <w:sz w:val="14"/>
                <w:szCs w:val="14"/>
                <w:b w:val="1"/>
                <w:bCs w:val="1"/>
                <w:color w:val="auto"/>
                <w:w w:val="79"/>
              </w:rPr>
              <w:t>Successor</w:t>
            </w:r>
          </w:p>
        </w:tc>
        <w:tc>
          <w:tcPr>
            <w:tcW w:w="4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740" w:type="dxa"/>
            <w:vAlign w:val="bottom"/>
            <w:gridSpan w:val="3"/>
          </w:tcPr>
          <w:p>
            <w:pPr>
              <w:jc w:val="right"/>
              <w:ind w:right="920"/>
              <w:spacing w:after="0"/>
              <w:rPr>
                <w:sz w:val="20"/>
                <w:szCs w:val="20"/>
                <w:color w:val="auto"/>
              </w:rPr>
            </w:pPr>
            <w:r>
              <w:rPr>
                <w:rFonts w:ascii="Arial" w:cs="Arial" w:eastAsia="Arial" w:hAnsi="Arial"/>
                <w:sz w:val="14"/>
                <w:szCs w:val="14"/>
                <w:b w:val="1"/>
                <w:bCs w:val="1"/>
                <w:color w:val="auto"/>
                <w:w w:val="95"/>
              </w:rPr>
              <w:t>Predecessor</w:t>
            </w:r>
          </w:p>
        </w:tc>
        <w:tc>
          <w:tcPr>
            <w:tcW w:w="0" w:type="dxa"/>
            <w:vAlign w:val="bottom"/>
          </w:tcPr>
          <w:p>
            <w:pPr>
              <w:spacing w:after="0"/>
              <w:rPr>
                <w:sz w:val="1"/>
                <w:szCs w:val="1"/>
                <w:color w:val="auto"/>
              </w:rPr>
            </w:pPr>
          </w:p>
        </w:tc>
      </w:tr>
      <w:tr>
        <w:trPr>
          <w:trHeight w:val="142"/>
        </w:trPr>
        <w:tc>
          <w:tcPr>
            <w:tcW w:w="532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Assumed Healthcare Trend Rates</w:t>
            </w:r>
          </w:p>
        </w:tc>
        <w:tc>
          <w:tcPr>
            <w:tcW w:w="2520" w:type="dxa"/>
            <w:vAlign w:val="bottom"/>
            <w:tcBorders>
              <w:top w:val="single" w:sz="8" w:color="auto"/>
              <w:bottom w:val="single" w:sz="8" w:color="auto"/>
            </w:tcBorders>
            <w:gridSpan w:val="4"/>
          </w:tcPr>
          <w:p>
            <w:pPr>
              <w:ind w:left="720"/>
              <w:spacing w:after="0" w:line="142" w:lineRule="exact"/>
              <w:rPr>
                <w:sz w:val="20"/>
                <w:szCs w:val="20"/>
                <w:color w:val="auto"/>
              </w:rPr>
            </w:pPr>
            <w:r>
              <w:rPr>
                <w:rFonts w:ascii="Arial" w:cs="Arial" w:eastAsia="Arial" w:hAnsi="Arial"/>
                <w:sz w:val="14"/>
                <w:szCs w:val="14"/>
                <w:b w:val="1"/>
                <w:bCs w:val="1"/>
                <w:color w:val="auto"/>
              </w:rPr>
              <w:t>December 31, 2009</w:t>
            </w:r>
          </w:p>
        </w:tc>
        <w:tc>
          <w:tcPr>
            <w:tcW w:w="780" w:type="dxa"/>
            <w:vAlign w:val="bottom"/>
            <w:tcBorders>
              <w:right w:val="single" w:sz="8" w:color="auto"/>
            </w:tcBorders>
          </w:tcPr>
          <w:p>
            <w:pPr>
              <w:spacing w:after="0"/>
              <w:rPr>
                <w:sz w:val="12"/>
                <w:szCs w:val="12"/>
                <w:color w:val="auto"/>
              </w:rPr>
            </w:pPr>
          </w:p>
        </w:tc>
        <w:tc>
          <w:tcPr>
            <w:tcW w:w="460" w:type="dxa"/>
            <w:vAlign w:val="bottom"/>
          </w:tcPr>
          <w:p>
            <w:pPr>
              <w:spacing w:after="0"/>
              <w:rPr>
                <w:sz w:val="12"/>
                <w:szCs w:val="12"/>
                <w:color w:val="auto"/>
              </w:rPr>
            </w:pPr>
          </w:p>
        </w:tc>
        <w:tc>
          <w:tcPr>
            <w:tcW w:w="2140" w:type="dxa"/>
            <w:vAlign w:val="bottom"/>
            <w:tcBorders>
              <w:top w:val="single" w:sz="8" w:color="auto"/>
              <w:bottom w:val="single" w:sz="8" w:color="auto"/>
            </w:tcBorders>
            <w:gridSpan w:val="3"/>
          </w:tcPr>
          <w:p>
            <w:pPr>
              <w:jc w:val="right"/>
              <w:ind w:right="437"/>
              <w:spacing w:after="0" w:line="142" w:lineRule="exact"/>
              <w:rPr>
                <w:sz w:val="20"/>
                <w:szCs w:val="20"/>
                <w:color w:val="auto"/>
              </w:rPr>
            </w:pPr>
            <w:r>
              <w:rPr>
                <w:rFonts w:ascii="Arial" w:cs="Arial" w:eastAsia="Arial" w:hAnsi="Arial"/>
                <w:sz w:val="14"/>
                <w:szCs w:val="14"/>
                <w:b w:val="1"/>
                <w:bCs w:val="1"/>
                <w:color w:val="auto"/>
              </w:rPr>
              <w:t>December 31, 2008</w:t>
            </w: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5320" w:type="dxa"/>
            <w:vAlign w:val="bottom"/>
            <w:gridSpan w:val="3"/>
            <w:vMerge w:val="continue"/>
          </w:tcPr>
          <w:p>
            <w:pPr>
              <w:spacing w:after="0"/>
              <w:rPr>
                <w:sz w:val="12"/>
                <w:szCs w:val="12"/>
                <w:color w:val="auto"/>
              </w:rPr>
            </w:pPr>
          </w:p>
        </w:tc>
        <w:tc>
          <w:tcPr>
            <w:tcW w:w="960" w:type="dxa"/>
            <w:vAlign w:val="bottom"/>
            <w:gridSpan w:val="2"/>
          </w:tcPr>
          <w:p>
            <w:pPr>
              <w:spacing w:after="0" w:line="142" w:lineRule="exact"/>
              <w:rPr>
                <w:sz w:val="20"/>
                <w:szCs w:val="20"/>
                <w:color w:val="auto"/>
              </w:rPr>
            </w:pPr>
            <w:r>
              <w:rPr>
                <w:rFonts w:ascii="Arial" w:cs="Arial" w:eastAsia="Arial" w:hAnsi="Arial"/>
                <w:sz w:val="14"/>
                <w:szCs w:val="14"/>
                <w:b w:val="1"/>
                <w:bCs w:val="1"/>
                <w:color w:val="auto"/>
              </w:rPr>
              <w:t>U.S. Plans (a)</w:t>
            </w:r>
          </w:p>
        </w:tc>
        <w:tc>
          <w:tcPr>
            <w:tcW w:w="500" w:type="dxa"/>
            <w:vAlign w:val="bottom"/>
          </w:tcPr>
          <w:p>
            <w:pPr>
              <w:spacing w:after="0"/>
              <w:rPr>
                <w:sz w:val="12"/>
                <w:szCs w:val="12"/>
                <w:color w:val="auto"/>
              </w:rPr>
            </w:pPr>
          </w:p>
        </w:tc>
        <w:tc>
          <w:tcPr>
            <w:tcW w:w="1060" w:type="dxa"/>
            <w:vAlign w:val="bottom"/>
          </w:tcPr>
          <w:p>
            <w:pPr>
              <w:jc w:val="right"/>
              <w:spacing w:after="0" w:line="142" w:lineRule="exact"/>
              <w:rPr>
                <w:sz w:val="20"/>
                <w:szCs w:val="20"/>
                <w:color w:val="auto"/>
              </w:rPr>
            </w:pPr>
            <w:r>
              <w:rPr>
                <w:rFonts w:ascii="Arial" w:cs="Arial" w:eastAsia="Arial" w:hAnsi="Arial"/>
                <w:sz w:val="14"/>
                <w:szCs w:val="14"/>
                <w:b w:val="1"/>
                <w:bCs w:val="1"/>
                <w:color w:val="auto"/>
                <w:w w:val="85"/>
              </w:rPr>
              <w:t>Non U.S. Plans (b)</w:t>
            </w:r>
          </w:p>
        </w:tc>
        <w:tc>
          <w:tcPr>
            <w:tcW w:w="780" w:type="dxa"/>
            <w:vAlign w:val="bottom"/>
            <w:tcBorders>
              <w:right w:val="single" w:sz="8" w:color="auto"/>
            </w:tcBorders>
          </w:tcPr>
          <w:p>
            <w:pPr>
              <w:spacing w:after="0"/>
              <w:rPr>
                <w:sz w:val="12"/>
                <w:szCs w:val="12"/>
                <w:color w:val="auto"/>
              </w:rPr>
            </w:pPr>
          </w:p>
        </w:tc>
        <w:tc>
          <w:tcPr>
            <w:tcW w:w="460" w:type="dxa"/>
            <w:vAlign w:val="bottom"/>
          </w:tcPr>
          <w:p>
            <w:pPr>
              <w:spacing w:after="0"/>
              <w:rPr>
                <w:sz w:val="12"/>
                <w:szCs w:val="12"/>
                <w:color w:val="auto"/>
              </w:rPr>
            </w:pPr>
          </w:p>
        </w:tc>
        <w:tc>
          <w:tcPr>
            <w:tcW w:w="1280" w:type="dxa"/>
            <w:vAlign w:val="bottom"/>
            <w:gridSpan w:val="2"/>
          </w:tcPr>
          <w:p>
            <w:pPr>
              <w:jc w:val="right"/>
              <w:ind w:right="612"/>
              <w:spacing w:after="0" w:line="142" w:lineRule="exact"/>
              <w:rPr>
                <w:sz w:val="20"/>
                <w:szCs w:val="20"/>
                <w:color w:val="auto"/>
              </w:rPr>
            </w:pPr>
            <w:r>
              <w:rPr>
                <w:rFonts w:ascii="Arial" w:cs="Arial" w:eastAsia="Arial" w:hAnsi="Arial"/>
                <w:sz w:val="14"/>
                <w:szCs w:val="14"/>
                <w:b w:val="1"/>
                <w:bCs w:val="1"/>
                <w:color w:val="auto"/>
                <w:w w:val="84"/>
              </w:rPr>
              <w:t>U.S. Plans</w:t>
            </w:r>
          </w:p>
        </w:tc>
        <w:tc>
          <w:tcPr>
            <w:tcW w:w="860" w:type="dxa"/>
            <w:vAlign w:val="bottom"/>
          </w:tcPr>
          <w:p>
            <w:pPr>
              <w:jc w:val="right"/>
              <w:spacing w:after="0" w:line="142" w:lineRule="exact"/>
              <w:rPr>
                <w:sz w:val="20"/>
                <w:szCs w:val="20"/>
                <w:color w:val="auto"/>
              </w:rPr>
            </w:pPr>
            <w:r>
              <w:rPr>
                <w:rFonts w:ascii="Arial" w:cs="Arial" w:eastAsia="Arial" w:hAnsi="Arial"/>
                <w:sz w:val="14"/>
                <w:szCs w:val="14"/>
                <w:b w:val="1"/>
                <w:bCs w:val="1"/>
                <w:color w:val="auto"/>
                <w:w w:val="84"/>
              </w:rPr>
              <w:t>Non U.S. Plans</w:t>
            </w: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2060" w:type="dxa"/>
            <w:vAlign w:val="bottom"/>
            <w:shd w:val="clear" w:color="auto" w:fill="000000"/>
          </w:tcPr>
          <w:p>
            <w:pPr>
              <w:spacing w:after="0" w:line="20" w:lineRule="exact"/>
              <w:rPr>
                <w:sz w:val="1"/>
                <w:szCs w:val="1"/>
                <w:color w:val="auto"/>
              </w:rPr>
            </w:pPr>
          </w:p>
        </w:tc>
        <w:tc>
          <w:tcPr>
            <w:tcW w:w="324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780" w:type="dxa"/>
            <w:vAlign w:val="bottom"/>
            <w:tcBorders>
              <w:right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53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Initial healthcare cost trend rate</w:t>
            </w:r>
          </w:p>
        </w:tc>
        <w:tc>
          <w:tcPr>
            <w:tcW w:w="960" w:type="dxa"/>
            <w:vAlign w:val="bottom"/>
            <w:gridSpan w:val="2"/>
            <w:shd w:val="clear" w:color="auto" w:fill="CCEEFF"/>
          </w:tcPr>
          <w:p>
            <w:pPr>
              <w:ind w:left="600"/>
              <w:spacing w:after="0"/>
              <w:rPr>
                <w:sz w:val="20"/>
                <w:szCs w:val="20"/>
                <w:color w:val="auto"/>
              </w:rPr>
            </w:pPr>
            <w:r>
              <w:rPr>
                <w:rFonts w:ascii="Arial" w:cs="Arial" w:eastAsia="Arial" w:hAnsi="Arial"/>
                <w:sz w:val="18"/>
                <w:szCs w:val="18"/>
                <w:color w:val="auto"/>
                <w:w w:val="99"/>
              </w:rPr>
              <w:t>—%</w:t>
            </w:r>
          </w:p>
        </w:tc>
        <w:tc>
          <w:tcPr>
            <w:tcW w:w="2340" w:type="dxa"/>
            <w:vAlign w:val="bottom"/>
            <w:tcBorders>
              <w:right w:val="single" w:sz="8" w:color="auto"/>
            </w:tcBorders>
            <w:gridSpan w:val="3"/>
            <w:shd w:val="clear" w:color="auto" w:fill="CCEEFF"/>
          </w:tcPr>
          <w:p>
            <w:pPr>
              <w:jc w:val="right"/>
              <w:ind w:right="640"/>
              <w:spacing w:after="0"/>
              <w:rPr>
                <w:sz w:val="20"/>
                <w:szCs w:val="20"/>
                <w:color w:val="auto"/>
              </w:rPr>
            </w:pPr>
            <w:r>
              <w:rPr>
                <w:rFonts w:ascii="Arial" w:cs="Arial" w:eastAsia="Arial" w:hAnsi="Arial"/>
                <w:sz w:val="18"/>
                <w:szCs w:val="18"/>
                <w:color w:val="auto"/>
              </w:rPr>
              <w:t>5.4%</w:t>
            </w:r>
          </w:p>
        </w:tc>
        <w:tc>
          <w:tcPr>
            <w:tcW w:w="46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472"/>
              <w:spacing w:after="0"/>
              <w:rPr>
                <w:sz w:val="20"/>
                <w:szCs w:val="20"/>
                <w:color w:val="auto"/>
              </w:rPr>
            </w:pPr>
            <w:r>
              <w:rPr>
                <w:rFonts w:ascii="Arial" w:cs="Arial" w:eastAsia="Arial" w:hAnsi="Arial"/>
                <w:sz w:val="18"/>
                <w:szCs w:val="18"/>
                <w:color w:val="auto"/>
              </w:rPr>
              <w:t>8.0%</w:t>
            </w:r>
          </w:p>
        </w:tc>
        <w:tc>
          <w:tcPr>
            <w:tcW w:w="10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00" w:type="dxa"/>
            <w:vAlign w:val="bottom"/>
            <w:gridSpan w:val="2"/>
          </w:tcPr>
          <w:p>
            <w:pPr>
              <w:spacing w:after="0"/>
              <w:rPr>
                <w:sz w:val="20"/>
                <w:szCs w:val="20"/>
                <w:color w:val="auto"/>
              </w:rPr>
            </w:pPr>
            <w:r>
              <w:rPr>
                <w:rFonts w:ascii="Arial" w:cs="Arial" w:eastAsia="Arial" w:hAnsi="Arial"/>
                <w:sz w:val="18"/>
                <w:szCs w:val="18"/>
                <w:color w:val="auto"/>
              </w:rPr>
              <w:t>Ultimate healthcare cost trend rate</w:t>
            </w:r>
          </w:p>
        </w:tc>
        <w:tc>
          <w:tcPr>
            <w:tcW w:w="960" w:type="dxa"/>
            <w:vAlign w:val="bottom"/>
            <w:gridSpan w:val="2"/>
          </w:tcPr>
          <w:p>
            <w:pPr>
              <w:ind w:left="600"/>
              <w:spacing w:after="0"/>
              <w:rPr>
                <w:sz w:val="20"/>
                <w:szCs w:val="20"/>
                <w:color w:val="auto"/>
              </w:rPr>
            </w:pPr>
            <w:r>
              <w:rPr>
                <w:rFonts w:ascii="Arial" w:cs="Arial" w:eastAsia="Arial" w:hAnsi="Arial"/>
                <w:sz w:val="18"/>
                <w:szCs w:val="18"/>
                <w:color w:val="auto"/>
                <w:w w:val="99"/>
              </w:rPr>
              <w:t>—%</w:t>
            </w:r>
          </w:p>
        </w:tc>
        <w:tc>
          <w:tcPr>
            <w:tcW w:w="2340" w:type="dxa"/>
            <w:vAlign w:val="bottom"/>
            <w:tcBorders>
              <w:right w:val="single" w:sz="8" w:color="auto"/>
            </w:tcBorders>
            <w:gridSpan w:val="3"/>
          </w:tcPr>
          <w:p>
            <w:pPr>
              <w:jc w:val="right"/>
              <w:ind w:right="640"/>
              <w:spacing w:after="0"/>
              <w:rPr>
                <w:sz w:val="20"/>
                <w:szCs w:val="20"/>
                <w:color w:val="auto"/>
              </w:rPr>
            </w:pPr>
            <w:r>
              <w:rPr>
                <w:rFonts w:ascii="Arial" w:cs="Arial" w:eastAsia="Arial" w:hAnsi="Arial"/>
                <w:sz w:val="18"/>
                <w:szCs w:val="18"/>
                <w:color w:val="auto"/>
              </w:rPr>
              <w:t>3.3%</w:t>
            </w:r>
          </w:p>
        </w:tc>
        <w:tc>
          <w:tcPr>
            <w:tcW w:w="460" w:type="dxa"/>
            <w:vAlign w:val="bottom"/>
          </w:tcPr>
          <w:p>
            <w:pPr>
              <w:spacing w:after="0"/>
              <w:rPr>
                <w:sz w:val="18"/>
                <w:szCs w:val="18"/>
                <w:color w:val="auto"/>
              </w:rPr>
            </w:pPr>
          </w:p>
        </w:tc>
        <w:tc>
          <w:tcPr>
            <w:tcW w:w="1280" w:type="dxa"/>
            <w:vAlign w:val="bottom"/>
            <w:gridSpan w:val="2"/>
          </w:tcPr>
          <w:p>
            <w:pPr>
              <w:jc w:val="right"/>
              <w:ind w:right="472"/>
              <w:spacing w:after="0"/>
              <w:rPr>
                <w:sz w:val="20"/>
                <w:szCs w:val="20"/>
                <w:color w:val="auto"/>
              </w:rPr>
            </w:pPr>
            <w:r>
              <w:rPr>
                <w:rFonts w:ascii="Arial" w:cs="Arial" w:eastAsia="Arial" w:hAnsi="Arial"/>
                <w:sz w:val="18"/>
                <w:szCs w:val="18"/>
                <w:color w:val="auto"/>
              </w:rPr>
              <w:t>5.0%</w:t>
            </w:r>
          </w:p>
        </w:tc>
        <w:tc>
          <w:tcPr>
            <w:tcW w:w="1060" w:type="dxa"/>
            <w:vAlign w:val="bottom"/>
            <w:gridSpan w:val="2"/>
          </w:tcPr>
          <w:p>
            <w:pPr>
              <w:jc w:val="right"/>
              <w:ind w:right="60"/>
              <w:spacing w:after="0"/>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Number of years to ultimate trend rate</w:t>
            </w:r>
          </w:p>
        </w:tc>
        <w:tc>
          <w:tcPr>
            <w:tcW w:w="960" w:type="dxa"/>
            <w:vAlign w:val="bottom"/>
            <w:gridSpan w:val="2"/>
            <w:shd w:val="clear" w:color="auto" w:fill="CCEEFF"/>
          </w:tcPr>
          <w:p>
            <w:pPr>
              <w:ind w:left="600"/>
              <w:spacing w:after="0"/>
              <w:rPr>
                <w:sz w:val="20"/>
                <w:szCs w:val="20"/>
                <w:color w:val="auto"/>
              </w:rPr>
            </w:pPr>
            <w:r>
              <w:rPr>
                <w:rFonts w:ascii="Arial" w:cs="Arial" w:eastAsia="Arial" w:hAnsi="Arial"/>
                <w:sz w:val="18"/>
                <w:szCs w:val="18"/>
                <w:color w:val="auto"/>
              </w:rPr>
              <w:t>—</w:t>
            </w:r>
          </w:p>
        </w:tc>
        <w:tc>
          <w:tcPr>
            <w:tcW w:w="1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780" w:type="dxa"/>
            <w:vAlign w:val="bottom"/>
            <w:tcBorders>
              <w:right w:val="single" w:sz="8" w:color="auto"/>
            </w:tcBorders>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612"/>
              <w:spacing w:after="0"/>
              <w:rPr>
                <w:sz w:val="20"/>
                <w:szCs w:val="20"/>
                <w:color w:val="auto"/>
              </w:rPr>
            </w:pPr>
            <w:r>
              <w:rPr>
                <w:rFonts w:ascii="Arial" w:cs="Arial" w:eastAsia="Arial" w:hAnsi="Arial"/>
                <w:sz w:val="18"/>
                <w:szCs w:val="18"/>
                <w:color w:val="auto"/>
              </w:rPr>
              <w:t>6</w:t>
            </w:r>
          </w:p>
        </w:tc>
        <w:tc>
          <w:tcPr>
            <w:tcW w:w="10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728980" cy="889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20" w:lineRule="exact"/>
        <w:rPr>
          <w:sz w:val="20"/>
          <w:szCs w:val="20"/>
          <w:color w:val="auto"/>
        </w:rPr>
      </w:pPr>
    </w:p>
    <w:p>
      <w:pPr>
        <w:ind w:left="460" w:right="80" w:hanging="452"/>
        <w:spacing w:after="0" w:line="268" w:lineRule="auto"/>
        <w:tabs>
          <w:tab w:leader="none" w:pos="460" w:val="left"/>
        </w:tabs>
        <w:numPr>
          <w:ilvl w:val="0"/>
          <w:numId w:val="111"/>
        </w:numPr>
        <w:rPr>
          <w:rFonts w:ascii="Arial" w:cs="Arial" w:eastAsia="Arial" w:hAnsi="Arial"/>
          <w:sz w:val="18"/>
          <w:szCs w:val="18"/>
          <w:color w:val="auto"/>
        </w:rPr>
      </w:pPr>
      <w:r>
        <w:rPr>
          <w:rFonts w:ascii="Arial" w:cs="Arial" w:eastAsia="Arial" w:hAnsi="Arial"/>
          <w:sz w:val="18"/>
          <w:szCs w:val="18"/>
          <w:color w:val="auto"/>
        </w:rPr>
        <w:t>As a result of modifications made to healthcare plans in connection with the 363 Sale, there are no significant uncapped U.S. healthcare plans remaining at December 31, 2009 and, therefore, the healthcare cost trend rate does not have a significant effect on the U.S. plans.</w:t>
      </w:r>
    </w:p>
    <w:p>
      <w:pPr>
        <w:spacing w:after="0" w:line="50" w:lineRule="exact"/>
        <w:rPr>
          <w:rFonts w:ascii="Arial" w:cs="Arial" w:eastAsia="Arial" w:hAnsi="Arial"/>
          <w:sz w:val="18"/>
          <w:szCs w:val="18"/>
          <w:color w:val="auto"/>
        </w:rPr>
      </w:pPr>
    </w:p>
    <w:p>
      <w:pPr>
        <w:ind w:left="460" w:hanging="452"/>
        <w:spacing w:after="0"/>
        <w:tabs>
          <w:tab w:leader="none" w:pos="460" w:val="left"/>
        </w:tabs>
        <w:numPr>
          <w:ilvl w:val="0"/>
          <w:numId w:val="111"/>
        </w:numPr>
        <w:rPr>
          <w:rFonts w:ascii="Arial" w:cs="Arial" w:eastAsia="Arial" w:hAnsi="Arial"/>
          <w:sz w:val="16"/>
          <w:szCs w:val="16"/>
          <w:color w:val="auto"/>
        </w:rPr>
      </w:pPr>
      <w:r>
        <w:rPr>
          <w:rFonts w:ascii="Arial" w:cs="Arial" w:eastAsia="Arial" w:hAnsi="Arial"/>
          <w:sz w:val="16"/>
          <w:szCs w:val="16"/>
          <w:color w:val="auto"/>
        </w:rPr>
        <w:t>The implementation of the HCT in Canada is anticipated and will significantly reduce our exposure to changes in the healthcare cost trend rate.</w:t>
      </w:r>
    </w:p>
    <w:p>
      <w:pPr>
        <w:spacing w:after="0" w:line="194" w:lineRule="exact"/>
        <w:rPr>
          <w:sz w:val="20"/>
          <w:szCs w:val="20"/>
          <w:color w:val="auto"/>
        </w:rPr>
      </w:pPr>
    </w:p>
    <w:p>
      <w:pPr>
        <w:ind w:right="440" w:firstLine="228"/>
        <w:spacing w:after="0" w:line="268" w:lineRule="auto"/>
        <w:rPr>
          <w:sz w:val="20"/>
          <w:szCs w:val="20"/>
          <w:color w:val="auto"/>
        </w:rPr>
      </w:pPr>
      <w:r>
        <w:rPr>
          <w:rFonts w:ascii="Arial" w:cs="Arial" w:eastAsia="Arial" w:hAnsi="Arial"/>
          <w:sz w:val="18"/>
          <w:szCs w:val="18"/>
          <w:color w:val="auto"/>
        </w:rPr>
        <w:t>The following table summarizes the effect of a one-percentage point change in the assumed healthcare trend rates based on the last remeasurement of the benefit plans at December 31, 2009:</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356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gridSpan w:val="2"/>
          </w:tcPr>
          <w:p>
            <w:pPr>
              <w:ind w:left="160"/>
              <w:spacing w:after="0"/>
              <w:rPr>
                <w:sz w:val="20"/>
                <w:szCs w:val="20"/>
                <w:color w:val="auto"/>
              </w:rPr>
            </w:pPr>
            <w:r>
              <w:rPr>
                <w:rFonts w:ascii="Arial" w:cs="Arial" w:eastAsia="Arial" w:hAnsi="Arial"/>
                <w:sz w:val="14"/>
                <w:szCs w:val="14"/>
                <w:b w:val="1"/>
                <w:bCs w:val="1"/>
                <w:color w:val="auto"/>
                <w:w w:val="93"/>
              </w:rPr>
              <w:t>U.S. Plans (a)</w:t>
            </w:r>
          </w:p>
        </w:tc>
        <w:tc>
          <w:tcPr>
            <w:tcW w:w="900" w:type="dxa"/>
            <w:vAlign w:val="bottom"/>
            <w:tcBorders>
              <w:bottom w:val="single" w:sz="8" w:color="auto"/>
            </w:tcBorders>
          </w:tcPr>
          <w:p>
            <w:pPr>
              <w:spacing w:after="0"/>
              <w:rPr>
                <w:sz w:val="14"/>
                <w:szCs w:val="14"/>
                <w:color w:val="auto"/>
              </w:rPr>
            </w:pPr>
          </w:p>
        </w:tc>
        <w:tc>
          <w:tcPr>
            <w:tcW w:w="4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980" w:type="dxa"/>
            <w:vAlign w:val="bottom"/>
            <w:tcBorders>
              <w:bottom w:val="single" w:sz="8" w:color="auto"/>
            </w:tcBorders>
            <w:gridSpan w:val="4"/>
          </w:tcPr>
          <w:p>
            <w:pPr>
              <w:ind w:left="880"/>
              <w:spacing w:after="0"/>
              <w:rPr>
                <w:sz w:val="20"/>
                <w:szCs w:val="20"/>
                <w:color w:val="auto"/>
              </w:rPr>
            </w:pPr>
            <w:r>
              <w:rPr>
                <w:rFonts w:ascii="Arial" w:cs="Arial" w:eastAsia="Arial" w:hAnsi="Arial"/>
                <w:sz w:val="14"/>
                <w:szCs w:val="14"/>
                <w:b w:val="1"/>
                <w:bCs w:val="1"/>
                <w:color w:val="auto"/>
                <w:w w:val="88"/>
              </w:rPr>
              <w:t>Non-U.S. Plans (b)</w:t>
            </w:r>
          </w:p>
        </w:tc>
        <w:tc>
          <w:tcPr>
            <w:tcW w:w="8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1380" w:type="dxa"/>
            <w:vAlign w:val="bottom"/>
          </w:tcPr>
          <w:p>
            <w:pPr>
              <w:spacing w:after="0"/>
              <w:rPr>
                <w:sz w:val="11"/>
                <w:szCs w:val="11"/>
                <w:color w:val="auto"/>
              </w:rPr>
            </w:pPr>
          </w:p>
        </w:tc>
        <w:tc>
          <w:tcPr>
            <w:tcW w:w="3560" w:type="dxa"/>
            <w:vAlign w:val="bottom"/>
          </w:tcPr>
          <w:p>
            <w:pPr>
              <w:spacing w:after="0"/>
              <w:rPr>
                <w:sz w:val="11"/>
                <w:szCs w:val="11"/>
                <w:color w:val="auto"/>
              </w:rPr>
            </w:pPr>
          </w:p>
        </w:tc>
        <w:tc>
          <w:tcPr>
            <w:tcW w:w="820" w:type="dxa"/>
            <w:vAlign w:val="bottom"/>
            <w:gridSpan w:val="2"/>
          </w:tcPr>
          <w:p>
            <w:pPr>
              <w:jc w:val="center"/>
              <w:spacing w:after="0" w:line="129" w:lineRule="exact"/>
              <w:rPr>
                <w:sz w:val="20"/>
                <w:szCs w:val="20"/>
                <w:color w:val="auto"/>
              </w:rPr>
            </w:pPr>
            <w:r>
              <w:rPr>
                <w:rFonts w:ascii="Arial" w:cs="Arial" w:eastAsia="Arial" w:hAnsi="Arial"/>
                <w:sz w:val="14"/>
                <w:szCs w:val="14"/>
                <w:b w:val="1"/>
                <w:bCs w:val="1"/>
                <w:color w:val="auto"/>
                <w:w w:val="86"/>
              </w:rPr>
              <w:t>Effect on 2010</w:t>
            </w:r>
          </w:p>
        </w:tc>
        <w:tc>
          <w:tcPr>
            <w:tcW w:w="8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320" w:type="dxa"/>
            <w:vAlign w:val="bottom"/>
            <w:gridSpan w:val="2"/>
          </w:tcPr>
          <w:p>
            <w:pPr>
              <w:jc w:val="center"/>
              <w:ind w:right="400"/>
              <w:spacing w:after="0" w:line="129" w:lineRule="exact"/>
              <w:rPr>
                <w:sz w:val="20"/>
                <w:szCs w:val="20"/>
                <w:color w:val="auto"/>
              </w:rPr>
            </w:pPr>
            <w:r>
              <w:rPr>
                <w:rFonts w:ascii="Arial" w:cs="Arial" w:eastAsia="Arial" w:hAnsi="Arial"/>
                <w:sz w:val="14"/>
                <w:szCs w:val="14"/>
                <w:b w:val="1"/>
                <w:bCs w:val="1"/>
                <w:color w:val="auto"/>
                <w:w w:val="88"/>
              </w:rPr>
              <w:t>Effect on 2010</w:t>
            </w:r>
          </w:p>
        </w:tc>
        <w:tc>
          <w:tcPr>
            <w:tcW w:w="4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35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jc w:val="center"/>
              <w:ind w:right="44"/>
              <w:spacing w:after="0" w:line="149" w:lineRule="exact"/>
              <w:rPr>
                <w:sz w:val="20"/>
                <w:szCs w:val="20"/>
                <w:color w:val="auto"/>
              </w:rPr>
            </w:pPr>
            <w:r>
              <w:rPr>
                <w:rFonts w:ascii="Arial" w:cs="Arial" w:eastAsia="Arial" w:hAnsi="Arial"/>
                <w:sz w:val="14"/>
                <w:szCs w:val="14"/>
                <w:b w:val="1"/>
                <w:bCs w:val="1"/>
                <w:color w:val="auto"/>
                <w:w w:val="83"/>
              </w:rPr>
              <w:t>Aggregate</w:t>
            </w:r>
          </w:p>
        </w:tc>
        <w:tc>
          <w:tcPr>
            <w:tcW w:w="8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320" w:type="dxa"/>
            <w:vAlign w:val="bottom"/>
            <w:gridSpan w:val="2"/>
          </w:tcPr>
          <w:p>
            <w:pPr>
              <w:jc w:val="center"/>
              <w:ind w:right="420"/>
              <w:spacing w:after="0" w:line="149" w:lineRule="exact"/>
              <w:rPr>
                <w:sz w:val="20"/>
                <w:szCs w:val="20"/>
                <w:color w:val="auto"/>
              </w:rPr>
            </w:pPr>
            <w:r>
              <w:rPr>
                <w:rFonts w:ascii="Arial" w:cs="Arial" w:eastAsia="Arial" w:hAnsi="Arial"/>
                <w:sz w:val="14"/>
                <w:szCs w:val="14"/>
                <w:b w:val="1"/>
                <w:bCs w:val="1"/>
                <w:color w:val="auto"/>
                <w:w w:val="83"/>
              </w:rPr>
              <w:t>Aggregate</w:t>
            </w:r>
          </w:p>
        </w:tc>
        <w:tc>
          <w:tcPr>
            <w:tcW w:w="4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35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jc w:val="center"/>
              <w:ind w:right="4"/>
              <w:spacing w:after="0" w:line="149" w:lineRule="exact"/>
              <w:rPr>
                <w:sz w:val="20"/>
                <w:szCs w:val="20"/>
                <w:color w:val="auto"/>
              </w:rPr>
            </w:pPr>
            <w:r>
              <w:rPr>
                <w:rFonts w:ascii="Arial" w:cs="Arial" w:eastAsia="Arial" w:hAnsi="Arial"/>
                <w:sz w:val="14"/>
                <w:szCs w:val="14"/>
                <w:b w:val="1"/>
                <w:bCs w:val="1"/>
                <w:color w:val="auto"/>
                <w:w w:val="84"/>
              </w:rPr>
              <w:t>Service</w:t>
            </w:r>
          </w:p>
        </w:tc>
        <w:tc>
          <w:tcPr>
            <w:tcW w:w="8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300" w:type="dxa"/>
            <w:vAlign w:val="bottom"/>
            <w:gridSpan w:val="2"/>
          </w:tcPr>
          <w:p>
            <w:pPr>
              <w:jc w:val="center"/>
              <w:ind w:right="620"/>
              <w:spacing w:after="0" w:line="149" w:lineRule="exact"/>
              <w:rPr>
                <w:sz w:val="20"/>
                <w:szCs w:val="20"/>
                <w:color w:val="auto"/>
              </w:rPr>
            </w:pPr>
            <w:r>
              <w:rPr>
                <w:rFonts w:ascii="Arial" w:cs="Arial" w:eastAsia="Arial" w:hAnsi="Arial"/>
                <w:sz w:val="14"/>
                <w:szCs w:val="14"/>
                <w:b w:val="1"/>
                <w:bCs w:val="1"/>
                <w:color w:val="auto"/>
                <w:w w:val="86"/>
              </w:rPr>
              <w:t>Effect on</w:t>
            </w:r>
          </w:p>
        </w:tc>
        <w:tc>
          <w:tcPr>
            <w:tcW w:w="400" w:type="dxa"/>
            <w:vAlign w:val="bottom"/>
          </w:tcPr>
          <w:p>
            <w:pPr>
              <w:spacing w:after="0"/>
              <w:rPr>
                <w:sz w:val="12"/>
                <w:szCs w:val="12"/>
                <w:color w:val="auto"/>
              </w:rPr>
            </w:pPr>
          </w:p>
        </w:tc>
        <w:tc>
          <w:tcPr>
            <w:tcW w:w="1320" w:type="dxa"/>
            <w:vAlign w:val="bottom"/>
            <w:gridSpan w:val="2"/>
          </w:tcPr>
          <w:p>
            <w:pPr>
              <w:jc w:val="center"/>
              <w:ind w:right="380"/>
              <w:spacing w:after="0" w:line="149" w:lineRule="exact"/>
              <w:rPr>
                <w:sz w:val="20"/>
                <w:szCs w:val="20"/>
                <w:color w:val="auto"/>
              </w:rPr>
            </w:pPr>
            <w:r>
              <w:rPr>
                <w:rFonts w:ascii="Arial" w:cs="Arial" w:eastAsia="Arial" w:hAnsi="Arial"/>
                <w:sz w:val="14"/>
                <w:szCs w:val="14"/>
                <w:b w:val="1"/>
                <w:bCs w:val="1"/>
                <w:color w:val="auto"/>
                <w:w w:val="84"/>
              </w:rPr>
              <w:t>Service</w:t>
            </w:r>
          </w:p>
        </w:tc>
        <w:tc>
          <w:tcPr>
            <w:tcW w:w="4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40" w:type="dxa"/>
            <w:vAlign w:val="bottom"/>
            <w:gridSpan w:val="2"/>
          </w:tcPr>
          <w:p>
            <w:pPr>
              <w:jc w:val="right"/>
              <w:ind w:right="380"/>
              <w:spacing w:after="0" w:line="149" w:lineRule="exact"/>
              <w:rPr>
                <w:sz w:val="20"/>
                <w:szCs w:val="20"/>
                <w:color w:val="auto"/>
              </w:rPr>
            </w:pPr>
            <w:r>
              <w:rPr>
                <w:rFonts w:ascii="Arial" w:cs="Arial" w:eastAsia="Arial" w:hAnsi="Arial"/>
                <w:sz w:val="14"/>
                <w:szCs w:val="14"/>
                <w:b w:val="1"/>
                <w:bCs w:val="1"/>
                <w:color w:val="auto"/>
                <w:w w:val="90"/>
              </w:rPr>
              <w:t>Effect on</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3560" w:type="dxa"/>
            <w:vAlign w:val="bottom"/>
          </w:tcPr>
          <w:p>
            <w:pPr>
              <w:spacing w:after="0"/>
              <w:rPr>
                <w:sz w:val="12"/>
                <w:szCs w:val="12"/>
                <w:color w:val="auto"/>
              </w:rPr>
            </w:pPr>
          </w:p>
        </w:tc>
        <w:tc>
          <w:tcPr>
            <w:tcW w:w="82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8"/>
              </w:rPr>
              <w:t>and Interest</w:t>
            </w:r>
          </w:p>
        </w:tc>
        <w:tc>
          <w:tcPr>
            <w:tcW w:w="820" w:type="dxa"/>
            <w:vAlign w:val="bottom"/>
          </w:tcPr>
          <w:p>
            <w:pPr>
              <w:spacing w:after="0"/>
              <w:rPr>
                <w:sz w:val="12"/>
                <w:szCs w:val="12"/>
                <w:color w:val="auto"/>
              </w:rPr>
            </w:pPr>
          </w:p>
        </w:tc>
        <w:tc>
          <w:tcPr>
            <w:tcW w:w="150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December 31, 2009</w:t>
            </w:r>
          </w:p>
        </w:tc>
        <w:tc>
          <w:tcPr>
            <w:tcW w:w="400" w:type="dxa"/>
            <w:vAlign w:val="bottom"/>
          </w:tcPr>
          <w:p>
            <w:pPr>
              <w:spacing w:after="0"/>
              <w:rPr>
                <w:sz w:val="12"/>
                <w:szCs w:val="12"/>
                <w:color w:val="auto"/>
              </w:rPr>
            </w:pPr>
          </w:p>
        </w:tc>
        <w:tc>
          <w:tcPr>
            <w:tcW w:w="1320" w:type="dxa"/>
            <w:vAlign w:val="bottom"/>
            <w:gridSpan w:val="2"/>
          </w:tcPr>
          <w:p>
            <w:pPr>
              <w:jc w:val="center"/>
              <w:ind w:right="380"/>
              <w:spacing w:after="0" w:line="149" w:lineRule="exact"/>
              <w:rPr>
                <w:sz w:val="20"/>
                <w:szCs w:val="20"/>
                <w:color w:val="auto"/>
              </w:rPr>
            </w:pPr>
            <w:r>
              <w:rPr>
                <w:rFonts w:ascii="Arial" w:cs="Arial" w:eastAsia="Arial" w:hAnsi="Arial"/>
                <w:sz w:val="14"/>
                <w:szCs w:val="14"/>
                <w:b w:val="1"/>
                <w:bCs w:val="1"/>
                <w:color w:val="auto"/>
                <w:w w:val="88"/>
              </w:rPr>
              <w:t>and Interest</w:t>
            </w:r>
          </w:p>
        </w:tc>
        <w:tc>
          <w:tcPr>
            <w:tcW w:w="420" w:type="dxa"/>
            <w:vAlign w:val="bottom"/>
          </w:tcPr>
          <w:p>
            <w:pPr>
              <w:spacing w:after="0"/>
              <w:rPr>
                <w:sz w:val="12"/>
                <w:szCs w:val="12"/>
                <w:color w:val="auto"/>
              </w:rPr>
            </w:pPr>
          </w:p>
        </w:tc>
        <w:tc>
          <w:tcPr>
            <w:tcW w:w="1180" w:type="dxa"/>
            <w:vAlign w:val="bottom"/>
            <w:gridSpan w:val="3"/>
          </w:tcPr>
          <w:p>
            <w:pPr>
              <w:jc w:val="right"/>
              <w:ind w:right="100"/>
              <w:spacing w:after="0" w:line="149" w:lineRule="exact"/>
              <w:rPr>
                <w:sz w:val="20"/>
                <w:szCs w:val="20"/>
                <w:color w:val="auto"/>
              </w:rPr>
            </w:pPr>
            <w:r>
              <w:rPr>
                <w:rFonts w:ascii="Arial" w:cs="Arial" w:eastAsia="Arial" w:hAnsi="Arial"/>
                <w:sz w:val="14"/>
                <w:szCs w:val="14"/>
                <w:b w:val="1"/>
                <w:bCs w:val="1"/>
                <w:color w:val="auto"/>
                <w:w w:val="84"/>
              </w:rPr>
              <w:t>December 31, 2009</w:t>
            </w:r>
          </w:p>
        </w:tc>
        <w:tc>
          <w:tcPr>
            <w:tcW w:w="0" w:type="dxa"/>
            <w:vAlign w:val="bottom"/>
          </w:tcPr>
          <w:p>
            <w:pPr>
              <w:spacing w:after="0"/>
              <w:rPr>
                <w:sz w:val="1"/>
                <w:szCs w:val="1"/>
                <w:color w:val="auto"/>
              </w:rPr>
            </w:pPr>
          </w:p>
        </w:tc>
      </w:tr>
      <w:tr>
        <w:trPr>
          <w:trHeight w:val="161"/>
        </w:trPr>
        <w:tc>
          <w:tcPr>
            <w:tcW w:w="4960" w:type="dxa"/>
            <w:vAlign w:val="bottom"/>
            <w:gridSpan w:val="3"/>
          </w:tcPr>
          <w:p>
            <w:pPr>
              <w:spacing w:after="0"/>
              <w:rPr>
                <w:sz w:val="20"/>
                <w:szCs w:val="20"/>
                <w:color w:val="auto"/>
              </w:rPr>
            </w:pPr>
            <w:r>
              <w:rPr>
                <w:rFonts w:ascii="Arial" w:cs="Arial" w:eastAsia="Arial" w:hAnsi="Arial"/>
                <w:sz w:val="14"/>
                <w:szCs w:val="14"/>
                <w:b w:val="1"/>
                <w:bCs w:val="1"/>
                <w:color w:val="auto"/>
              </w:rPr>
              <w:t>Change in Assumption</w:t>
            </w:r>
          </w:p>
        </w:tc>
        <w:tc>
          <w:tcPr>
            <w:tcW w:w="80" w:type="dxa"/>
            <w:vAlign w:val="bottom"/>
          </w:tcPr>
          <w:p>
            <w:pPr>
              <w:spacing w:after="0"/>
              <w:rPr>
                <w:sz w:val="14"/>
                <w:szCs w:val="14"/>
                <w:color w:val="auto"/>
              </w:rPr>
            </w:pPr>
          </w:p>
        </w:tc>
        <w:tc>
          <w:tcPr>
            <w:tcW w:w="740" w:type="dxa"/>
            <w:vAlign w:val="bottom"/>
          </w:tcPr>
          <w:p>
            <w:pPr>
              <w:jc w:val="center"/>
              <w:ind w:right="4"/>
              <w:spacing w:after="0"/>
              <w:rPr>
                <w:sz w:val="20"/>
                <w:szCs w:val="20"/>
                <w:color w:val="auto"/>
              </w:rPr>
            </w:pPr>
            <w:r>
              <w:rPr>
                <w:rFonts w:ascii="Arial" w:cs="Arial" w:eastAsia="Arial" w:hAnsi="Arial"/>
                <w:sz w:val="14"/>
                <w:szCs w:val="14"/>
                <w:b w:val="1"/>
                <w:bCs w:val="1"/>
                <w:color w:val="auto"/>
                <w:w w:val="83"/>
              </w:rPr>
              <w:t>Cost</w:t>
            </w:r>
          </w:p>
        </w:tc>
        <w:tc>
          <w:tcPr>
            <w:tcW w:w="8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00" w:type="dxa"/>
            <w:vAlign w:val="bottom"/>
            <w:gridSpan w:val="2"/>
          </w:tcPr>
          <w:p>
            <w:pPr>
              <w:jc w:val="center"/>
              <w:ind w:right="600"/>
              <w:spacing w:after="0"/>
              <w:rPr>
                <w:sz w:val="20"/>
                <w:szCs w:val="20"/>
                <w:color w:val="auto"/>
              </w:rPr>
            </w:pPr>
            <w:r>
              <w:rPr>
                <w:rFonts w:ascii="Arial" w:cs="Arial" w:eastAsia="Arial" w:hAnsi="Arial"/>
                <w:sz w:val="14"/>
                <w:szCs w:val="14"/>
                <w:b w:val="1"/>
                <w:bCs w:val="1"/>
                <w:color w:val="auto"/>
                <w:w w:val="93"/>
              </w:rPr>
              <w:t>APBO</w:t>
            </w:r>
          </w:p>
        </w:tc>
        <w:tc>
          <w:tcPr>
            <w:tcW w:w="400" w:type="dxa"/>
            <w:vAlign w:val="bottom"/>
          </w:tcPr>
          <w:p>
            <w:pPr>
              <w:spacing w:after="0"/>
              <w:rPr>
                <w:sz w:val="14"/>
                <w:szCs w:val="14"/>
                <w:color w:val="auto"/>
              </w:rPr>
            </w:pPr>
          </w:p>
        </w:tc>
        <w:tc>
          <w:tcPr>
            <w:tcW w:w="132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83"/>
              </w:rPr>
              <w:t>Cost</w:t>
            </w:r>
          </w:p>
        </w:tc>
        <w:tc>
          <w:tcPr>
            <w:tcW w:w="4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40" w:type="dxa"/>
            <w:vAlign w:val="bottom"/>
            <w:gridSpan w:val="2"/>
          </w:tcPr>
          <w:p>
            <w:pPr>
              <w:jc w:val="right"/>
              <w:ind w:right="460"/>
              <w:spacing w:after="0"/>
              <w:rPr>
                <w:sz w:val="20"/>
                <w:szCs w:val="20"/>
                <w:color w:val="auto"/>
              </w:rPr>
            </w:pPr>
            <w:r>
              <w:rPr>
                <w:rFonts w:ascii="Arial" w:cs="Arial" w:eastAsia="Arial" w:hAnsi="Arial"/>
                <w:sz w:val="14"/>
                <w:szCs w:val="14"/>
                <w:b w:val="1"/>
                <w:bCs w:val="1"/>
                <w:color w:val="auto"/>
              </w:rPr>
              <w:t>APBO</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c>
          <w:tcPr>
            <w:tcW w:w="35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49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One percentage point increase</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shd w:val="clear" w:color="auto" w:fill="CCEEFF"/>
          </w:tcPr>
          <w:p>
            <w:pPr>
              <w:ind w:left="580"/>
              <w:spacing w:after="0"/>
              <w:rPr>
                <w:sz w:val="20"/>
                <w:szCs w:val="20"/>
                <w:color w:val="auto"/>
              </w:rPr>
            </w:pPr>
            <w:r>
              <w:rPr>
                <w:rFonts w:ascii="Arial" w:cs="Arial" w:eastAsia="Arial" w:hAnsi="Arial"/>
                <w:sz w:val="18"/>
                <w:szCs w:val="18"/>
                <w:color w:val="auto"/>
                <w:w w:val="77"/>
              </w:rPr>
              <w:t>—</w:t>
            </w:r>
          </w:p>
        </w:tc>
        <w:tc>
          <w:tcPr>
            <w:tcW w:w="1020" w:type="dxa"/>
            <w:vAlign w:val="bottom"/>
            <w:gridSpan w:val="2"/>
            <w:shd w:val="clear" w:color="auto" w:fill="CCEEFF"/>
          </w:tcPr>
          <w:p>
            <w:pPr>
              <w:ind w:left="820"/>
              <w:spacing w:after="0"/>
              <w:rPr>
                <w:sz w:val="20"/>
                <w:szCs w:val="20"/>
                <w:color w:val="auto"/>
              </w:rPr>
            </w:pPr>
            <w:r>
              <w:rPr>
                <w:rFonts w:ascii="Arial" w:cs="Arial" w:eastAsia="Arial" w:hAnsi="Arial"/>
                <w:sz w:val="18"/>
                <w:szCs w:val="18"/>
                <w:color w:val="auto"/>
              </w:rPr>
              <w:t>$</w:t>
            </w:r>
          </w:p>
        </w:tc>
        <w:tc>
          <w:tcPr>
            <w:tcW w:w="1300" w:type="dxa"/>
            <w:vAlign w:val="bottom"/>
            <w:gridSpan w:val="2"/>
            <w:shd w:val="clear" w:color="auto" w:fill="CCEEFF"/>
          </w:tcPr>
          <w:p>
            <w:pPr>
              <w:ind w:left="720"/>
              <w:spacing w:after="0"/>
              <w:rPr>
                <w:sz w:val="20"/>
                <w:szCs w:val="20"/>
                <w:color w:val="auto"/>
              </w:rPr>
            </w:pPr>
            <w:r>
              <w:rPr>
                <w:rFonts w:ascii="Arial" w:cs="Arial" w:eastAsia="Arial" w:hAnsi="Arial"/>
                <w:sz w:val="18"/>
                <w:szCs w:val="18"/>
                <w:color w:val="auto"/>
              </w:rPr>
              <w:t>—</w:t>
            </w:r>
          </w:p>
        </w:tc>
        <w:tc>
          <w:tcPr>
            <w:tcW w:w="1720" w:type="dxa"/>
            <w:vAlign w:val="bottom"/>
            <w:gridSpan w:val="3"/>
            <w:shd w:val="clear" w:color="auto" w:fill="CCEEFF"/>
          </w:tcPr>
          <w:p>
            <w:pPr>
              <w:jc w:val="center"/>
              <w:spacing w:after="0"/>
              <w:rPr>
                <w:sz w:val="20"/>
                <w:szCs w:val="20"/>
                <w:color w:val="auto"/>
              </w:rPr>
            </w:pPr>
            <w:r>
              <w:rPr>
                <w:rFonts w:ascii="Arial" w:cs="Arial" w:eastAsia="Arial" w:hAnsi="Arial"/>
                <w:sz w:val="18"/>
                <w:szCs w:val="18"/>
                <w:color w:val="auto"/>
                <w:w w:val="95"/>
              </w:rPr>
              <w:t>+$14 million</w:t>
            </w:r>
          </w:p>
        </w:tc>
        <w:tc>
          <w:tcPr>
            <w:tcW w:w="66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5"/>
              </w:rPr>
              <w:t>413 million</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940" w:type="dxa"/>
            <w:vAlign w:val="bottom"/>
            <w:gridSpan w:val="2"/>
          </w:tcPr>
          <w:p>
            <w:pPr>
              <w:spacing w:after="0"/>
              <w:rPr>
                <w:sz w:val="20"/>
                <w:szCs w:val="20"/>
                <w:color w:val="auto"/>
              </w:rPr>
            </w:pPr>
            <w:r>
              <w:rPr>
                <w:rFonts w:ascii="Arial" w:cs="Arial" w:eastAsia="Arial" w:hAnsi="Arial"/>
                <w:sz w:val="18"/>
                <w:szCs w:val="18"/>
                <w:color w:val="auto"/>
              </w:rPr>
              <w:t>One percentage point decrease</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tcPr>
          <w:p>
            <w:pPr>
              <w:ind w:left="580"/>
              <w:spacing w:after="0"/>
              <w:rPr>
                <w:sz w:val="20"/>
                <w:szCs w:val="20"/>
                <w:color w:val="auto"/>
              </w:rPr>
            </w:pPr>
            <w:r>
              <w:rPr>
                <w:rFonts w:ascii="Arial" w:cs="Arial" w:eastAsia="Arial" w:hAnsi="Arial"/>
                <w:sz w:val="18"/>
                <w:szCs w:val="18"/>
                <w:color w:val="auto"/>
                <w:w w:val="77"/>
              </w:rPr>
              <w:t>—</w:t>
            </w:r>
          </w:p>
        </w:tc>
        <w:tc>
          <w:tcPr>
            <w:tcW w:w="1020" w:type="dxa"/>
            <w:vAlign w:val="bottom"/>
            <w:gridSpan w:val="2"/>
          </w:tcPr>
          <w:p>
            <w:pPr>
              <w:ind w:left="820"/>
              <w:spacing w:after="0"/>
              <w:rPr>
                <w:sz w:val="20"/>
                <w:szCs w:val="20"/>
                <w:color w:val="auto"/>
              </w:rPr>
            </w:pPr>
            <w:r>
              <w:rPr>
                <w:rFonts w:ascii="Arial" w:cs="Arial" w:eastAsia="Arial" w:hAnsi="Arial"/>
                <w:sz w:val="18"/>
                <w:szCs w:val="18"/>
                <w:color w:val="auto"/>
              </w:rPr>
              <w:t>$</w:t>
            </w:r>
          </w:p>
        </w:tc>
        <w:tc>
          <w:tcPr>
            <w:tcW w:w="1300" w:type="dxa"/>
            <w:vAlign w:val="bottom"/>
            <w:gridSpan w:val="2"/>
          </w:tcPr>
          <w:p>
            <w:pPr>
              <w:ind w:left="720"/>
              <w:spacing w:after="0"/>
              <w:rPr>
                <w:sz w:val="20"/>
                <w:szCs w:val="20"/>
                <w:color w:val="auto"/>
              </w:rPr>
            </w:pPr>
            <w:r>
              <w:rPr>
                <w:rFonts w:ascii="Arial" w:cs="Arial" w:eastAsia="Arial" w:hAnsi="Arial"/>
                <w:sz w:val="18"/>
                <w:szCs w:val="18"/>
                <w:color w:val="auto"/>
              </w:rPr>
              <w:t>—</w:t>
            </w:r>
          </w:p>
        </w:tc>
        <w:tc>
          <w:tcPr>
            <w:tcW w:w="1720" w:type="dxa"/>
            <w:vAlign w:val="bottom"/>
            <w:gridSpan w:val="3"/>
          </w:tcPr>
          <w:p>
            <w:pPr>
              <w:jc w:val="center"/>
              <w:spacing w:after="0"/>
              <w:rPr>
                <w:sz w:val="20"/>
                <w:szCs w:val="20"/>
                <w:color w:val="auto"/>
              </w:rPr>
            </w:pPr>
            <w:r>
              <w:rPr>
                <w:rFonts w:ascii="Arial" w:cs="Arial" w:eastAsia="Arial" w:hAnsi="Arial"/>
                <w:sz w:val="18"/>
                <w:szCs w:val="18"/>
                <w:color w:val="auto"/>
                <w:w w:val="91"/>
              </w:rPr>
              <w:t>–$ 11 million</w:t>
            </w:r>
          </w:p>
        </w:tc>
        <w:tc>
          <w:tcPr>
            <w:tcW w:w="660" w:type="dxa"/>
            <w:vAlign w:val="bottom"/>
            <w:gridSpan w:val="2"/>
          </w:tcPr>
          <w:p>
            <w:pPr>
              <w:ind w:left="420"/>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w w:val="95"/>
              </w:rPr>
              <w:t>331 million</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64770</wp:posOffset>
            </wp:positionV>
            <wp:extent cx="728980" cy="889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14" w:lineRule="exact"/>
        <w:rPr>
          <w:sz w:val="20"/>
          <w:szCs w:val="20"/>
          <w:color w:val="auto"/>
        </w:rPr>
      </w:pPr>
    </w:p>
    <w:p>
      <w:pPr>
        <w:ind w:left="460" w:right="80" w:hanging="452"/>
        <w:spacing w:after="0" w:line="268" w:lineRule="auto"/>
        <w:tabs>
          <w:tab w:leader="none" w:pos="460" w:val="left"/>
        </w:tabs>
        <w:numPr>
          <w:ilvl w:val="0"/>
          <w:numId w:val="112"/>
        </w:numPr>
        <w:rPr>
          <w:rFonts w:ascii="Arial" w:cs="Arial" w:eastAsia="Arial" w:hAnsi="Arial"/>
          <w:sz w:val="18"/>
          <w:szCs w:val="18"/>
          <w:color w:val="auto"/>
        </w:rPr>
      </w:pPr>
      <w:r>
        <w:rPr>
          <w:rFonts w:ascii="Arial" w:cs="Arial" w:eastAsia="Arial" w:hAnsi="Arial"/>
          <w:sz w:val="18"/>
          <w:szCs w:val="18"/>
          <w:color w:val="auto"/>
        </w:rPr>
        <w:t>As a result of modifications made to healthcare plans in connection with the 363 Sale, there are no significant uncapped U.S. healthcare plans remaining at December 31, 2009 and, therefore, the healthcare cost trend rate does not have a significant effect in the U.S.</w:t>
      </w:r>
    </w:p>
    <w:p>
      <w:pPr>
        <w:spacing w:after="0" w:line="50" w:lineRule="exact"/>
        <w:rPr>
          <w:rFonts w:ascii="Arial" w:cs="Arial" w:eastAsia="Arial" w:hAnsi="Arial"/>
          <w:sz w:val="18"/>
          <w:szCs w:val="18"/>
          <w:color w:val="auto"/>
        </w:rPr>
      </w:pPr>
    </w:p>
    <w:p>
      <w:pPr>
        <w:ind w:left="460" w:hanging="452"/>
        <w:spacing w:after="0"/>
        <w:tabs>
          <w:tab w:leader="none" w:pos="460" w:val="left"/>
        </w:tabs>
        <w:numPr>
          <w:ilvl w:val="0"/>
          <w:numId w:val="112"/>
        </w:numPr>
        <w:rPr>
          <w:rFonts w:ascii="Arial" w:cs="Arial" w:eastAsia="Arial" w:hAnsi="Arial"/>
          <w:sz w:val="16"/>
          <w:szCs w:val="16"/>
          <w:color w:val="auto"/>
        </w:rPr>
      </w:pPr>
      <w:r>
        <w:rPr>
          <w:rFonts w:ascii="Arial" w:cs="Arial" w:eastAsia="Arial" w:hAnsi="Arial"/>
          <w:sz w:val="16"/>
          <w:szCs w:val="16"/>
          <w:color w:val="auto"/>
        </w:rPr>
        <w:t>The implementation of the HCT in Canada is anticipated and will significantly reduce our exposure to changes in the healthcare cost trend rate.</w:t>
      </w:r>
    </w:p>
    <w:p>
      <w:pPr>
        <w:spacing w:after="0" w:line="194"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Impairment of Goodwill</w:t>
      </w:r>
    </w:p>
    <w:p>
      <w:pPr>
        <w:spacing w:after="0" w:line="171" w:lineRule="exact"/>
        <w:rPr>
          <w:sz w:val="20"/>
          <w:szCs w:val="20"/>
          <w:color w:val="auto"/>
        </w:rPr>
      </w:pPr>
    </w:p>
    <w:p>
      <w:pPr>
        <w:ind w:right="40" w:firstLine="228"/>
        <w:spacing w:after="0" w:line="291" w:lineRule="auto"/>
        <w:rPr>
          <w:sz w:val="20"/>
          <w:szCs w:val="20"/>
          <w:color w:val="auto"/>
        </w:rPr>
      </w:pPr>
      <w:r>
        <w:rPr>
          <w:rFonts w:ascii="Arial" w:cs="Arial" w:eastAsia="Arial" w:hAnsi="Arial"/>
          <w:sz w:val="16"/>
          <w:szCs w:val="16"/>
          <w:color w:val="auto"/>
        </w:rPr>
        <w:t>Goodwill is tested for impairment in the fourth quarter of each year for all reporting units, or more frequently if events occur or circumstances change that would warrant such a review. Our reporting units are GMNA, GME, and various reporting units within the GMIO segment. Because of the integrated nature of our manufacturing operations and the sharing of vehicle platforms among brands, assets and other resources are shared extensively within GMNA and GME and financial information by brand or country is not discrete below the operating segment level. Therefore, GMNA and GME do not contain reporting units below the operating segment level. However, GMIO is less integrated given the lack of regional trade pacts and other unique geographical differences and thus contains separate reporting units below the operating segment level.</w:t>
      </w:r>
    </w:p>
    <w:p>
      <w:pPr>
        <w:spacing w:after="0" w:line="120" w:lineRule="exact"/>
        <w:rPr>
          <w:sz w:val="20"/>
          <w:szCs w:val="20"/>
          <w:color w:val="auto"/>
        </w:rPr>
      </w:pPr>
    </w:p>
    <w:p>
      <w:pPr>
        <w:ind w:right="40" w:firstLine="228"/>
        <w:spacing w:after="0" w:line="294" w:lineRule="auto"/>
        <w:rPr>
          <w:sz w:val="20"/>
          <w:szCs w:val="20"/>
          <w:color w:val="auto"/>
        </w:rPr>
      </w:pPr>
      <w:r>
        <w:rPr>
          <w:rFonts w:ascii="Arial" w:cs="Arial" w:eastAsia="Arial" w:hAnsi="Arial"/>
          <w:sz w:val="16"/>
          <w:szCs w:val="16"/>
          <w:color w:val="auto"/>
        </w:rPr>
        <w:t>The fair values of the reporting units are determined based on valuation techniques using the best available information, primarily discounted cash flow projections. We make significant assumptions and estimates about the extent and timing of future cash flows, growth rates and discount rates. The cash flows are estimated over a significant future period of time, which makes those estimates and assumptions subject to a high degree of uncertainty. While we believe that the assumptions and estimates used to determine the estimated fair values of each of our reporting units are reasonable, a change in assumptions underlying these estimates could result in a material effect on the financial statements.</w:t>
      </w:r>
    </w:p>
    <w:p>
      <w:pPr>
        <w:spacing w:after="0" w:line="1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142</w:t>
      </w:r>
    </w:p>
    <w:p>
      <w:pPr>
        <w:sectPr>
          <w:pgSz w:w="11900" w:h="16838" w:orient="portrait"/>
          <w:cols w:equalWidth="0" w:num="1">
            <w:col w:w="11420"/>
          </w:cols>
          <w:pgMar w:left="240" w:top="460" w:right="239" w:bottom="1440" w:gutter="0" w:footer="0" w:header="0"/>
        </w:sectPr>
      </w:pPr>
    </w:p>
    <w:bookmarkStart w:id="144" w:name="page145"/>
    <w:bookmarkEnd w:id="14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339" w:lineRule="exact"/>
        <w:rPr>
          <w:sz w:val="20"/>
          <w:szCs w:val="20"/>
          <w:color w:val="auto"/>
        </w:rPr>
      </w:pPr>
    </w:p>
    <w:p>
      <w:pPr>
        <w:jc w:val="both"/>
        <w:ind w:right="120" w:firstLine="228"/>
        <w:spacing w:after="0" w:line="284" w:lineRule="auto"/>
        <w:rPr>
          <w:sz w:val="20"/>
          <w:szCs w:val="20"/>
          <w:color w:val="auto"/>
        </w:rPr>
      </w:pPr>
      <w:r>
        <w:rPr>
          <w:rFonts w:ascii="Arial" w:cs="Arial" w:eastAsia="Arial" w:hAnsi="Arial"/>
          <w:sz w:val="16"/>
          <w:szCs w:val="16"/>
          <w:color w:val="auto"/>
        </w:rPr>
        <w:t>At September 30, 2010 and December 31, 2009 we had goodwill of $30.6 billion and $30.7 billion, which predominately arose upon the application of fresh-start reporting. When applying fresh-start reporting, certain accounts, primarily employee benefit and income tax related, were recorded at amounts determined under specific U.S. GAAP rather than fair value, and the difference between the U.S. GAAP and fair value amounts gives rise to goodwill, which is a residual.</w:t>
      </w:r>
    </w:p>
    <w:p>
      <w:pPr>
        <w:spacing w:after="0" w:line="1" w:lineRule="exact"/>
        <w:rPr>
          <w:sz w:val="20"/>
          <w:szCs w:val="20"/>
          <w:color w:val="auto"/>
        </w:rPr>
      </w:pPr>
    </w:p>
    <w:p>
      <w:pPr>
        <w:ind w:right="100"/>
        <w:spacing w:after="0" w:line="254" w:lineRule="auto"/>
        <w:rPr>
          <w:sz w:val="20"/>
          <w:szCs w:val="20"/>
          <w:color w:val="auto"/>
        </w:rPr>
      </w:pPr>
      <w:r>
        <w:rPr>
          <w:rFonts w:ascii="Arial" w:cs="Arial" w:eastAsia="Arial" w:hAnsi="Arial"/>
          <w:sz w:val="18"/>
          <w:szCs w:val="18"/>
          <w:color w:val="auto"/>
        </w:rPr>
        <w:t>Our employee benefit related accounts were recorded in accordance with ASC 712, “Compensation-Nonretirement Postemployment Benefits” and ASC 715, “Compensation-Retirement Benefits” and deferred income taxes were recorded in accordance with ASC 740, “Income Taxes.” Further, we recorded valuation allowances against certain of our deferred tax assets, which under ASC 852 also resulted in goodwill. If all identifiable assets and liabilities had been recorded at fair value upon application of fresh-start reporting, no goodwill would have resulted.</w:t>
      </w:r>
    </w:p>
    <w:p>
      <w:pPr>
        <w:spacing w:after="0" w:line="144" w:lineRule="exact"/>
        <w:rPr>
          <w:sz w:val="20"/>
          <w:szCs w:val="20"/>
          <w:color w:val="auto"/>
        </w:rPr>
      </w:pPr>
    </w:p>
    <w:p>
      <w:pPr>
        <w:ind w:right="180" w:firstLine="228"/>
        <w:spacing w:after="0" w:line="298" w:lineRule="auto"/>
        <w:rPr>
          <w:sz w:val="20"/>
          <w:szCs w:val="20"/>
          <w:color w:val="auto"/>
        </w:rPr>
      </w:pPr>
      <w:r>
        <w:rPr>
          <w:rFonts w:ascii="Arial" w:cs="Arial" w:eastAsia="Arial" w:hAnsi="Arial"/>
          <w:sz w:val="16"/>
          <w:szCs w:val="16"/>
          <w:color w:val="auto"/>
        </w:rPr>
        <w:t>In the future, we have an increased likelihood of measuring goodwill for possible impairment during our annual or event-triggered goodwill impairment testing. An event driven impairment test is required if it is more likely than not that the fair value of a reporting unit is less than its net book value. Because our reporting units were recorded at their fair values upon application of fresh-start reporting, it is more likely that a decrease in the fair value of our reporting units from their fresh-start reporting values could occur, and such a decrease would trigger the need to measure for possible goodwill impairments.</w:t>
      </w:r>
    </w:p>
    <w:p>
      <w:pPr>
        <w:spacing w:after="0" w:line="113" w:lineRule="exact"/>
        <w:rPr>
          <w:sz w:val="20"/>
          <w:szCs w:val="20"/>
          <w:color w:val="auto"/>
        </w:rPr>
      </w:pPr>
    </w:p>
    <w:p>
      <w:pPr>
        <w:ind w:right="40" w:firstLine="228"/>
        <w:spacing w:after="0" w:line="286" w:lineRule="auto"/>
        <w:rPr>
          <w:sz w:val="20"/>
          <w:szCs w:val="20"/>
          <w:color w:val="auto"/>
        </w:rPr>
      </w:pPr>
      <w:r>
        <w:rPr>
          <w:rFonts w:ascii="Arial" w:cs="Arial" w:eastAsia="Arial" w:hAnsi="Arial"/>
          <w:sz w:val="16"/>
          <w:szCs w:val="16"/>
          <w:color w:val="auto"/>
        </w:rPr>
        <w:t>Future goodwill impairments would occur should the fair value-to-U.S. GAAP adjustments differences decrease. Goodwill resulted from our recorded liabilities for certain employee benefit obligations being higher than the fair value of these obligations because lower discount rates were utilized in determining the U.S. GAAP values compared to those utilized to determine fair values. The discount rates utilized to determine the fair value of these obligations were based on our incremental borrowing rates, which included our nonperformance risk. Our incremental borrowing rates are also affected by changes in market interest rates. Further, the recorded amounts of our assets were lower than their fair values because of the recording of valuation allowances on certain of our deferred tax assets. The difference between these fair value-to-U.S. GAAP amounts would decrease upon an improvement in our credit rating, thus resulting in a decrease in the spread between our employee benefit related obligations under U.S. GAAP and their fair values. A decrease will also occur upon reversal of our deferred tax asset valuation allowances. Should the fair value-to-U.S. GAAP adjustments differences decrease for these reasons, the implied goodwill balance will decline. Accordingly, at the next annual or event-driven goodwill impairment test, to the extent the carrying value of a reporting unit exceeds its fair value, a goodwill impairment could occur. Future goodwill impairments could also occur should we reorganize our internal reporting structure in a manner that changes the composition of one or more of our reporting units. Upon such an event, goodwill would be reassigned to the affected reporting units using a relative-fair-value allocation approach and not based on the amount of goodwill that was originally attributable to fair value-to-U.S. GAAP differences that gave rise to goodwill.</w:t>
      </w:r>
    </w:p>
    <w:p>
      <w:pPr>
        <w:spacing w:after="0" w:line="124" w:lineRule="exact"/>
        <w:rPr>
          <w:sz w:val="20"/>
          <w:szCs w:val="20"/>
          <w:color w:val="auto"/>
        </w:rPr>
      </w:pPr>
    </w:p>
    <w:p>
      <w:pPr>
        <w:ind w:right="120" w:firstLine="228"/>
        <w:spacing w:after="0" w:line="253" w:lineRule="auto"/>
        <w:rPr>
          <w:sz w:val="20"/>
          <w:szCs w:val="20"/>
          <w:color w:val="auto"/>
        </w:rPr>
      </w:pPr>
      <w:r>
        <w:rPr>
          <w:rFonts w:ascii="Arial" w:cs="Arial" w:eastAsia="Arial" w:hAnsi="Arial"/>
          <w:sz w:val="18"/>
          <w:szCs w:val="18"/>
          <w:color w:val="auto"/>
        </w:rPr>
        <w:t>In the three months ended June 30, 2010 there were event driven changes in circumstances within our GME reporting unit that warranted the testing of goodwill for impairment. Anticipated competitive pressure on our margins in the near- and medium-term led us to believe that the goodwill associated with our GME reporting unit may be impaired. Utilizing the best available information at June 30, 2010 we performed a step one goodwill impairment test for our GME reporting unit, and concluded that goodwill was not impaired. The fair value of our GME reporting unit was estimated to be approximately $325 million over its carrying amount. If we had not passed step one, we believe the amount of any goodwill impairment would approximate $140 million representing the net decrease, from July 9, 2009 through June 30, 2010, in the fair value-to-U.S. GAAP differences attributable to those assets and liabilities that gave rise to goodwill.</w:t>
      </w:r>
    </w:p>
    <w:p>
      <w:pPr>
        <w:spacing w:after="0" w:line="147" w:lineRule="exact"/>
        <w:rPr>
          <w:sz w:val="20"/>
          <w:szCs w:val="20"/>
          <w:color w:val="auto"/>
        </w:rPr>
      </w:pPr>
    </w:p>
    <w:p>
      <w:pPr>
        <w:ind w:firstLine="228"/>
        <w:spacing w:after="0" w:line="298" w:lineRule="auto"/>
        <w:rPr>
          <w:sz w:val="20"/>
          <w:szCs w:val="20"/>
          <w:color w:val="auto"/>
        </w:rPr>
      </w:pPr>
      <w:r>
        <w:rPr>
          <w:rFonts w:ascii="Arial" w:cs="Arial" w:eastAsia="Arial" w:hAnsi="Arial"/>
          <w:sz w:val="16"/>
          <w:szCs w:val="16"/>
          <w:color w:val="auto"/>
        </w:rPr>
        <w:t>We utilized a discounted cash flow methodology to estimate the fair value of our GME reporting unit. The valuation methodologies utilized were consistent with those used in our application of fresh-start reporting on July 10, 2009, as discussed in Note 2 to our consolidated financial statements in our Form S-1, and in our 2009 annual and event driven GME impairment tests and result in Level 3 measures within the valuation hierarchy. Assumptions used in our discounted cash flow analysis that had the most significant effect on the estimated fair value of our GME reporting unit include:</w:t>
      </w:r>
    </w:p>
    <w:p>
      <w:pPr>
        <w:spacing w:after="0" w:line="153" w:lineRule="exact"/>
        <w:rPr>
          <w:sz w:val="20"/>
          <w:szCs w:val="20"/>
          <w:color w:val="auto"/>
        </w:rPr>
      </w:pPr>
    </w:p>
    <w:p>
      <w:pPr>
        <w:ind w:left="660" w:hanging="436"/>
        <w:spacing w:after="0"/>
        <w:tabs>
          <w:tab w:leader="none" w:pos="660" w:val="left"/>
        </w:tabs>
        <w:numPr>
          <w:ilvl w:val="0"/>
          <w:numId w:val="113"/>
        </w:numPr>
        <w:rPr>
          <w:rFonts w:ascii="Arial" w:cs="Arial" w:eastAsia="Arial" w:hAnsi="Arial"/>
          <w:sz w:val="18"/>
          <w:szCs w:val="18"/>
          <w:color w:val="auto"/>
        </w:rPr>
      </w:pPr>
      <w:r>
        <w:rPr>
          <w:rFonts w:ascii="Arial" w:cs="Arial" w:eastAsia="Arial" w:hAnsi="Arial"/>
          <w:sz w:val="18"/>
          <w:szCs w:val="18"/>
          <w:color w:val="auto"/>
        </w:rPr>
        <w:t>Our estimated weighted-average cost of capital (WACC);</w:t>
      </w:r>
    </w:p>
    <w:p>
      <w:pPr>
        <w:spacing w:after="0" w:line="90" w:lineRule="exact"/>
        <w:rPr>
          <w:rFonts w:ascii="Arial" w:cs="Arial" w:eastAsia="Arial" w:hAnsi="Arial"/>
          <w:sz w:val="18"/>
          <w:szCs w:val="18"/>
          <w:color w:val="auto"/>
        </w:rPr>
      </w:pPr>
    </w:p>
    <w:p>
      <w:pPr>
        <w:ind w:left="660" w:hanging="436"/>
        <w:spacing w:after="0"/>
        <w:tabs>
          <w:tab w:leader="none" w:pos="660" w:val="left"/>
        </w:tabs>
        <w:numPr>
          <w:ilvl w:val="0"/>
          <w:numId w:val="113"/>
        </w:numPr>
        <w:rPr>
          <w:rFonts w:ascii="Arial" w:cs="Arial" w:eastAsia="Arial" w:hAnsi="Arial"/>
          <w:sz w:val="18"/>
          <w:szCs w:val="18"/>
          <w:color w:val="auto"/>
        </w:rPr>
      </w:pPr>
      <w:r>
        <w:rPr>
          <w:rFonts w:ascii="Arial" w:cs="Arial" w:eastAsia="Arial" w:hAnsi="Arial"/>
          <w:sz w:val="18"/>
          <w:szCs w:val="18"/>
          <w:color w:val="auto"/>
        </w:rPr>
        <w:t>Our estimated long-term growth rates; and</w:t>
      </w:r>
    </w:p>
    <w:p>
      <w:pPr>
        <w:spacing w:after="0" w:line="90" w:lineRule="exact"/>
        <w:rPr>
          <w:rFonts w:ascii="Arial" w:cs="Arial" w:eastAsia="Arial" w:hAnsi="Arial"/>
          <w:sz w:val="18"/>
          <w:szCs w:val="18"/>
          <w:color w:val="auto"/>
        </w:rPr>
      </w:pPr>
    </w:p>
    <w:p>
      <w:pPr>
        <w:ind w:left="660" w:hanging="436"/>
        <w:spacing w:after="0"/>
        <w:tabs>
          <w:tab w:leader="none" w:pos="660" w:val="left"/>
        </w:tabs>
        <w:numPr>
          <w:ilvl w:val="0"/>
          <w:numId w:val="113"/>
        </w:numPr>
        <w:rPr>
          <w:rFonts w:ascii="Arial" w:cs="Arial" w:eastAsia="Arial" w:hAnsi="Arial"/>
          <w:sz w:val="18"/>
          <w:szCs w:val="18"/>
          <w:color w:val="auto"/>
        </w:rPr>
      </w:pPr>
      <w:r>
        <w:rPr>
          <w:rFonts w:ascii="Arial" w:cs="Arial" w:eastAsia="Arial" w:hAnsi="Arial"/>
          <w:sz w:val="18"/>
          <w:szCs w:val="18"/>
          <w:color w:val="auto"/>
        </w:rPr>
        <w:t>Our estimate of industry sales and our market share.</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143</w:t>
      </w:r>
    </w:p>
    <w:p>
      <w:pPr>
        <w:sectPr>
          <w:pgSz w:w="11900" w:h="16838" w:orient="portrait"/>
          <w:cols w:equalWidth="0" w:num="1">
            <w:col w:w="11400"/>
          </w:cols>
          <w:pgMar w:left="240" w:top="459" w:right="259" w:bottom="1440" w:gutter="0" w:footer="0" w:header="0"/>
        </w:sectPr>
      </w:pPr>
    </w:p>
    <w:bookmarkStart w:id="145" w:name="page146"/>
    <w:bookmarkEnd w:id="14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339" w:lineRule="exact"/>
        <w:rPr>
          <w:sz w:val="20"/>
          <w:szCs w:val="20"/>
          <w:color w:val="auto"/>
        </w:rPr>
      </w:pPr>
    </w:p>
    <w:p>
      <w:pPr>
        <w:ind w:right="60" w:firstLine="228"/>
        <w:spacing w:after="0" w:line="335" w:lineRule="auto"/>
        <w:rPr>
          <w:sz w:val="20"/>
          <w:szCs w:val="20"/>
          <w:color w:val="auto"/>
        </w:rPr>
      </w:pPr>
      <w:r>
        <w:rPr>
          <w:rFonts w:ascii="Arial" w:cs="Arial" w:eastAsia="Arial" w:hAnsi="Arial"/>
          <w:sz w:val="15"/>
          <w:szCs w:val="15"/>
          <w:color w:val="auto"/>
        </w:rPr>
        <w:t>We used a WACC of 22.0% that considered various factors including bond yields, risk premiums, and tax rates; a terminal value that was determined using a growth model that applied a long-term growth rate of 0.5% to our projected cash flows beyond 2015; and industry sales of 18.4 million vehicles and a market share for Opel/Vauxhall of 6.45% based on vehicle sales volume in 2010 increasing to industry sales of 22.0 million vehicles and a market share of 7.4% in 2015.</w:t>
      </w:r>
    </w:p>
    <w:p>
      <w:pPr>
        <w:spacing w:after="0" w:line="88" w:lineRule="exact"/>
        <w:rPr>
          <w:sz w:val="20"/>
          <w:szCs w:val="20"/>
          <w:color w:val="auto"/>
        </w:rPr>
      </w:pPr>
    </w:p>
    <w:p>
      <w:pPr>
        <w:ind w:right="180" w:firstLine="228"/>
        <w:spacing w:after="0" w:line="259" w:lineRule="auto"/>
        <w:rPr>
          <w:sz w:val="20"/>
          <w:szCs w:val="20"/>
          <w:color w:val="auto"/>
        </w:rPr>
      </w:pPr>
      <w:r>
        <w:rPr>
          <w:rFonts w:ascii="Arial" w:cs="Arial" w:eastAsia="Arial" w:hAnsi="Arial"/>
          <w:sz w:val="18"/>
          <w:szCs w:val="18"/>
          <w:color w:val="auto"/>
        </w:rPr>
        <w:t>Our fair value estimate assumes the achievement of the future financial results contemplated in our forecasted cash flows, and there can be no assurance that we will realize that value. The estimates and assumptions used are subject to significant uncertainties, many of which are beyond our control, and there is no assurance that anticipated financial results will be achieved.</w:t>
      </w:r>
    </w:p>
    <w:p>
      <w:pPr>
        <w:spacing w:after="0" w:line="140" w:lineRule="exact"/>
        <w:rPr>
          <w:sz w:val="20"/>
          <w:szCs w:val="20"/>
          <w:color w:val="auto"/>
        </w:rPr>
      </w:pPr>
    </w:p>
    <w:p>
      <w:pPr>
        <w:ind w:right="820" w:firstLine="228"/>
        <w:spacing w:after="0" w:line="332" w:lineRule="auto"/>
        <w:rPr>
          <w:sz w:val="20"/>
          <w:szCs w:val="20"/>
          <w:color w:val="auto"/>
        </w:rPr>
      </w:pPr>
      <w:r>
        <w:rPr>
          <w:rFonts w:ascii="Arial" w:cs="Arial" w:eastAsia="Arial" w:hAnsi="Arial"/>
          <w:sz w:val="16"/>
          <w:szCs w:val="16"/>
          <w:color w:val="auto"/>
        </w:rPr>
        <w:t>The following table summarizes the approximate effects that a change in the WACC and long-term growth rate assumptions would have had on our determination of the fair value of our GME reporting unit at June 30, 2010 keeping all other assumptions constant (dollars in millions):</w:t>
      </w:r>
    </w:p>
    <w:p>
      <w:pPr>
        <w:spacing w:after="0" w:line="10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9160" w:type="dxa"/>
            <w:vAlign w:val="bottom"/>
          </w:tcPr>
          <w:p>
            <w:pPr>
              <w:spacing w:after="0"/>
              <w:rPr>
                <w:sz w:val="14"/>
                <w:szCs w:val="14"/>
                <w:color w:val="auto"/>
              </w:rPr>
            </w:pPr>
          </w:p>
        </w:tc>
        <w:tc>
          <w:tcPr>
            <w:tcW w:w="86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w w:val="86"/>
              </w:rPr>
              <w:t>Effect on</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9160" w:type="dxa"/>
            <w:vAlign w:val="bottom"/>
          </w:tcPr>
          <w:p>
            <w:pPr>
              <w:spacing w:after="0"/>
              <w:rPr>
                <w:sz w:val="12"/>
                <w:szCs w:val="12"/>
                <w:color w:val="auto"/>
              </w:rPr>
            </w:pPr>
          </w:p>
        </w:tc>
        <w:tc>
          <w:tcPr>
            <w:tcW w:w="860" w:type="dxa"/>
            <w:vAlign w:val="bottom"/>
            <w:gridSpan w:val="3"/>
          </w:tcPr>
          <w:p>
            <w:pPr>
              <w:jc w:val="center"/>
              <w:ind w:right="80"/>
              <w:spacing w:after="0" w:line="149" w:lineRule="exact"/>
              <w:rPr>
                <w:sz w:val="20"/>
                <w:szCs w:val="20"/>
                <w:color w:val="auto"/>
              </w:rPr>
            </w:pPr>
            <w:r>
              <w:rPr>
                <w:rFonts w:ascii="Arial" w:cs="Arial" w:eastAsia="Arial" w:hAnsi="Arial"/>
                <w:sz w:val="14"/>
                <w:szCs w:val="14"/>
                <w:b w:val="1"/>
                <w:bCs w:val="1"/>
                <w:color w:val="auto"/>
                <w:w w:val="88"/>
              </w:rPr>
              <w:t>Fair Value of</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9160" w:type="dxa"/>
            <w:vAlign w:val="bottom"/>
          </w:tcPr>
          <w:p>
            <w:pPr>
              <w:spacing w:after="0"/>
              <w:rPr>
                <w:sz w:val="12"/>
                <w:szCs w:val="12"/>
                <w:color w:val="auto"/>
              </w:rPr>
            </w:pPr>
          </w:p>
        </w:tc>
        <w:tc>
          <w:tcPr>
            <w:tcW w:w="860" w:type="dxa"/>
            <w:vAlign w:val="bottom"/>
            <w:gridSpan w:val="3"/>
          </w:tcPr>
          <w:p>
            <w:pPr>
              <w:jc w:val="center"/>
              <w:ind w:right="120"/>
              <w:spacing w:after="0" w:line="149" w:lineRule="exact"/>
              <w:rPr>
                <w:sz w:val="20"/>
                <w:szCs w:val="20"/>
                <w:color w:val="auto"/>
              </w:rPr>
            </w:pPr>
            <w:r>
              <w:rPr>
                <w:rFonts w:ascii="Arial" w:cs="Arial" w:eastAsia="Arial" w:hAnsi="Arial"/>
                <w:sz w:val="14"/>
                <w:szCs w:val="14"/>
                <w:b w:val="1"/>
                <w:bCs w:val="1"/>
                <w:color w:val="auto"/>
              </w:rPr>
              <w:t>GME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9160" w:type="dxa"/>
            <w:vAlign w:val="bottom"/>
          </w:tcPr>
          <w:p>
            <w:pPr>
              <w:spacing w:after="0"/>
              <w:rPr>
                <w:sz w:val="12"/>
                <w:szCs w:val="12"/>
                <w:color w:val="auto"/>
              </w:rPr>
            </w:pPr>
          </w:p>
        </w:tc>
        <w:tc>
          <w:tcPr>
            <w:tcW w:w="860" w:type="dxa"/>
            <w:vAlign w:val="bottom"/>
            <w:gridSpan w:val="3"/>
          </w:tcPr>
          <w:p>
            <w:pPr>
              <w:jc w:val="center"/>
              <w:ind w:right="80"/>
              <w:spacing w:after="0" w:line="149" w:lineRule="exact"/>
              <w:rPr>
                <w:sz w:val="20"/>
                <w:szCs w:val="20"/>
                <w:color w:val="auto"/>
              </w:rPr>
            </w:pPr>
            <w:r>
              <w:rPr>
                <w:rFonts w:ascii="Arial" w:cs="Arial" w:eastAsia="Arial" w:hAnsi="Arial"/>
                <w:sz w:val="14"/>
                <w:szCs w:val="14"/>
                <w:b w:val="1"/>
                <w:bCs w:val="1"/>
                <w:color w:val="auto"/>
                <w:w w:val="87"/>
              </w:rPr>
              <w:t>Reporting</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9160" w:type="dxa"/>
            <w:vAlign w:val="bottom"/>
          </w:tcPr>
          <w:p>
            <w:pPr>
              <w:spacing w:after="0"/>
              <w:rPr>
                <w:sz w:val="12"/>
                <w:szCs w:val="12"/>
                <w:color w:val="auto"/>
              </w:rPr>
            </w:pPr>
          </w:p>
        </w:tc>
        <w:tc>
          <w:tcPr>
            <w:tcW w:w="860" w:type="dxa"/>
            <w:vAlign w:val="bottom"/>
            <w:gridSpan w:val="3"/>
          </w:tcPr>
          <w:p>
            <w:pPr>
              <w:jc w:val="center"/>
              <w:ind w:right="100"/>
              <w:spacing w:after="0" w:line="149" w:lineRule="exact"/>
              <w:rPr>
                <w:sz w:val="20"/>
                <w:szCs w:val="20"/>
                <w:color w:val="auto"/>
              </w:rPr>
            </w:pPr>
            <w:r>
              <w:rPr>
                <w:rFonts w:ascii="Arial" w:cs="Arial" w:eastAsia="Arial" w:hAnsi="Arial"/>
                <w:sz w:val="14"/>
                <w:szCs w:val="14"/>
                <w:b w:val="1"/>
                <w:bCs w:val="1"/>
                <w:color w:val="auto"/>
                <w:w w:val="91"/>
              </w:rPr>
              <w:t>Unit at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9160" w:type="dxa"/>
            <w:vAlign w:val="bottom"/>
          </w:tcPr>
          <w:p>
            <w:pPr>
              <w:spacing w:after="0"/>
              <w:rPr>
                <w:sz w:val="12"/>
                <w:szCs w:val="12"/>
                <w:color w:val="auto"/>
              </w:rPr>
            </w:pPr>
          </w:p>
        </w:tc>
        <w:tc>
          <w:tcPr>
            <w:tcW w:w="860" w:type="dxa"/>
            <w:vAlign w:val="bottom"/>
            <w:gridSpan w:val="3"/>
          </w:tcPr>
          <w:p>
            <w:pPr>
              <w:jc w:val="center"/>
              <w:ind w:right="100"/>
              <w:spacing w:after="0" w:line="149" w:lineRule="exact"/>
              <w:rPr>
                <w:sz w:val="20"/>
                <w:szCs w:val="20"/>
                <w:color w:val="auto"/>
              </w:rPr>
            </w:pPr>
            <w:r>
              <w:rPr>
                <w:rFonts w:ascii="Arial" w:cs="Arial" w:eastAsia="Arial" w:hAnsi="Arial"/>
                <w:sz w:val="14"/>
                <w:szCs w:val="14"/>
                <w:b w:val="1"/>
                <w:bCs w:val="1"/>
                <w:color w:val="auto"/>
                <w:w w:val="85"/>
              </w:rPr>
              <w:t>June 30,</w:t>
            </w:r>
          </w:p>
        </w:tc>
        <w:tc>
          <w:tcPr>
            <w:tcW w:w="0" w:type="dxa"/>
            <w:vAlign w:val="bottom"/>
          </w:tcPr>
          <w:p>
            <w:pPr>
              <w:spacing w:after="0"/>
              <w:rPr>
                <w:sz w:val="1"/>
                <w:szCs w:val="1"/>
                <w:color w:val="auto"/>
              </w:rPr>
            </w:pPr>
          </w:p>
        </w:tc>
      </w:tr>
      <w:tr>
        <w:trPr>
          <w:trHeight w:val="161"/>
        </w:trPr>
        <w:tc>
          <w:tcPr>
            <w:tcW w:w="10560" w:type="dxa"/>
            <w:vAlign w:val="bottom"/>
            <w:gridSpan w:val="3"/>
          </w:tcPr>
          <w:p>
            <w:pPr>
              <w:spacing w:after="0"/>
              <w:rPr>
                <w:sz w:val="20"/>
                <w:szCs w:val="20"/>
                <w:color w:val="auto"/>
              </w:rPr>
            </w:pPr>
            <w:r>
              <w:rPr>
                <w:rFonts w:ascii="Arial" w:cs="Arial" w:eastAsia="Arial" w:hAnsi="Arial"/>
                <w:sz w:val="14"/>
                <w:szCs w:val="14"/>
                <w:b w:val="1"/>
                <w:bCs w:val="1"/>
                <w:color w:val="auto"/>
              </w:rPr>
              <w:t>Change in Assumption</w:t>
            </w:r>
          </w:p>
        </w:tc>
        <w:tc>
          <w:tcPr>
            <w:tcW w:w="760" w:type="dxa"/>
            <w:vAlign w:val="bottom"/>
            <w:gridSpan w:val="2"/>
          </w:tcPr>
          <w:p>
            <w:pPr>
              <w:jc w:val="center"/>
              <w:spacing w:after="0"/>
              <w:rPr>
                <w:sz w:val="20"/>
                <w:szCs w:val="20"/>
                <w:color w:val="auto"/>
              </w:rPr>
            </w:pPr>
            <w:r>
              <w:rPr>
                <w:rFonts w:ascii="Arial" w:cs="Arial" w:eastAsia="Arial" w:hAnsi="Arial"/>
                <w:sz w:val="14"/>
                <w:szCs w:val="14"/>
                <w:b w:val="1"/>
                <w:bCs w:val="1"/>
                <w:color w:val="auto"/>
                <w:w w:val="83"/>
              </w:rPr>
              <w:t>2010</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c>
          <w:tcPr>
            <w:tcW w:w="916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105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One percentage point decrease in WACC</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272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540" w:type="dxa"/>
            <w:vAlign w:val="bottom"/>
            <w:gridSpan w:val="2"/>
          </w:tcPr>
          <w:p>
            <w:pPr>
              <w:spacing w:after="0"/>
              <w:rPr>
                <w:sz w:val="20"/>
                <w:szCs w:val="20"/>
                <w:color w:val="auto"/>
              </w:rPr>
            </w:pPr>
            <w:r>
              <w:rPr>
                <w:rFonts w:ascii="Arial" w:cs="Arial" w:eastAsia="Arial" w:hAnsi="Arial"/>
                <w:sz w:val="18"/>
                <w:szCs w:val="18"/>
                <w:color w:val="auto"/>
              </w:rPr>
              <w:t>One percentage point increase in WACC</w:t>
            </w:r>
          </w:p>
        </w:tc>
        <w:tc>
          <w:tcPr>
            <w:tcW w:w="50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jc w:val="right"/>
              <w:spacing w:after="0"/>
              <w:rPr>
                <w:sz w:val="20"/>
                <w:szCs w:val="20"/>
                <w:color w:val="auto"/>
              </w:rPr>
            </w:pPr>
            <w:r>
              <w:rPr>
                <w:rFonts w:ascii="Arial" w:cs="Arial" w:eastAsia="Arial" w:hAnsi="Arial"/>
                <w:sz w:val="18"/>
                <w:szCs w:val="18"/>
                <w:color w:val="auto"/>
                <w:w w:val="79"/>
              </w:rPr>
              <w:t>247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5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One-half percentage point increase in long-term growth rate</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10540" w:type="dxa"/>
            <w:vAlign w:val="bottom"/>
            <w:gridSpan w:val="2"/>
          </w:tcPr>
          <w:p>
            <w:pPr>
              <w:spacing w:after="0"/>
              <w:rPr>
                <w:sz w:val="20"/>
                <w:szCs w:val="20"/>
                <w:color w:val="auto"/>
              </w:rPr>
            </w:pPr>
            <w:r>
              <w:rPr>
                <w:rFonts w:ascii="Arial" w:cs="Arial" w:eastAsia="Arial" w:hAnsi="Arial"/>
                <w:sz w:val="18"/>
                <w:szCs w:val="18"/>
                <w:color w:val="auto"/>
              </w:rPr>
              <w:t>One-half percentage point decrease in long-term growth rate</w:t>
            </w:r>
          </w:p>
        </w:tc>
        <w:tc>
          <w:tcPr>
            <w:tcW w:w="50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jc w:val="right"/>
              <w:spacing w:after="0"/>
              <w:rPr>
                <w:sz w:val="20"/>
                <w:szCs w:val="20"/>
                <w:color w:val="auto"/>
              </w:rPr>
            </w:pPr>
            <w:r>
              <w:rPr>
                <w:rFonts w:ascii="Arial" w:cs="Arial" w:eastAsia="Arial" w:hAnsi="Arial"/>
                <w:sz w:val="18"/>
                <w:szCs w:val="18"/>
                <w:color w:val="auto"/>
              </w:rPr>
              <w:t>36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147" w:lineRule="exact"/>
        <w:rPr>
          <w:sz w:val="20"/>
          <w:szCs w:val="20"/>
          <w:color w:val="auto"/>
        </w:rPr>
      </w:pPr>
    </w:p>
    <w:p>
      <w:pPr>
        <w:ind w:left="240"/>
        <w:spacing w:after="0"/>
        <w:rPr>
          <w:sz w:val="20"/>
          <w:szCs w:val="20"/>
          <w:color w:val="auto"/>
        </w:rPr>
      </w:pPr>
      <w:r>
        <w:rPr>
          <w:rFonts w:ascii="Arial" w:cs="Arial" w:eastAsia="Arial" w:hAnsi="Arial"/>
          <w:sz w:val="18"/>
          <w:szCs w:val="18"/>
          <w:color w:val="auto"/>
        </w:rPr>
        <w:t>Refer to Note 8 to the condensed consolidated financial statements for additional information on goodwill impairments.</w:t>
      </w:r>
    </w:p>
    <w:p>
      <w:pPr>
        <w:spacing w:after="0" w:line="171" w:lineRule="exact"/>
        <w:rPr>
          <w:sz w:val="20"/>
          <w:szCs w:val="20"/>
          <w:color w:val="auto"/>
        </w:rPr>
      </w:pPr>
    </w:p>
    <w:p>
      <w:pPr>
        <w:ind w:right="120" w:firstLine="228"/>
        <w:spacing w:after="0" w:line="306" w:lineRule="auto"/>
        <w:rPr>
          <w:sz w:val="20"/>
          <w:szCs w:val="20"/>
          <w:color w:val="auto"/>
        </w:rPr>
      </w:pPr>
      <w:r>
        <w:rPr>
          <w:rFonts w:ascii="Arial" w:cs="Arial" w:eastAsia="Arial" w:hAnsi="Arial"/>
          <w:sz w:val="16"/>
          <w:szCs w:val="16"/>
          <w:color w:val="auto"/>
        </w:rPr>
        <w:t>During the three months ended December 31, 2009 we performed our annual goodwill impairment testing for all of our reporting units and event driven impairment testing for our GME and certain other reporting units in GMIO. Based on this testing, we determined that goodwill was not impaired. Refer to Notes 12 and 25 to our consolidated financial statements in our Form S-1 for additional information on goodwill impairments.</w:t>
      </w:r>
    </w:p>
    <w:p>
      <w:pPr>
        <w:spacing w:after="0" w:line="107"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Deferred Taxes</w:t>
      </w:r>
    </w:p>
    <w:p>
      <w:pPr>
        <w:spacing w:after="0" w:line="171" w:lineRule="exact"/>
        <w:rPr>
          <w:sz w:val="20"/>
          <w:szCs w:val="20"/>
          <w:color w:val="auto"/>
        </w:rPr>
      </w:pPr>
    </w:p>
    <w:p>
      <w:pPr>
        <w:jc w:val="both"/>
        <w:ind w:right="40" w:firstLine="228"/>
        <w:spacing w:after="0" w:line="306" w:lineRule="auto"/>
        <w:rPr>
          <w:sz w:val="20"/>
          <w:szCs w:val="20"/>
          <w:color w:val="auto"/>
        </w:rPr>
      </w:pPr>
      <w:r>
        <w:rPr>
          <w:rFonts w:ascii="Arial" w:cs="Arial" w:eastAsia="Arial" w:hAnsi="Arial"/>
          <w:sz w:val="16"/>
          <w:szCs w:val="16"/>
          <w:color w:val="auto"/>
        </w:rPr>
        <w:t>We establish and Old GM established valuation allowances for deferred tax assets based on a more likely than not threshold. The ability to realize deferred tax assets depends on the ability to generate sufficient taxable income within the carryback or carryforward periods provided for in the tax law for each applicable tax jurisdiction. We consider and Old GM considered the following possible sources of taxable income when assessing the realization of deferred tax assets:</w:t>
      </w:r>
    </w:p>
    <w:p>
      <w:pPr>
        <w:spacing w:after="0" w:line="147" w:lineRule="exact"/>
        <w:rPr>
          <w:sz w:val="20"/>
          <w:szCs w:val="20"/>
          <w:color w:val="auto"/>
        </w:rPr>
      </w:pPr>
    </w:p>
    <w:p>
      <w:pPr>
        <w:ind w:left="660" w:hanging="436"/>
        <w:spacing w:after="0"/>
        <w:tabs>
          <w:tab w:leader="none" w:pos="660" w:val="left"/>
        </w:tabs>
        <w:numPr>
          <w:ilvl w:val="0"/>
          <w:numId w:val="114"/>
        </w:numPr>
        <w:rPr>
          <w:rFonts w:ascii="Arial" w:cs="Arial" w:eastAsia="Arial" w:hAnsi="Arial"/>
          <w:sz w:val="18"/>
          <w:szCs w:val="18"/>
          <w:color w:val="auto"/>
        </w:rPr>
      </w:pPr>
      <w:r>
        <w:rPr>
          <w:rFonts w:ascii="Arial" w:cs="Arial" w:eastAsia="Arial" w:hAnsi="Arial"/>
          <w:sz w:val="18"/>
          <w:szCs w:val="18"/>
          <w:color w:val="auto"/>
        </w:rPr>
        <w:t>Future reversals of existing taxable temporary differences;</w:t>
      </w:r>
    </w:p>
    <w:p>
      <w:pPr>
        <w:spacing w:after="0" w:line="90" w:lineRule="exact"/>
        <w:rPr>
          <w:rFonts w:ascii="Arial" w:cs="Arial" w:eastAsia="Arial" w:hAnsi="Arial"/>
          <w:sz w:val="18"/>
          <w:szCs w:val="18"/>
          <w:color w:val="auto"/>
        </w:rPr>
      </w:pPr>
    </w:p>
    <w:p>
      <w:pPr>
        <w:ind w:left="660" w:hanging="436"/>
        <w:spacing w:after="0"/>
        <w:tabs>
          <w:tab w:leader="none" w:pos="660" w:val="left"/>
        </w:tabs>
        <w:numPr>
          <w:ilvl w:val="0"/>
          <w:numId w:val="114"/>
        </w:numPr>
        <w:rPr>
          <w:rFonts w:ascii="Arial" w:cs="Arial" w:eastAsia="Arial" w:hAnsi="Arial"/>
          <w:sz w:val="18"/>
          <w:szCs w:val="18"/>
          <w:color w:val="auto"/>
        </w:rPr>
      </w:pPr>
      <w:r>
        <w:rPr>
          <w:rFonts w:ascii="Arial" w:cs="Arial" w:eastAsia="Arial" w:hAnsi="Arial"/>
          <w:sz w:val="18"/>
          <w:szCs w:val="18"/>
          <w:color w:val="auto"/>
        </w:rPr>
        <w:t>Future taxable income exclusive of reversing temporary differences and carryforwards;</w:t>
      </w:r>
    </w:p>
    <w:p>
      <w:pPr>
        <w:spacing w:after="0" w:line="90" w:lineRule="exact"/>
        <w:rPr>
          <w:rFonts w:ascii="Arial" w:cs="Arial" w:eastAsia="Arial" w:hAnsi="Arial"/>
          <w:sz w:val="18"/>
          <w:szCs w:val="18"/>
          <w:color w:val="auto"/>
        </w:rPr>
      </w:pPr>
    </w:p>
    <w:p>
      <w:pPr>
        <w:ind w:left="660" w:hanging="436"/>
        <w:spacing w:after="0"/>
        <w:tabs>
          <w:tab w:leader="none" w:pos="660" w:val="left"/>
        </w:tabs>
        <w:numPr>
          <w:ilvl w:val="0"/>
          <w:numId w:val="114"/>
        </w:numPr>
        <w:rPr>
          <w:rFonts w:ascii="Arial" w:cs="Arial" w:eastAsia="Arial" w:hAnsi="Arial"/>
          <w:sz w:val="18"/>
          <w:szCs w:val="18"/>
          <w:color w:val="auto"/>
        </w:rPr>
      </w:pPr>
      <w:r>
        <w:rPr>
          <w:rFonts w:ascii="Arial" w:cs="Arial" w:eastAsia="Arial" w:hAnsi="Arial"/>
          <w:sz w:val="18"/>
          <w:szCs w:val="18"/>
          <w:color w:val="auto"/>
        </w:rPr>
        <w:t>Taxable income in prior carryback years; and</w:t>
      </w:r>
    </w:p>
    <w:p>
      <w:pPr>
        <w:spacing w:after="0" w:line="90" w:lineRule="exact"/>
        <w:rPr>
          <w:rFonts w:ascii="Arial" w:cs="Arial" w:eastAsia="Arial" w:hAnsi="Arial"/>
          <w:sz w:val="18"/>
          <w:szCs w:val="18"/>
          <w:color w:val="auto"/>
        </w:rPr>
      </w:pPr>
    </w:p>
    <w:p>
      <w:pPr>
        <w:ind w:left="660" w:hanging="436"/>
        <w:spacing w:after="0"/>
        <w:tabs>
          <w:tab w:leader="none" w:pos="660" w:val="left"/>
        </w:tabs>
        <w:numPr>
          <w:ilvl w:val="0"/>
          <w:numId w:val="114"/>
        </w:numPr>
        <w:rPr>
          <w:rFonts w:ascii="Arial" w:cs="Arial" w:eastAsia="Arial" w:hAnsi="Arial"/>
          <w:sz w:val="18"/>
          <w:szCs w:val="18"/>
          <w:color w:val="auto"/>
        </w:rPr>
      </w:pPr>
      <w:r>
        <w:rPr>
          <w:rFonts w:ascii="Arial" w:cs="Arial" w:eastAsia="Arial" w:hAnsi="Arial"/>
          <w:sz w:val="18"/>
          <w:szCs w:val="18"/>
          <w:color w:val="auto"/>
        </w:rPr>
        <w:t>Tax-planning strategies.</w:t>
      </w:r>
    </w:p>
    <w:p>
      <w:pPr>
        <w:spacing w:after="0" w:line="171" w:lineRule="exact"/>
        <w:rPr>
          <w:sz w:val="20"/>
          <w:szCs w:val="20"/>
          <w:color w:val="auto"/>
        </w:rPr>
      </w:pPr>
    </w:p>
    <w:p>
      <w:pPr>
        <w:ind w:right="80" w:firstLine="228"/>
        <w:spacing w:after="0" w:line="306" w:lineRule="auto"/>
        <w:rPr>
          <w:sz w:val="20"/>
          <w:szCs w:val="20"/>
          <w:color w:val="auto"/>
        </w:rPr>
      </w:pPr>
      <w:r>
        <w:rPr>
          <w:rFonts w:ascii="Arial" w:cs="Arial" w:eastAsia="Arial" w:hAnsi="Arial"/>
          <w:sz w:val="16"/>
          <w:szCs w:val="16"/>
          <w:color w:val="auto"/>
        </w:rPr>
        <w:t>The assessment regarding whether a valuation allowance is required or should be adjusted also considers, among other matters, the nature, frequency and severity of recent losses, forecasts of future profitability, the duration of statutory carryforward periods, our and Old GM’s experience with tax attributes expiring unused and tax planning alternatives. In making such judgments, significant weight is given to evidence that can be objectively verified.</w:t>
      </w:r>
    </w:p>
    <w:p>
      <w:pPr>
        <w:spacing w:after="0" w:line="107" w:lineRule="exact"/>
        <w:rPr>
          <w:sz w:val="20"/>
          <w:szCs w:val="20"/>
          <w:color w:val="auto"/>
        </w:rPr>
      </w:pPr>
    </w:p>
    <w:p>
      <w:pPr>
        <w:ind w:firstLine="228"/>
        <w:spacing w:after="0" w:line="259" w:lineRule="auto"/>
        <w:rPr>
          <w:sz w:val="20"/>
          <w:szCs w:val="20"/>
          <w:color w:val="auto"/>
        </w:rPr>
      </w:pPr>
      <w:r>
        <w:rPr>
          <w:rFonts w:ascii="Arial" w:cs="Arial" w:eastAsia="Arial" w:hAnsi="Arial"/>
          <w:sz w:val="18"/>
          <w:szCs w:val="18"/>
          <w:color w:val="auto"/>
        </w:rPr>
        <w:t>Concluding that a valuation allowance is not required is difficult when there is significant negative evidence that is objective and verifiable, such as cumulative losses in recent years. Although we are a new company, and our ability to achieve future profitability was enhanced by the cost and liability reductions that occurred as a result of the Chapter 11 Proceedings and 363 Sale, Old GM’s</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144</w:t>
      </w:r>
    </w:p>
    <w:p>
      <w:pPr>
        <w:sectPr>
          <w:pgSz w:w="11900" w:h="16838" w:orient="portrait"/>
          <w:cols w:equalWidth="0" w:num="1">
            <w:col w:w="11420"/>
          </w:cols>
          <w:pgMar w:left="240" w:top="459" w:right="239" w:bottom="1440" w:gutter="0" w:footer="0" w:header="0"/>
        </w:sectPr>
      </w:pPr>
    </w:p>
    <w:bookmarkStart w:id="146" w:name="page147"/>
    <w:bookmarkEnd w:id="14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164" w:lineRule="exact"/>
        <w:rPr>
          <w:sz w:val="20"/>
          <w:szCs w:val="20"/>
          <w:color w:val="auto"/>
        </w:rPr>
      </w:pPr>
    </w:p>
    <w:p>
      <w:pPr>
        <w:ind w:right="280"/>
        <w:spacing w:after="0" w:line="294" w:lineRule="auto"/>
        <w:rPr>
          <w:sz w:val="20"/>
          <w:szCs w:val="20"/>
          <w:color w:val="auto"/>
        </w:rPr>
      </w:pPr>
      <w:r>
        <w:rPr>
          <w:rFonts w:ascii="Arial" w:cs="Arial" w:eastAsia="Arial" w:hAnsi="Arial"/>
          <w:sz w:val="16"/>
          <w:szCs w:val="16"/>
          <w:color w:val="auto"/>
        </w:rPr>
        <w:t>historic operating results remain relevant as they are reflective of the industry and the effect of economic conditions. The fundamental businesses and inherent risks in which we globally operate did not change from those in which Old GM operated. We utilize and Old GM utilized a rolling three years of actual and current year anticipated results as the primary measure of cumulative losses in recent years. However, because a substantial portion of those cumulative losses relate to various non-recurring matters, those three-year cumulative results are adjusted for the effect of these items. In addition the near- and medium-term financial outlook is considered when assessing the need for a valuation allowance.</w:t>
      </w:r>
    </w:p>
    <w:p>
      <w:pPr>
        <w:spacing w:after="0" w:line="116" w:lineRule="exact"/>
        <w:rPr>
          <w:sz w:val="20"/>
          <w:szCs w:val="20"/>
          <w:color w:val="auto"/>
        </w:rPr>
      </w:pPr>
    </w:p>
    <w:p>
      <w:pPr>
        <w:ind w:right="40" w:firstLine="228"/>
        <w:spacing w:after="0" w:line="298" w:lineRule="auto"/>
        <w:rPr>
          <w:sz w:val="20"/>
          <w:szCs w:val="20"/>
          <w:color w:val="auto"/>
        </w:rPr>
      </w:pPr>
      <w:r>
        <w:rPr>
          <w:rFonts w:ascii="Arial" w:cs="Arial" w:eastAsia="Arial" w:hAnsi="Arial"/>
          <w:sz w:val="16"/>
          <w:szCs w:val="16"/>
          <w:color w:val="auto"/>
        </w:rPr>
        <w:t>If, in the future, we generate taxable income in jurisdictions where we have recorded full valuation allowances, on a sustained basis, our conclusion regarding the need for full valuation allowances in these tax jurisdictions could change, resulting in the reversal of some or all of the valuation allowances. If our operations generate taxable income prior to reaching profitability on a sustained basis, we would reverse a portion of the valuation allowance related to the corresponding realized tax benefit for that period, without changing our conclusions on the need for a full valuation allowance against the remaining net deferred tax assets.</w:t>
      </w:r>
    </w:p>
    <w:p>
      <w:pPr>
        <w:spacing w:after="0" w:line="113" w:lineRule="exact"/>
        <w:rPr>
          <w:sz w:val="20"/>
          <w:szCs w:val="20"/>
          <w:color w:val="auto"/>
        </w:rPr>
      </w:pPr>
    </w:p>
    <w:p>
      <w:pPr>
        <w:ind w:right="40" w:firstLine="228"/>
        <w:spacing w:after="0" w:line="253" w:lineRule="auto"/>
        <w:rPr>
          <w:sz w:val="20"/>
          <w:szCs w:val="20"/>
          <w:color w:val="auto"/>
        </w:rPr>
      </w:pPr>
      <w:r>
        <w:rPr>
          <w:rFonts w:ascii="Arial" w:cs="Arial" w:eastAsia="Arial" w:hAnsi="Arial"/>
          <w:sz w:val="18"/>
          <w:szCs w:val="18"/>
          <w:color w:val="auto"/>
        </w:rPr>
        <w:t>The valuation of deferred tax assets requires judgment and accounting for deferred tax consequences of events that have been recorded in the financial statements or in the tax returns and our future profitability represents our best estimate of those future events. Changes in our current estimates, due to unanticipated events or otherwise, could have a material effect on our financial condition and results of operations. In 2008 because Old GM concluded there was substantial doubt related to its ability to continue as a going concern, it was determined that it was more likely than not that it would not realize its net deferred tax assets in most jurisdictions even though certain of these entities were not in three-year adjusted cumulative loss positions. In July 2009 with U.S. parent company liquidity concerns resolved in connection with the Chapter 11 Proceedings and the 363 Sale, to the extent there was no other significant negative evidence, we concluded that it is more likely than not that we would realize the deferred tax assets in jurisdictions not in three-year adjusted cumulative loss positions.</w:t>
      </w:r>
    </w:p>
    <w:p>
      <w:pPr>
        <w:spacing w:after="0" w:line="145" w:lineRule="exact"/>
        <w:rPr>
          <w:sz w:val="20"/>
          <w:szCs w:val="20"/>
          <w:color w:val="auto"/>
        </w:rPr>
      </w:pPr>
    </w:p>
    <w:p>
      <w:pPr>
        <w:ind w:left="240"/>
        <w:spacing w:after="0"/>
        <w:rPr>
          <w:sz w:val="20"/>
          <w:szCs w:val="20"/>
          <w:color w:val="auto"/>
        </w:rPr>
      </w:pPr>
      <w:r>
        <w:rPr>
          <w:rFonts w:ascii="Arial" w:cs="Arial" w:eastAsia="Arial" w:hAnsi="Arial"/>
          <w:sz w:val="16"/>
          <w:szCs w:val="16"/>
          <w:color w:val="auto"/>
        </w:rPr>
        <w:t>Refer to Note 22 to our consolidated financial statements in our Form S-1 for additional information on the recording of valuation allowances.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Accounting Standards Not Yet Adopted</w:t>
      </w:r>
    </w:p>
    <w:p>
      <w:pPr>
        <w:spacing w:after="0" w:line="177" w:lineRule="exact"/>
        <w:rPr>
          <w:sz w:val="20"/>
          <w:szCs w:val="20"/>
          <w:color w:val="auto"/>
        </w:rPr>
      </w:pPr>
    </w:p>
    <w:p>
      <w:pPr>
        <w:ind w:left="240"/>
        <w:spacing w:after="0"/>
        <w:rPr>
          <w:sz w:val="20"/>
          <w:szCs w:val="20"/>
          <w:color w:val="auto"/>
        </w:rPr>
      </w:pPr>
      <w:r>
        <w:rPr>
          <w:rFonts w:ascii="Arial" w:cs="Arial" w:eastAsia="Arial" w:hAnsi="Arial"/>
          <w:sz w:val="18"/>
          <w:szCs w:val="18"/>
          <w:color w:val="auto"/>
        </w:rPr>
        <w:t>Refer to Note 3 to the condensed consolidated financial statements.</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177" w:lineRule="exact"/>
        <w:rPr>
          <w:sz w:val="20"/>
          <w:szCs w:val="20"/>
          <w:color w:val="auto"/>
        </w:rPr>
      </w:pPr>
    </w:p>
    <w:p>
      <w:pPr>
        <w:ind w:right="380" w:firstLine="228"/>
        <w:spacing w:after="0" w:line="291" w:lineRule="auto"/>
        <w:rPr>
          <w:sz w:val="20"/>
          <w:szCs w:val="20"/>
          <w:color w:val="auto"/>
        </w:rPr>
      </w:pPr>
      <w:r>
        <w:rPr>
          <w:rFonts w:ascii="Arial" w:cs="Arial" w:eastAsia="Arial" w:hAnsi="Arial"/>
          <w:sz w:val="16"/>
          <w:szCs w:val="16"/>
          <w:color w:val="auto"/>
        </w:rPr>
        <w:t>In this report and in reports we subsequently file with the SEC on Forms 10-K and 10-Q and file or furnish on Form 8-K, and in related comments by our management, we use words like “may,” “will,” “would,” “could,” “should,” “believes,” “estimates,” “projects,” “potential,” “expects,” “plans,” “seeks,” “intends,” “evaluates,” “pursues,” “anticipates,” “continues,” “designs,” “impacts,” “affects,” “forecasts,” “target,” “outlook,” “initiative,” “objective,” “designed,” “priorities,” “goal,” or the negative of those words or other similar expressions to identify forward-looking statements that represent our current judgment about possible future events. All statements in this report, and in related comments by our management, other than statements of historical facts, including statements about future events or financial performance, are forward-looking statements that involve certain risks and uncertainties.</w:t>
      </w:r>
    </w:p>
    <w:p>
      <w:pPr>
        <w:spacing w:after="0" w:line="120" w:lineRule="exact"/>
        <w:rPr>
          <w:sz w:val="20"/>
          <w:szCs w:val="20"/>
          <w:color w:val="auto"/>
        </w:rPr>
      </w:pPr>
    </w:p>
    <w:p>
      <w:pPr>
        <w:ind w:firstLine="228"/>
        <w:spacing w:after="0" w:line="291" w:lineRule="auto"/>
        <w:rPr>
          <w:sz w:val="20"/>
          <w:szCs w:val="20"/>
          <w:color w:val="auto"/>
        </w:rPr>
      </w:pPr>
      <w:r>
        <w:rPr>
          <w:rFonts w:ascii="Arial" w:cs="Arial" w:eastAsia="Arial" w:hAnsi="Arial"/>
          <w:sz w:val="16"/>
          <w:szCs w:val="16"/>
          <w:color w:val="auto"/>
        </w:rPr>
        <w:t>In making these statements we rely on assumptions and analyses made in light of our experience and perception of historical trends, current conditions, and expected future developments as well as other factors that we believe are appropriate in the circumstances. While these statements represent our current judgment on what the future may hold, and we believe these judgments are reasonable, these statements are not guarantees of any events or financial results. Whether future results and developments will conform to our expectations and predictions is subject to a number of risks and uncertainties, including the risks and uncertainties discussed in this report under the caption “Risk Factors” and elsewhere, including below. These factors, which may be revised or supplemented in subsequent reports on SEC Forms 10-K, 10-Q and 8-K, include among others the following, many of which are beyond our control:</w:t>
      </w:r>
    </w:p>
    <w:p>
      <w:pPr>
        <w:spacing w:after="0" w:line="161" w:lineRule="exact"/>
        <w:rPr>
          <w:sz w:val="20"/>
          <w:szCs w:val="20"/>
          <w:color w:val="auto"/>
        </w:rPr>
      </w:pPr>
    </w:p>
    <w:p>
      <w:pPr>
        <w:ind w:left="660" w:hanging="436"/>
        <w:spacing w:after="0"/>
        <w:tabs>
          <w:tab w:leader="none" w:pos="660" w:val="left"/>
        </w:tabs>
        <w:numPr>
          <w:ilvl w:val="0"/>
          <w:numId w:val="115"/>
        </w:numPr>
        <w:rPr>
          <w:rFonts w:ascii="Arial" w:cs="Arial" w:eastAsia="Arial" w:hAnsi="Arial"/>
          <w:sz w:val="16"/>
          <w:szCs w:val="16"/>
          <w:color w:val="auto"/>
        </w:rPr>
      </w:pPr>
      <w:r>
        <w:rPr>
          <w:rFonts w:ascii="Arial" w:cs="Arial" w:eastAsia="Arial" w:hAnsi="Arial"/>
          <w:sz w:val="16"/>
          <w:szCs w:val="16"/>
          <w:color w:val="auto"/>
        </w:rPr>
        <w:t>Our ability to realize production efficiencies and to achieve reductions in costs as a result of our restructuring initiatives and labor modifications;</w:t>
      </w:r>
    </w:p>
    <w:p>
      <w:pPr>
        <w:spacing w:after="0" w:line="180" w:lineRule="exact"/>
        <w:rPr>
          <w:rFonts w:ascii="Arial" w:cs="Arial" w:eastAsia="Arial" w:hAnsi="Arial"/>
          <w:sz w:val="16"/>
          <w:szCs w:val="16"/>
          <w:color w:val="auto"/>
        </w:rPr>
      </w:pPr>
    </w:p>
    <w:p>
      <w:pPr>
        <w:ind w:left="5580"/>
        <w:spacing w:after="0"/>
        <w:rPr>
          <w:rFonts w:ascii="Arial" w:cs="Arial" w:eastAsia="Arial" w:hAnsi="Arial"/>
          <w:sz w:val="16"/>
          <w:szCs w:val="16"/>
          <w:color w:val="auto"/>
        </w:rPr>
      </w:pPr>
      <w:r>
        <w:rPr>
          <w:rFonts w:ascii="Arial" w:cs="Arial" w:eastAsia="Arial" w:hAnsi="Arial"/>
          <w:sz w:val="18"/>
          <w:szCs w:val="18"/>
          <w:color w:val="auto"/>
        </w:rPr>
        <w:t>145</w:t>
      </w:r>
    </w:p>
    <w:p>
      <w:pPr>
        <w:sectPr>
          <w:pgSz w:w="11900" w:h="16838" w:orient="portrait"/>
          <w:cols w:equalWidth="0" w:num="1">
            <w:col w:w="11400"/>
          </w:cols>
          <w:pgMar w:left="240" w:top="459" w:right="259" w:bottom="1440" w:gutter="0" w:footer="0" w:header="0"/>
        </w:sectPr>
      </w:pPr>
    </w:p>
    <w:bookmarkStart w:id="147" w:name="page148"/>
    <w:bookmarkEnd w:id="14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258" w:lineRule="exact"/>
        <w:rPr>
          <w:sz w:val="20"/>
          <w:szCs w:val="20"/>
          <w:color w:val="auto"/>
        </w:rPr>
      </w:pPr>
    </w:p>
    <w:p>
      <w:pPr>
        <w:ind w:left="660" w:hanging="436"/>
        <w:spacing w:after="0"/>
        <w:tabs>
          <w:tab w:leader="none" w:pos="660" w:val="left"/>
        </w:tabs>
        <w:numPr>
          <w:ilvl w:val="0"/>
          <w:numId w:val="116"/>
        </w:numPr>
        <w:rPr>
          <w:rFonts w:ascii="Arial" w:cs="Arial" w:eastAsia="Arial" w:hAnsi="Arial"/>
          <w:sz w:val="18"/>
          <w:szCs w:val="18"/>
          <w:color w:val="auto"/>
        </w:rPr>
      </w:pPr>
      <w:r>
        <w:rPr>
          <w:rFonts w:ascii="Arial" w:cs="Arial" w:eastAsia="Arial" w:hAnsi="Arial"/>
          <w:sz w:val="18"/>
          <w:szCs w:val="18"/>
          <w:color w:val="auto"/>
        </w:rPr>
        <w:t>Our ability to maintain quality control over our vehicles and avoid material vehicle recalls;</w:t>
      </w:r>
    </w:p>
    <w:p>
      <w:pPr>
        <w:spacing w:after="0" w:line="90" w:lineRule="exact"/>
        <w:rPr>
          <w:rFonts w:ascii="Arial" w:cs="Arial" w:eastAsia="Arial" w:hAnsi="Arial"/>
          <w:sz w:val="18"/>
          <w:szCs w:val="18"/>
          <w:color w:val="auto"/>
        </w:rPr>
      </w:pPr>
    </w:p>
    <w:p>
      <w:pPr>
        <w:ind w:left="660" w:right="220" w:hanging="436"/>
        <w:spacing w:after="0" w:line="332" w:lineRule="auto"/>
        <w:tabs>
          <w:tab w:leader="none" w:pos="660" w:val="left"/>
        </w:tabs>
        <w:numPr>
          <w:ilvl w:val="0"/>
          <w:numId w:val="116"/>
        </w:numPr>
        <w:rPr>
          <w:rFonts w:ascii="Arial" w:cs="Arial" w:eastAsia="Arial" w:hAnsi="Arial"/>
          <w:sz w:val="16"/>
          <w:szCs w:val="16"/>
          <w:color w:val="auto"/>
        </w:rPr>
      </w:pPr>
      <w:r>
        <w:rPr>
          <w:rFonts w:ascii="Arial" w:cs="Arial" w:eastAsia="Arial" w:hAnsi="Arial"/>
          <w:sz w:val="16"/>
          <w:szCs w:val="16"/>
          <w:color w:val="auto"/>
        </w:rPr>
        <w:t>Our ability to maintain adequate liquidity and financing sources and an appropriate level of debt, including as required to fund our planned significant investment in new technology, and, even if funded, our ability to realize successful vehicle applications of new technology;</w:t>
      </w:r>
    </w:p>
    <w:p>
      <w:pPr>
        <w:spacing w:after="0" w:line="4" w:lineRule="exact"/>
        <w:rPr>
          <w:rFonts w:ascii="Arial" w:cs="Arial" w:eastAsia="Arial" w:hAnsi="Arial"/>
          <w:sz w:val="16"/>
          <w:szCs w:val="16"/>
          <w:color w:val="auto"/>
        </w:rPr>
      </w:pPr>
    </w:p>
    <w:p>
      <w:pPr>
        <w:ind w:left="660" w:right="680" w:hanging="436"/>
        <w:spacing w:after="0" w:line="268" w:lineRule="auto"/>
        <w:tabs>
          <w:tab w:leader="none" w:pos="660" w:val="left"/>
        </w:tabs>
        <w:numPr>
          <w:ilvl w:val="0"/>
          <w:numId w:val="116"/>
        </w:numPr>
        <w:rPr>
          <w:rFonts w:ascii="Arial" w:cs="Arial" w:eastAsia="Arial" w:hAnsi="Arial"/>
          <w:sz w:val="18"/>
          <w:szCs w:val="18"/>
          <w:color w:val="auto"/>
        </w:rPr>
      </w:pPr>
      <w:r>
        <w:rPr>
          <w:rFonts w:ascii="Arial" w:cs="Arial" w:eastAsia="Arial" w:hAnsi="Arial"/>
          <w:sz w:val="18"/>
          <w:szCs w:val="18"/>
          <w:color w:val="auto"/>
        </w:rPr>
        <w:t>The effect of business or liquidity difficulties for us or one or more subsidiaries on other entities in our corporate group as a result of our highly integrated and complex corporate structure and operation;</w:t>
      </w:r>
    </w:p>
    <w:p>
      <w:pPr>
        <w:spacing w:after="0" w:line="50" w:lineRule="exact"/>
        <w:rPr>
          <w:rFonts w:ascii="Arial" w:cs="Arial" w:eastAsia="Arial" w:hAnsi="Arial"/>
          <w:sz w:val="18"/>
          <w:szCs w:val="18"/>
          <w:color w:val="auto"/>
        </w:rPr>
      </w:pPr>
    </w:p>
    <w:p>
      <w:pPr>
        <w:ind w:left="660" w:hanging="436"/>
        <w:spacing w:after="0"/>
        <w:tabs>
          <w:tab w:leader="none" w:pos="660" w:val="left"/>
        </w:tabs>
        <w:numPr>
          <w:ilvl w:val="0"/>
          <w:numId w:val="116"/>
        </w:numPr>
        <w:rPr>
          <w:rFonts w:ascii="Arial" w:cs="Arial" w:eastAsia="Arial" w:hAnsi="Arial"/>
          <w:sz w:val="18"/>
          <w:szCs w:val="18"/>
          <w:color w:val="auto"/>
        </w:rPr>
      </w:pPr>
      <w:r>
        <w:rPr>
          <w:rFonts w:ascii="Arial" w:cs="Arial" w:eastAsia="Arial" w:hAnsi="Arial"/>
          <w:sz w:val="18"/>
          <w:szCs w:val="18"/>
          <w:color w:val="auto"/>
        </w:rPr>
        <w:t>Our ability to continue to attract customers, particularly for our new products, including cars and crossover vehicles;</w:t>
      </w:r>
    </w:p>
    <w:p>
      <w:pPr>
        <w:spacing w:after="0" w:line="90" w:lineRule="exact"/>
        <w:rPr>
          <w:rFonts w:ascii="Arial" w:cs="Arial" w:eastAsia="Arial" w:hAnsi="Arial"/>
          <w:sz w:val="18"/>
          <w:szCs w:val="18"/>
          <w:color w:val="auto"/>
        </w:rPr>
      </w:pPr>
    </w:p>
    <w:p>
      <w:pPr>
        <w:ind w:left="660" w:right="340" w:hanging="436"/>
        <w:spacing w:after="0" w:line="268" w:lineRule="auto"/>
        <w:tabs>
          <w:tab w:leader="none" w:pos="660" w:val="left"/>
        </w:tabs>
        <w:numPr>
          <w:ilvl w:val="0"/>
          <w:numId w:val="116"/>
        </w:numPr>
        <w:rPr>
          <w:rFonts w:ascii="Arial" w:cs="Arial" w:eastAsia="Arial" w:hAnsi="Arial"/>
          <w:sz w:val="18"/>
          <w:szCs w:val="18"/>
          <w:color w:val="auto"/>
        </w:rPr>
      </w:pPr>
      <w:r>
        <w:rPr>
          <w:rFonts w:ascii="Arial" w:cs="Arial" w:eastAsia="Arial" w:hAnsi="Arial"/>
          <w:sz w:val="18"/>
          <w:szCs w:val="18"/>
          <w:color w:val="auto"/>
        </w:rPr>
        <w:t>Availability of adequate financing on acceptable terms to our customers, dealers, distributors and suppliers to enable them to continue their business relationships with us;</w:t>
      </w:r>
    </w:p>
    <w:p>
      <w:pPr>
        <w:spacing w:after="0" w:line="50" w:lineRule="exact"/>
        <w:rPr>
          <w:rFonts w:ascii="Arial" w:cs="Arial" w:eastAsia="Arial" w:hAnsi="Arial"/>
          <w:sz w:val="18"/>
          <w:szCs w:val="18"/>
          <w:color w:val="auto"/>
        </w:rPr>
      </w:pPr>
    </w:p>
    <w:p>
      <w:pPr>
        <w:ind w:left="660" w:hanging="436"/>
        <w:spacing w:after="0"/>
        <w:tabs>
          <w:tab w:leader="none" w:pos="660" w:val="left"/>
        </w:tabs>
        <w:numPr>
          <w:ilvl w:val="0"/>
          <w:numId w:val="116"/>
        </w:numPr>
        <w:rPr>
          <w:rFonts w:ascii="Arial" w:cs="Arial" w:eastAsia="Arial" w:hAnsi="Arial"/>
          <w:sz w:val="16"/>
          <w:szCs w:val="16"/>
          <w:color w:val="auto"/>
        </w:rPr>
      </w:pPr>
      <w:r>
        <w:rPr>
          <w:rFonts w:ascii="Arial" w:cs="Arial" w:eastAsia="Arial" w:hAnsi="Arial"/>
          <w:sz w:val="16"/>
          <w:szCs w:val="16"/>
          <w:color w:val="auto"/>
        </w:rPr>
        <w:t>The financial viability and ability to borrow of our key suppliers and their ability to provide systems, components and parts without disruption;</w:t>
      </w:r>
    </w:p>
    <w:p>
      <w:pPr>
        <w:spacing w:after="0" w:line="113" w:lineRule="exact"/>
        <w:rPr>
          <w:rFonts w:ascii="Arial" w:cs="Arial" w:eastAsia="Arial" w:hAnsi="Arial"/>
          <w:sz w:val="16"/>
          <w:szCs w:val="16"/>
          <w:color w:val="auto"/>
        </w:rPr>
      </w:pPr>
    </w:p>
    <w:p>
      <w:pPr>
        <w:ind w:left="660" w:right="180" w:hanging="436"/>
        <w:spacing w:after="0" w:line="332" w:lineRule="auto"/>
        <w:tabs>
          <w:tab w:leader="none" w:pos="660" w:val="left"/>
        </w:tabs>
        <w:numPr>
          <w:ilvl w:val="0"/>
          <w:numId w:val="116"/>
        </w:numPr>
        <w:rPr>
          <w:rFonts w:ascii="Arial" w:cs="Arial" w:eastAsia="Arial" w:hAnsi="Arial"/>
          <w:sz w:val="16"/>
          <w:szCs w:val="16"/>
          <w:color w:val="auto"/>
        </w:rPr>
      </w:pPr>
      <w:r>
        <w:rPr>
          <w:rFonts w:ascii="Arial" w:cs="Arial" w:eastAsia="Arial" w:hAnsi="Arial"/>
          <w:sz w:val="16"/>
          <w:szCs w:val="16"/>
          <w:color w:val="auto"/>
        </w:rPr>
        <w:t>Our ability to take actions we believe are important to our long-term strategy, including our ability to enter into certain material transactions outside of the ordinary course of business, which may be limited due to significant covenants in our new secured revolving credit facility;</w:t>
      </w:r>
    </w:p>
    <w:p>
      <w:pPr>
        <w:spacing w:after="0" w:line="4" w:lineRule="exact"/>
        <w:rPr>
          <w:rFonts w:ascii="Arial" w:cs="Arial" w:eastAsia="Arial" w:hAnsi="Arial"/>
          <w:sz w:val="16"/>
          <w:szCs w:val="16"/>
          <w:color w:val="auto"/>
        </w:rPr>
      </w:pPr>
    </w:p>
    <w:p>
      <w:pPr>
        <w:ind w:left="660" w:hanging="436"/>
        <w:spacing w:after="0"/>
        <w:tabs>
          <w:tab w:leader="none" w:pos="660" w:val="left"/>
        </w:tabs>
        <w:numPr>
          <w:ilvl w:val="0"/>
          <w:numId w:val="116"/>
        </w:numPr>
        <w:rPr>
          <w:rFonts w:ascii="Arial" w:cs="Arial" w:eastAsia="Arial" w:hAnsi="Arial"/>
          <w:sz w:val="18"/>
          <w:szCs w:val="18"/>
          <w:color w:val="auto"/>
        </w:rPr>
      </w:pPr>
      <w:r>
        <w:rPr>
          <w:rFonts w:ascii="Arial" w:cs="Arial" w:eastAsia="Arial" w:hAnsi="Arial"/>
          <w:sz w:val="18"/>
          <w:szCs w:val="18"/>
          <w:color w:val="auto"/>
        </w:rPr>
        <w:t>Our ability to manage the distribution channels for our products, including our ability to consolidate our dealer network;</w:t>
      </w:r>
    </w:p>
    <w:p>
      <w:pPr>
        <w:spacing w:after="0" w:line="90" w:lineRule="exact"/>
        <w:rPr>
          <w:rFonts w:ascii="Arial" w:cs="Arial" w:eastAsia="Arial" w:hAnsi="Arial"/>
          <w:sz w:val="18"/>
          <w:szCs w:val="18"/>
          <w:color w:val="auto"/>
        </w:rPr>
      </w:pPr>
    </w:p>
    <w:p>
      <w:pPr>
        <w:ind w:left="660" w:right="80" w:hanging="436"/>
        <w:spacing w:after="0" w:line="268" w:lineRule="auto"/>
        <w:tabs>
          <w:tab w:leader="none" w:pos="660" w:val="left"/>
        </w:tabs>
        <w:numPr>
          <w:ilvl w:val="0"/>
          <w:numId w:val="116"/>
        </w:numPr>
        <w:rPr>
          <w:rFonts w:ascii="Arial" w:cs="Arial" w:eastAsia="Arial" w:hAnsi="Arial"/>
          <w:sz w:val="18"/>
          <w:szCs w:val="18"/>
          <w:color w:val="auto"/>
        </w:rPr>
      </w:pPr>
      <w:r>
        <w:rPr>
          <w:rFonts w:ascii="Arial" w:cs="Arial" w:eastAsia="Arial" w:hAnsi="Arial"/>
          <w:sz w:val="18"/>
          <w:szCs w:val="18"/>
          <w:color w:val="auto"/>
        </w:rPr>
        <w:t>Our ability to qualify for federal funding of our advanced technology vehicle programs under Section 136 of the Energy Independence and Security Act of 2007;</w:t>
      </w:r>
    </w:p>
    <w:p>
      <w:pPr>
        <w:spacing w:after="0" w:line="50" w:lineRule="exact"/>
        <w:rPr>
          <w:rFonts w:ascii="Arial" w:cs="Arial" w:eastAsia="Arial" w:hAnsi="Arial"/>
          <w:sz w:val="18"/>
          <w:szCs w:val="18"/>
          <w:color w:val="auto"/>
        </w:rPr>
      </w:pPr>
    </w:p>
    <w:p>
      <w:pPr>
        <w:ind w:left="660" w:hanging="436"/>
        <w:spacing w:after="0"/>
        <w:tabs>
          <w:tab w:leader="none" w:pos="660" w:val="left"/>
        </w:tabs>
        <w:numPr>
          <w:ilvl w:val="0"/>
          <w:numId w:val="116"/>
        </w:numPr>
        <w:rPr>
          <w:rFonts w:ascii="Arial" w:cs="Arial" w:eastAsia="Arial" w:hAnsi="Arial"/>
          <w:sz w:val="18"/>
          <w:szCs w:val="18"/>
          <w:color w:val="auto"/>
        </w:rPr>
      </w:pPr>
      <w:r>
        <w:rPr>
          <w:rFonts w:ascii="Arial" w:cs="Arial" w:eastAsia="Arial" w:hAnsi="Arial"/>
          <w:sz w:val="18"/>
          <w:szCs w:val="18"/>
          <w:color w:val="auto"/>
        </w:rPr>
        <w:t>The ability to successfully restructure our European operations;</w:t>
      </w:r>
    </w:p>
    <w:p>
      <w:pPr>
        <w:spacing w:after="0" w:line="90" w:lineRule="exact"/>
        <w:rPr>
          <w:rFonts w:ascii="Arial" w:cs="Arial" w:eastAsia="Arial" w:hAnsi="Arial"/>
          <w:sz w:val="18"/>
          <w:szCs w:val="18"/>
          <w:color w:val="auto"/>
        </w:rPr>
      </w:pPr>
    </w:p>
    <w:p>
      <w:pPr>
        <w:ind w:left="660" w:hanging="436"/>
        <w:spacing w:after="0" w:line="256" w:lineRule="auto"/>
        <w:tabs>
          <w:tab w:leader="none" w:pos="660" w:val="left"/>
        </w:tabs>
        <w:numPr>
          <w:ilvl w:val="0"/>
          <w:numId w:val="116"/>
        </w:numPr>
        <w:rPr>
          <w:rFonts w:ascii="Arial" w:cs="Arial" w:eastAsia="Arial" w:hAnsi="Arial"/>
          <w:sz w:val="18"/>
          <w:szCs w:val="18"/>
          <w:color w:val="auto"/>
        </w:rPr>
      </w:pPr>
      <w:r>
        <w:rPr>
          <w:rFonts w:ascii="Arial" w:cs="Arial" w:eastAsia="Arial" w:hAnsi="Arial"/>
          <w:sz w:val="18"/>
          <w:szCs w:val="18"/>
          <w:color w:val="auto"/>
        </w:rPr>
        <w:t>The continued availability of both wholesale and retail financing from Ally Financial and its affiliates in the United States, Canada and the other markets in which we operate to support our ability to sell vehicles in those markets, which is dependent on Ally Financial’s ability to obtain funding and which may be suspended by Ally Financial if Ally Financial’s credit exposure to us exceeds certain limitations provided in our operating arrangements with Ally Financial;</w:t>
      </w:r>
    </w:p>
    <w:p>
      <w:pPr>
        <w:spacing w:after="0" w:line="62" w:lineRule="exact"/>
        <w:rPr>
          <w:rFonts w:ascii="Arial" w:cs="Arial" w:eastAsia="Arial" w:hAnsi="Arial"/>
          <w:sz w:val="18"/>
          <w:szCs w:val="18"/>
          <w:color w:val="auto"/>
        </w:rPr>
      </w:pPr>
    </w:p>
    <w:p>
      <w:pPr>
        <w:ind w:left="660" w:hanging="436"/>
        <w:spacing w:after="0"/>
        <w:tabs>
          <w:tab w:leader="none" w:pos="660" w:val="left"/>
        </w:tabs>
        <w:numPr>
          <w:ilvl w:val="0"/>
          <w:numId w:val="116"/>
        </w:numPr>
        <w:rPr>
          <w:rFonts w:ascii="Arial" w:cs="Arial" w:eastAsia="Arial" w:hAnsi="Arial"/>
          <w:sz w:val="18"/>
          <w:szCs w:val="18"/>
          <w:color w:val="auto"/>
        </w:rPr>
      </w:pPr>
      <w:r>
        <w:rPr>
          <w:rFonts w:ascii="Arial" w:cs="Arial" w:eastAsia="Arial" w:hAnsi="Arial"/>
          <w:sz w:val="18"/>
          <w:szCs w:val="18"/>
          <w:color w:val="auto"/>
        </w:rPr>
        <w:t>Our ability to develop captive financing capability, including through GM Financial;</w:t>
      </w:r>
    </w:p>
    <w:p>
      <w:pPr>
        <w:spacing w:after="0" w:line="90" w:lineRule="exact"/>
        <w:rPr>
          <w:rFonts w:ascii="Arial" w:cs="Arial" w:eastAsia="Arial" w:hAnsi="Arial"/>
          <w:sz w:val="18"/>
          <w:szCs w:val="18"/>
          <w:color w:val="auto"/>
        </w:rPr>
      </w:pPr>
    </w:p>
    <w:p>
      <w:pPr>
        <w:ind w:left="660" w:hanging="436"/>
        <w:spacing w:after="0"/>
        <w:tabs>
          <w:tab w:leader="none" w:pos="660" w:val="left"/>
        </w:tabs>
        <w:numPr>
          <w:ilvl w:val="0"/>
          <w:numId w:val="116"/>
        </w:numPr>
        <w:rPr>
          <w:rFonts w:ascii="Arial" w:cs="Arial" w:eastAsia="Arial" w:hAnsi="Arial"/>
          <w:sz w:val="16"/>
          <w:szCs w:val="16"/>
          <w:color w:val="auto"/>
        </w:rPr>
      </w:pPr>
      <w:r>
        <w:rPr>
          <w:rFonts w:ascii="Arial" w:cs="Arial" w:eastAsia="Arial" w:hAnsi="Arial"/>
          <w:sz w:val="16"/>
          <w:szCs w:val="16"/>
          <w:color w:val="auto"/>
        </w:rPr>
        <w:t>Overall strength and stability of general economic conditions and of the automotive industry, both in the United States and in global markets;</w:t>
      </w:r>
    </w:p>
    <w:p>
      <w:pPr>
        <w:spacing w:after="0" w:line="113" w:lineRule="exact"/>
        <w:rPr>
          <w:rFonts w:ascii="Arial" w:cs="Arial" w:eastAsia="Arial" w:hAnsi="Arial"/>
          <w:sz w:val="16"/>
          <w:szCs w:val="16"/>
          <w:color w:val="auto"/>
        </w:rPr>
      </w:pPr>
    </w:p>
    <w:p>
      <w:pPr>
        <w:ind w:left="660" w:right="520" w:hanging="436"/>
        <w:spacing w:after="0" w:line="332" w:lineRule="auto"/>
        <w:tabs>
          <w:tab w:leader="none" w:pos="660" w:val="left"/>
        </w:tabs>
        <w:numPr>
          <w:ilvl w:val="0"/>
          <w:numId w:val="116"/>
        </w:numPr>
        <w:rPr>
          <w:rFonts w:ascii="Arial" w:cs="Arial" w:eastAsia="Arial" w:hAnsi="Arial"/>
          <w:sz w:val="16"/>
          <w:szCs w:val="16"/>
          <w:color w:val="auto"/>
        </w:rPr>
      </w:pPr>
      <w:r>
        <w:rPr>
          <w:rFonts w:ascii="Arial" w:cs="Arial" w:eastAsia="Arial" w:hAnsi="Arial"/>
          <w:sz w:val="16"/>
          <w:szCs w:val="16"/>
          <w:color w:val="auto"/>
        </w:rPr>
        <w:t>Continued economic instability or poor economic conditions in the United States and global markets, including the credit markets, or changes in economic conditions, commodity prices, housing prices, foreign currency exchange rates or political stability in the markets in which we operate;</w:t>
      </w:r>
    </w:p>
    <w:p>
      <w:pPr>
        <w:spacing w:after="0" w:line="4" w:lineRule="exact"/>
        <w:rPr>
          <w:rFonts w:ascii="Arial" w:cs="Arial" w:eastAsia="Arial" w:hAnsi="Arial"/>
          <w:sz w:val="16"/>
          <w:szCs w:val="16"/>
          <w:color w:val="auto"/>
        </w:rPr>
      </w:pPr>
    </w:p>
    <w:p>
      <w:pPr>
        <w:ind w:left="660" w:hanging="436"/>
        <w:spacing w:after="0"/>
        <w:tabs>
          <w:tab w:leader="none" w:pos="660" w:val="left"/>
        </w:tabs>
        <w:numPr>
          <w:ilvl w:val="0"/>
          <w:numId w:val="116"/>
        </w:numPr>
        <w:rPr>
          <w:rFonts w:ascii="Arial" w:cs="Arial" w:eastAsia="Arial" w:hAnsi="Arial"/>
          <w:sz w:val="18"/>
          <w:szCs w:val="18"/>
          <w:color w:val="auto"/>
        </w:rPr>
      </w:pPr>
      <w:r>
        <w:rPr>
          <w:rFonts w:ascii="Arial" w:cs="Arial" w:eastAsia="Arial" w:hAnsi="Arial"/>
          <w:sz w:val="18"/>
          <w:szCs w:val="18"/>
          <w:color w:val="auto"/>
        </w:rPr>
        <w:t>Shortages of and increases or volatility in the price of oil;</w:t>
      </w:r>
    </w:p>
    <w:p>
      <w:pPr>
        <w:spacing w:after="0" w:line="90" w:lineRule="exact"/>
        <w:rPr>
          <w:rFonts w:ascii="Arial" w:cs="Arial" w:eastAsia="Arial" w:hAnsi="Arial"/>
          <w:sz w:val="18"/>
          <w:szCs w:val="18"/>
          <w:color w:val="auto"/>
        </w:rPr>
      </w:pPr>
    </w:p>
    <w:p>
      <w:pPr>
        <w:ind w:left="660" w:right="500" w:hanging="436"/>
        <w:spacing w:after="0" w:line="268" w:lineRule="auto"/>
        <w:tabs>
          <w:tab w:leader="none" w:pos="660" w:val="left"/>
        </w:tabs>
        <w:numPr>
          <w:ilvl w:val="0"/>
          <w:numId w:val="116"/>
        </w:numPr>
        <w:rPr>
          <w:rFonts w:ascii="Arial" w:cs="Arial" w:eastAsia="Arial" w:hAnsi="Arial"/>
          <w:sz w:val="18"/>
          <w:szCs w:val="18"/>
          <w:color w:val="auto"/>
        </w:rPr>
      </w:pPr>
      <w:r>
        <w:rPr>
          <w:rFonts w:ascii="Arial" w:cs="Arial" w:eastAsia="Arial" w:hAnsi="Arial"/>
          <w:sz w:val="18"/>
          <w:szCs w:val="18"/>
          <w:color w:val="auto"/>
        </w:rPr>
        <w:t>Significant changes in the competitive environment, including the effect of competition and excess manufacturing capacity in our markets, on our pricing policies or use of incentives and the introduction of new and improved vehicle models by our competitors;</w:t>
      </w:r>
    </w:p>
    <w:p>
      <w:pPr>
        <w:spacing w:after="0" w:line="50" w:lineRule="exact"/>
        <w:rPr>
          <w:rFonts w:ascii="Arial" w:cs="Arial" w:eastAsia="Arial" w:hAnsi="Arial"/>
          <w:sz w:val="18"/>
          <w:szCs w:val="18"/>
          <w:color w:val="auto"/>
        </w:rPr>
      </w:pPr>
    </w:p>
    <w:p>
      <w:pPr>
        <w:ind w:left="660" w:right="60" w:hanging="436"/>
        <w:spacing w:after="0" w:line="268" w:lineRule="auto"/>
        <w:tabs>
          <w:tab w:leader="none" w:pos="660" w:val="left"/>
        </w:tabs>
        <w:numPr>
          <w:ilvl w:val="0"/>
          <w:numId w:val="116"/>
        </w:numPr>
        <w:rPr>
          <w:rFonts w:ascii="Arial" w:cs="Arial" w:eastAsia="Arial" w:hAnsi="Arial"/>
          <w:sz w:val="18"/>
          <w:szCs w:val="18"/>
          <w:color w:val="auto"/>
        </w:rPr>
      </w:pPr>
      <w:r>
        <w:rPr>
          <w:rFonts w:ascii="Arial" w:cs="Arial" w:eastAsia="Arial" w:hAnsi="Arial"/>
          <w:sz w:val="18"/>
          <w:szCs w:val="18"/>
          <w:color w:val="auto"/>
        </w:rPr>
        <w:t>Significant changes in economic and market conditions in China, including the effect of competition from new market entrants, on our vehicle sales and market position in China;</w:t>
      </w:r>
    </w:p>
    <w:p>
      <w:pPr>
        <w:spacing w:after="0" w:line="50" w:lineRule="exact"/>
        <w:rPr>
          <w:rFonts w:ascii="Arial" w:cs="Arial" w:eastAsia="Arial" w:hAnsi="Arial"/>
          <w:sz w:val="18"/>
          <w:szCs w:val="18"/>
          <w:color w:val="auto"/>
        </w:rPr>
      </w:pPr>
    </w:p>
    <w:p>
      <w:pPr>
        <w:ind w:left="660" w:right="560" w:hanging="436"/>
        <w:spacing w:after="0" w:line="357" w:lineRule="auto"/>
        <w:tabs>
          <w:tab w:leader="none" w:pos="660" w:val="left"/>
        </w:tabs>
        <w:numPr>
          <w:ilvl w:val="0"/>
          <w:numId w:val="116"/>
        </w:numPr>
        <w:rPr>
          <w:rFonts w:ascii="Arial" w:cs="Arial" w:eastAsia="Arial" w:hAnsi="Arial"/>
          <w:sz w:val="15"/>
          <w:szCs w:val="15"/>
          <w:color w:val="auto"/>
        </w:rPr>
      </w:pPr>
      <w:r>
        <w:rPr>
          <w:rFonts w:ascii="Arial" w:cs="Arial" w:eastAsia="Arial" w:hAnsi="Arial"/>
          <w:sz w:val="15"/>
          <w:szCs w:val="15"/>
          <w:color w:val="auto"/>
        </w:rPr>
        <w:t>Changes in the existing, or the adoption of new, laws, regulations, policies or other activities of governments, agencies and similar organizations, including where such actions may affect the production, licensing, distribution or sale of our products, the cost thereof or applicable tax rates;</w:t>
      </w:r>
    </w:p>
    <w:p>
      <w:pPr>
        <w:ind w:left="660" w:hanging="436"/>
        <w:spacing w:after="0"/>
        <w:tabs>
          <w:tab w:leader="none" w:pos="660" w:val="left"/>
        </w:tabs>
        <w:numPr>
          <w:ilvl w:val="0"/>
          <w:numId w:val="116"/>
        </w:numPr>
        <w:rPr>
          <w:rFonts w:ascii="Arial" w:cs="Arial" w:eastAsia="Arial" w:hAnsi="Arial"/>
          <w:sz w:val="18"/>
          <w:szCs w:val="18"/>
          <w:color w:val="auto"/>
        </w:rPr>
      </w:pPr>
      <w:r>
        <w:rPr>
          <w:rFonts w:ascii="Arial" w:cs="Arial" w:eastAsia="Arial" w:hAnsi="Arial"/>
          <w:sz w:val="18"/>
          <w:szCs w:val="18"/>
          <w:color w:val="auto"/>
        </w:rPr>
        <w:t>Costs and risks associated with litigation;</w:t>
      </w:r>
    </w:p>
    <w:p>
      <w:pPr>
        <w:spacing w:after="0" w:line="90" w:lineRule="exact"/>
        <w:rPr>
          <w:rFonts w:ascii="Arial" w:cs="Arial" w:eastAsia="Arial" w:hAnsi="Arial"/>
          <w:sz w:val="18"/>
          <w:szCs w:val="18"/>
          <w:color w:val="auto"/>
        </w:rPr>
      </w:pPr>
    </w:p>
    <w:p>
      <w:pPr>
        <w:ind w:left="660" w:right="440" w:hanging="436"/>
        <w:spacing w:after="0" w:line="268" w:lineRule="auto"/>
        <w:tabs>
          <w:tab w:leader="none" w:pos="660" w:val="left"/>
        </w:tabs>
        <w:numPr>
          <w:ilvl w:val="0"/>
          <w:numId w:val="116"/>
        </w:numPr>
        <w:rPr>
          <w:rFonts w:ascii="Arial" w:cs="Arial" w:eastAsia="Arial" w:hAnsi="Arial"/>
          <w:sz w:val="18"/>
          <w:szCs w:val="18"/>
          <w:color w:val="auto"/>
        </w:rPr>
      </w:pPr>
      <w:r>
        <w:rPr>
          <w:rFonts w:ascii="Arial" w:cs="Arial" w:eastAsia="Arial" w:hAnsi="Arial"/>
          <w:sz w:val="18"/>
          <w:szCs w:val="18"/>
          <w:color w:val="auto"/>
        </w:rPr>
        <w:t>Significant increases in our pension expense or projected pension contributions resulting from changes in the value of plan assets, the discount rate applied to value the pension liabilities or other assumption changes; and</w:t>
      </w:r>
    </w:p>
    <w:p>
      <w:pPr>
        <w:spacing w:after="0" w:line="50" w:lineRule="exact"/>
        <w:rPr>
          <w:rFonts w:ascii="Arial" w:cs="Arial" w:eastAsia="Arial" w:hAnsi="Arial"/>
          <w:sz w:val="18"/>
          <w:szCs w:val="18"/>
          <w:color w:val="auto"/>
        </w:rPr>
      </w:pPr>
    </w:p>
    <w:p>
      <w:pPr>
        <w:ind w:left="660" w:right="120" w:hanging="436"/>
        <w:spacing w:after="0" w:line="268" w:lineRule="auto"/>
        <w:tabs>
          <w:tab w:leader="none" w:pos="660" w:val="left"/>
        </w:tabs>
        <w:numPr>
          <w:ilvl w:val="0"/>
          <w:numId w:val="116"/>
        </w:numPr>
        <w:rPr>
          <w:rFonts w:ascii="Arial" w:cs="Arial" w:eastAsia="Arial" w:hAnsi="Arial"/>
          <w:sz w:val="18"/>
          <w:szCs w:val="18"/>
          <w:color w:val="auto"/>
        </w:rPr>
      </w:pPr>
      <w:r>
        <w:rPr>
          <w:rFonts w:ascii="Arial" w:cs="Arial" w:eastAsia="Arial" w:hAnsi="Arial"/>
          <w:sz w:val="18"/>
          <w:szCs w:val="18"/>
          <w:color w:val="auto"/>
        </w:rPr>
        <w:t>Changes in accounting principles, or their application or interpretation, and our ability to make estimates and the assumptions underlying the estimates, which could have an effect on earnings.</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146</w:t>
      </w:r>
    </w:p>
    <w:p>
      <w:pPr>
        <w:sectPr>
          <w:pgSz w:w="11900" w:h="16838" w:orient="portrait"/>
          <w:cols w:equalWidth="0" w:num="1">
            <w:col w:w="11420"/>
          </w:cols>
          <w:pgMar w:left="240" w:top="459" w:right="239" w:bottom="1440" w:gutter="0" w:footer="0" w:header="0"/>
        </w:sectPr>
      </w:pPr>
    </w:p>
    <w:bookmarkStart w:id="148" w:name="page149"/>
    <w:bookmarkEnd w:id="14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339" w:lineRule="exact"/>
        <w:rPr>
          <w:sz w:val="20"/>
          <w:szCs w:val="20"/>
          <w:color w:val="auto"/>
        </w:rPr>
      </w:pPr>
    </w:p>
    <w:p>
      <w:pPr>
        <w:ind w:firstLine="228"/>
        <w:spacing w:after="0" w:line="259" w:lineRule="auto"/>
        <w:rPr>
          <w:sz w:val="20"/>
          <w:szCs w:val="20"/>
          <w:color w:val="auto"/>
        </w:rPr>
      </w:pPr>
      <w:r>
        <w:rPr>
          <w:rFonts w:ascii="Arial" w:cs="Arial" w:eastAsia="Arial" w:hAnsi="Arial"/>
          <w:sz w:val="18"/>
          <w:szCs w:val="18"/>
          <w:color w:val="auto"/>
        </w:rPr>
        <w:t>We caution readers not to place undue reliance on forward-looking statements. We undertake no obligation to update publicly or otherwise revise any forward-looking statements, whether as a result of new information, future events, or other such factors that affect the subject of these statements, except where we are expressly required to do so by law.</w:t>
      </w:r>
    </w:p>
    <w:p>
      <w:pPr>
        <w:spacing w:after="0" w:line="14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  *  *  *  *  *  *</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3. </w:t>
      </w:r>
      <w:r>
        <w:rPr>
          <w:rFonts w:ascii="Arial" w:cs="Arial" w:eastAsia="Arial" w:hAnsi="Arial"/>
          <w:sz w:val="18"/>
          <w:szCs w:val="18"/>
          <w:b w:val="1"/>
          <w:bCs w:val="1"/>
          <w:i w:val="1"/>
          <w:iCs w:val="1"/>
          <w:color w:val="auto"/>
        </w:rPr>
        <w:t>Quantitative and Qualitative Disclosures About Market Risk</w:t>
      </w:r>
    </w:p>
    <w:p>
      <w:pPr>
        <w:spacing w:after="0" w:line="177" w:lineRule="exact"/>
        <w:rPr>
          <w:sz w:val="20"/>
          <w:szCs w:val="20"/>
          <w:color w:val="auto"/>
        </w:rPr>
      </w:pPr>
    </w:p>
    <w:p>
      <w:pPr>
        <w:ind w:right="380" w:firstLine="228"/>
        <w:spacing w:after="0" w:line="268" w:lineRule="auto"/>
        <w:rPr>
          <w:sz w:val="20"/>
          <w:szCs w:val="20"/>
          <w:color w:val="auto"/>
        </w:rPr>
      </w:pPr>
      <w:r>
        <w:rPr>
          <w:rFonts w:ascii="Arial" w:cs="Arial" w:eastAsia="Arial" w:hAnsi="Arial"/>
          <w:sz w:val="18"/>
          <w:szCs w:val="18"/>
          <w:color w:val="auto"/>
        </w:rPr>
        <w:t>There have been no significant changes in our exposure to market risk since June 30, 2010. Refer to Item 3 in our Quarterly Report on Form 10-Q for the period ended June 30, 2010.</w:t>
      </w:r>
    </w:p>
    <w:p>
      <w:pPr>
        <w:spacing w:after="0" w:line="13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  *  *  *  *  *</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4. </w:t>
      </w:r>
      <w:r>
        <w:rPr>
          <w:rFonts w:ascii="Arial" w:cs="Arial" w:eastAsia="Arial" w:hAnsi="Arial"/>
          <w:sz w:val="18"/>
          <w:szCs w:val="18"/>
          <w:b w:val="1"/>
          <w:bCs w:val="1"/>
          <w:i w:val="1"/>
          <w:iCs w:val="1"/>
          <w:color w:val="auto"/>
        </w:rPr>
        <w:t>Controls and Procedures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Disclosure Controls and Procedures</w:t>
      </w:r>
    </w:p>
    <w:p>
      <w:pPr>
        <w:spacing w:after="0" w:line="177" w:lineRule="exact"/>
        <w:rPr>
          <w:sz w:val="20"/>
          <w:szCs w:val="20"/>
          <w:color w:val="auto"/>
        </w:rPr>
      </w:pPr>
    </w:p>
    <w:p>
      <w:pPr>
        <w:ind w:right="160" w:firstLine="228"/>
        <w:spacing w:after="0" w:line="256" w:lineRule="auto"/>
        <w:rPr>
          <w:sz w:val="20"/>
          <w:szCs w:val="20"/>
          <w:color w:val="auto"/>
        </w:rPr>
      </w:pPr>
      <w:r>
        <w:rPr>
          <w:rFonts w:ascii="Arial" w:cs="Arial" w:eastAsia="Arial" w:hAnsi="Arial"/>
          <w:sz w:val="18"/>
          <w:szCs w:val="18"/>
          <w:color w:val="auto"/>
        </w:rPr>
        <w:t>We maintain disclosure controls and procedures designed to provide reasonable assurance that information required to be disclosed in reports filed under the Securities Exchange Act of 1934, as amended (Exchange Act), is recorded, processed, summarized, and reported within the specified time periods and accumulated and communicated to our management, including our principal executive officer and principal financial officer, as appropriate to allow timely decisions regarding required disclosure.</w:t>
      </w:r>
    </w:p>
    <w:p>
      <w:pPr>
        <w:spacing w:after="0" w:line="143" w:lineRule="exact"/>
        <w:rPr>
          <w:sz w:val="20"/>
          <w:szCs w:val="20"/>
          <w:color w:val="auto"/>
        </w:rPr>
      </w:pPr>
    </w:p>
    <w:p>
      <w:pPr>
        <w:ind w:right="180" w:firstLine="228"/>
        <w:spacing w:after="0" w:line="255" w:lineRule="auto"/>
        <w:rPr>
          <w:sz w:val="20"/>
          <w:szCs w:val="20"/>
          <w:color w:val="auto"/>
        </w:rPr>
      </w:pPr>
      <w:r>
        <w:rPr>
          <w:rFonts w:ascii="Arial" w:cs="Arial" w:eastAsia="Arial" w:hAnsi="Arial"/>
          <w:sz w:val="18"/>
          <w:szCs w:val="18"/>
          <w:color w:val="auto"/>
        </w:rPr>
        <w:t>Our management, with the participation of our Chairman and CEO and Vice Chairman and CFO, evaluated the effectiveness of our disclosure controls and procedures (as defined in Rules 13a-15(e) or 15d-15(e) promulgated under the Exchange Act) at September 30, 2010. Based on this evaluation, our CEO and CFO concluded that, at that date, the disclosure controls and procedures required by paragraph (b) of Rules 13a-15 or 15d-15 were not effective at a reasonable assurance level because of a material weakness in internal control over financial reporting at GM at December 31, 2009 as reported in our Form S-1 that continues to exist.</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Material Weakness, Remediation, and Changes in Internal Controls</w:t>
      </w:r>
    </w:p>
    <w:p>
      <w:pPr>
        <w:spacing w:after="0" w:line="177" w:lineRule="exact"/>
        <w:rPr>
          <w:sz w:val="20"/>
          <w:szCs w:val="20"/>
          <w:color w:val="auto"/>
        </w:rPr>
      </w:pPr>
    </w:p>
    <w:p>
      <w:pPr>
        <w:ind w:firstLine="228"/>
        <w:spacing w:after="0" w:line="290" w:lineRule="auto"/>
        <w:rPr>
          <w:sz w:val="20"/>
          <w:szCs w:val="20"/>
          <w:color w:val="auto"/>
        </w:rPr>
      </w:pPr>
      <w:r>
        <w:rPr>
          <w:rFonts w:ascii="Arial" w:cs="Arial" w:eastAsia="Arial" w:hAnsi="Arial"/>
          <w:sz w:val="16"/>
          <w:szCs w:val="16"/>
          <w:color w:val="auto"/>
        </w:rPr>
        <w:t>The material weakness relates to controls that were not effective over the period-end financial reporting process. This ineffective process resulted in a significant number and magnitude of out-of-period adjustments to the consolidated financial statements. Specifically, controls have not been effective to ensure that accounting estimates and other adjustments were appropriately reviewed, analyzed and monitored by competent accounting staff on a timely basis. Additionally, some of the adjustments that were recorded related to account reconciliations not being performed effectively. Such a material weakness in the period-end financial reporting process has a pervasive effect on the reliability of financial reporting and could result in a company not being able to meet its regulatory filing deadlines. If not remediated, it is reasonably possible that our condensed consolidated financial statements could contain a material misstatement or that we could miss a filing deadline in the future.</w:t>
      </w:r>
    </w:p>
    <w:p>
      <w:pPr>
        <w:spacing w:after="0" w:line="118" w:lineRule="exact"/>
        <w:rPr>
          <w:sz w:val="20"/>
          <w:szCs w:val="20"/>
          <w:color w:val="auto"/>
        </w:rPr>
      </w:pPr>
    </w:p>
    <w:p>
      <w:pPr>
        <w:ind w:right="20" w:firstLine="228"/>
        <w:spacing w:after="0" w:line="286" w:lineRule="auto"/>
        <w:rPr>
          <w:sz w:val="20"/>
          <w:szCs w:val="20"/>
          <w:color w:val="auto"/>
        </w:rPr>
      </w:pPr>
      <w:r>
        <w:rPr>
          <w:rFonts w:ascii="Arial" w:cs="Arial" w:eastAsia="Arial" w:hAnsi="Arial"/>
          <w:sz w:val="16"/>
          <w:szCs w:val="16"/>
          <w:color w:val="auto"/>
        </w:rPr>
        <w:t>We believe that the remediation activities completed at December 31, 2009 and discussed in our Form S-1 would have been sufficient to allow us to conclude that the previously identified material weakness no longer existed at December 31, 2009. However, due to the complexity of fresh-start adjustments resulting from the Chapter 11 Proceedings and the related 363 Sale in 2009 and the number of accounting periods open at one time, management did not have clear visibility into the operational effectiveness of newly remediated controls within the period-end financial reporting process. In some cases, management was not able to sufficiently test the operating effectiveness of certain remediated controls in 2009 and to conclude that the controls related to the period-end financial reporting process were operating effectively. During the nine months ended September 30, 2010, management has begun testing the operational effectiveness of the newly remediated controls within the period-end financial reporting process and has led various initiatives, including training, to help ensure those controls would operate as they had been designed and deployed during the 2009 material weakness remediation efforts. Management has identified additional opportunities to ensure the operating effectiveness and efficiency of the Company’s internal controls related to the period-end financial reporting process, including procedures and controls related to the preparation of the statement of cash flows. Management will not conclude as to whether the material weakness in the period-end financial reporting process has been remediated until completion of our annual control testing and assessment process.</w:t>
      </w:r>
    </w:p>
    <w:p>
      <w:pPr>
        <w:spacing w:after="0" w:line="11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147</w:t>
      </w:r>
    </w:p>
    <w:p>
      <w:pPr>
        <w:sectPr>
          <w:pgSz w:w="11900" w:h="16838" w:orient="portrait"/>
          <w:cols w:equalWidth="0" w:num="1">
            <w:col w:w="11380"/>
          </w:cols>
          <w:pgMar w:left="240" w:top="459" w:right="279" w:bottom="1440" w:gutter="0" w:footer="0" w:header="0"/>
        </w:sectPr>
      </w:pPr>
    </w:p>
    <w:bookmarkStart w:id="149" w:name="page150"/>
    <w:bookmarkEnd w:id="14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339" w:lineRule="exact"/>
        <w:rPr>
          <w:sz w:val="20"/>
          <w:szCs w:val="20"/>
          <w:color w:val="auto"/>
        </w:rPr>
      </w:pPr>
    </w:p>
    <w:p>
      <w:pPr>
        <w:ind w:right="80" w:firstLine="228"/>
        <w:spacing w:after="0" w:line="256" w:lineRule="auto"/>
        <w:rPr>
          <w:sz w:val="20"/>
          <w:szCs w:val="20"/>
          <w:color w:val="auto"/>
        </w:rPr>
      </w:pPr>
      <w:r>
        <w:rPr>
          <w:rFonts w:ascii="Arial" w:cs="Arial" w:eastAsia="Arial" w:hAnsi="Arial"/>
          <w:sz w:val="18"/>
          <w:szCs w:val="18"/>
          <w:color w:val="auto"/>
        </w:rPr>
        <w:t>Corporate Accounting and other key departments had their resources augmented by utilizing external resources and performing additional closing procedures in 2010. As a result, we believe that there are no material inaccuracies or omissions of material fact and, to the best of our knowledge, believe that the condensed consolidated financial statements of the Company at and for the three and nine months ended September 30, 2010, fairly present in all material respects, the financial condition and results of operations in conformity with U.S. GAAP.</w:t>
      </w:r>
    </w:p>
    <w:p>
      <w:pPr>
        <w:spacing w:after="0" w:line="143" w:lineRule="exact"/>
        <w:rPr>
          <w:sz w:val="20"/>
          <w:szCs w:val="20"/>
          <w:color w:val="auto"/>
        </w:rPr>
      </w:pPr>
    </w:p>
    <w:p>
      <w:pPr>
        <w:ind w:right="80" w:firstLine="228"/>
        <w:spacing w:after="0" w:line="332" w:lineRule="auto"/>
        <w:rPr>
          <w:sz w:val="20"/>
          <w:szCs w:val="20"/>
          <w:color w:val="auto"/>
        </w:rPr>
      </w:pPr>
      <w:r>
        <w:rPr>
          <w:rFonts w:ascii="Arial" w:cs="Arial" w:eastAsia="Arial" w:hAnsi="Arial"/>
          <w:sz w:val="16"/>
          <w:szCs w:val="16"/>
          <w:color w:val="auto"/>
        </w:rPr>
        <w:t>Other than as previously described, there have not been any other changes in internal control over financial reporting in the nine months ended September 30, 2010 that have materially affected, or are reasonably likely to materially affect, our internal control over financial reporting.</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Limitations on the Effectiveness of Controls</w:t>
      </w:r>
    </w:p>
    <w:p>
      <w:pPr>
        <w:spacing w:after="0" w:line="177" w:lineRule="exact"/>
        <w:rPr>
          <w:sz w:val="20"/>
          <w:szCs w:val="20"/>
          <w:color w:val="auto"/>
        </w:rPr>
      </w:pPr>
    </w:p>
    <w:p>
      <w:pPr>
        <w:ind w:firstLine="228"/>
        <w:spacing w:after="0" w:line="290" w:lineRule="auto"/>
        <w:rPr>
          <w:sz w:val="20"/>
          <w:szCs w:val="20"/>
          <w:color w:val="auto"/>
        </w:rPr>
      </w:pPr>
      <w:r>
        <w:rPr>
          <w:rFonts w:ascii="Arial" w:cs="Arial" w:eastAsia="Arial" w:hAnsi="Arial"/>
          <w:sz w:val="16"/>
          <w:szCs w:val="16"/>
          <w:color w:val="auto"/>
        </w:rPr>
        <w:t>Our management, including our CEO and CFO, does not expect that our disclosure controls and procedures or internal control over financial reporting will prevent or detect all errors and all fraud. A control system cannot provide absolute assurance due to its inherent limitations; it is a process that involves human diligence and compliance and is subject to lapses in judgment and breakdowns resulting from human failures. A control system also can be circumvented by collusion or improper management override. Further, the design of a control system must reflect the fact that there are resource constraints, and the benefits of controls must be considered relative to their costs. Because of such limitations, disclosure controls and procedures and internal control over financial reporting cannot prevent or detect all misstatements, whether unintentional errors or fraud. However, these inherent limitations are known features of the financial reporting process; therefore, it is possible to design into the process safeguards to reduce, though not eliminate, this risk.</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  *  *  *  *</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148</w:t>
      </w:r>
    </w:p>
    <w:p>
      <w:pPr>
        <w:sectPr>
          <w:pgSz w:w="11900" w:h="16838" w:orient="portrait"/>
          <w:cols w:equalWidth="0" w:num="1">
            <w:col w:w="11400"/>
          </w:cols>
          <w:pgMar w:left="240" w:top="459" w:right="259" w:bottom="1440" w:gutter="0" w:footer="0" w:header="0"/>
        </w:sectPr>
      </w:pPr>
    </w:p>
    <w:bookmarkStart w:id="150" w:name="page151"/>
    <w:bookmarkEnd w:id="15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33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PART II</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 </w:t>
      </w:r>
      <w:r>
        <w:rPr>
          <w:rFonts w:ascii="Arial" w:cs="Arial" w:eastAsia="Arial" w:hAnsi="Arial"/>
          <w:sz w:val="18"/>
          <w:szCs w:val="18"/>
          <w:b w:val="1"/>
          <w:bCs w:val="1"/>
          <w:i w:val="1"/>
          <w:iCs w:val="1"/>
          <w:color w:val="auto"/>
        </w:rPr>
        <w:t>Legal Proceedings</w:t>
      </w:r>
    </w:p>
    <w:p>
      <w:pPr>
        <w:spacing w:after="0" w:line="177" w:lineRule="exact"/>
        <w:rPr>
          <w:sz w:val="20"/>
          <w:szCs w:val="20"/>
          <w:color w:val="auto"/>
        </w:rPr>
      </w:pPr>
    </w:p>
    <w:p>
      <w:pPr>
        <w:ind w:right="120" w:firstLine="228"/>
        <w:spacing w:after="0" w:line="268" w:lineRule="auto"/>
        <w:rPr>
          <w:sz w:val="20"/>
          <w:szCs w:val="20"/>
          <w:color w:val="auto"/>
        </w:rPr>
      </w:pPr>
      <w:r>
        <w:rPr>
          <w:rFonts w:ascii="Arial" w:cs="Arial" w:eastAsia="Arial" w:hAnsi="Arial"/>
          <w:sz w:val="18"/>
          <w:szCs w:val="18"/>
          <w:color w:val="auto"/>
        </w:rPr>
        <w:t>The following section summarizes material pending legal proceedings to which the Company is a party, other than ordinary routine litigation incidental to the business. We and the other defendants affiliated with us intend to defend all of the following actions vigorously.</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Canadian Export Antitrust Class Actions</w:t>
      </w:r>
    </w:p>
    <w:p>
      <w:pPr>
        <w:spacing w:after="0" w:line="177" w:lineRule="exact"/>
        <w:rPr>
          <w:sz w:val="20"/>
          <w:szCs w:val="20"/>
          <w:color w:val="auto"/>
        </w:rPr>
      </w:pPr>
    </w:p>
    <w:p>
      <w:pPr>
        <w:ind w:firstLine="228"/>
        <w:spacing w:after="0" w:line="286" w:lineRule="auto"/>
        <w:rPr>
          <w:sz w:val="20"/>
          <w:szCs w:val="20"/>
          <w:color w:val="auto"/>
        </w:rPr>
      </w:pPr>
      <w:r>
        <w:rPr>
          <w:rFonts w:ascii="Arial" w:cs="Arial" w:eastAsia="Arial" w:hAnsi="Arial"/>
          <w:sz w:val="16"/>
          <w:szCs w:val="16"/>
          <w:color w:val="auto"/>
        </w:rPr>
        <w:t xml:space="preserve">Approximately eighty purported class actions on behalf of all purchasers of new motor vehicles in the United States since January 1, 2001, have been filed in various state and federal courts against General Motors Corporation, GMCL, Ford Motor Company, Chrysler, LLC, Toyota Motor Corporation, Honda Motor Co., Ltd., Nissan Motor Company, Limited, and Bavarian Motor Works and their Canadian affiliates, the National Automobile Dealers Association, and the Canadian Automobile Dealers Association. The federal court actions have been consolidated for coordinated pretrial proceedings under the caption </w:t>
      </w:r>
      <w:r>
        <w:rPr>
          <w:rFonts w:ascii="Arial" w:cs="Arial" w:eastAsia="Arial" w:hAnsi="Arial"/>
          <w:sz w:val="16"/>
          <w:szCs w:val="16"/>
          <w:i w:val="1"/>
          <w:iCs w:val="1"/>
          <w:color w:val="auto"/>
        </w:rPr>
        <w:t>In re New Market</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Vehicle Canadian Export Antitrust Litigation Cases </w:t>
      </w:r>
      <w:r>
        <w:rPr>
          <w:rFonts w:ascii="Arial" w:cs="Arial" w:eastAsia="Arial" w:hAnsi="Arial"/>
          <w:sz w:val="16"/>
          <w:szCs w:val="16"/>
          <w:color w:val="auto"/>
        </w:rPr>
        <w:t>in the U.S. District Court for the District of Maine, and the more than 30 California cases have been</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consolidated in the California Superior Court in San Francisco County under the case captions </w:t>
      </w:r>
      <w:r>
        <w:rPr>
          <w:rFonts w:ascii="Arial" w:cs="Arial" w:eastAsia="Arial" w:hAnsi="Arial"/>
          <w:sz w:val="16"/>
          <w:szCs w:val="16"/>
          <w:i w:val="1"/>
          <w:iCs w:val="1"/>
          <w:color w:val="auto"/>
        </w:rPr>
        <w:t>Belch v. Toyota Corporation, et al.</w:t>
      </w:r>
      <w:r>
        <w:rPr>
          <w:rFonts w:ascii="Arial" w:cs="Arial" w:eastAsia="Arial" w:hAnsi="Arial"/>
          <w:sz w:val="16"/>
          <w:szCs w:val="16"/>
          <w:color w:val="auto"/>
        </w:rPr>
        <w:t xml:space="preserve"> and </w:t>
      </w:r>
      <w:r>
        <w:rPr>
          <w:rFonts w:ascii="Arial" w:cs="Arial" w:eastAsia="Arial" w:hAnsi="Arial"/>
          <w:sz w:val="16"/>
          <w:szCs w:val="16"/>
          <w:i w:val="1"/>
          <w:iCs w:val="1"/>
          <w:color w:val="auto"/>
        </w:rPr>
        <w:t>Bell v. General Motors</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Corporation. </w:t>
      </w:r>
      <w:r>
        <w:rPr>
          <w:rFonts w:ascii="Arial" w:cs="Arial" w:eastAsia="Arial" w:hAnsi="Arial"/>
          <w:sz w:val="16"/>
          <w:szCs w:val="16"/>
          <w:color w:val="auto"/>
        </w:rPr>
        <w:t>Old GM’s liability in these matters was not assumed by General Motors Company as part of the 363 Sale. GMCL was not part of Old GM’s</w:t>
      </w:r>
      <w:r>
        <w:rPr>
          <w:rFonts w:ascii="Arial" w:cs="Arial" w:eastAsia="Arial" w:hAnsi="Arial"/>
          <w:sz w:val="16"/>
          <w:szCs w:val="16"/>
          <w:i w:val="1"/>
          <w:iCs w:val="1"/>
          <w:color w:val="auto"/>
        </w:rPr>
        <w:t xml:space="preserve"> </w:t>
      </w:r>
      <w:r>
        <w:rPr>
          <w:rFonts w:ascii="Arial" w:cs="Arial" w:eastAsia="Arial" w:hAnsi="Arial"/>
          <w:sz w:val="16"/>
          <w:szCs w:val="16"/>
          <w:color w:val="auto"/>
        </w:rPr>
        <w:t>bankruptcy proceeding and potentially remains liable in all matters. In the California state court cases, oral arguments on the plaintiffs’ motion for class certification and defendants’ motion in limine were heard on April 21, 2009. The court ruled that it would certify a class. Defendants written appeal to the appropriate California court was denied. Defendants are preparing other substantive motions for summary judgment. In the Minnesota state court cases, the court granted defendants’ motions to lift the stay of proceedings and granted summary judgment on September 16, 2010. Plaintiffs have not yet filed an appeal.</w:t>
      </w:r>
    </w:p>
    <w:p>
      <w:pPr>
        <w:spacing w:after="0" w:line="127" w:lineRule="exact"/>
        <w:rPr>
          <w:sz w:val="20"/>
          <w:szCs w:val="20"/>
          <w:color w:val="auto"/>
        </w:rPr>
      </w:pPr>
    </w:p>
    <w:p>
      <w:pPr>
        <w:ind w:right="20" w:firstLine="228"/>
        <w:spacing w:after="0" w:line="286" w:lineRule="auto"/>
        <w:rPr>
          <w:sz w:val="20"/>
          <w:szCs w:val="20"/>
          <w:color w:val="auto"/>
        </w:rPr>
      </w:pPr>
      <w:r>
        <w:rPr>
          <w:rFonts w:ascii="Arial" w:cs="Arial" w:eastAsia="Arial" w:hAnsi="Arial"/>
          <w:sz w:val="16"/>
          <w:szCs w:val="16"/>
          <w:color w:val="auto"/>
        </w:rPr>
        <w:t>The nearly identical complaints alleged that the defendant manufacturers, aided by the association defendants, conspired among themselves and with their dealers to prevent the sale to U.S. citizens of vehicles produced for the Canadian market and sold by dealers in Canada. The complaints alleged that new vehicle prices in Canada are 10% to 30% lower than those in the United States, and that preventing the sale of these vehicles to U.S. citizens resulted in the payment of higher than competitive prices by U.S. consumers. The complaints, as amended, sought injunctive relief under U.S. antitrust law and treble damages under U.S. and state antitrust laws, but did not specify damages. The complaints further alleged unjust enrichment and violations of state unfair trade practices act. On March 5, 2004, the U.S. District Court for the District of Maine issued a decision holding that the purported indirect purchaser classes failed to state a claim for damages under federal antitrust law but allowed a separate claim seeking to enjoin future alleged violations to continue. The U.S. District Court for the District of Maine on March 10, 2006 certified a nationwide class of buyers and lessees under Federal Rule 23(b)(2) solely for injunctive relief, and on March 21, 2007 stated that it would certify 20 separate statewide class actions for damages under various state law theories under Federal Rule 23(b)(3), covering the period from January 1, 2001 to April 30, 2003. On October 3, 2007, the U.S. Court of Appeals for the First Circuit heard oral arguments on Old GM’s consolidated appeal of both class certification orders.</w:t>
      </w:r>
    </w:p>
    <w:p>
      <w:pPr>
        <w:spacing w:after="0" w:line="127" w:lineRule="exact"/>
        <w:rPr>
          <w:sz w:val="20"/>
          <w:szCs w:val="20"/>
          <w:color w:val="auto"/>
        </w:rPr>
      </w:pPr>
    </w:p>
    <w:p>
      <w:pPr>
        <w:ind w:right="100" w:firstLine="228"/>
        <w:spacing w:after="0" w:line="291" w:lineRule="auto"/>
        <w:rPr>
          <w:sz w:val="20"/>
          <w:szCs w:val="20"/>
          <w:color w:val="auto"/>
        </w:rPr>
      </w:pPr>
      <w:r>
        <w:rPr>
          <w:rFonts w:ascii="Arial" w:cs="Arial" w:eastAsia="Arial" w:hAnsi="Arial"/>
          <w:sz w:val="16"/>
          <w:szCs w:val="16"/>
          <w:color w:val="auto"/>
        </w:rPr>
        <w:t>On March 28, 2008, the U.S. Court of Appeals for the First Circuit reversed the certification of the injunctive class and ordered dismissal of the injunctive claim. The U.S. Court of Appeals for the First Circuit also vacated the certification of the damages class and remanded to the U.S. District Court for the District of Maine for determination of several issues concerning federal jurisdiction and, if such jurisdiction still exists, for reconsideration of that class certification on a more complete record. On remand, plaintiffs again moved to certify a damages class, and defendants again moved for summary judgment and to strike plaintiffs’ economic expert. On July 2, 2009, the court granted one of defendants’ summary judgment motions. Plaintiffs did not appeal. As a result, the only issues remaining in the federal actions relate to disposition of the funds paid by Toyota in a settlement years ago.</w:t>
      </w:r>
    </w:p>
    <w:p>
      <w:pPr>
        <w:spacing w:after="0" w:line="1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149</w:t>
      </w:r>
    </w:p>
    <w:p>
      <w:pPr>
        <w:sectPr>
          <w:pgSz w:w="11900" w:h="16838" w:orient="portrait"/>
          <w:cols w:equalWidth="0" w:num="1">
            <w:col w:w="11420"/>
          </w:cols>
          <w:pgMar w:left="240" w:top="459" w:right="239" w:bottom="1440" w:gutter="0" w:footer="0" w:header="0"/>
        </w:sectPr>
      </w:pPr>
    </w:p>
    <w:bookmarkStart w:id="151" w:name="page152"/>
    <w:bookmarkEnd w:id="15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American Export Antitrust Class Actions</w:t>
      </w:r>
    </w:p>
    <w:p>
      <w:pPr>
        <w:spacing w:after="0" w:line="177" w:lineRule="exact"/>
        <w:rPr>
          <w:sz w:val="20"/>
          <w:szCs w:val="20"/>
          <w:color w:val="auto"/>
        </w:rPr>
      </w:pPr>
    </w:p>
    <w:p>
      <w:pPr>
        <w:ind w:right="100" w:firstLine="228"/>
        <w:spacing w:after="0" w:line="255" w:lineRule="auto"/>
        <w:rPr>
          <w:sz w:val="20"/>
          <w:szCs w:val="20"/>
          <w:color w:val="auto"/>
        </w:rPr>
      </w:pPr>
      <w:r>
        <w:rPr>
          <w:rFonts w:ascii="Arial" w:cs="Arial" w:eastAsia="Arial" w:hAnsi="Arial"/>
          <w:sz w:val="18"/>
          <w:szCs w:val="18"/>
          <w:color w:val="auto"/>
        </w:rPr>
        <w:t>On September 25, 2007, a claim was filed in the Ontario Superior Court of Justice against GMCL and Old GM on behalf of a purported class of actual and intended purchasers of vehicles in Canada claiming that a similar alleged conspiracy was now preventing lower-cost U.S. vehicles from being sold to Canadians. The Plaintiffs have delivered their certification materials. An order staying claims against MLC was granted in November 2009. A certification hearing has not yet been scheduled. No determination has been made that the case may be maintained as a class action, and it is not possible to determine the likelihood of liability or reasonably ascertain the amount of any damages.</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Canadian Dealer Class Action</w:t>
      </w:r>
    </w:p>
    <w:p>
      <w:pPr>
        <w:spacing w:after="0" w:line="177" w:lineRule="exact"/>
        <w:rPr>
          <w:sz w:val="20"/>
          <w:szCs w:val="20"/>
          <w:color w:val="auto"/>
        </w:rPr>
      </w:pPr>
    </w:p>
    <w:p>
      <w:pPr>
        <w:ind w:left="240"/>
        <w:spacing w:after="0"/>
        <w:rPr>
          <w:sz w:val="20"/>
          <w:szCs w:val="20"/>
          <w:color w:val="auto"/>
        </w:rPr>
      </w:pPr>
      <w:r>
        <w:rPr>
          <w:rFonts w:ascii="Arial" w:cs="Arial" w:eastAsia="Arial" w:hAnsi="Arial"/>
          <w:sz w:val="16"/>
          <w:szCs w:val="16"/>
          <w:color w:val="auto"/>
        </w:rPr>
        <w:t>On January 21, 2010, a claim was filed in the Ontario Superior Court of Justice against GMCL for damages on behalf of a purported class of 215 Canadian</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General Motors dealers which entered into wind-down agreements with GMCL in May 2009. GMCL offered the Plaintiff dealers the wind-down agreements to</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assist the Plaintiffs’ exit from the GMCL Canadian dealer network upon the expiration of their GM Dealer Sales and Service Agreements (DSSAs) on</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October 31, 2010, and to assist the Plaintiffs in winding down their dealer operations in an orderly fashion. The Plaintiff dealers allege that the DSSAs have been</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wrongly terminated by GMCL and that GMCL failed to comply with franchise disclosure obligations, breached its statutory duty of fair dealing and unlawfully</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interfered with the dealers’ statutory right to associate in an attempt to coerce the class member dealers into accepting the wind-down agreements. The Plaintiff</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dealers claim that the wind-down agreements are void. GMCL is vigorously defending the claims. A certification hearing has not yet been scheduled. No</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determination has been made that the case may be maintained as a class action, and it is not possible to determine the likelihood of liability or reasonably</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ascertain the amount of any damages.</w:t>
      </w:r>
    </w:p>
    <w:p>
      <w:pPr>
        <w:spacing w:after="0" w:line="1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OnStar Analog Equipment Litigation</w:t>
      </w:r>
    </w:p>
    <w:p>
      <w:pPr>
        <w:spacing w:after="0" w:line="177" w:lineRule="exact"/>
        <w:rPr>
          <w:sz w:val="20"/>
          <w:szCs w:val="20"/>
          <w:color w:val="auto"/>
        </w:rPr>
      </w:pPr>
    </w:p>
    <w:p>
      <w:pPr>
        <w:ind w:firstLine="228"/>
        <w:spacing w:after="0" w:line="287" w:lineRule="auto"/>
        <w:rPr>
          <w:sz w:val="20"/>
          <w:szCs w:val="20"/>
          <w:color w:val="auto"/>
        </w:rPr>
      </w:pPr>
      <w:r>
        <w:rPr>
          <w:rFonts w:ascii="Arial" w:cs="Arial" w:eastAsia="Arial" w:hAnsi="Arial"/>
          <w:sz w:val="16"/>
          <w:szCs w:val="16"/>
          <w:color w:val="auto"/>
        </w:rPr>
        <w:t xml:space="preserve">Our wholly-owned subsidiary OnStar Corporation is a party to more than 20 putative class actions filed in various states, including Michigan, Ohio, New Jersey, Pennsylvania and California. All of these cases have been consolidated for pretrial purposes in a multi-district proceeding under the caption </w:t>
      </w:r>
      <w:r>
        <w:rPr>
          <w:rFonts w:ascii="Arial" w:cs="Arial" w:eastAsia="Arial" w:hAnsi="Arial"/>
          <w:sz w:val="16"/>
          <w:szCs w:val="16"/>
          <w:i w:val="1"/>
          <w:iCs w:val="1"/>
          <w:color w:val="auto"/>
        </w:rPr>
        <w:t>In re OnStar</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Contract Litigation </w:t>
      </w:r>
      <w:r>
        <w:rPr>
          <w:rFonts w:ascii="Arial" w:cs="Arial" w:eastAsia="Arial" w:hAnsi="Arial"/>
          <w:sz w:val="16"/>
          <w:szCs w:val="16"/>
          <w:color w:val="auto"/>
        </w:rPr>
        <w:t>in the U.S. District Court for the Eastern District of Michigan. The litigation arises out of the discontinuation by OnStar of services to vehicles</w:t>
      </w:r>
      <w:r>
        <w:rPr>
          <w:rFonts w:ascii="Arial" w:cs="Arial" w:eastAsia="Arial" w:hAnsi="Arial"/>
          <w:sz w:val="16"/>
          <w:szCs w:val="16"/>
          <w:i w:val="1"/>
          <w:iCs w:val="1"/>
          <w:color w:val="auto"/>
        </w:rPr>
        <w:t xml:space="preserve"> </w:t>
      </w:r>
      <w:r>
        <w:rPr>
          <w:rFonts w:ascii="Arial" w:cs="Arial" w:eastAsia="Arial" w:hAnsi="Arial"/>
          <w:sz w:val="16"/>
          <w:szCs w:val="16"/>
          <w:color w:val="auto"/>
        </w:rPr>
        <w:t>equipped with analog hardware. OnStar was unable to provide services to such vehicles because the cellular carriers which provide communication service to OnStar terminated analog service beginning in February 2008. In the various cases, the plaintiffs are seeking certification of nationwide or statewide classes of owners of vehicles currently equipped with analog equipment, alleging various breaches of contract, misrepresentation and unfair trade practices. No determination has been made as to whether class certification motions are appropriate, and it is not possible at this time to determine whether class certification or liability is probable as to OnStar or to reasonably ascertain the amount of any liability. On August 2, 2010 plaintiffs filed a motion seeking to add General Motors LLC as an additional defendant. We will oppose that motion, which we believe is barred by the Sale Approval Order entered by the United States Bankruptcy Court for the Southern District of New York on July 5, 2009.</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Patent Infringement Litigation</w:t>
      </w:r>
    </w:p>
    <w:p>
      <w:pPr>
        <w:spacing w:after="0" w:line="177" w:lineRule="exact"/>
        <w:rPr>
          <w:sz w:val="20"/>
          <w:szCs w:val="20"/>
          <w:color w:val="auto"/>
        </w:rPr>
      </w:pPr>
    </w:p>
    <w:p>
      <w:pPr>
        <w:ind w:firstLine="228"/>
        <w:spacing w:after="0" w:line="289" w:lineRule="auto"/>
        <w:rPr>
          <w:sz w:val="20"/>
          <w:szCs w:val="20"/>
          <w:color w:val="auto"/>
        </w:rPr>
      </w:pPr>
      <w:r>
        <w:rPr>
          <w:rFonts w:ascii="Arial" w:cs="Arial" w:eastAsia="Arial" w:hAnsi="Arial"/>
          <w:sz w:val="16"/>
          <w:szCs w:val="16"/>
          <w:color w:val="auto"/>
        </w:rPr>
        <w:t xml:space="preserve">On July 10, 2009, </w:t>
      </w:r>
      <w:r>
        <w:rPr>
          <w:rFonts w:ascii="Arial" w:cs="Arial" w:eastAsia="Arial" w:hAnsi="Arial"/>
          <w:sz w:val="16"/>
          <w:szCs w:val="16"/>
          <w:i w:val="1"/>
          <w:iCs w:val="1"/>
          <w:color w:val="auto"/>
        </w:rPr>
        <w:t>Kruse Technology Partnership v. General Motors Company</w:t>
      </w:r>
      <w:r>
        <w:rPr>
          <w:rFonts w:ascii="Arial" w:cs="Arial" w:eastAsia="Arial" w:hAnsi="Arial"/>
          <w:sz w:val="16"/>
          <w:szCs w:val="16"/>
          <w:color w:val="auto"/>
        </w:rPr>
        <w:t xml:space="preserve"> was filed in the U.S. District Court for the Central District of California. In </w:t>
      </w:r>
      <w:r>
        <w:rPr>
          <w:rFonts w:ascii="Arial" w:cs="Arial" w:eastAsia="Arial" w:hAnsi="Arial"/>
          <w:sz w:val="16"/>
          <w:szCs w:val="16"/>
          <w:i w:val="1"/>
          <w:iCs w:val="1"/>
          <w:color w:val="auto"/>
        </w:rPr>
        <w:t>Kruse</w:t>
      </w:r>
      <w:r>
        <w:rPr>
          <w:rFonts w:ascii="Arial" w:cs="Arial" w:eastAsia="Arial" w:hAnsi="Arial"/>
          <w:sz w:val="16"/>
          <w:szCs w:val="16"/>
          <w:color w:val="auto"/>
        </w:rPr>
        <w:t>, the plaintiff alleges that we infringed three U.S. patents related to “Internal Combustion Engine with Limited Temperature Cycle” by making and selling</w:t>
      </w:r>
      <w:r>
        <w:rPr>
          <w:rFonts w:ascii="Arial" w:cs="Arial" w:eastAsia="Arial" w:hAnsi="Arial"/>
          <w:sz w:val="16"/>
          <w:szCs w:val="16"/>
          <w:i w:val="1"/>
          <w:iCs w:val="1"/>
          <w:color w:val="auto"/>
        </w:rPr>
        <w:t xml:space="preserve"> </w:t>
      </w:r>
      <w:r>
        <w:rPr>
          <w:rFonts w:ascii="Arial" w:cs="Arial" w:eastAsia="Arial" w:hAnsi="Arial"/>
          <w:sz w:val="16"/>
          <w:szCs w:val="16"/>
          <w:color w:val="auto"/>
        </w:rPr>
        <w:t>diesel engines. The plaintiff has not made a claim specifying damages in this case. However, in a similar case filed against Old GM in December 2008, plaintiff asserted that its royalty damages would be significantly more than $100 million. In April 2009, the plaintiff filed a separate patent infringement action against DMAX, Inc., then a joint venture between Isuzu Diesel Services of America, Inc. and Old GM, and which is now a joint venture between Isuzu Diesel Services of America, Inc. and General Motors LLC, our subsidiary. DMAX manufactures and assembles mechanical and other components of Duramax diesel engines for sale to us. The plaintiff asserted that its royalty damages claim against DMAX, Inc. would exceed $100 million and requests an injunction in both the case against DMAX and the case against General Motors LLC. In October 2010, the parties reached a tentative settlement to resolve the issues in this case.</w:t>
      </w:r>
    </w:p>
    <w:p>
      <w:pPr>
        <w:spacing w:after="0" w:line="1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150</w:t>
      </w:r>
    </w:p>
    <w:p>
      <w:pPr>
        <w:sectPr>
          <w:pgSz w:w="11900" w:h="16838" w:orient="portrait"/>
          <w:cols w:equalWidth="0" w:num="1">
            <w:col w:w="11420"/>
          </w:cols>
          <w:pgMar w:left="240" w:top="459" w:right="239" w:bottom="1440" w:gutter="0" w:footer="0" w:header="0"/>
        </w:sectPr>
      </w:pPr>
    </w:p>
    <w:bookmarkStart w:id="152" w:name="page153"/>
    <w:bookmarkEnd w:id="15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Unintended Acceleration Class Actions</w:t>
      </w:r>
    </w:p>
    <w:p>
      <w:pPr>
        <w:spacing w:after="0" w:line="177" w:lineRule="exact"/>
        <w:rPr>
          <w:sz w:val="20"/>
          <w:szCs w:val="20"/>
          <w:color w:val="auto"/>
        </w:rPr>
      </w:pPr>
    </w:p>
    <w:p>
      <w:pPr>
        <w:ind w:firstLine="228"/>
        <w:spacing w:after="0" w:line="286" w:lineRule="auto"/>
        <w:rPr>
          <w:sz w:val="20"/>
          <w:szCs w:val="20"/>
          <w:color w:val="auto"/>
        </w:rPr>
      </w:pPr>
      <w:r>
        <w:rPr>
          <w:rFonts w:ascii="Arial" w:cs="Arial" w:eastAsia="Arial" w:hAnsi="Arial"/>
          <w:sz w:val="16"/>
          <w:szCs w:val="16"/>
          <w:color w:val="auto"/>
        </w:rPr>
        <w:t xml:space="preserve">We have been named as a co-defendant in two of the many class action lawsuits brought against Toyota arising from Toyota’s recall of certain vehicles related to reports of unintended acceleration. The two cases are </w:t>
      </w:r>
      <w:r>
        <w:rPr>
          <w:rFonts w:ascii="Arial" w:cs="Arial" w:eastAsia="Arial" w:hAnsi="Arial"/>
          <w:sz w:val="16"/>
          <w:szCs w:val="16"/>
          <w:i w:val="1"/>
          <w:iCs w:val="1"/>
          <w:color w:val="auto"/>
        </w:rPr>
        <w:t>Nimishabahen Patel v. Toyota Motors North America, Inc. et al.</w:t>
      </w:r>
      <w:r>
        <w:rPr>
          <w:rFonts w:ascii="Arial" w:cs="Arial" w:eastAsia="Arial" w:hAnsi="Arial"/>
          <w:sz w:val="16"/>
          <w:szCs w:val="16"/>
          <w:color w:val="auto"/>
        </w:rPr>
        <w:t xml:space="preserve"> (filed in the United States District Court for the District of Connecticut on February 9, 2010) </w:t>
      </w:r>
      <w:r>
        <w:rPr>
          <w:rFonts w:ascii="Arial" w:cs="Arial" w:eastAsia="Arial" w:hAnsi="Arial"/>
          <w:sz w:val="16"/>
          <w:szCs w:val="16"/>
          <w:i w:val="1"/>
          <w:iCs w:val="1"/>
          <w:color w:val="auto"/>
        </w:rPr>
        <w:t>and Darshak Shah v. Toyota Motors North America, Inc. et al.</w:t>
      </w:r>
      <w:r>
        <w:rPr>
          <w:rFonts w:ascii="Arial" w:cs="Arial" w:eastAsia="Arial" w:hAnsi="Arial"/>
          <w:sz w:val="16"/>
          <w:szCs w:val="16"/>
          <w:color w:val="auto"/>
        </w:rPr>
        <w:t xml:space="preserve"> (filed in the United States District court for the District of Massachusetts on or about February 16, 2010). The 2009 and 2010 model year Pontiac Vibe, which was manufactured by a joint venture between Toyota and Old GM, included components that were common with those addressed by the Toyota recall and were accordingly the subject of a parallel recall by us. Each case makes allegations regarding Toyota’s conduct related to the condition addressed by the recall and asserts breaches of implied and express warranty, unjust enrichment and violation of consumer protection statutes and seeks actual damages, multiple damages, attorneys fees, costs and injunctive relief on behalf of classes of vehicle owners which include owners of 2009 and 2010 model year Pontiac Vibes. The cases were consolidated in the multi-district proceeding pending in the Central District of California created to administer all cases in the Federal court system addressing Toyota unintended acceleration issues. Although a comprehensive assessment of the cases is not possible at this time, we believe that, with respect to the overwhelming majority of Pontiac vehicles addressed by the two cases, the claims asserted are barred by the Sale Approval Order entered by the United States Bankruptcy Court for the Southern District of New York on July 5, 2009. Moreover, on August 2, 2010, a consolidated complaint was filed in the multi-district proceeding and we were omitted from the list of named defendants. Accordingly, it is possible that the claims asserted will not be further pursued against us.</w:t>
      </w:r>
    </w:p>
    <w:p>
      <w:pPr>
        <w:spacing w:after="0" w:line="1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UAW VEBA Contribution Claim</w:t>
      </w:r>
    </w:p>
    <w:p>
      <w:pPr>
        <w:spacing w:after="0" w:line="177" w:lineRule="exact"/>
        <w:rPr>
          <w:sz w:val="20"/>
          <w:szCs w:val="20"/>
          <w:color w:val="auto"/>
        </w:rPr>
      </w:pPr>
    </w:p>
    <w:p>
      <w:pPr>
        <w:ind w:right="60" w:firstLine="228"/>
        <w:spacing w:after="0" w:line="256" w:lineRule="auto"/>
        <w:rPr>
          <w:sz w:val="20"/>
          <w:szCs w:val="20"/>
          <w:color w:val="auto"/>
        </w:rPr>
      </w:pPr>
      <w:r>
        <w:rPr>
          <w:rFonts w:ascii="Arial" w:cs="Arial" w:eastAsia="Arial" w:hAnsi="Arial"/>
          <w:sz w:val="18"/>
          <w:szCs w:val="18"/>
          <w:color w:val="auto"/>
        </w:rPr>
        <w:t>On April 6, 2010, the UAW filed suit against us in the U.S. District Court for the Eastern District of Michigan claiming that we breached our obligation to contribute $450 million to the New VEBA. The UAW alleges that we were required to make this contribution pursuant to the UAW-Delphi-GM Memorandum of Understanding Delphi Restructuring dated June 22, 2007. The UAW is seeking payment of $450 million. We were served with the complaint on September 17, 2010.</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AmeriCredit Transaction Claims</w:t>
      </w:r>
    </w:p>
    <w:p>
      <w:pPr>
        <w:spacing w:after="0" w:line="177" w:lineRule="exact"/>
        <w:rPr>
          <w:sz w:val="20"/>
          <w:szCs w:val="20"/>
          <w:color w:val="auto"/>
        </w:rPr>
      </w:pPr>
    </w:p>
    <w:p>
      <w:pPr>
        <w:ind w:right="20" w:firstLine="228"/>
        <w:spacing w:after="0" w:line="291" w:lineRule="auto"/>
        <w:rPr>
          <w:sz w:val="20"/>
          <w:szCs w:val="20"/>
          <w:color w:val="auto"/>
        </w:rPr>
      </w:pPr>
      <w:r>
        <w:rPr>
          <w:rFonts w:ascii="Arial" w:cs="Arial" w:eastAsia="Arial" w:hAnsi="Arial"/>
          <w:sz w:val="16"/>
          <w:szCs w:val="16"/>
          <w:color w:val="auto"/>
        </w:rPr>
        <w:t xml:space="preserve">On July 27, 2010 </w:t>
      </w:r>
      <w:r>
        <w:rPr>
          <w:rFonts w:ascii="Arial" w:cs="Arial" w:eastAsia="Arial" w:hAnsi="Arial"/>
          <w:sz w:val="16"/>
          <w:szCs w:val="16"/>
          <w:i w:val="1"/>
          <w:iCs w:val="1"/>
          <w:color w:val="auto"/>
        </w:rPr>
        <w:t>Robert Hatfield, Derivatively on behalf of AmeriCredit Corp v, Clifton Morris, Jr. et al.</w:t>
      </w:r>
      <w:r>
        <w:rPr>
          <w:rFonts w:ascii="Arial" w:cs="Arial" w:eastAsia="Arial" w:hAnsi="Arial"/>
          <w:sz w:val="16"/>
          <w:szCs w:val="16"/>
          <w:color w:val="auto"/>
        </w:rPr>
        <w:t xml:space="preserve"> was filed in the district court for Tarrant County, Texas. General Motors Holdings, LLC and General Motors Company (the GM Entities) are two of the named defendants. Among other allegations, the complaint alleges that the individual defendants breached their fiduciary duty with regard to the proposed transaction between AmeriCredit and GM. The GM Entities are accused of aiding and abetting the alleged breach of fiduciary duty by the individual defendants (officers and directors of AmeriCredit). Among other relief, the complaint sought to enjoin the transaction from closing; however, no motion for an injunction was filed. It is not possible to determine the likelihood of success or reasonably ascertain the amount of any attorneys’ fees or costs that may be awarded.</w:t>
      </w:r>
    </w:p>
    <w:p>
      <w:pPr>
        <w:spacing w:after="0" w:line="120" w:lineRule="exact"/>
        <w:rPr>
          <w:sz w:val="20"/>
          <w:szCs w:val="20"/>
          <w:color w:val="auto"/>
        </w:rPr>
      </w:pPr>
    </w:p>
    <w:p>
      <w:pPr>
        <w:ind w:right="80" w:firstLine="228"/>
        <w:spacing w:after="0" w:line="290" w:lineRule="auto"/>
        <w:rPr>
          <w:sz w:val="20"/>
          <w:szCs w:val="20"/>
          <w:color w:val="auto"/>
        </w:rPr>
      </w:pPr>
      <w:r>
        <w:rPr>
          <w:rFonts w:ascii="Arial" w:cs="Arial" w:eastAsia="Arial" w:hAnsi="Arial"/>
          <w:sz w:val="16"/>
          <w:szCs w:val="16"/>
          <w:color w:val="auto"/>
        </w:rPr>
        <w:t xml:space="preserve">On July 28, 2010 </w:t>
      </w:r>
      <w:r>
        <w:rPr>
          <w:rFonts w:ascii="Arial" w:cs="Arial" w:eastAsia="Arial" w:hAnsi="Arial"/>
          <w:sz w:val="16"/>
          <w:szCs w:val="16"/>
          <w:i w:val="1"/>
          <w:iCs w:val="1"/>
          <w:color w:val="auto"/>
        </w:rPr>
        <w:t>Labourers Pension Fund of Eastern and Central Canada, on behalf of itself and all others similarly situated v. AmeriCredit Corp, et al</w:t>
      </w:r>
      <w:r>
        <w:rPr>
          <w:rFonts w:ascii="Arial" w:cs="Arial" w:eastAsia="Arial" w:hAnsi="Arial"/>
          <w:sz w:val="16"/>
          <w:szCs w:val="16"/>
          <w:color w:val="auto"/>
        </w:rPr>
        <w:t>. was filed in the district court for Tarrant County, Texas. General Motors Company is one of the named defendants. The plaintiff seeks class action status and alleges that AmeriCredit and the individual defendants (officers and directors of AmeriCredit) breached their fiduciary duties in negotiating and approving the proposed transaction between AmeriCredit and GM. We are accused of aiding and abetting the alleged breach of fiduciary duty. Among other relief, the complaint sought to enjoin both the transaction from closing as well as a shareholder vote on the proposed transaction; however, no motion for an injunction was filed. No determination has been made that the case may be maintained as a class action, and it is not possible to determine the likelihood of liability or reasonably ascertain the amount of any damages.</w:t>
      </w:r>
    </w:p>
    <w:p>
      <w:pPr>
        <w:spacing w:after="0" w:line="118" w:lineRule="exact"/>
        <w:rPr>
          <w:sz w:val="20"/>
          <w:szCs w:val="20"/>
          <w:color w:val="auto"/>
        </w:rPr>
      </w:pPr>
    </w:p>
    <w:p>
      <w:pPr>
        <w:ind w:right="20" w:firstLine="228"/>
        <w:spacing w:after="0" w:line="255" w:lineRule="auto"/>
        <w:rPr>
          <w:sz w:val="20"/>
          <w:szCs w:val="20"/>
          <w:color w:val="auto"/>
        </w:rPr>
      </w:pPr>
      <w:r>
        <w:rPr>
          <w:rFonts w:ascii="Arial" w:cs="Arial" w:eastAsia="Arial" w:hAnsi="Arial"/>
          <w:sz w:val="18"/>
          <w:szCs w:val="18"/>
          <w:color w:val="auto"/>
        </w:rPr>
        <w:t xml:space="preserve">On or about August 6, 2010, </w:t>
      </w:r>
      <w:r>
        <w:rPr>
          <w:rFonts w:ascii="Arial" w:cs="Arial" w:eastAsia="Arial" w:hAnsi="Arial"/>
          <w:sz w:val="18"/>
          <w:szCs w:val="18"/>
          <w:i w:val="1"/>
          <w:iCs w:val="1"/>
          <w:color w:val="auto"/>
        </w:rPr>
        <w:t>Clara Butler, Derivatively on behalf of AmeriCredit Corp v. Clifton Morris, Jr. et al</w:t>
      </w:r>
      <w:r>
        <w:rPr>
          <w:rFonts w:ascii="Arial" w:cs="Arial" w:eastAsia="Arial" w:hAnsi="Arial"/>
          <w:sz w:val="18"/>
          <w:szCs w:val="18"/>
          <w:color w:val="auto"/>
        </w:rPr>
        <w:t>, was filed in the district court for Tarrant County, Texas. General Motors Holdings, LLC and General Motors Company are among the named defendants. Like previously filed litigation related to the proposed AmeriCredit acquisition, the complaint initiating this case alleges that individual officers and directors of AmeriCredit breached their fiduciary duties to AmeriCredit shareholders. The GM Entities are accused of breaching a fiduciary duty and aiding and abetting the individual defendants in usurping a corporate opportunity. Among</w:t>
      </w:r>
    </w:p>
    <w:p>
      <w:pPr>
        <w:spacing w:after="0" w:line="12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151</w:t>
      </w:r>
    </w:p>
    <w:p>
      <w:pPr>
        <w:sectPr>
          <w:pgSz w:w="11900" w:h="16838" w:orient="portrait"/>
          <w:cols w:equalWidth="0" w:num="1">
            <w:col w:w="11400"/>
          </w:cols>
          <w:pgMar w:left="240" w:top="459" w:right="259" w:bottom="1440" w:gutter="0" w:footer="0" w:header="0"/>
        </w:sectPr>
      </w:pPr>
    </w:p>
    <w:bookmarkStart w:id="153" w:name="page154"/>
    <w:bookmarkEnd w:id="15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164"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other relief, the complaint seeks to rescind the AmeriCredit transaction and sought to enjoin its consummation, and also to award plaintiff costs and disbursements including attorneys’ and expert fees; however, no motion for an injunction was filed. It is not possible to determine the likelihood of success or reasonably ascertain the amount of any attorneys’ fees or costs that may be awarded.</w:t>
      </w:r>
    </w:p>
    <w:p>
      <w:pPr>
        <w:spacing w:after="0" w:line="140" w:lineRule="exact"/>
        <w:rPr>
          <w:sz w:val="20"/>
          <w:szCs w:val="20"/>
          <w:color w:val="auto"/>
        </w:rPr>
      </w:pPr>
    </w:p>
    <w:p>
      <w:pPr>
        <w:ind w:right="160" w:firstLine="228"/>
        <w:spacing w:after="0" w:line="259" w:lineRule="auto"/>
        <w:rPr>
          <w:sz w:val="20"/>
          <w:szCs w:val="20"/>
          <w:color w:val="auto"/>
        </w:rPr>
      </w:pPr>
      <w:r>
        <w:rPr>
          <w:rFonts w:ascii="Arial" w:cs="Arial" w:eastAsia="Arial" w:hAnsi="Arial"/>
          <w:sz w:val="18"/>
          <w:szCs w:val="18"/>
          <w:color w:val="auto"/>
        </w:rPr>
        <w:t xml:space="preserve">On September 1, 2010, </w:t>
      </w:r>
      <w:r>
        <w:rPr>
          <w:rFonts w:ascii="Arial" w:cs="Arial" w:eastAsia="Arial" w:hAnsi="Arial"/>
          <w:sz w:val="18"/>
          <w:szCs w:val="18"/>
          <w:i w:val="1"/>
          <w:iCs w:val="1"/>
          <w:color w:val="auto"/>
        </w:rPr>
        <w:t>Douglas Mogle, on behalf of himself and all others similarly situated v. AmeriCredit Corp., et al.</w:t>
      </w:r>
      <w:r>
        <w:rPr>
          <w:rFonts w:ascii="Arial" w:cs="Arial" w:eastAsia="Arial" w:hAnsi="Arial"/>
          <w:sz w:val="18"/>
          <w:szCs w:val="18"/>
          <w:color w:val="auto"/>
        </w:rPr>
        <w:t xml:space="preserve"> was filed in the district court for Tarrant County, Texas. General Motors Company is among the named defendants. This complaint is similar to the </w:t>
      </w:r>
      <w:r>
        <w:rPr>
          <w:rFonts w:ascii="Arial" w:cs="Arial" w:eastAsia="Arial" w:hAnsi="Arial"/>
          <w:sz w:val="18"/>
          <w:szCs w:val="18"/>
          <w:i w:val="1"/>
          <w:iCs w:val="1"/>
          <w:color w:val="auto"/>
        </w:rPr>
        <w:t>Labourers Pension Fund</w:t>
      </w:r>
      <w:r>
        <w:rPr>
          <w:rFonts w:ascii="Arial" w:cs="Arial" w:eastAsia="Arial" w:hAnsi="Arial"/>
          <w:sz w:val="18"/>
          <w:szCs w:val="18"/>
          <w:color w:val="auto"/>
        </w:rPr>
        <w:t xml:space="preserve"> complaint discussed above.</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Korean Labor Litigation</w:t>
      </w:r>
    </w:p>
    <w:p>
      <w:pPr>
        <w:spacing w:after="0" w:line="177" w:lineRule="exact"/>
        <w:rPr>
          <w:sz w:val="20"/>
          <w:szCs w:val="20"/>
          <w:color w:val="auto"/>
        </w:rPr>
      </w:pPr>
    </w:p>
    <w:p>
      <w:pPr>
        <w:ind w:right="100" w:firstLine="228"/>
        <w:spacing w:after="0" w:line="291" w:lineRule="auto"/>
        <w:rPr>
          <w:sz w:val="20"/>
          <w:szCs w:val="20"/>
          <w:color w:val="auto"/>
        </w:rPr>
      </w:pPr>
      <w:r>
        <w:rPr>
          <w:rFonts w:ascii="Arial" w:cs="Arial" w:eastAsia="Arial" w:hAnsi="Arial"/>
          <w:sz w:val="16"/>
          <w:szCs w:val="16"/>
          <w:color w:val="auto"/>
        </w:rPr>
        <w:t>Commencing on or about September 29, 2010, current and former hourly employees of GM Daewoo, our majority-owned affiliate in the Republic of Korea, filed four separate group actions in the Incheon District Court in Incheon, Korea. The cases allege that GM Daewoo failed to include certain allowances in its calculation of Ordinary Wages due under the Presidential Decree of the Korean Labor Standards Act. GM Daewoo may receive additional claims by hourly employees in the future. Similar cases have been brought against other large employers in the Republic of Korea. This case is in its earliest stages and the scope of claims asserted may change. However, based on a preliminary analysis of the claims currently asserted, the allegations of plaintiffs if accepted in their entirety represent a claim of approximately 454 billion Korean won, which is approximately $400 million.</w:t>
      </w:r>
    </w:p>
    <w:p>
      <w:pPr>
        <w:spacing w:after="0" w:line="1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  *  *  *  *</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1A. </w:t>
      </w:r>
      <w:r>
        <w:rPr>
          <w:rFonts w:ascii="Arial" w:cs="Arial" w:eastAsia="Arial" w:hAnsi="Arial"/>
          <w:sz w:val="18"/>
          <w:szCs w:val="18"/>
          <w:b w:val="1"/>
          <w:bCs w:val="1"/>
          <w:i w:val="1"/>
          <w:iCs w:val="1"/>
          <w:color w:val="auto"/>
        </w:rPr>
        <w:t>Risk Factors</w:t>
      </w:r>
    </w:p>
    <w:p>
      <w:pPr>
        <w:spacing w:after="0" w:line="177" w:lineRule="exact"/>
        <w:rPr>
          <w:sz w:val="20"/>
          <w:szCs w:val="20"/>
          <w:color w:val="auto"/>
        </w:rPr>
      </w:pPr>
    </w:p>
    <w:p>
      <w:pPr>
        <w:ind w:right="100" w:firstLine="228"/>
        <w:spacing w:after="0" w:line="268" w:lineRule="auto"/>
        <w:rPr>
          <w:sz w:val="20"/>
          <w:szCs w:val="20"/>
          <w:color w:val="auto"/>
        </w:rPr>
      </w:pPr>
      <w:r>
        <w:rPr>
          <w:rFonts w:ascii="Arial" w:cs="Arial" w:eastAsia="Arial" w:hAnsi="Arial"/>
          <w:sz w:val="18"/>
          <w:szCs w:val="18"/>
          <w:color w:val="auto"/>
        </w:rPr>
        <w:t>We face a number of significant risks and uncertainties in connection with our operations. Our business, results of operations and financial condition could be materially adversely affected by these risk factors.</w:t>
      </w:r>
    </w:p>
    <w:p>
      <w:pPr>
        <w:spacing w:after="0" w:line="132" w:lineRule="exact"/>
        <w:rPr>
          <w:sz w:val="20"/>
          <w:szCs w:val="20"/>
          <w:color w:val="auto"/>
        </w:rPr>
      </w:pPr>
    </w:p>
    <w:p>
      <w:pPr>
        <w:ind w:left="240"/>
        <w:spacing w:after="0"/>
        <w:rPr>
          <w:sz w:val="20"/>
          <w:szCs w:val="20"/>
          <w:color w:val="auto"/>
        </w:rPr>
      </w:pPr>
      <w:r>
        <w:rPr>
          <w:rFonts w:ascii="Arial" w:cs="Arial" w:eastAsia="Arial" w:hAnsi="Arial"/>
          <w:sz w:val="18"/>
          <w:szCs w:val="18"/>
          <w:color w:val="auto"/>
        </w:rPr>
        <w:t>While we described each risk separately, some of these risks are interrelated and certain risks could trigger the applicability of other risks.</w:t>
      </w:r>
    </w:p>
    <w:p>
      <w:pPr>
        <w:spacing w:after="0" w:line="171" w:lineRule="exact"/>
        <w:rPr>
          <w:sz w:val="20"/>
          <w:szCs w:val="20"/>
          <w:color w:val="auto"/>
        </w:rPr>
      </w:pPr>
    </w:p>
    <w:p>
      <w:pPr>
        <w:ind w:left="240" w:right="220"/>
        <w:spacing w:after="0" w:line="332" w:lineRule="auto"/>
        <w:rPr>
          <w:sz w:val="20"/>
          <w:szCs w:val="20"/>
          <w:color w:val="auto"/>
        </w:rPr>
      </w:pPr>
      <w:r>
        <w:rPr>
          <w:rFonts w:ascii="Arial" w:cs="Arial" w:eastAsia="Arial" w:hAnsi="Arial"/>
          <w:sz w:val="16"/>
          <w:szCs w:val="16"/>
          <w:b w:val="1"/>
          <w:bCs w:val="1"/>
          <w:i w:val="1"/>
          <w:iCs w:val="1"/>
          <w:color w:val="auto"/>
        </w:rPr>
        <w:t>Our business is highly dependent on sales volume. Global vehicle sales have declined significantly from their peak levels, and there is no assurance that the global automobile market will recover in the near future or that it will not suffer a significant further downturn.</w:t>
      </w:r>
    </w:p>
    <w:p>
      <w:pPr>
        <w:spacing w:after="0" w:line="85" w:lineRule="exact"/>
        <w:rPr>
          <w:sz w:val="20"/>
          <w:szCs w:val="20"/>
          <w:color w:val="auto"/>
        </w:rPr>
      </w:pPr>
    </w:p>
    <w:p>
      <w:pPr>
        <w:ind w:right="80" w:firstLine="228"/>
        <w:spacing w:after="0" w:line="309" w:lineRule="auto"/>
        <w:rPr>
          <w:sz w:val="20"/>
          <w:szCs w:val="20"/>
          <w:color w:val="auto"/>
        </w:rPr>
      </w:pPr>
      <w:r>
        <w:rPr>
          <w:rFonts w:ascii="Arial" w:cs="Arial" w:eastAsia="Arial" w:hAnsi="Arial"/>
          <w:sz w:val="15"/>
          <w:szCs w:val="15"/>
          <w:color w:val="auto"/>
        </w:rPr>
        <w:t>Our business and financial results are highly sensitive to sales volume, as demonstrated by the effect of sharp declines in vehicle sales on our business in the U.S. since 2007 and globally since 2008. Vehicle sales in the U.S. have fallen significantly on an annualized basis since their peak in 2007, and sales globally have shown steep declines on an annualized basis since their peak in January 2008. Many of the economic and market conditions that drove the drop in vehicle sales, including declines in real estate and equity values, increases in unemployment, tightened credit markets, depressed consumer confidence and weak housing markets, continue to affect sales. In addition, recent concerns over levels of sovereign indebtedness have contributed to a renewed tightening of credit markets in some of the markets in which we do business. Although vehicle sales began to recover in certain of our markets in the three months ended December 31, 2009 and the recovery has continued through September 30, 2010, the recovery in vehicle sales in certain of our markets, including North America, has been proceeding slowly and there is no assurance that this recovery in vehicle sales will continue or spread across all our markets. Further, sales volumes may again decline severely or take longer to recover than we expect, and if they do, our results of operations and financial condition will be materially adversely affected.</w:t>
      </w:r>
    </w:p>
    <w:p>
      <w:pPr>
        <w:spacing w:after="0" w:line="108" w:lineRule="exact"/>
        <w:rPr>
          <w:sz w:val="20"/>
          <w:szCs w:val="20"/>
          <w:color w:val="auto"/>
        </w:rPr>
      </w:pPr>
    </w:p>
    <w:p>
      <w:pPr>
        <w:ind w:left="240" w:right="80"/>
        <w:spacing w:after="0" w:line="332" w:lineRule="auto"/>
        <w:rPr>
          <w:sz w:val="20"/>
          <w:szCs w:val="20"/>
          <w:color w:val="auto"/>
        </w:rPr>
      </w:pPr>
      <w:r>
        <w:rPr>
          <w:rFonts w:ascii="Arial" w:cs="Arial" w:eastAsia="Arial" w:hAnsi="Arial"/>
          <w:sz w:val="16"/>
          <w:szCs w:val="16"/>
          <w:b w:val="1"/>
          <w:bCs w:val="1"/>
          <w:i w:val="1"/>
          <w:iCs w:val="1"/>
          <w:color w:val="auto"/>
        </w:rPr>
        <w:t>Our ability to change public perception of our company and products is essential to our ability to attract a sufficient number of consumers to consider our vehicles, particularly our new products, which is critical to our ability to achieve long-term profitability.</w:t>
      </w:r>
    </w:p>
    <w:p>
      <w:pPr>
        <w:spacing w:after="0" w:line="85" w:lineRule="exact"/>
        <w:rPr>
          <w:sz w:val="20"/>
          <w:szCs w:val="20"/>
          <w:color w:val="auto"/>
        </w:rPr>
      </w:pPr>
    </w:p>
    <w:p>
      <w:pPr>
        <w:jc w:val="both"/>
        <w:ind w:right="640" w:firstLine="228"/>
        <w:spacing w:after="0" w:line="259" w:lineRule="auto"/>
        <w:rPr>
          <w:sz w:val="20"/>
          <w:szCs w:val="20"/>
          <w:color w:val="auto"/>
        </w:rPr>
      </w:pPr>
      <w:r>
        <w:rPr>
          <w:rFonts w:ascii="Arial" w:cs="Arial" w:eastAsia="Arial" w:hAnsi="Arial"/>
          <w:sz w:val="18"/>
          <w:szCs w:val="18"/>
          <w:color w:val="auto"/>
        </w:rPr>
        <w:t>Our ability to achieve long-term profitability depends on our ability to entice consumers to consider our products when purchasing a new vehicle. The automotive industry, particularly in the U.S., is very competitive, and our competitors have been very successful in persuading customers that previously purchased our products to purchase their vehicles instead as is reflected by our loss of market</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152</w:t>
      </w:r>
    </w:p>
    <w:p>
      <w:pPr>
        <w:sectPr>
          <w:pgSz w:w="11900" w:h="16838" w:orient="portrait"/>
          <w:cols w:equalWidth="0" w:num="1">
            <w:col w:w="11420"/>
          </w:cols>
          <w:pgMar w:left="240" w:top="460" w:right="239" w:bottom="1440" w:gutter="0" w:footer="0" w:header="0"/>
        </w:sectPr>
      </w:pPr>
    </w:p>
    <w:bookmarkStart w:id="154" w:name="page155"/>
    <w:bookmarkEnd w:id="15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164" w:lineRule="exact"/>
        <w:rPr>
          <w:sz w:val="20"/>
          <w:szCs w:val="20"/>
          <w:color w:val="auto"/>
        </w:rPr>
      </w:pPr>
    </w:p>
    <w:p>
      <w:pPr>
        <w:ind w:right="100"/>
        <w:spacing w:after="0" w:line="323" w:lineRule="auto"/>
        <w:rPr>
          <w:sz w:val="20"/>
          <w:szCs w:val="20"/>
          <w:color w:val="auto"/>
        </w:rPr>
      </w:pPr>
      <w:r>
        <w:rPr>
          <w:rFonts w:ascii="Arial" w:cs="Arial" w:eastAsia="Arial" w:hAnsi="Arial"/>
          <w:sz w:val="15"/>
          <w:szCs w:val="15"/>
          <w:color w:val="auto"/>
        </w:rPr>
        <w:t>share over the past three years. We believe that this is due, in part, to a negative public perception of our products in relation to those of some of our competitors. Changing this perception, including with respect to the fuel efficiency of our products, as well as the perception of our company in light of Old GM’s bankruptcy and our status as a recipient of aid under TARP, will be critical to our long-term profitability. If we are unable to change public perception of our company and products, especially our new products, including cars and crossovers, our results of operations and financial condition could be materially adversely affected.</w:t>
      </w:r>
    </w:p>
    <w:p>
      <w:pPr>
        <w:spacing w:after="0" w:line="98" w:lineRule="exact"/>
        <w:rPr>
          <w:sz w:val="20"/>
          <w:szCs w:val="20"/>
          <w:color w:val="auto"/>
        </w:rPr>
      </w:pPr>
    </w:p>
    <w:p>
      <w:pPr>
        <w:ind w:left="240" w:right="220"/>
        <w:spacing w:after="0" w:line="268" w:lineRule="auto"/>
        <w:rPr>
          <w:sz w:val="20"/>
          <w:szCs w:val="20"/>
          <w:color w:val="auto"/>
        </w:rPr>
      </w:pPr>
      <w:r>
        <w:rPr>
          <w:rFonts w:ascii="Arial" w:cs="Arial" w:eastAsia="Arial" w:hAnsi="Arial"/>
          <w:sz w:val="18"/>
          <w:szCs w:val="18"/>
          <w:b w:val="1"/>
          <w:bCs w:val="1"/>
          <w:i w:val="1"/>
          <w:iCs w:val="1"/>
          <w:color w:val="auto"/>
        </w:rPr>
        <w:t>The pace of introduction and market acceptance of new vehicles is important to our success, and the frequency of new vehicle introductions and vehicle improvements may be materially adversely affected by reductions in capital expenditures.</w:t>
      </w:r>
    </w:p>
    <w:p>
      <w:pPr>
        <w:spacing w:after="0" w:line="132" w:lineRule="exact"/>
        <w:rPr>
          <w:sz w:val="20"/>
          <w:szCs w:val="20"/>
          <w:color w:val="auto"/>
        </w:rPr>
      </w:pPr>
    </w:p>
    <w:p>
      <w:pPr>
        <w:ind w:right="20" w:firstLine="228"/>
        <w:spacing w:after="0" w:line="290" w:lineRule="auto"/>
        <w:rPr>
          <w:sz w:val="20"/>
          <w:szCs w:val="20"/>
          <w:color w:val="auto"/>
        </w:rPr>
      </w:pPr>
      <w:r>
        <w:rPr>
          <w:rFonts w:ascii="Arial" w:cs="Arial" w:eastAsia="Arial" w:hAnsi="Arial"/>
          <w:sz w:val="16"/>
          <w:szCs w:val="16"/>
          <w:color w:val="auto"/>
        </w:rPr>
        <w:t>Our competitors have introduced new and improved vehicle models designed to meet consumer expectations and will continue to do so. Our profit margins, sales volumes, and market shares may decrease if we are unable to produce models that compare favorably to these competing models. If we are unable to produce new and improved vehicle models on a basis competitive with the models introduced by our competitors, including models of smaller vehicles, demand for our vehicles may be materially adversely affected. Further, the pace of our development and introduction of new and improved vehicles depends on our ability to implement successfully improved technological innovations in design, engineering, and manufacturing, which requires extensive capital investment. Any capital expenditure cuts in these areas that we may determine to implement in the future to reduce costs and conserve cash could reduce our ability to develop and implement improved technological innovations, which may materially reduce demand for our vehicles.</w:t>
      </w:r>
    </w:p>
    <w:p>
      <w:pPr>
        <w:spacing w:after="0" w:line="118" w:lineRule="exact"/>
        <w:rPr>
          <w:sz w:val="20"/>
          <w:szCs w:val="20"/>
          <w:color w:val="auto"/>
        </w:rPr>
      </w:pPr>
    </w:p>
    <w:p>
      <w:pPr>
        <w:ind w:left="240" w:right="440"/>
        <w:spacing w:after="0" w:line="268" w:lineRule="auto"/>
        <w:rPr>
          <w:sz w:val="20"/>
          <w:szCs w:val="20"/>
          <w:color w:val="auto"/>
        </w:rPr>
      </w:pPr>
      <w:r>
        <w:rPr>
          <w:rFonts w:ascii="Arial" w:cs="Arial" w:eastAsia="Arial" w:hAnsi="Arial"/>
          <w:sz w:val="18"/>
          <w:szCs w:val="18"/>
          <w:b w:val="1"/>
          <w:bCs w:val="1"/>
          <w:i w:val="1"/>
          <w:iCs w:val="1"/>
          <w:color w:val="auto"/>
        </w:rPr>
        <w:t>Our future competitiveness and ability to achieve long-term profitability depends on our ability to control our costs, which requires us to successfully implement restructuring initiatives throughout our automotive operations.</w:t>
      </w:r>
    </w:p>
    <w:p>
      <w:pPr>
        <w:spacing w:after="0" w:line="132" w:lineRule="exact"/>
        <w:rPr>
          <w:sz w:val="20"/>
          <w:szCs w:val="20"/>
          <w:color w:val="auto"/>
        </w:rPr>
      </w:pPr>
    </w:p>
    <w:p>
      <w:pPr>
        <w:ind w:firstLine="228"/>
        <w:spacing w:after="0" w:line="290" w:lineRule="auto"/>
        <w:rPr>
          <w:sz w:val="20"/>
          <w:szCs w:val="20"/>
          <w:color w:val="auto"/>
        </w:rPr>
      </w:pPr>
      <w:r>
        <w:rPr>
          <w:rFonts w:ascii="Arial" w:cs="Arial" w:eastAsia="Arial" w:hAnsi="Arial"/>
          <w:sz w:val="16"/>
          <w:szCs w:val="16"/>
          <w:color w:val="auto"/>
        </w:rPr>
        <w:t>We are continuing to implement a number of cost reduction and productivity improvement initiatives in our automotive operations, including labor modifications and substantial restructuring initiatives for our European operations. Our future competitiveness depends upon our continued success in implementing these restructuring initiatives throughout our automotive operations, especially in North America and Europe. In addition, while some of the elements of cost reduction are within our control, others such as interest rates or return on investments, which influence our expense for pensions, depend more on external factors, and there can be no assurance that such external factors will not materially adversely affect our ability to reduce our structural costs. Reducing costs may prove difficult due to our focus on increasing advertising and our belief that engineering expenses necessary to improve the performance, safety, and customer satisfaction of our vehicles are likely to increase.</w:t>
      </w:r>
    </w:p>
    <w:p>
      <w:pPr>
        <w:spacing w:after="0" w:line="118" w:lineRule="exact"/>
        <w:rPr>
          <w:sz w:val="20"/>
          <w:szCs w:val="20"/>
          <w:color w:val="auto"/>
        </w:rPr>
      </w:pPr>
    </w:p>
    <w:p>
      <w:pPr>
        <w:ind w:left="240" w:right="80"/>
        <w:spacing w:after="0" w:line="259" w:lineRule="auto"/>
        <w:rPr>
          <w:sz w:val="20"/>
          <w:szCs w:val="20"/>
          <w:color w:val="auto"/>
        </w:rPr>
      </w:pPr>
      <w:r>
        <w:rPr>
          <w:rFonts w:ascii="Arial" w:cs="Arial" w:eastAsia="Arial" w:hAnsi="Arial"/>
          <w:sz w:val="18"/>
          <w:szCs w:val="18"/>
          <w:b w:val="1"/>
          <w:bCs w:val="1"/>
          <w:i w:val="1"/>
          <w:iCs w:val="1"/>
          <w:color w:val="auto"/>
        </w:rPr>
        <w:t>Failure of our suppliers, due to difficult economic conditions affecting our industry, to provide us with the systems, components, and parts that we need to manufacture our automotive products and operate our business could result in a disruption in our operations and have a material adverse effect on our business.</w:t>
      </w:r>
    </w:p>
    <w:p>
      <w:pPr>
        <w:spacing w:after="0" w:line="140" w:lineRule="exact"/>
        <w:rPr>
          <w:sz w:val="20"/>
          <w:szCs w:val="20"/>
          <w:color w:val="auto"/>
        </w:rPr>
      </w:pPr>
    </w:p>
    <w:p>
      <w:pPr>
        <w:ind w:right="40" w:firstLine="228"/>
        <w:spacing w:after="0" w:line="291" w:lineRule="auto"/>
        <w:rPr>
          <w:sz w:val="20"/>
          <w:szCs w:val="20"/>
          <w:color w:val="auto"/>
        </w:rPr>
      </w:pPr>
      <w:r>
        <w:rPr>
          <w:rFonts w:ascii="Arial" w:cs="Arial" w:eastAsia="Arial" w:hAnsi="Arial"/>
          <w:sz w:val="16"/>
          <w:szCs w:val="16"/>
          <w:color w:val="auto"/>
        </w:rPr>
        <w:t>We rely on many suppliers to provide us with the systems, components, and parts that we need to manufacture our automotive products and operate our business. In recent years, a number of these suppliers have experienced severe financial difficulties and solvency problems, and some have sought relief under the Bankruptcy Code or similar reorganization laws. This trend intensified in 2009 due to the combination of general economic weakness, sharply declining vehicle sales, and tightened credit availability that has affected the automotive industry generally. Suppliers may encounter difficulties in obtaining credit or may receive an opinion from their independent public accountants regarding their financial statements that includes a statement expressing substantial doubt about their ability to continue as a going concern, which could trigger defaults under their financings or other agreements or impede their ability to raise new funds.</w:t>
      </w:r>
    </w:p>
    <w:p>
      <w:pPr>
        <w:spacing w:after="0" w:line="120" w:lineRule="exact"/>
        <w:rPr>
          <w:sz w:val="20"/>
          <w:szCs w:val="20"/>
          <w:color w:val="auto"/>
        </w:rPr>
      </w:pPr>
    </w:p>
    <w:p>
      <w:pPr>
        <w:ind w:right="120" w:firstLine="228"/>
        <w:spacing w:after="0" w:line="291" w:lineRule="auto"/>
        <w:rPr>
          <w:sz w:val="20"/>
          <w:szCs w:val="20"/>
          <w:color w:val="auto"/>
        </w:rPr>
      </w:pPr>
      <w:r>
        <w:rPr>
          <w:rFonts w:ascii="Arial" w:cs="Arial" w:eastAsia="Arial" w:hAnsi="Arial"/>
          <w:sz w:val="16"/>
          <w:szCs w:val="16"/>
          <w:color w:val="auto"/>
        </w:rPr>
        <w:t>When comparable situations have occurred in the past, suppliers have attempted to increase their prices, pass through increased costs, alter payment terms, or seek other relief. In instances where suppliers have not been able to generate sufficient additional revenues or obtain the additional financing they need to continue their operations, either through private sources or government funding, which may not be available, some have been forced to reduce their output, shut down their operations, or file for bankruptcy protection. Such actions would likely increase our costs, create challenges to meeting our quality objectives, and in some cases make it difficult for us to continue production of certain vehicles. To the extent we take steps in such cases to help key suppliers remain in business, our liquidity would be adversely affected. It may also be difficult to find a replacement for certain suppliers without significant delay.</w:t>
      </w:r>
    </w:p>
    <w:p>
      <w:pPr>
        <w:spacing w:after="0" w:line="1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153</w:t>
      </w:r>
    </w:p>
    <w:p>
      <w:pPr>
        <w:sectPr>
          <w:pgSz w:w="11900" w:h="16838" w:orient="portrait"/>
          <w:cols w:equalWidth="0" w:num="1">
            <w:col w:w="11420"/>
          </w:cols>
          <w:pgMar w:left="240" w:top="460" w:right="239" w:bottom="1440" w:gutter="0" w:footer="0" w:header="0"/>
        </w:sectPr>
      </w:pPr>
    </w:p>
    <w:bookmarkStart w:id="155" w:name="page156"/>
    <w:bookmarkEnd w:id="15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339"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Increase in cost, disruption of supply, or shortage of raw materials could materially harm our business.</w:t>
      </w:r>
    </w:p>
    <w:p>
      <w:pPr>
        <w:spacing w:after="0" w:line="171" w:lineRule="exact"/>
        <w:rPr>
          <w:sz w:val="20"/>
          <w:szCs w:val="20"/>
          <w:color w:val="auto"/>
        </w:rPr>
      </w:pPr>
    </w:p>
    <w:p>
      <w:pPr>
        <w:ind w:right="40" w:firstLine="228"/>
        <w:spacing w:after="0" w:line="290" w:lineRule="auto"/>
        <w:rPr>
          <w:sz w:val="20"/>
          <w:szCs w:val="20"/>
          <w:color w:val="auto"/>
        </w:rPr>
      </w:pPr>
      <w:r>
        <w:rPr>
          <w:rFonts w:ascii="Arial" w:cs="Arial" w:eastAsia="Arial" w:hAnsi="Arial"/>
          <w:sz w:val="16"/>
          <w:szCs w:val="16"/>
          <w:color w:val="auto"/>
        </w:rPr>
        <w:t>We use various raw materials in our business including steel, non-ferrous metals such as aluminum and copper, and precious metals such as platinum and palladium. The prices for these raw materials fluctuate depending on market conditions. In recent years, freight charges and raw material costs increased significantly. Substantial increases in the prices for our raw materials increase our operating costs and could reduce our profitability if we cannot recoup the increased costs through increased vehicle prices. In addition, some of these raw materials, such as corrosion-resistant steel, are only available from a limited number of suppliers. We cannot guarantee that we will be able to maintain favorable arrangements and relationships with these suppliers. An increase in the cost or a sustained interruption in the supply or shortage of some of these raw materials, which may be caused by a deterioration of our relationships with suppliers or by events such as labor strikes, could negatively affect our net revenues and profitability to a material extent.</w:t>
      </w:r>
    </w:p>
    <w:p>
      <w:pPr>
        <w:spacing w:after="0" w:line="118" w:lineRule="exact"/>
        <w:rPr>
          <w:sz w:val="20"/>
          <w:szCs w:val="20"/>
          <w:color w:val="auto"/>
        </w:rPr>
      </w:pPr>
    </w:p>
    <w:p>
      <w:pPr>
        <w:ind w:left="240" w:right="300"/>
        <w:spacing w:after="0" w:line="268" w:lineRule="auto"/>
        <w:rPr>
          <w:sz w:val="20"/>
          <w:szCs w:val="20"/>
          <w:color w:val="auto"/>
        </w:rPr>
      </w:pPr>
      <w:r>
        <w:rPr>
          <w:rFonts w:ascii="Arial" w:cs="Arial" w:eastAsia="Arial" w:hAnsi="Arial"/>
          <w:sz w:val="18"/>
          <w:szCs w:val="18"/>
          <w:b w:val="1"/>
          <w:bCs w:val="1"/>
          <w:i w:val="1"/>
          <w:iCs w:val="1"/>
          <w:color w:val="auto"/>
        </w:rPr>
        <w:t>We operate in a highly competitive industry that has excess manufacturing capacity and attempts by our competitors to sell more vehicles could have a significant negative effect on our vehicle pricing, market share, and operating results.</w:t>
      </w:r>
    </w:p>
    <w:p>
      <w:pPr>
        <w:spacing w:after="0" w:line="132" w:lineRule="exact"/>
        <w:rPr>
          <w:sz w:val="20"/>
          <w:szCs w:val="20"/>
          <w:color w:val="auto"/>
        </w:rPr>
      </w:pPr>
    </w:p>
    <w:p>
      <w:pPr>
        <w:ind w:right="140" w:firstLine="228"/>
        <w:spacing w:after="0" w:line="290" w:lineRule="auto"/>
        <w:rPr>
          <w:sz w:val="20"/>
          <w:szCs w:val="20"/>
          <w:color w:val="auto"/>
        </w:rPr>
      </w:pPr>
      <w:r>
        <w:rPr>
          <w:rFonts w:ascii="Arial" w:cs="Arial" w:eastAsia="Arial" w:hAnsi="Arial"/>
          <w:sz w:val="16"/>
          <w:szCs w:val="16"/>
          <w:color w:val="auto"/>
        </w:rPr>
        <w:t>The global automotive industry is highly competitive, and overall manufacturing capacity in the industry exceeds demand. Many manufacturers have relatively high fixed labor costs as well as significant limitations on their ability to close facilities and reduce fixed costs. Our competitors may respond to these relatively high fixed costs by attempting to sell more vehicles by adding vehicle enhancements, providing subsidized financing or leasing programs, offering option package discounts or other marketing incentives, or reducing vehicle prices in certain markets. In addition, manufacturers in lower cost countries such as China and India have emerged as competitors in key emerging markets and announced their intention of exporting their products to established markets as a bargain alternative to entry-level automobiles. These actions have had, and are expected to continue to have, a significant negative effect on our vehicle pricing, market share, and operating results, and present a significant risk to our ability to enhance our revenue per vehicle.</w:t>
      </w:r>
    </w:p>
    <w:p>
      <w:pPr>
        <w:spacing w:after="0" w:line="118"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Our competitors may be able to benefit from the cost savings offered by industry consolidation or alliances.</w:t>
      </w:r>
    </w:p>
    <w:p>
      <w:pPr>
        <w:spacing w:after="0" w:line="171" w:lineRule="exact"/>
        <w:rPr>
          <w:sz w:val="20"/>
          <w:szCs w:val="20"/>
          <w:color w:val="auto"/>
        </w:rPr>
      </w:pPr>
    </w:p>
    <w:p>
      <w:pPr>
        <w:ind w:right="120" w:firstLine="228"/>
        <w:spacing w:after="0" w:line="290" w:lineRule="auto"/>
        <w:rPr>
          <w:sz w:val="20"/>
          <w:szCs w:val="20"/>
          <w:color w:val="auto"/>
        </w:rPr>
      </w:pPr>
      <w:r>
        <w:rPr>
          <w:rFonts w:ascii="Arial" w:cs="Arial" w:eastAsia="Arial" w:hAnsi="Arial"/>
          <w:sz w:val="16"/>
          <w:szCs w:val="16"/>
          <w:color w:val="auto"/>
        </w:rPr>
        <w:t>Designing, manufacturing and selling vehicles is capital intensive and requires substantial investments in manufacturing, machinery, research and development, product design, engineering, technology and marketing in order to meet both consumer preferences and regulatory requirements. Large OEMs are able to benefit from economies of scale by leveraging their investments and activities on a global basis across brands and nameplates. If our competitors consolidate or enter into other strategic agreements such as alliances, they may be able to take better advantage of these economies of scale. We believe that competitors may be able to benefit from the cost savings offered by consolidation or alliances, which could adversely affect our competitiveness with respect to those competitors. In addition, competitors could use consolidation or alliances as a means of enhancing their competitiveness or liquidity position, which could also materially adversely affect our business.</w:t>
      </w:r>
    </w:p>
    <w:p>
      <w:pPr>
        <w:spacing w:after="0" w:line="118" w:lineRule="exact"/>
        <w:rPr>
          <w:sz w:val="20"/>
          <w:szCs w:val="20"/>
          <w:color w:val="auto"/>
        </w:rPr>
      </w:pPr>
    </w:p>
    <w:p>
      <w:pPr>
        <w:ind w:left="240" w:right="160"/>
        <w:spacing w:after="0" w:line="268" w:lineRule="auto"/>
        <w:rPr>
          <w:sz w:val="20"/>
          <w:szCs w:val="20"/>
          <w:color w:val="auto"/>
        </w:rPr>
      </w:pPr>
      <w:r>
        <w:rPr>
          <w:rFonts w:ascii="Arial" w:cs="Arial" w:eastAsia="Arial" w:hAnsi="Arial"/>
          <w:sz w:val="18"/>
          <w:szCs w:val="18"/>
          <w:b w:val="1"/>
          <w:bCs w:val="1"/>
          <w:i w:val="1"/>
          <w:iCs w:val="1"/>
          <w:color w:val="auto"/>
        </w:rPr>
        <w:t>Our business plan and other obligations require substantial liquidity, and inadequate cash flow could materially adversely affect our financial condition and future business operations.</w:t>
      </w:r>
    </w:p>
    <w:p>
      <w:pPr>
        <w:spacing w:after="0" w:line="132" w:lineRule="exact"/>
        <w:rPr>
          <w:sz w:val="20"/>
          <w:szCs w:val="20"/>
          <w:color w:val="auto"/>
        </w:rPr>
      </w:pPr>
    </w:p>
    <w:p>
      <w:pPr>
        <w:ind w:firstLine="228"/>
        <w:spacing w:after="0" w:line="287" w:lineRule="auto"/>
        <w:rPr>
          <w:sz w:val="20"/>
          <w:szCs w:val="20"/>
          <w:color w:val="auto"/>
        </w:rPr>
      </w:pPr>
      <w:r>
        <w:rPr>
          <w:rFonts w:ascii="Arial" w:cs="Arial" w:eastAsia="Arial" w:hAnsi="Arial"/>
          <w:sz w:val="16"/>
          <w:szCs w:val="16"/>
          <w:color w:val="auto"/>
        </w:rPr>
        <w:t>We will require substantial liquidity to support our business plan and meet other funding requirements. We expect total engineering and capital spending of approximately $12.0 billion in 2010 as we continue to refresh and broaden our product portfolio, increase our sales, and develop advanced technologies, with continued substantial expenditures on engineering and capital spending in subsequent years. In addition, at September 30, 2010 we have debt maturities and capital lease obligations of $4.0 billion through 2014, after giving effect to the repayment in full of the outstanding amount (including accreted interest) of the VEBA Notes of $2.8 billion on October 26, 2010. We plan to make a $6.0 billion voluntary contribution to U. S. pension plans in 2010, consisting of cash of $4.0 billion and $2.0 billion of our common stock. These voluntary contributions are contingent upon completion of the common stock offering and Series B Preferred Stock offering. The stock contribution is contingent on approval from the Department of Labor that the stock will qualify as a plan asset for funding purposes. These contributions are expected to satisfy our mandatory funding through 2014. In the event we do not make this voluntary contribution, our potential funding requirements are described in “Management’s Discussion and Analysis of Financial Condition and Results of Operations — Contractual Obligations and Other Long-Term Liabilities”. We also expect to spend $785 million to $970 million to fund various escrow deposits or make payments in connection</w:t>
      </w:r>
    </w:p>
    <w:p>
      <w:pPr>
        <w:spacing w:after="0" w:line="10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154</w:t>
      </w:r>
    </w:p>
    <w:p>
      <w:pPr>
        <w:sectPr>
          <w:pgSz w:w="11900" w:h="16838" w:orient="portrait"/>
          <w:cols w:equalWidth="0" w:num="1">
            <w:col w:w="11380"/>
          </w:cols>
          <w:pgMar w:left="240" w:top="459" w:right="279" w:bottom="1440" w:gutter="0" w:footer="0" w:header="0"/>
        </w:sectPr>
      </w:pPr>
    </w:p>
    <w:bookmarkStart w:id="156" w:name="page157"/>
    <w:bookmarkEnd w:id="15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164"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with certain South American income and indirect tax-related administrative and legal proceedings. We also anticipate continued expenditures to implement long-term cost savings and restructuring plans, including our Opel/Vauxhall restructuring plan. In addition to the foregoing liquidity needs, we also have minimum liquidity covenants in our new secured revolving credit facility, which require us to maintain at least $4.0 billion in consolidated global liquidity and at least $2.0 billion in consolidated U.S. liquidity. Refer to “Management’s Discussion and Analysis of Financial Condition and Results of Operations — Liquidity and Capital Resources” for a further discussion of these liquidity requirements.</w:t>
      </w:r>
    </w:p>
    <w:p>
      <w:pPr>
        <w:spacing w:after="0" w:line="143" w:lineRule="exact"/>
        <w:rPr>
          <w:sz w:val="20"/>
          <w:szCs w:val="20"/>
          <w:color w:val="auto"/>
        </w:rPr>
      </w:pPr>
    </w:p>
    <w:p>
      <w:pPr>
        <w:ind w:right="40" w:firstLine="228"/>
        <w:spacing w:after="0" w:line="255" w:lineRule="auto"/>
        <w:rPr>
          <w:sz w:val="20"/>
          <w:szCs w:val="20"/>
          <w:color w:val="auto"/>
        </w:rPr>
      </w:pPr>
      <w:r>
        <w:rPr>
          <w:rFonts w:ascii="Arial" w:cs="Arial" w:eastAsia="Arial" w:hAnsi="Arial"/>
          <w:sz w:val="18"/>
          <w:szCs w:val="18"/>
          <w:color w:val="auto"/>
        </w:rPr>
        <w:t>If our liquidity levels approach the minimum liquidity levels necessary to support our normal business operations, we may be forced to raise additional capital on terms that may not be favorable, curtail engineering and capital spending, and reduce research and development and other programs that are important to the future success of our business. A reduction in engineering and capital and research and development spending would negatively affect our ability to meet planned product launches and to refresh our product line-up at the pace contemplated in our business plan. If this were to happen, our future revenue and profitability could be negatively affected.</w:t>
      </w:r>
    </w:p>
    <w:p>
      <w:pPr>
        <w:spacing w:after="0" w:line="143" w:lineRule="exact"/>
        <w:rPr>
          <w:sz w:val="20"/>
          <w:szCs w:val="20"/>
          <w:color w:val="auto"/>
        </w:rPr>
      </w:pPr>
    </w:p>
    <w:p>
      <w:pPr>
        <w:ind w:right="220" w:firstLine="228"/>
        <w:spacing w:after="0" w:line="259" w:lineRule="auto"/>
        <w:rPr>
          <w:sz w:val="20"/>
          <w:szCs w:val="20"/>
          <w:color w:val="auto"/>
        </w:rPr>
      </w:pPr>
      <w:r>
        <w:rPr>
          <w:rFonts w:ascii="Arial" w:cs="Arial" w:eastAsia="Arial" w:hAnsi="Arial"/>
          <w:sz w:val="18"/>
          <w:szCs w:val="18"/>
          <w:color w:val="auto"/>
        </w:rPr>
        <w:t>Although we believe we possess sufficient liquidity to operate our business, our ability to maintain adequate liquidity over the long-term will depend significantly on the volume, mix and quality of our vehicle sales and our ability to minimize operating expenses. Our liquidity needs are sensitive to changes in each of these and other factors.</w:t>
      </w:r>
    </w:p>
    <w:p>
      <w:pPr>
        <w:spacing w:after="0" w:line="140" w:lineRule="exact"/>
        <w:rPr>
          <w:sz w:val="20"/>
          <w:szCs w:val="20"/>
          <w:color w:val="auto"/>
        </w:rPr>
      </w:pPr>
    </w:p>
    <w:p>
      <w:pPr>
        <w:ind w:left="240" w:right="240"/>
        <w:spacing w:after="0" w:line="370" w:lineRule="auto"/>
        <w:rPr>
          <w:sz w:val="20"/>
          <w:szCs w:val="20"/>
          <w:color w:val="auto"/>
        </w:rPr>
      </w:pPr>
      <w:r>
        <w:rPr>
          <w:rFonts w:ascii="Arial" w:cs="Arial" w:eastAsia="Arial" w:hAnsi="Arial"/>
          <w:sz w:val="15"/>
          <w:szCs w:val="15"/>
          <w:b w:val="1"/>
          <w:bCs w:val="1"/>
          <w:i w:val="1"/>
          <w:iCs w:val="1"/>
          <w:color w:val="auto"/>
        </w:rPr>
        <w:t>As part of our business plan, we have reduced compensation for our most highly paid executives and have reduced the number of our management and non-management salaried employees, and these actions may materially adversely affect our ability to hire and retain salaried employees.</w:t>
      </w:r>
    </w:p>
    <w:p>
      <w:pPr>
        <w:spacing w:after="0" w:line="62" w:lineRule="exact"/>
        <w:rPr>
          <w:sz w:val="20"/>
          <w:szCs w:val="20"/>
          <w:color w:val="auto"/>
        </w:rPr>
      </w:pPr>
    </w:p>
    <w:p>
      <w:pPr>
        <w:ind w:right="40" w:firstLine="228"/>
        <w:spacing w:after="0" w:line="306" w:lineRule="auto"/>
        <w:rPr>
          <w:sz w:val="20"/>
          <w:szCs w:val="20"/>
          <w:color w:val="auto"/>
        </w:rPr>
      </w:pPr>
      <w:r>
        <w:rPr>
          <w:rFonts w:ascii="Arial" w:cs="Arial" w:eastAsia="Arial" w:hAnsi="Arial"/>
          <w:sz w:val="15"/>
          <w:szCs w:val="15"/>
          <w:color w:val="auto"/>
        </w:rPr>
        <w:t>As part of the cost reduction initiatives in our business plan, and pursuant to the direction of the Special Master for TARP Executive Compensation (the Special Master), the form and timing of the compensation for our most highly paid executives is not competitive with that offered by other major corporations. Furthermore, while we have repaid in full our indebtedness under our secured credit agreement with the UST dated July 10, 2009, as amended (the UST Credit Agreement), the executive compensation and corporate governance provisions of Section 111 of the Emergency Economic Stabilization Act of 2008, as amended (the EESA), including the Interim Final Rule implementing Section 111 (the Interim Final Rule), will continue to apply to us for the period specified in the EESA and the Interim Final Rule. In addition, certain of the covenants in the UST Credit Agreement will continue to apply to us until the earlier to occur of (i) us ceasing to be a recipient of Exceptional Financial Assistance, as determined pursuant to the Interim Final Rule or any successor or final rule, or (ii) UST ceasing to own any direct or indirect equity interests in us. The effect of Section 111 of EESA, the Interim Final Rule and the covenants is to restrict the compensation that we can provide to our top executives and prohibit certain types of compensation or benefits for any employees. At the same time, we have substantially decreased the number of salaried employees so that the workload is shared among fewer employees and in general the demands on each salaried employee are increased. Companies in similar situations have experienced significant difficulties in hiring and retaining highly skilled employees, particularly in competitive specialties. Given our compensation structure and increasing job demands, there is no assurance that we will continue to be able to hire and retain the employees whose expertise is required to execute our business plan while at the same time developing and producing vehicles that will stimulate demand for our products.</w:t>
      </w:r>
    </w:p>
    <w:p>
      <w:pPr>
        <w:spacing w:after="0" w:line="112" w:lineRule="exact"/>
        <w:rPr>
          <w:sz w:val="20"/>
          <w:szCs w:val="20"/>
          <w:color w:val="auto"/>
        </w:rPr>
      </w:pPr>
    </w:p>
    <w:p>
      <w:pPr>
        <w:ind w:left="240" w:right="20"/>
        <w:spacing w:after="0" w:line="268" w:lineRule="auto"/>
        <w:rPr>
          <w:sz w:val="20"/>
          <w:szCs w:val="20"/>
          <w:color w:val="auto"/>
        </w:rPr>
      </w:pPr>
      <w:r>
        <w:rPr>
          <w:rFonts w:ascii="Arial" w:cs="Arial" w:eastAsia="Arial" w:hAnsi="Arial"/>
          <w:sz w:val="18"/>
          <w:szCs w:val="18"/>
          <w:b w:val="1"/>
          <w:bCs w:val="1"/>
          <w:i w:val="1"/>
          <w:iCs w:val="1"/>
          <w:color w:val="auto"/>
        </w:rPr>
        <w:t>Our plan to reduce the number of our retail channels and brands and to consolidate our dealer network may reduce our total sales volume and our market share and not result in the cost savings we anticipate.</w:t>
      </w:r>
    </w:p>
    <w:p>
      <w:pPr>
        <w:spacing w:after="0" w:line="132" w:lineRule="exact"/>
        <w:rPr>
          <w:sz w:val="20"/>
          <w:szCs w:val="20"/>
          <w:color w:val="auto"/>
        </w:rPr>
      </w:pPr>
    </w:p>
    <w:p>
      <w:pPr>
        <w:ind w:firstLine="228"/>
        <w:spacing w:after="0" w:line="290" w:lineRule="auto"/>
        <w:rPr>
          <w:sz w:val="20"/>
          <w:szCs w:val="20"/>
          <w:color w:val="auto"/>
        </w:rPr>
      </w:pPr>
      <w:r>
        <w:rPr>
          <w:rFonts w:ascii="Arial" w:cs="Arial" w:eastAsia="Arial" w:hAnsi="Arial"/>
          <w:sz w:val="16"/>
          <w:szCs w:val="16"/>
          <w:color w:val="auto"/>
        </w:rPr>
        <w:t>As part of our business plan, we will focus our resources in the U.S. on four brands: Chevrolet, Cadillac, Buick and GMC. We completed the sale of Saab Automobile AB (Saab) in February 2010, and have ceased production of our Pontiac, Saturn and HUMMER brands. We have recently completed the federal arbitration process concerning dealer reinstatement and are on track with our plan to consolidate our dealer network by reducing the total number of our U.S. dealerships from approximately 5,000 as of September 30, 2010 to approximately 4,500 by the end of 2010. We anticipate that this reduction in retail outlets, brands, and dealers will result in cost savings over time, but there is no assurance that we will realize all the savings expected. We also anticipate our sales volume and market share will increase over time, but it is also possible that our market share could decline in the short-term and beyond because of these reductions in brands and dealers which may adversely affect our results of operations.</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155</w:t>
      </w:r>
    </w:p>
    <w:p>
      <w:pPr>
        <w:sectPr>
          <w:pgSz w:w="11900" w:h="16838" w:orient="portrait"/>
          <w:cols w:equalWidth="0" w:num="1">
            <w:col w:w="11420"/>
          </w:cols>
          <w:pgMar w:left="240" w:top="459" w:right="239" w:bottom="1440" w:gutter="0" w:footer="0" w:header="0"/>
        </w:sectPr>
      </w:pPr>
    </w:p>
    <w:bookmarkStart w:id="157" w:name="page158"/>
    <w:bookmarkEnd w:id="15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339" w:lineRule="exact"/>
        <w:rPr>
          <w:sz w:val="20"/>
          <w:szCs w:val="20"/>
          <w:color w:val="auto"/>
        </w:rPr>
      </w:pPr>
    </w:p>
    <w:p>
      <w:pPr>
        <w:jc w:val="both"/>
        <w:ind w:left="240" w:right="100"/>
        <w:spacing w:after="0" w:line="370" w:lineRule="auto"/>
        <w:rPr>
          <w:sz w:val="20"/>
          <w:szCs w:val="20"/>
          <w:color w:val="auto"/>
        </w:rPr>
      </w:pPr>
      <w:r>
        <w:rPr>
          <w:rFonts w:ascii="Arial" w:cs="Arial" w:eastAsia="Arial" w:hAnsi="Arial"/>
          <w:sz w:val="15"/>
          <w:szCs w:val="15"/>
          <w:b w:val="1"/>
          <w:bCs w:val="1"/>
          <w:i w:val="1"/>
          <w:iCs w:val="1"/>
          <w:color w:val="auto"/>
        </w:rPr>
        <w:t>Our business plan contemplates that we restructure our operations in various European countries, but we may not succeed in doing so, and our failure to restructure these operations in a cost-effective and non-disruptive manner could have a material adverse effect on our business and results of operations.</w:t>
      </w:r>
    </w:p>
    <w:p>
      <w:pPr>
        <w:spacing w:after="0" w:line="62" w:lineRule="exact"/>
        <w:rPr>
          <w:sz w:val="20"/>
          <w:szCs w:val="20"/>
          <w:color w:val="auto"/>
        </w:rPr>
      </w:pPr>
    </w:p>
    <w:p>
      <w:pPr>
        <w:ind w:right="20" w:firstLine="228"/>
        <w:spacing w:after="0" w:line="286" w:lineRule="auto"/>
        <w:rPr>
          <w:sz w:val="20"/>
          <w:szCs w:val="20"/>
          <w:color w:val="auto"/>
        </w:rPr>
      </w:pPr>
      <w:r>
        <w:rPr>
          <w:rFonts w:ascii="Arial" w:cs="Arial" w:eastAsia="Arial" w:hAnsi="Arial"/>
          <w:sz w:val="16"/>
          <w:szCs w:val="16"/>
          <w:color w:val="auto"/>
        </w:rPr>
        <w:t>Our business plan contemplates that we restructure our operations in various European countries, and we are actively working to accomplish this. We continue to work towards a restructuring of our German and certain other European operations. We cannot be certain that we will be able to successfully complete any of these restructurings. In addition, restructurings, whether or not ultimately successful, can involve significant expense and disruption to the business as well as labor disruptions, which can adversely affect the business. Moreover, in June 2010 the German federal government notified us of its decision not to provide loan guarantees to Opel/ Vauxhall. As a result, we decided to fund the requirements of Opel/Vauxhall internally and withdrew all applications for government loan guarantees from European governments. We anticipate that our decision to restructure our European operations will require us to invest $1.3 billion of additional funds and require significant management attention. We cannot assure you that any of our contemplated restructurings will be completed or achieve the desired results, and if we cannot successfully complete such restructurings, we may choose to, or the directors of the relevant entity may be compelled to, or creditors may force us to, seek relief for our various European operations under applicable local bankruptcy, reorganization, insolvency, or similar laws, where we may lose control over the outcome of the restructuring process due to the appointment of a local receiver, trustee, or administrator (or similar official) or otherwise and which could result in a liquidation and us losing all or a substantial part of our interest in the business.</w:t>
      </w:r>
    </w:p>
    <w:p>
      <w:pPr>
        <w:spacing w:after="0" w:line="127" w:lineRule="exact"/>
        <w:rPr>
          <w:sz w:val="20"/>
          <w:szCs w:val="20"/>
          <w:color w:val="auto"/>
        </w:rPr>
      </w:pPr>
    </w:p>
    <w:p>
      <w:pPr>
        <w:jc w:val="both"/>
        <w:ind w:left="240" w:right="40"/>
        <w:spacing w:after="0" w:line="306" w:lineRule="auto"/>
        <w:rPr>
          <w:sz w:val="20"/>
          <w:szCs w:val="20"/>
          <w:color w:val="auto"/>
        </w:rPr>
      </w:pPr>
      <w:r>
        <w:rPr>
          <w:rFonts w:ascii="Arial" w:cs="Arial" w:eastAsia="Arial" w:hAnsi="Arial"/>
          <w:sz w:val="16"/>
          <w:szCs w:val="16"/>
          <w:b w:val="1"/>
          <w:bCs w:val="1"/>
          <w:i w:val="1"/>
          <w:iCs w:val="1"/>
          <w:color w:val="auto"/>
        </w:rPr>
        <w:t>Our U.S. defined benefit pension plans are currently underfunded, and our pension funding obligations could increase significantly due to a reduction in funded status as a result of a variety of factors, including weak performance of financial markets, declining interest rates, investment decisions that do not achieve adequate returns, and investment risk inherent in our investment portfolio.</w:t>
      </w:r>
    </w:p>
    <w:p>
      <w:pPr>
        <w:spacing w:after="0" w:line="107" w:lineRule="exact"/>
        <w:rPr>
          <w:sz w:val="20"/>
          <w:szCs w:val="20"/>
          <w:color w:val="auto"/>
        </w:rPr>
      </w:pPr>
    </w:p>
    <w:p>
      <w:pPr>
        <w:ind w:right="20" w:firstLine="228"/>
        <w:spacing w:after="0" w:line="286" w:lineRule="auto"/>
        <w:rPr>
          <w:sz w:val="20"/>
          <w:szCs w:val="20"/>
          <w:color w:val="auto"/>
        </w:rPr>
      </w:pPr>
      <w:r>
        <w:rPr>
          <w:rFonts w:ascii="Arial" w:cs="Arial" w:eastAsia="Arial" w:hAnsi="Arial"/>
          <w:sz w:val="16"/>
          <w:szCs w:val="16"/>
          <w:color w:val="auto"/>
        </w:rPr>
        <w:t>Our future funding obligations for our U.S. defined benefit pension plans qualified with the Internal Revenue Service (IRS) depend upon the future performance of assets placed in trusts for these plans, the level of interest rates used to determine funding levels, the level of benefits provided for by the plans and any changes in government laws and regulations. Our employee benefit plans currently hold a significant amount of equity and fixed income securities. A detailed description of the investment funds and strategies is shown in Note 19 to the audited consolidated financial statements contained in the Form S-1, which also describes significant concentrations of risk to the plan investments. Due to Old GM’s contributions to the plans and to the strong performance of these assets during prior periods, the U.S. hourly and salaried pension plans were consistently overfunded from 2005 through 2007, which allowed Old GM to maintain a surplus without making additional contributions to the plans. However, the funded status subsequently deteriorated due to a combination of factors. Adverse equity and credit markets reduced the market value of plan assets, while the present value of pension liabilities rose significantly in response to declines in the discount rate, the effect of separation programs and increases in the level of pension benefits and number of beneficiaries. This increase in beneficiaries was partially due to the inclusion of certain Delphi Corporation (Delphi) hourly employees. As a result of these adverse factors, our U.S. defined benefit pension plans were underfunded on a U.S. GAAP basis by $17.1 billion at December 31, 2009. In addition, at December 31, 2009 our non-U.S. defined benefit pension plans were underfunded on a U.S. GAAP basis by $10.3 billion.</w:t>
      </w:r>
    </w:p>
    <w:p>
      <w:pPr>
        <w:spacing w:after="0" w:line="124" w:lineRule="exact"/>
        <w:rPr>
          <w:sz w:val="20"/>
          <w:szCs w:val="20"/>
          <w:color w:val="auto"/>
        </w:rPr>
      </w:pPr>
    </w:p>
    <w:p>
      <w:pPr>
        <w:ind w:firstLine="228"/>
        <w:spacing w:after="0" w:line="288" w:lineRule="auto"/>
        <w:rPr>
          <w:sz w:val="20"/>
          <w:szCs w:val="20"/>
          <w:color w:val="auto"/>
        </w:rPr>
      </w:pPr>
      <w:r>
        <w:rPr>
          <w:rFonts w:ascii="Arial" w:cs="Arial" w:eastAsia="Arial" w:hAnsi="Arial"/>
          <w:sz w:val="16"/>
          <w:szCs w:val="16"/>
          <w:color w:val="auto"/>
        </w:rPr>
        <w:t>The defined benefit pension plans are accounted for on an actuarial basis, which requires the selection of various assumptions, including an expected rate of return on plan assets and a discount rate. In the U.S., from December 31, 2009 to September 30, 2010, interest rates on high quality corporate bonds decreased. The U.S. hourly defined benefit pension plan was remeasured as of September 30, 2010. We believe that a discount rate calculated for the remaining U. S. defined benefit pension plans at September 30, 2010 would be approximately 90 to 100 basis points lower than the rates used to measure these pension plans at December 31, 2009, the date of the last remeasurement for the U.S. pension plans. As a result, funded status would decrease if the plans were remeasured at September 30, 2010, holding all other factors (e.g., actuarial assumptions and asset returns) constant. Refer to “Management’s Discussion and Analysis of Financial Condition and Results of Operations — Critical Accounting Estimates” for an indication of the sensitivity associated with movements in discount rates. It is not possible for us to predict the economic environment at our next scheduled remeasurement as of December 31, 2010. Accordingly, discount rates and plan assets may be significantly different from those at September 30, 2010.</w:t>
      </w:r>
    </w:p>
    <w:p>
      <w:pPr>
        <w:spacing w:after="0" w:line="10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156</w:t>
      </w:r>
    </w:p>
    <w:p>
      <w:pPr>
        <w:sectPr>
          <w:pgSz w:w="11900" w:h="16838" w:orient="portrait"/>
          <w:cols w:equalWidth="0" w:num="1">
            <w:col w:w="11420"/>
          </w:cols>
          <w:pgMar w:left="240" w:top="459" w:right="239" w:bottom="1440" w:gutter="0" w:footer="0" w:header="0"/>
        </w:sectPr>
      </w:pPr>
    </w:p>
    <w:bookmarkStart w:id="158" w:name="page159"/>
    <w:bookmarkEnd w:id="15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339" w:lineRule="exact"/>
        <w:rPr>
          <w:sz w:val="20"/>
          <w:szCs w:val="20"/>
          <w:color w:val="auto"/>
        </w:rPr>
      </w:pPr>
    </w:p>
    <w:p>
      <w:pPr>
        <w:ind w:firstLine="228"/>
        <w:spacing w:after="0" w:line="290" w:lineRule="auto"/>
        <w:rPr>
          <w:sz w:val="20"/>
          <w:szCs w:val="20"/>
          <w:color w:val="auto"/>
        </w:rPr>
      </w:pPr>
      <w:r>
        <w:rPr>
          <w:rFonts w:ascii="Arial" w:cs="Arial" w:eastAsia="Arial" w:hAnsi="Arial"/>
          <w:sz w:val="16"/>
          <w:szCs w:val="16"/>
          <w:color w:val="auto"/>
        </w:rPr>
        <w:t>The next U.S. pension funding valuation date based on the requirements of the Pension Protection Act (PPA) of 2006 is October 1, 2010, and this valuation has not been completed. We plan to make a $6.0 billion voluntary contribution to U. S. pension plans in 2010, consisting of cash of $4.0 billion and $2.0 billion of our common stock. These voluntary contributions are contingent upon completion of the common stock offering and the Series B Preferred Stock offering. The stock contribution is contingent on approval from the Department of Labor that the stock will qualify as a plan asset for funding purposes. Assuming that this $6.0 billion contribution is made, a hypothetical funding valuation at September 30, 2010, projects a required contribution of $2.4 billion in 2015, and additional contributions may be required thereafter. In the event we do not make this voluntary contribution our potential funding requirements are described in “Management’s Discussion and Analysis of Financial Condition and Results of Operations — Contractual Obligations and Other Long-Term Liabilities.”</w:t>
      </w:r>
    </w:p>
    <w:p>
      <w:pPr>
        <w:spacing w:after="0" w:line="118" w:lineRule="exact"/>
        <w:rPr>
          <w:sz w:val="20"/>
          <w:szCs w:val="20"/>
          <w:color w:val="auto"/>
        </w:rPr>
      </w:pPr>
    </w:p>
    <w:p>
      <w:pPr>
        <w:ind w:right="80" w:firstLine="228"/>
        <w:spacing w:after="0" w:line="298" w:lineRule="auto"/>
        <w:rPr>
          <w:sz w:val="20"/>
          <w:szCs w:val="20"/>
          <w:color w:val="auto"/>
        </w:rPr>
      </w:pPr>
      <w:r>
        <w:rPr>
          <w:rFonts w:ascii="Arial" w:cs="Arial" w:eastAsia="Arial" w:hAnsi="Arial"/>
          <w:sz w:val="16"/>
          <w:szCs w:val="16"/>
          <w:color w:val="auto"/>
        </w:rPr>
        <w:t>If the total values of the assets held by our pension plans decline and/or the returns on such assets underperform the Company’s return assumptions, our pension expenses would generally increase and could materially adversely affect our financial position. Changes in interest rates that are not offset by contributions, asset returns and/or hedging activities could also increase our obligations under such plans. If local legal authorities increase the minimum funding requirements for our pension plans outside the U.S., we could be required to contribute more funds, which would negatively affect our cash flow.</w:t>
      </w:r>
    </w:p>
    <w:p>
      <w:pPr>
        <w:spacing w:after="0" w:line="113" w:lineRule="exact"/>
        <w:rPr>
          <w:sz w:val="20"/>
          <w:szCs w:val="20"/>
          <w:color w:val="auto"/>
        </w:rPr>
      </w:pPr>
    </w:p>
    <w:p>
      <w:pPr>
        <w:jc w:val="both"/>
        <w:ind w:right="20" w:firstLine="228"/>
        <w:spacing w:after="0" w:line="259" w:lineRule="auto"/>
        <w:rPr>
          <w:sz w:val="20"/>
          <w:szCs w:val="20"/>
          <w:color w:val="auto"/>
        </w:rPr>
      </w:pPr>
      <w:r>
        <w:rPr>
          <w:rFonts w:ascii="Arial" w:cs="Arial" w:eastAsia="Arial" w:hAnsi="Arial"/>
          <w:sz w:val="18"/>
          <w:szCs w:val="18"/>
          <w:color w:val="auto"/>
        </w:rPr>
        <w:t>Due to the complexity and magnitude of our investments, additional risks exist. Examples include significant changes in investment policy, insufficient market capacity to complete a particular investment strategy, and an inherent divergence in objectives between the ability to manage risk in the short term and inability to quickly rebalance illiquid and long-term investments.</w:t>
      </w:r>
    </w:p>
    <w:p>
      <w:pPr>
        <w:spacing w:after="0" w:line="140" w:lineRule="exact"/>
        <w:rPr>
          <w:sz w:val="20"/>
          <w:szCs w:val="20"/>
          <w:color w:val="auto"/>
        </w:rPr>
      </w:pPr>
    </w:p>
    <w:p>
      <w:pPr>
        <w:ind w:right="40" w:firstLine="228"/>
        <w:spacing w:after="0" w:line="255" w:lineRule="auto"/>
        <w:rPr>
          <w:sz w:val="20"/>
          <w:szCs w:val="20"/>
          <w:color w:val="auto"/>
        </w:rPr>
      </w:pPr>
      <w:r>
        <w:rPr>
          <w:rFonts w:ascii="Arial" w:cs="Arial" w:eastAsia="Arial" w:hAnsi="Arial"/>
          <w:sz w:val="18"/>
          <w:szCs w:val="18"/>
          <w:color w:val="auto"/>
        </w:rPr>
        <w:t>If we are unable to meet our required funding obligations for our U.S. pension plans under the terms imposed by regulators at a given point in time, we would need to request a funding waiver from the IRS. If the waiver were granted, we would have the opportunity to make up the missed funding, with interest to the plan. Additional periods of missed funding could further reduce the plans’ funded status, resulting in limitations on plan amendments and lump sum payouts from the plans. Continued deterioration in the plans’ funded status could result in benefit accrual elimination. These actions could materially adversely affect our relations with our employees and their labor unions.</w:t>
      </w:r>
    </w:p>
    <w:p>
      <w:pPr>
        <w:spacing w:after="0" w:line="143" w:lineRule="exact"/>
        <w:rPr>
          <w:sz w:val="20"/>
          <w:szCs w:val="20"/>
          <w:color w:val="auto"/>
        </w:rPr>
      </w:pPr>
    </w:p>
    <w:p>
      <w:pPr>
        <w:ind w:left="240" w:right="660"/>
        <w:spacing w:after="0" w:line="370" w:lineRule="auto"/>
        <w:rPr>
          <w:sz w:val="20"/>
          <w:szCs w:val="20"/>
          <w:color w:val="auto"/>
        </w:rPr>
      </w:pPr>
      <w:r>
        <w:rPr>
          <w:rFonts w:ascii="Arial" w:cs="Arial" w:eastAsia="Arial" w:hAnsi="Arial"/>
          <w:sz w:val="15"/>
          <w:szCs w:val="15"/>
          <w:b w:val="1"/>
          <w:bCs w:val="1"/>
          <w:i w:val="1"/>
          <w:iCs w:val="1"/>
          <w:color w:val="auto"/>
        </w:rPr>
        <w:t>If adequate financing on acceptable terms is not available through Ally Financial or other sources to our customers and dealers, distributors, and suppliers to enable them to continue their business relationships with us, our business could be materially adversely affected.</w:t>
      </w:r>
    </w:p>
    <w:p>
      <w:pPr>
        <w:spacing w:after="0" w:line="62" w:lineRule="exact"/>
        <w:rPr>
          <w:sz w:val="20"/>
          <w:szCs w:val="20"/>
          <w:color w:val="auto"/>
        </w:rPr>
      </w:pPr>
    </w:p>
    <w:p>
      <w:pPr>
        <w:ind w:right="80" w:firstLine="228"/>
        <w:spacing w:after="0" w:line="291" w:lineRule="auto"/>
        <w:rPr>
          <w:sz w:val="20"/>
          <w:szCs w:val="20"/>
          <w:color w:val="auto"/>
        </w:rPr>
      </w:pPr>
      <w:r>
        <w:rPr>
          <w:rFonts w:ascii="Arial" w:cs="Arial" w:eastAsia="Arial" w:hAnsi="Arial"/>
          <w:sz w:val="16"/>
          <w:szCs w:val="16"/>
          <w:color w:val="auto"/>
        </w:rPr>
        <w:t>Our customers and dealers require financing to purchase a significant percentage of our global vehicle sales. Historically, Ally Financial has provided most of the financing for our and Old GM’s dealers and a significant amount of financing for our and Old GM’s customers. Due to recent conditions in credit markets, particularly later in 2008, retail customers and dealers experienced severe difficulty in accessing the credit markets. As a result, the number of vehicles sold or leased declined rapidly in the second half of 2008, with lease contract volume dropping significantly by the end of 2008. This had a significant adverse effect on Old GM vehicle sales overall because many of its competitors had captive financing subsidiaries that were better capitalized than Ally Financial during 2008 and 2009 and thus were able to offer consumers subsidized financing and leasing offers.</w:t>
      </w:r>
    </w:p>
    <w:p>
      <w:pPr>
        <w:spacing w:after="0" w:line="120" w:lineRule="exact"/>
        <w:rPr>
          <w:sz w:val="20"/>
          <w:szCs w:val="20"/>
          <w:color w:val="auto"/>
        </w:rPr>
      </w:pPr>
    </w:p>
    <w:p>
      <w:pPr>
        <w:ind w:right="20" w:firstLine="228"/>
        <w:spacing w:after="0" w:line="259" w:lineRule="auto"/>
        <w:rPr>
          <w:sz w:val="20"/>
          <w:szCs w:val="20"/>
          <w:color w:val="auto"/>
        </w:rPr>
      </w:pPr>
      <w:r>
        <w:rPr>
          <w:rFonts w:ascii="Arial" w:cs="Arial" w:eastAsia="Arial" w:hAnsi="Arial"/>
          <w:sz w:val="18"/>
          <w:szCs w:val="18"/>
          <w:color w:val="auto"/>
        </w:rPr>
        <w:t>Similarly, the reduced availability of Ally Financial wholesale dealer financing (in the second half of 2008 and 2009), the increased cost of such financing, and the limited availability of other sources of dealer financing due to the general weakness of the credit market has caused and may continue to cause dealers to modify their plans to purchase vehicles from us.</w:t>
      </w:r>
    </w:p>
    <w:p>
      <w:pPr>
        <w:spacing w:after="0" w:line="140" w:lineRule="exact"/>
        <w:rPr>
          <w:sz w:val="20"/>
          <w:szCs w:val="20"/>
          <w:color w:val="auto"/>
        </w:rPr>
      </w:pPr>
    </w:p>
    <w:p>
      <w:pPr>
        <w:ind w:right="20" w:firstLine="228"/>
        <w:spacing w:after="0" w:line="291" w:lineRule="auto"/>
        <w:rPr>
          <w:sz w:val="20"/>
          <w:szCs w:val="20"/>
          <w:color w:val="auto"/>
        </w:rPr>
      </w:pPr>
      <w:r>
        <w:rPr>
          <w:rFonts w:ascii="Arial" w:cs="Arial" w:eastAsia="Arial" w:hAnsi="Arial"/>
          <w:sz w:val="16"/>
          <w:szCs w:val="16"/>
          <w:color w:val="auto"/>
        </w:rPr>
        <w:t>Because of recent modifications to our commercial agreements with Ally Financial, Ally Financial no longer is subject to contractual wholesale funding commitments or retail underwriting targets. In addition, Ally Financial’s credit rating has declined in recent years. This may negatively affect its access to funding and therefore its ability to provide adequate financing at competitive rates to our customers and dealers. In addition, a number of other factors could negatively affect Ally Financial’s business and financial condition and therefore its ability to provide adequate financing at competitive rates. These factors include regulations to which Ally Financial is subject as a result of its bank holding company status, disruptions in Ally Financial’s funding sources and access to credit markets, Ally Financial’s significant indebtedness, adverse conditions in the residential mortgage market and housing</w:t>
      </w:r>
    </w:p>
    <w:p>
      <w:pPr>
        <w:spacing w:after="0" w:line="1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157</w:t>
      </w:r>
    </w:p>
    <w:p>
      <w:pPr>
        <w:sectPr>
          <w:pgSz w:w="11900" w:h="16838" w:orient="portrait"/>
          <w:cols w:equalWidth="0" w:num="1">
            <w:col w:w="11420"/>
          </w:cols>
          <w:pgMar w:left="240" w:top="460" w:right="239" w:bottom="1440" w:gutter="0" w:footer="0" w:header="0"/>
        </w:sectPr>
      </w:pPr>
    </w:p>
    <w:bookmarkStart w:id="159" w:name="page160"/>
    <w:bookmarkEnd w:id="15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164" w:lineRule="exact"/>
        <w:rPr>
          <w:sz w:val="20"/>
          <w:szCs w:val="20"/>
          <w:color w:val="auto"/>
        </w:rPr>
      </w:pPr>
    </w:p>
    <w:p>
      <w:pPr>
        <w:ind w:right="120"/>
        <w:spacing w:after="0" w:line="268" w:lineRule="auto"/>
        <w:rPr>
          <w:sz w:val="20"/>
          <w:szCs w:val="20"/>
          <w:color w:val="auto"/>
        </w:rPr>
      </w:pPr>
      <w:r>
        <w:rPr>
          <w:rFonts w:ascii="Arial" w:cs="Arial" w:eastAsia="Arial" w:hAnsi="Arial"/>
          <w:sz w:val="18"/>
          <w:szCs w:val="18"/>
          <w:color w:val="auto"/>
        </w:rPr>
        <w:t>markets that have adversely affected Ally Financial because of its mortgage business, increases or decreases in interest rates, changes in currency exchange rates and fluctuations in valuations of investment securities held by Ally Financial.</w:t>
      </w:r>
    </w:p>
    <w:p>
      <w:pPr>
        <w:spacing w:after="0" w:line="132" w:lineRule="exact"/>
        <w:rPr>
          <w:sz w:val="20"/>
          <w:szCs w:val="20"/>
          <w:color w:val="auto"/>
        </w:rPr>
      </w:pPr>
    </w:p>
    <w:p>
      <w:pPr>
        <w:ind w:left="240" w:right="140"/>
        <w:spacing w:after="0" w:line="259" w:lineRule="auto"/>
        <w:rPr>
          <w:sz w:val="20"/>
          <w:szCs w:val="20"/>
          <w:color w:val="auto"/>
        </w:rPr>
      </w:pPr>
      <w:r>
        <w:rPr>
          <w:rFonts w:ascii="Arial" w:cs="Arial" w:eastAsia="Arial" w:hAnsi="Arial"/>
          <w:sz w:val="18"/>
          <w:szCs w:val="18"/>
          <w:b w:val="1"/>
          <w:bCs w:val="1"/>
          <w:i w:val="1"/>
          <w:iCs w:val="1"/>
          <w:color w:val="auto"/>
        </w:rPr>
        <w:t>Our failure to successfully develop our own captive financing unit, including through GM Financial, could leave us at a disadvantage to our competitors that have their own captive financing subsidiaries and that therefore may be able to offer consumers and dealers financing and leasing on better terms than our customers and dealers are able to obtain.</w:t>
      </w:r>
    </w:p>
    <w:p>
      <w:pPr>
        <w:spacing w:after="0" w:line="140" w:lineRule="exact"/>
        <w:rPr>
          <w:sz w:val="20"/>
          <w:szCs w:val="20"/>
          <w:color w:val="auto"/>
        </w:rPr>
      </w:pPr>
    </w:p>
    <w:p>
      <w:pPr>
        <w:jc w:val="both"/>
        <w:ind w:right="80" w:firstLine="228"/>
        <w:spacing w:after="0" w:line="306" w:lineRule="auto"/>
        <w:rPr>
          <w:sz w:val="20"/>
          <w:szCs w:val="20"/>
          <w:color w:val="auto"/>
        </w:rPr>
      </w:pPr>
      <w:r>
        <w:rPr>
          <w:rFonts w:ascii="Arial" w:cs="Arial" w:eastAsia="Arial" w:hAnsi="Arial"/>
          <w:sz w:val="16"/>
          <w:szCs w:val="16"/>
          <w:color w:val="auto"/>
        </w:rPr>
        <w:t>Many of our competitors operate and control their own captive financing subsidiaries. If any of our competitors with captive financing subsidiaries are able to continue to offer consumers and dealers financing and leasing on better terms than our customers and dealers are able to obtain, consumers may be more inclined to purchase our competitors’ vehicles and our competitors’ dealers may be better able to stock our competitors’ products.</w:t>
      </w:r>
    </w:p>
    <w:p>
      <w:pPr>
        <w:spacing w:after="0" w:line="107" w:lineRule="exact"/>
        <w:rPr>
          <w:sz w:val="20"/>
          <w:szCs w:val="20"/>
          <w:color w:val="auto"/>
        </w:rPr>
      </w:pPr>
    </w:p>
    <w:p>
      <w:pPr>
        <w:jc w:val="both"/>
        <w:ind w:right="60" w:firstLine="228"/>
        <w:spacing w:after="0" w:line="298" w:lineRule="auto"/>
        <w:rPr>
          <w:sz w:val="20"/>
          <w:szCs w:val="20"/>
          <w:color w:val="auto"/>
        </w:rPr>
      </w:pPr>
      <w:r>
        <w:rPr>
          <w:rFonts w:ascii="Arial" w:cs="Arial" w:eastAsia="Arial" w:hAnsi="Arial"/>
          <w:sz w:val="16"/>
          <w:szCs w:val="16"/>
          <w:color w:val="auto"/>
        </w:rPr>
        <w:t>On October 1, 2010 we completed our acquisition of AmeriCredit, which we subsequently renamed GM Financial and which we expect will enable us to offer increased availability of leasing and sub-prime financing for our customers. Our failure to successfully develop our own captive financing unit, including through the AmeriCredit acquisition, could result in our loss of customers to our competitors with their own captive financing subsidiaries and could adversely affect our dealers’ ability to stock our vehicles if they are not able to obtain necessary financing at competitive rates from other sources.</w:t>
      </w:r>
    </w:p>
    <w:p>
      <w:pPr>
        <w:spacing w:after="0" w:line="113" w:lineRule="exact"/>
        <w:rPr>
          <w:sz w:val="20"/>
          <w:szCs w:val="20"/>
          <w:color w:val="auto"/>
        </w:rPr>
      </w:pPr>
    </w:p>
    <w:p>
      <w:pPr>
        <w:ind w:left="240" w:right="340"/>
        <w:spacing w:after="0" w:line="298" w:lineRule="auto"/>
        <w:rPr>
          <w:sz w:val="20"/>
          <w:szCs w:val="20"/>
          <w:color w:val="auto"/>
        </w:rPr>
      </w:pPr>
      <w:r>
        <w:rPr>
          <w:rFonts w:ascii="Arial" w:cs="Arial" w:eastAsia="Arial" w:hAnsi="Arial"/>
          <w:sz w:val="16"/>
          <w:szCs w:val="16"/>
          <w:b w:val="1"/>
          <w:bCs w:val="1"/>
          <w:i w:val="1"/>
          <w:iCs w:val="1"/>
          <w:color w:val="auto"/>
        </w:rPr>
        <w:t>We intend to rely on our new captive financing unit, GM Financial, to support additional consumer leasing of our vehicles and additional sales of our vehicles to consumers requiring sub-prime vehicle financing, and GM Financial faces a number of business, economic and financial risks that could impair its access to capital and negatively affect its business and operations and its ability to provide leasing and sub-prime financing options to consumers to support additional sales of our vehicles.</w:t>
      </w:r>
    </w:p>
    <w:p>
      <w:pPr>
        <w:spacing w:after="0" w:line="113" w:lineRule="exact"/>
        <w:rPr>
          <w:sz w:val="20"/>
          <w:szCs w:val="20"/>
          <w:color w:val="auto"/>
        </w:rPr>
      </w:pPr>
    </w:p>
    <w:p>
      <w:pPr>
        <w:ind w:firstLine="228"/>
        <w:spacing w:after="0" w:line="254" w:lineRule="auto"/>
        <w:rPr>
          <w:sz w:val="20"/>
          <w:szCs w:val="20"/>
          <w:color w:val="auto"/>
        </w:rPr>
      </w:pPr>
      <w:r>
        <w:rPr>
          <w:rFonts w:ascii="Arial" w:cs="Arial" w:eastAsia="Arial" w:hAnsi="Arial"/>
          <w:sz w:val="18"/>
          <w:szCs w:val="18"/>
          <w:color w:val="auto"/>
        </w:rPr>
        <w:t>GM Financial is subject to various risks that could negatively affect its business, operations and access to capital and therefore its ability to provide leasing and sub-prime financing options at competitive rates to consumers of our vehicles. Because we intend to rely on GM Financial to serve as an additional source of leasing and sub-prime financing options for consumers, any impairment of GM Financial’s ability to provide such leasing or sub-prime financing would negatively affect our efforts to expand our market penetration among consumers who rely on leasing and sub-prime financing options to acquire new vehicles. The factors that could adversely affect GM Financial’s business and operations and impair its ability to provide leasing and sub-prime financing at competitive rates include:</w:t>
      </w:r>
    </w:p>
    <w:p>
      <w:pPr>
        <w:spacing w:after="0" w:line="185" w:lineRule="exact"/>
        <w:rPr>
          <w:sz w:val="20"/>
          <w:szCs w:val="20"/>
          <w:color w:val="auto"/>
        </w:rPr>
      </w:pPr>
    </w:p>
    <w:p>
      <w:pPr>
        <w:ind w:left="660" w:hanging="436"/>
        <w:spacing w:after="0"/>
        <w:tabs>
          <w:tab w:leader="none" w:pos="660" w:val="left"/>
        </w:tabs>
        <w:numPr>
          <w:ilvl w:val="0"/>
          <w:numId w:val="117"/>
        </w:numPr>
        <w:rPr>
          <w:rFonts w:ascii="Arial" w:cs="Arial" w:eastAsia="Arial" w:hAnsi="Arial"/>
          <w:sz w:val="18"/>
          <w:szCs w:val="18"/>
          <w:color w:val="auto"/>
        </w:rPr>
      </w:pPr>
      <w:r>
        <w:rPr>
          <w:rFonts w:ascii="Arial" w:cs="Arial" w:eastAsia="Arial" w:hAnsi="Arial"/>
          <w:sz w:val="18"/>
          <w:szCs w:val="18"/>
          <w:color w:val="auto"/>
        </w:rPr>
        <w:t>The availability of borrowings under its credit facility to finance its loan origination activities pending securitization;</w:t>
      </w:r>
    </w:p>
    <w:p>
      <w:pPr>
        <w:spacing w:after="0" w:line="90" w:lineRule="exact"/>
        <w:rPr>
          <w:rFonts w:ascii="Arial" w:cs="Arial" w:eastAsia="Arial" w:hAnsi="Arial"/>
          <w:sz w:val="18"/>
          <w:szCs w:val="18"/>
          <w:color w:val="auto"/>
        </w:rPr>
      </w:pPr>
    </w:p>
    <w:p>
      <w:pPr>
        <w:ind w:left="660" w:right="180" w:hanging="436"/>
        <w:spacing w:after="0" w:line="268" w:lineRule="auto"/>
        <w:tabs>
          <w:tab w:leader="none" w:pos="660" w:val="left"/>
        </w:tabs>
        <w:numPr>
          <w:ilvl w:val="0"/>
          <w:numId w:val="117"/>
        </w:numPr>
        <w:rPr>
          <w:rFonts w:ascii="Arial" w:cs="Arial" w:eastAsia="Arial" w:hAnsi="Arial"/>
          <w:sz w:val="18"/>
          <w:szCs w:val="18"/>
          <w:color w:val="auto"/>
        </w:rPr>
      </w:pPr>
      <w:r>
        <w:rPr>
          <w:rFonts w:ascii="Arial" w:cs="Arial" w:eastAsia="Arial" w:hAnsi="Arial"/>
          <w:sz w:val="18"/>
          <w:szCs w:val="18"/>
          <w:color w:val="auto"/>
        </w:rPr>
        <w:t>Its ability to transfer loan receivables to securitization trusts and sell securities in the asset-backed securities market to generate cash proceeds to repay its credit facilities and purchase additional loan receivables;</w:t>
      </w:r>
    </w:p>
    <w:p>
      <w:pPr>
        <w:spacing w:after="0" w:line="50" w:lineRule="exact"/>
        <w:rPr>
          <w:rFonts w:ascii="Arial" w:cs="Arial" w:eastAsia="Arial" w:hAnsi="Arial"/>
          <w:sz w:val="18"/>
          <w:szCs w:val="18"/>
          <w:color w:val="auto"/>
        </w:rPr>
      </w:pPr>
    </w:p>
    <w:p>
      <w:pPr>
        <w:ind w:left="660" w:hanging="436"/>
        <w:spacing w:after="0"/>
        <w:tabs>
          <w:tab w:leader="none" w:pos="660" w:val="left"/>
        </w:tabs>
        <w:numPr>
          <w:ilvl w:val="0"/>
          <w:numId w:val="117"/>
        </w:numPr>
        <w:rPr>
          <w:rFonts w:ascii="Arial" w:cs="Arial" w:eastAsia="Arial" w:hAnsi="Arial"/>
          <w:sz w:val="18"/>
          <w:szCs w:val="18"/>
          <w:color w:val="auto"/>
        </w:rPr>
      </w:pPr>
      <w:r>
        <w:rPr>
          <w:rFonts w:ascii="Arial" w:cs="Arial" w:eastAsia="Arial" w:hAnsi="Arial"/>
          <w:sz w:val="18"/>
          <w:szCs w:val="18"/>
          <w:color w:val="auto"/>
        </w:rPr>
        <w:t>The performance of loans in its portfolio, which could be materially impacted by delinquencies, defaults or prepayments;</w:t>
      </w:r>
    </w:p>
    <w:p>
      <w:pPr>
        <w:spacing w:after="0" w:line="90" w:lineRule="exact"/>
        <w:rPr>
          <w:rFonts w:ascii="Arial" w:cs="Arial" w:eastAsia="Arial" w:hAnsi="Arial"/>
          <w:sz w:val="18"/>
          <w:szCs w:val="18"/>
          <w:color w:val="auto"/>
        </w:rPr>
      </w:pPr>
    </w:p>
    <w:p>
      <w:pPr>
        <w:ind w:left="660" w:right="40" w:hanging="436"/>
        <w:spacing w:after="0" w:line="268" w:lineRule="auto"/>
        <w:tabs>
          <w:tab w:leader="none" w:pos="660" w:val="left"/>
        </w:tabs>
        <w:numPr>
          <w:ilvl w:val="0"/>
          <w:numId w:val="117"/>
        </w:numPr>
        <w:rPr>
          <w:rFonts w:ascii="Arial" w:cs="Arial" w:eastAsia="Arial" w:hAnsi="Arial"/>
          <w:sz w:val="18"/>
          <w:szCs w:val="18"/>
          <w:color w:val="auto"/>
        </w:rPr>
      </w:pPr>
      <w:r>
        <w:rPr>
          <w:rFonts w:ascii="Arial" w:cs="Arial" w:eastAsia="Arial" w:hAnsi="Arial"/>
          <w:sz w:val="18"/>
          <w:szCs w:val="18"/>
          <w:color w:val="auto"/>
        </w:rPr>
        <w:t>Its ability to implement its strategy with respect to desired loan origination volume and effective use of credit risk management techniques and servicing strategies;</w:t>
      </w:r>
    </w:p>
    <w:p>
      <w:pPr>
        <w:spacing w:after="0" w:line="50" w:lineRule="exact"/>
        <w:rPr>
          <w:rFonts w:ascii="Arial" w:cs="Arial" w:eastAsia="Arial" w:hAnsi="Arial"/>
          <w:sz w:val="18"/>
          <w:szCs w:val="18"/>
          <w:color w:val="auto"/>
        </w:rPr>
      </w:pPr>
    </w:p>
    <w:p>
      <w:pPr>
        <w:ind w:left="660" w:hanging="436"/>
        <w:spacing w:after="0"/>
        <w:tabs>
          <w:tab w:leader="none" w:pos="660" w:val="left"/>
        </w:tabs>
        <w:numPr>
          <w:ilvl w:val="0"/>
          <w:numId w:val="117"/>
        </w:numPr>
        <w:rPr>
          <w:rFonts w:ascii="Arial" w:cs="Arial" w:eastAsia="Arial" w:hAnsi="Arial"/>
          <w:sz w:val="18"/>
          <w:szCs w:val="18"/>
          <w:color w:val="auto"/>
        </w:rPr>
      </w:pPr>
      <w:r>
        <w:rPr>
          <w:rFonts w:ascii="Arial" w:cs="Arial" w:eastAsia="Arial" w:hAnsi="Arial"/>
          <w:sz w:val="18"/>
          <w:szCs w:val="18"/>
          <w:color w:val="auto"/>
        </w:rPr>
        <w:t>Its ability to effectively manage risks relating to sub-prime automobile receivables;</w:t>
      </w:r>
    </w:p>
    <w:p>
      <w:pPr>
        <w:spacing w:after="0" w:line="90" w:lineRule="exact"/>
        <w:rPr>
          <w:rFonts w:ascii="Arial" w:cs="Arial" w:eastAsia="Arial" w:hAnsi="Arial"/>
          <w:sz w:val="18"/>
          <w:szCs w:val="18"/>
          <w:color w:val="auto"/>
        </w:rPr>
      </w:pPr>
    </w:p>
    <w:p>
      <w:pPr>
        <w:ind w:left="660" w:hanging="436"/>
        <w:spacing w:after="0"/>
        <w:tabs>
          <w:tab w:leader="none" w:pos="660" w:val="left"/>
        </w:tabs>
        <w:numPr>
          <w:ilvl w:val="0"/>
          <w:numId w:val="117"/>
        </w:numPr>
        <w:rPr>
          <w:rFonts w:ascii="Arial" w:cs="Arial" w:eastAsia="Arial" w:hAnsi="Arial"/>
          <w:sz w:val="18"/>
          <w:szCs w:val="18"/>
          <w:color w:val="auto"/>
        </w:rPr>
      </w:pPr>
      <w:r>
        <w:rPr>
          <w:rFonts w:ascii="Arial" w:cs="Arial" w:eastAsia="Arial" w:hAnsi="Arial"/>
          <w:sz w:val="18"/>
          <w:szCs w:val="18"/>
          <w:color w:val="auto"/>
        </w:rPr>
        <w:t>Wholesale auction values of repossessed vehicles; and</w:t>
      </w:r>
    </w:p>
    <w:p>
      <w:pPr>
        <w:spacing w:after="0" w:line="90" w:lineRule="exact"/>
        <w:rPr>
          <w:rFonts w:ascii="Arial" w:cs="Arial" w:eastAsia="Arial" w:hAnsi="Arial"/>
          <w:sz w:val="18"/>
          <w:szCs w:val="18"/>
          <w:color w:val="auto"/>
        </w:rPr>
      </w:pPr>
    </w:p>
    <w:p>
      <w:pPr>
        <w:ind w:left="660" w:hanging="436"/>
        <w:spacing w:after="0"/>
        <w:tabs>
          <w:tab w:leader="none" w:pos="660" w:val="left"/>
        </w:tabs>
        <w:numPr>
          <w:ilvl w:val="0"/>
          <w:numId w:val="117"/>
        </w:numPr>
        <w:rPr>
          <w:rFonts w:ascii="Arial" w:cs="Arial" w:eastAsia="Arial" w:hAnsi="Arial"/>
          <w:sz w:val="18"/>
          <w:szCs w:val="18"/>
          <w:color w:val="auto"/>
        </w:rPr>
      </w:pPr>
      <w:r>
        <w:rPr>
          <w:rFonts w:ascii="Arial" w:cs="Arial" w:eastAsia="Arial" w:hAnsi="Arial"/>
          <w:sz w:val="18"/>
          <w:szCs w:val="18"/>
          <w:color w:val="auto"/>
        </w:rPr>
        <w:t>Fluctuations in interest rates.</w:t>
      </w:r>
    </w:p>
    <w:p>
      <w:pPr>
        <w:spacing w:after="0" w:line="171" w:lineRule="exact"/>
        <w:rPr>
          <w:sz w:val="20"/>
          <w:szCs w:val="20"/>
          <w:color w:val="auto"/>
        </w:rPr>
      </w:pPr>
    </w:p>
    <w:p>
      <w:pPr>
        <w:ind w:right="260" w:firstLine="228"/>
        <w:spacing w:after="0" w:line="268" w:lineRule="auto"/>
        <w:rPr>
          <w:sz w:val="20"/>
          <w:szCs w:val="20"/>
          <w:color w:val="auto"/>
        </w:rPr>
      </w:pPr>
      <w:r>
        <w:rPr>
          <w:rFonts w:ascii="Arial" w:cs="Arial" w:eastAsia="Arial" w:hAnsi="Arial"/>
          <w:sz w:val="18"/>
          <w:szCs w:val="18"/>
          <w:color w:val="auto"/>
        </w:rPr>
        <w:t>The above factors, alone or in combination, could negatively affect GM Financial’s business and operations and its ability to provide leasing and sub-prime financing options to consumers to support additional sales of our vehicles.</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158</w:t>
      </w:r>
    </w:p>
    <w:p>
      <w:pPr>
        <w:sectPr>
          <w:pgSz w:w="11900" w:h="16838" w:orient="portrait"/>
          <w:cols w:equalWidth="0" w:num="1">
            <w:col w:w="11420"/>
          </w:cols>
          <w:pgMar w:left="240" w:top="460" w:right="239" w:bottom="1440" w:gutter="0" w:footer="0" w:header="0"/>
        </w:sectPr>
      </w:pPr>
    </w:p>
    <w:bookmarkStart w:id="160" w:name="page161"/>
    <w:bookmarkEnd w:id="16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339"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The UST (or its designee) owns a controlling in us, and its interests may differ from those of our other stockholders.</w:t>
      </w:r>
    </w:p>
    <w:p>
      <w:pPr>
        <w:spacing w:after="0" w:line="171" w:lineRule="exact"/>
        <w:rPr>
          <w:sz w:val="20"/>
          <w:szCs w:val="20"/>
          <w:color w:val="auto"/>
        </w:rPr>
      </w:pPr>
    </w:p>
    <w:p>
      <w:pPr>
        <w:ind w:right="80" w:firstLine="228"/>
        <w:spacing w:after="0" w:line="256" w:lineRule="auto"/>
        <w:rPr>
          <w:sz w:val="20"/>
          <w:szCs w:val="20"/>
          <w:color w:val="auto"/>
        </w:rPr>
      </w:pPr>
      <w:r>
        <w:rPr>
          <w:rFonts w:ascii="Arial" w:cs="Arial" w:eastAsia="Arial" w:hAnsi="Arial"/>
          <w:sz w:val="18"/>
          <w:szCs w:val="18"/>
          <w:color w:val="auto"/>
        </w:rPr>
        <w:t>The UST currently beneficially owns a majority of our common stock on a fully diluted basis. As a result of this stock ownership interest, the UST has the ability to exert control, through its power to vote for the election of our directors, over various matters. To the extent the UST elects to exert such control over us, its interests (as a government entity) may differ from those of our other stockholders and it may influence, through its ability to vote for the election of our directors, matters including:</w:t>
      </w:r>
    </w:p>
    <w:p>
      <w:pPr>
        <w:spacing w:after="0" w:line="184" w:lineRule="exact"/>
        <w:rPr>
          <w:sz w:val="20"/>
          <w:szCs w:val="20"/>
          <w:color w:val="auto"/>
        </w:rPr>
      </w:pPr>
    </w:p>
    <w:p>
      <w:pPr>
        <w:ind w:left="660" w:hanging="436"/>
        <w:spacing w:after="0"/>
        <w:tabs>
          <w:tab w:leader="none" w:pos="660" w:val="left"/>
        </w:tabs>
        <w:numPr>
          <w:ilvl w:val="0"/>
          <w:numId w:val="118"/>
        </w:numPr>
        <w:rPr>
          <w:rFonts w:ascii="Arial" w:cs="Arial" w:eastAsia="Arial" w:hAnsi="Arial"/>
          <w:sz w:val="18"/>
          <w:szCs w:val="18"/>
          <w:color w:val="auto"/>
        </w:rPr>
      </w:pPr>
      <w:r>
        <w:rPr>
          <w:rFonts w:ascii="Arial" w:cs="Arial" w:eastAsia="Arial" w:hAnsi="Arial"/>
          <w:sz w:val="18"/>
          <w:szCs w:val="18"/>
          <w:color w:val="auto"/>
        </w:rPr>
        <w:t>The selection, tenure and compensation of our management;</w:t>
      </w:r>
    </w:p>
    <w:p>
      <w:pPr>
        <w:spacing w:after="0" w:line="90" w:lineRule="exact"/>
        <w:rPr>
          <w:rFonts w:ascii="Arial" w:cs="Arial" w:eastAsia="Arial" w:hAnsi="Arial"/>
          <w:sz w:val="18"/>
          <w:szCs w:val="18"/>
          <w:color w:val="auto"/>
        </w:rPr>
      </w:pPr>
    </w:p>
    <w:p>
      <w:pPr>
        <w:ind w:left="660" w:hanging="436"/>
        <w:spacing w:after="0"/>
        <w:tabs>
          <w:tab w:leader="none" w:pos="660" w:val="left"/>
        </w:tabs>
        <w:numPr>
          <w:ilvl w:val="0"/>
          <w:numId w:val="118"/>
        </w:numPr>
        <w:rPr>
          <w:rFonts w:ascii="Arial" w:cs="Arial" w:eastAsia="Arial" w:hAnsi="Arial"/>
          <w:sz w:val="18"/>
          <w:szCs w:val="18"/>
          <w:color w:val="auto"/>
        </w:rPr>
      </w:pPr>
      <w:r>
        <w:rPr>
          <w:rFonts w:ascii="Arial" w:cs="Arial" w:eastAsia="Arial" w:hAnsi="Arial"/>
          <w:sz w:val="18"/>
          <w:szCs w:val="18"/>
          <w:color w:val="auto"/>
        </w:rPr>
        <w:t>Our business strategy and product offerings;</w:t>
      </w:r>
    </w:p>
    <w:p>
      <w:pPr>
        <w:spacing w:after="0" w:line="90" w:lineRule="exact"/>
        <w:rPr>
          <w:rFonts w:ascii="Arial" w:cs="Arial" w:eastAsia="Arial" w:hAnsi="Arial"/>
          <w:sz w:val="18"/>
          <w:szCs w:val="18"/>
          <w:color w:val="auto"/>
        </w:rPr>
      </w:pPr>
    </w:p>
    <w:p>
      <w:pPr>
        <w:ind w:left="660" w:hanging="436"/>
        <w:spacing w:after="0"/>
        <w:tabs>
          <w:tab w:leader="none" w:pos="660" w:val="left"/>
        </w:tabs>
        <w:numPr>
          <w:ilvl w:val="0"/>
          <w:numId w:val="118"/>
        </w:numPr>
        <w:rPr>
          <w:rFonts w:ascii="Arial" w:cs="Arial" w:eastAsia="Arial" w:hAnsi="Arial"/>
          <w:sz w:val="18"/>
          <w:szCs w:val="18"/>
          <w:color w:val="auto"/>
        </w:rPr>
      </w:pPr>
      <w:r>
        <w:rPr>
          <w:rFonts w:ascii="Arial" w:cs="Arial" w:eastAsia="Arial" w:hAnsi="Arial"/>
          <w:sz w:val="18"/>
          <w:szCs w:val="18"/>
          <w:color w:val="auto"/>
        </w:rPr>
        <w:t>Our relationship with our employees, unions and other constituencies; and</w:t>
      </w:r>
    </w:p>
    <w:p>
      <w:pPr>
        <w:spacing w:after="0" w:line="90" w:lineRule="exact"/>
        <w:rPr>
          <w:rFonts w:ascii="Arial" w:cs="Arial" w:eastAsia="Arial" w:hAnsi="Arial"/>
          <w:sz w:val="18"/>
          <w:szCs w:val="18"/>
          <w:color w:val="auto"/>
        </w:rPr>
      </w:pPr>
    </w:p>
    <w:p>
      <w:pPr>
        <w:ind w:left="660" w:hanging="436"/>
        <w:spacing w:after="0"/>
        <w:tabs>
          <w:tab w:leader="none" w:pos="660" w:val="left"/>
        </w:tabs>
        <w:numPr>
          <w:ilvl w:val="0"/>
          <w:numId w:val="118"/>
        </w:numPr>
        <w:rPr>
          <w:rFonts w:ascii="Arial" w:cs="Arial" w:eastAsia="Arial" w:hAnsi="Arial"/>
          <w:sz w:val="18"/>
          <w:szCs w:val="18"/>
          <w:color w:val="auto"/>
        </w:rPr>
      </w:pPr>
      <w:r>
        <w:rPr>
          <w:rFonts w:ascii="Arial" w:cs="Arial" w:eastAsia="Arial" w:hAnsi="Arial"/>
          <w:sz w:val="18"/>
          <w:szCs w:val="18"/>
          <w:color w:val="auto"/>
        </w:rPr>
        <w:t>Our financing activities, including the issuance of debt and equity securities.</w:t>
      </w:r>
    </w:p>
    <w:p>
      <w:pPr>
        <w:spacing w:after="0" w:line="171" w:lineRule="exact"/>
        <w:rPr>
          <w:sz w:val="20"/>
          <w:szCs w:val="20"/>
          <w:color w:val="auto"/>
        </w:rPr>
      </w:pPr>
    </w:p>
    <w:p>
      <w:pPr>
        <w:jc w:val="both"/>
        <w:ind w:right="200" w:firstLine="228"/>
        <w:spacing w:after="0" w:line="298" w:lineRule="auto"/>
        <w:rPr>
          <w:sz w:val="20"/>
          <w:szCs w:val="20"/>
          <w:color w:val="auto"/>
        </w:rPr>
      </w:pPr>
      <w:r>
        <w:rPr>
          <w:rFonts w:ascii="Arial" w:cs="Arial" w:eastAsia="Arial" w:hAnsi="Arial"/>
          <w:sz w:val="16"/>
          <w:szCs w:val="16"/>
          <w:color w:val="auto"/>
        </w:rPr>
        <w:t>In particular, the UST may have a greater interest in promoting U.S. economic growth and jobs than other stockholders of the Company. For example, while we have repaid in full our indebtedness under the UST Credit Agreement, a covenant that continues to apply until the earlier of December 31, 2014 or the UST has been paid in full the total amount of all UST invested capital requires that we use our commercially reasonable best efforts to ensure, subject to exceptions, that our manufacturing volume in the United States is consistent with specified benchmarks.</w:t>
      </w:r>
    </w:p>
    <w:p>
      <w:pPr>
        <w:spacing w:after="0" w:line="113" w:lineRule="exact"/>
        <w:rPr>
          <w:sz w:val="20"/>
          <w:szCs w:val="20"/>
          <w:color w:val="auto"/>
        </w:rPr>
      </w:pPr>
    </w:p>
    <w:p>
      <w:pPr>
        <w:ind w:right="220" w:firstLine="228"/>
        <w:spacing w:after="0" w:line="259" w:lineRule="auto"/>
        <w:rPr>
          <w:sz w:val="20"/>
          <w:szCs w:val="20"/>
          <w:color w:val="auto"/>
        </w:rPr>
      </w:pPr>
      <w:r>
        <w:rPr>
          <w:rFonts w:ascii="Arial" w:cs="Arial" w:eastAsia="Arial" w:hAnsi="Arial"/>
          <w:sz w:val="18"/>
          <w:szCs w:val="18"/>
          <w:color w:val="auto"/>
        </w:rPr>
        <w:t>In the future we may also become subject to new and additional laws and government regulations regarding various aspects of our business as a result of participation in the TARP program and the U.S. government’s ownership in our business. These regulations could make it more difficult for us to compete with other companies that are not subject to similar regulations.</w:t>
      </w:r>
    </w:p>
    <w:p>
      <w:pPr>
        <w:spacing w:after="0" w:line="140" w:lineRule="exact"/>
        <w:rPr>
          <w:sz w:val="20"/>
          <w:szCs w:val="20"/>
          <w:color w:val="auto"/>
        </w:rPr>
      </w:pPr>
    </w:p>
    <w:p>
      <w:pPr>
        <w:ind w:left="240" w:right="100"/>
        <w:spacing w:after="0" w:line="332" w:lineRule="auto"/>
        <w:rPr>
          <w:sz w:val="20"/>
          <w:szCs w:val="20"/>
          <w:color w:val="auto"/>
        </w:rPr>
      </w:pPr>
      <w:r>
        <w:rPr>
          <w:rFonts w:ascii="Arial" w:cs="Arial" w:eastAsia="Arial" w:hAnsi="Arial"/>
          <w:sz w:val="16"/>
          <w:szCs w:val="16"/>
          <w:b w:val="1"/>
          <w:bCs w:val="1"/>
          <w:i w:val="1"/>
          <w:iCs w:val="1"/>
          <w:color w:val="auto"/>
        </w:rPr>
        <w:t>Our new secured revolving credit facility as well as the UST Credit Agreement and the Canadian Loan Agreement contain significant covenants that may restrict our ability and the ability of our subsidiaries to take actions management believes are important to our long-term strategy.</w:t>
      </w:r>
    </w:p>
    <w:p>
      <w:pPr>
        <w:spacing w:after="0" w:line="85" w:lineRule="exact"/>
        <w:rPr>
          <w:sz w:val="20"/>
          <w:szCs w:val="20"/>
          <w:color w:val="auto"/>
        </w:rPr>
      </w:pPr>
    </w:p>
    <w:p>
      <w:pPr>
        <w:ind w:firstLine="228"/>
        <w:spacing w:after="0" w:line="255" w:lineRule="auto"/>
        <w:rPr>
          <w:sz w:val="20"/>
          <w:szCs w:val="20"/>
          <w:color w:val="auto"/>
        </w:rPr>
      </w:pPr>
      <w:r>
        <w:rPr>
          <w:rFonts w:ascii="Arial" w:cs="Arial" w:eastAsia="Arial" w:hAnsi="Arial"/>
          <w:sz w:val="18"/>
          <w:szCs w:val="18"/>
          <w:color w:val="auto"/>
        </w:rPr>
        <w:t>Our new secured revolving credit facility contains representations, warranties and covenants customary for facilities of its nature, including negative covenants restricting the borrower from incurring liens, consummating mergers or sales of assets and incurring secured indebtedness, and restricting us from making certain payments, in each case, subject to exceptions and limitations. Availability under the secured revolving credit facility is subject to borrowing base limitations. In addition, the secured revolving credit facility contains minimum liquidity covenants, which require the borrower to maintain at least $4.0 billion in consolidated global liquidity and at least $2.0 billion in consolidated U.S. liquidity.</w:t>
      </w:r>
    </w:p>
    <w:p>
      <w:pPr>
        <w:spacing w:after="0" w:line="143" w:lineRule="exact"/>
        <w:rPr>
          <w:sz w:val="20"/>
          <w:szCs w:val="20"/>
          <w:color w:val="auto"/>
        </w:rPr>
      </w:pPr>
    </w:p>
    <w:p>
      <w:pPr>
        <w:ind w:right="40" w:firstLine="228"/>
        <w:spacing w:after="0" w:line="289" w:lineRule="auto"/>
        <w:rPr>
          <w:sz w:val="20"/>
          <w:szCs w:val="20"/>
          <w:color w:val="auto"/>
        </w:rPr>
      </w:pPr>
      <w:r>
        <w:rPr>
          <w:rFonts w:ascii="Arial" w:cs="Arial" w:eastAsia="Arial" w:hAnsi="Arial"/>
          <w:sz w:val="16"/>
          <w:szCs w:val="16"/>
          <w:color w:val="auto"/>
        </w:rPr>
        <w:t>In addition, while we have repaid in full our indebtedness under the UST Credit Agreement, the executive compensation and corporate governance provisions of Section 111 of the EESA, including the Interim Final Rule, will continue to apply to us for the period specified in the EESA and the Interim Final Rule. In addition, certain of the covenants in the UST Credit Agreement will continue to apply to us until the earlier to occur of (i) us ceasing to be a recipient of Exceptional Financial Assistance, as determined pursuant to the Interim Final Rule or any successor or final rule, or (ii) UST ceasing to own any direct or indirect equity interests in us. The effect of Section 111 of EESA, the Interim Final Rule and the covenants is to restrict the compensation that we can provide to our top executives and prohibit certain types of compensation or benefits for any employees. Similarly, covenants in our wholly-owned subsidiary General Motors of Canada Limited’s (GMCL) amended and restated loan agreement (the Canadian Loan Agreement) with Export Development Canada (EDC) limit compensation and benefits for Canadian employees.</w:t>
      </w:r>
    </w:p>
    <w:p>
      <w:pPr>
        <w:spacing w:after="0" w:line="118" w:lineRule="exact"/>
        <w:rPr>
          <w:sz w:val="20"/>
          <w:szCs w:val="20"/>
          <w:color w:val="auto"/>
        </w:rPr>
      </w:pPr>
    </w:p>
    <w:p>
      <w:pPr>
        <w:ind w:right="120" w:firstLine="228"/>
        <w:spacing w:after="0" w:line="255" w:lineRule="auto"/>
        <w:rPr>
          <w:sz w:val="20"/>
          <w:szCs w:val="20"/>
          <w:color w:val="auto"/>
        </w:rPr>
      </w:pPr>
      <w:r>
        <w:rPr>
          <w:rFonts w:ascii="Arial" w:cs="Arial" w:eastAsia="Arial" w:hAnsi="Arial"/>
          <w:sz w:val="18"/>
          <w:szCs w:val="18"/>
          <w:color w:val="auto"/>
        </w:rPr>
        <w:t>In addition, the UST Credit Agreement contains a covenant requiring us to use our commercially reasonable best efforts to ensure that our manufacturing volume conducted in the United States is consistent with at least ninety percent of the projected manufacturing level (projected manufacturing level for this purpose being 1,801,000 units in 2010, 1,934,000 units in 2011, 1,998,000 units in 2012, 2,156,000 units in 2013 and 2,260,000 units in 2014), absent a material adverse change in our business or operating environment which would make the commitment non-economic. In the event that such a material adverse change occurs, the UST Credit</w:t>
      </w:r>
    </w:p>
    <w:p>
      <w:pPr>
        <w:spacing w:after="0" w:line="1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159</w:t>
      </w:r>
    </w:p>
    <w:p>
      <w:pPr>
        <w:sectPr>
          <w:pgSz w:w="11900" w:h="16838" w:orient="portrait"/>
          <w:cols w:equalWidth="0" w:num="1">
            <w:col w:w="11420"/>
          </w:cols>
          <w:pgMar w:left="240" w:top="460" w:right="239" w:bottom="1440" w:gutter="0" w:footer="0" w:header="0"/>
        </w:sectPr>
      </w:pPr>
    </w:p>
    <w:bookmarkStart w:id="161" w:name="page162"/>
    <w:bookmarkEnd w:id="16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164" w:lineRule="exact"/>
        <w:rPr>
          <w:sz w:val="20"/>
          <w:szCs w:val="20"/>
          <w:color w:val="auto"/>
        </w:rPr>
      </w:pPr>
    </w:p>
    <w:p>
      <w:pPr>
        <w:spacing w:after="0" w:line="298" w:lineRule="auto"/>
        <w:rPr>
          <w:sz w:val="20"/>
          <w:szCs w:val="20"/>
          <w:color w:val="auto"/>
        </w:rPr>
      </w:pPr>
      <w:r>
        <w:rPr>
          <w:rFonts w:ascii="Arial" w:cs="Arial" w:eastAsia="Arial" w:hAnsi="Arial"/>
          <w:sz w:val="16"/>
          <w:szCs w:val="16"/>
          <w:color w:val="auto"/>
        </w:rPr>
        <w:t>Agreement provides that we will use commercially reasonable best efforts to ensure that the volume of United States manufacturing is the minimum variance from the projected manufacturing level that is consistent with good business judgment and the intent of the commitment. This covenant survives our repayment of the UST Loans and remains in effect through December 31, 2014 unless the UST receives total proceeds from debt repayments, dividends, interest, preferred stock redemptions and common stock sales equal to the total dollar amount of all UST invested capital.</w:t>
      </w:r>
    </w:p>
    <w:p>
      <w:pPr>
        <w:spacing w:after="0" w:line="113" w:lineRule="exact"/>
        <w:rPr>
          <w:sz w:val="20"/>
          <w:szCs w:val="20"/>
          <w:color w:val="auto"/>
        </w:rPr>
      </w:pPr>
    </w:p>
    <w:p>
      <w:pPr>
        <w:ind w:right="20" w:firstLine="228"/>
        <w:spacing w:after="0" w:line="294" w:lineRule="auto"/>
        <w:rPr>
          <w:sz w:val="20"/>
          <w:szCs w:val="20"/>
          <w:color w:val="auto"/>
        </w:rPr>
      </w:pPr>
      <w:r>
        <w:rPr>
          <w:rFonts w:ascii="Arial" w:cs="Arial" w:eastAsia="Arial" w:hAnsi="Arial"/>
          <w:sz w:val="16"/>
          <w:szCs w:val="16"/>
          <w:color w:val="auto"/>
        </w:rPr>
        <w:t>UST invested capital totals $49.5 billion, representing the cumulative amount of cash received by Old GM from the UST under the UST Loan Agreement and the DIP Facility, excluding $361 million which the UST loaned to Old GM under the warranty program and which was repaid on July 10, 2009. This balance also does not include amounts advanced under the UST GMAC Loan as the UST exercised its option to convert this loan into GMAC Preferred Membership Interests previously held by Old GM in May 2009. At September 30, 2010, the UST had received cumulative proceeds of $7.4 billion from debt repayments, interest payments and Series A Preferred Stock dividends. The UST’s invested capital less proceeds received totals $42.1 billion.</w:t>
      </w:r>
    </w:p>
    <w:p>
      <w:pPr>
        <w:spacing w:after="0" w:line="116" w:lineRule="exact"/>
        <w:rPr>
          <w:sz w:val="20"/>
          <w:szCs w:val="20"/>
          <w:color w:val="auto"/>
        </w:rPr>
      </w:pPr>
    </w:p>
    <w:p>
      <w:pPr>
        <w:ind w:right="20" w:firstLine="228"/>
        <w:spacing w:after="0" w:line="256" w:lineRule="auto"/>
        <w:rPr>
          <w:sz w:val="20"/>
          <w:szCs w:val="20"/>
          <w:color w:val="auto"/>
        </w:rPr>
      </w:pPr>
      <w:r>
        <w:rPr>
          <w:rFonts w:ascii="Arial" w:cs="Arial" w:eastAsia="Arial" w:hAnsi="Arial"/>
          <w:sz w:val="18"/>
          <w:szCs w:val="18"/>
          <w:color w:val="auto"/>
        </w:rPr>
        <w:t>To the extent we fail to comply with any of the covenants in the UST Credit Agreement that continue to apply to us, the UST is entitled to seek specific performance and the appointment of a court-ordered monitor acceptable to the UST (at our sole expense) to ensure compliance with those covenants. Compliance with the manufacturing volume covenant could require us to increase production volumes in our U.S. plants, shift production from low-cost locations to the U.S. or refrain from shifting production from U.S. plants to low-cost locations.</w:t>
      </w:r>
    </w:p>
    <w:p>
      <w:pPr>
        <w:spacing w:after="0" w:line="143" w:lineRule="exact"/>
        <w:rPr>
          <w:sz w:val="20"/>
          <w:szCs w:val="20"/>
          <w:color w:val="auto"/>
        </w:rPr>
      </w:pPr>
    </w:p>
    <w:p>
      <w:pPr>
        <w:ind w:right="100" w:firstLine="228"/>
        <w:spacing w:after="0" w:line="290" w:lineRule="auto"/>
        <w:rPr>
          <w:sz w:val="20"/>
          <w:szCs w:val="20"/>
          <w:color w:val="auto"/>
        </w:rPr>
      </w:pPr>
      <w:r>
        <w:rPr>
          <w:rFonts w:ascii="Arial" w:cs="Arial" w:eastAsia="Arial" w:hAnsi="Arial"/>
          <w:sz w:val="16"/>
          <w:szCs w:val="16"/>
          <w:color w:val="auto"/>
        </w:rPr>
        <w:t>The Canadian Loan Agreement and related agreements include certain covenants requiring GMCL to meet certain annual Canadian production volumes expressed as ratios to total overall production volumes in the U.S. and Canada and to overall production volumes in the North American Free Trade Agreement (NAFTA) region. The targets cover vehicles and specified engine and transmission production in Canada. These agreements also include covenants on annual GMCL capital expenditures and research and development expenses. In the event a material adverse change occurs that makes the fulfillment of these covenants non-economic (other than a material adverse change caused by the actions or inactions of GMCL), there is an undertaking that the lender will consider adjustments to mitigate the business effect of the material adverse change. These covenants survive GMCL’s repayment of the loans and certain of the covenants have effect through December 31, 2016.</w:t>
      </w:r>
    </w:p>
    <w:p>
      <w:pPr>
        <w:spacing w:after="0" w:line="118" w:lineRule="exact"/>
        <w:rPr>
          <w:sz w:val="20"/>
          <w:szCs w:val="20"/>
          <w:color w:val="auto"/>
        </w:rPr>
      </w:pPr>
    </w:p>
    <w:p>
      <w:pPr>
        <w:ind w:firstLine="228"/>
        <w:spacing w:after="0" w:line="255" w:lineRule="auto"/>
        <w:rPr>
          <w:sz w:val="20"/>
          <w:szCs w:val="20"/>
          <w:color w:val="auto"/>
        </w:rPr>
      </w:pPr>
      <w:r>
        <w:rPr>
          <w:rFonts w:ascii="Arial" w:cs="Arial" w:eastAsia="Arial" w:hAnsi="Arial"/>
          <w:sz w:val="18"/>
          <w:szCs w:val="18"/>
          <w:color w:val="auto"/>
        </w:rPr>
        <w:t>Compliance with the covenants contained in our new secured revolving credit facility as well as the surviving provisions of the UST Credit Agreement and the Canadian Loan Agreement could restrict our ability to take actions that management believes are important to our long-term strategy. If strategic transactions we wish to undertake are prohibited, our ability to execute our long-term strategy could be materially adversely affected. Furthermore, monitoring and certifying our compliance with the surviving provisions of the UST Credit Agreement and the Canadian Loan Agreement requires a high level of expense and management attention on a continuing basis.</w:t>
      </w:r>
    </w:p>
    <w:p>
      <w:pPr>
        <w:spacing w:after="0" w:line="143" w:lineRule="exact"/>
        <w:rPr>
          <w:sz w:val="20"/>
          <w:szCs w:val="20"/>
          <w:color w:val="auto"/>
        </w:rPr>
      </w:pPr>
    </w:p>
    <w:p>
      <w:pPr>
        <w:ind w:left="240"/>
        <w:spacing w:after="0" w:line="268" w:lineRule="auto"/>
        <w:rPr>
          <w:sz w:val="20"/>
          <w:szCs w:val="20"/>
          <w:color w:val="auto"/>
        </w:rPr>
      </w:pPr>
      <w:r>
        <w:rPr>
          <w:rFonts w:ascii="Arial" w:cs="Arial" w:eastAsia="Arial" w:hAnsi="Arial"/>
          <w:sz w:val="18"/>
          <w:szCs w:val="18"/>
          <w:b w:val="1"/>
          <w:bCs w:val="1"/>
          <w:i w:val="1"/>
          <w:iCs w:val="1"/>
          <w:color w:val="auto"/>
        </w:rPr>
        <w:t>Our planned investment in new technology in the future is significant and may not be funded at anticipated levels and, even if funded at anticipated levels, may not result in successful vehicle applications.</w:t>
      </w:r>
    </w:p>
    <w:p>
      <w:pPr>
        <w:spacing w:after="0" w:line="132" w:lineRule="exact"/>
        <w:rPr>
          <w:sz w:val="20"/>
          <w:szCs w:val="20"/>
          <w:color w:val="auto"/>
        </w:rPr>
      </w:pPr>
    </w:p>
    <w:p>
      <w:pPr>
        <w:ind w:right="120" w:firstLine="228"/>
        <w:spacing w:after="0" w:line="298" w:lineRule="auto"/>
        <w:rPr>
          <w:sz w:val="20"/>
          <w:szCs w:val="20"/>
          <w:color w:val="auto"/>
        </w:rPr>
      </w:pPr>
      <w:r>
        <w:rPr>
          <w:rFonts w:ascii="Arial" w:cs="Arial" w:eastAsia="Arial" w:hAnsi="Arial"/>
          <w:sz w:val="16"/>
          <w:szCs w:val="16"/>
          <w:color w:val="auto"/>
        </w:rPr>
        <w:t>We intend to invest significant capital resources to support our products and to develop new technology. In addition, we plan to invest heavily in alternative fuel and advanced propulsion technologies between 2010 and 2012, largely to support our planned expansion of hybrid and electric vehicles, consistent with our announced objective of being recognized as the industry leader in fuel efficiency. Moreover, if our future operations do not provide us with the liquidity we anticipate, we may be forced to reduce, delay, or cancel our planned investments in new technology.</w:t>
      </w:r>
    </w:p>
    <w:p>
      <w:pPr>
        <w:spacing w:after="0" w:line="113" w:lineRule="exact"/>
        <w:rPr>
          <w:sz w:val="20"/>
          <w:szCs w:val="20"/>
          <w:color w:val="auto"/>
        </w:rPr>
      </w:pPr>
    </w:p>
    <w:p>
      <w:pPr>
        <w:jc w:val="both"/>
        <w:ind w:right="120" w:firstLine="228"/>
        <w:spacing w:after="0" w:line="302" w:lineRule="auto"/>
        <w:rPr>
          <w:sz w:val="20"/>
          <w:szCs w:val="20"/>
          <w:color w:val="auto"/>
        </w:rPr>
      </w:pPr>
      <w:r>
        <w:rPr>
          <w:rFonts w:ascii="Arial" w:cs="Arial" w:eastAsia="Arial" w:hAnsi="Arial"/>
          <w:sz w:val="15"/>
          <w:szCs w:val="15"/>
          <w:color w:val="auto"/>
        </w:rPr>
        <w:t>In some cases, the technologies that we plan to employ, such as hydrogen fuel cells and advanced battery technology, are not yet commercially practical and depend on significant future technological advances by us and by suppliers. For example, in November 2010 we began producing the Chevrolet Volt, an electric car, which requires battery technology that has not yet proven to be commercially viable. There can be no assurance that these advances will occur in a timely or feasible way, that the funds that we have budgeted for these purposes will be adequate, or that we will be able to establish our right to these technologies.</w:t>
      </w:r>
    </w:p>
    <w:p>
      <w:pPr>
        <w:spacing w:after="0" w:line="3" w:lineRule="exact"/>
        <w:rPr>
          <w:sz w:val="20"/>
          <w:szCs w:val="20"/>
          <w:color w:val="auto"/>
        </w:rPr>
      </w:pPr>
    </w:p>
    <w:p>
      <w:pPr>
        <w:ind w:right="240"/>
        <w:spacing w:after="0" w:line="361" w:lineRule="auto"/>
        <w:rPr>
          <w:sz w:val="20"/>
          <w:szCs w:val="20"/>
          <w:color w:val="auto"/>
        </w:rPr>
      </w:pPr>
      <w:r>
        <w:rPr>
          <w:rFonts w:ascii="Arial" w:cs="Arial" w:eastAsia="Arial" w:hAnsi="Arial"/>
          <w:sz w:val="15"/>
          <w:szCs w:val="15"/>
          <w:color w:val="auto"/>
        </w:rPr>
        <w:t>However, our competitors and others are pursuing similar technologies and other competing technologies, in some cases with more money available, and there can be no assurance that they will not acquire similar or superior technologies sooner than we do or on an exclusive basis or at a significant price advantage.</w:t>
      </w:r>
    </w:p>
    <w:p>
      <w:pPr>
        <w:spacing w:after="0" w:line="5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160</w:t>
      </w:r>
    </w:p>
    <w:p>
      <w:pPr>
        <w:sectPr>
          <w:pgSz w:w="11900" w:h="16838" w:orient="portrait"/>
          <w:cols w:equalWidth="0" w:num="1">
            <w:col w:w="11400"/>
          </w:cols>
          <w:pgMar w:left="240" w:top="459" w:right="259" w:bottom="1440" w:gutter="0" w:footer="0" w:header="0"/>
        </w:sectPr>
      </w:pPr>
    </w:p>
    <w:bookmarkStart w:id="162" w:name="page163"/>
    <w:bookmarkEnd w:id="16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339" w:lineRule="exact"/>
        <w:rPr>
          <w:sz w:val="20"/>
          <w:szCs w:val="20"/>
          <w:color w:val="auto"/>
        </w:rPr>
      </w:pPr>
    </w:p>
    <w:p>
      <w:pPr>
        <w:ind w:left="240" w:right="100"/>
        <w:spacing w:after="0" w:line="268" w:lineRule="auto"/>
        <w:rPr>
          <w:sz w:val="20"/>
          <w:szCs w:val="20"/>
          <w:color w:val="auto"/>
        </w:rPr>
      </w:pPr>
      <w:r>
        <w:rPr>
          <w:rFonts w:ascii="Arial" w:cs="Arial" w:eastAsia="Arial" w:hAnsi="Arial"/>
          <w:sz w:val="18"/>
          <w:szCs w:val="18"/>
          <w:b w:val="1"/>
          <w:bCs w:val="1"/>
          <w:i w:val="1"/>
          <w:iCs w:val="1"/>
          <w:color w:val="auto"/>
        </w:rPr>
        <w:t>New laws, regulations, or policies of governmental organizations regarding increased fuel economy requirements and reduced greenhouse gas emissions, or changes in existing ones, may have a significant effect on how we do business.</w:t>
      </w:r>
    </w:p>
    <w:p>
      <w:pPr>
        <w:spacing w:after="0" w:line="132" w:lineRule="exact"/>
        <w:rPr>
          <w:sz w:val="20"/>
          <w:szCs w:val="20"/>
          <w:color w:val="auto"/>
        </w:rPr>
      </w:pPr>
    </w:p>
    <w:p>
      <w:pPr>
        <w:ind w:firstLine="228"/>
        <w:spacing w:after="0" w:line="254" w:lineRule="auto"/>
        <w:rPr>
          <w:sz w:val="20"/>
          <w:szCs w:val="20"/>
          <w:color w:val="auto"/>
        </w:rPr>
      </w:pPr>
      <w:r>
        <w:rPr>
          <w:rFonts w:ascii="Arial" w:cs="Arial" w:eastAsia="Arial" w:hAnsi="Arial"/>
          <w:sz w:val="18"/>
          <w:szCs w:val="18"/>
          <w:color w:val="auto"/>
        </w:rPr>
        <w:t>We are affected significantly by governmental regulations that can increase costs related to the production of our vehicles and affect our product portfolio. We anticipate that the number and extent of these regulations, and the related costs and changes to our product lineup, will increase significantly in the future. In the U.S. and Europe, for example, governmental regulation is primarily driven by concerns about the environment (including greenhouse gas emissions), vehicle safety, fuel economy, and energy security. These government regulatory requirements could significantly affect our plans for global product development and may result in substantial costs, including civil penalties. They may also result in limits on the types of vehicles we sell and where we sell them, which can affect revenue.</w:t>
      </w:r>
    </w:p>
    <w:p>
      <w:pPr>
        <w:spacing w:after="0" w:line="144" w:lineRule="exact"/>
        <w:rPr>
          <w:sz w:val="20"/>
          <w:szCs w:val="20"/>
          <w:color w:val="auto"/>
        </w:rPr>
      </w:pPr>
    </w:p>
    <w:p>
      <w:pPr>
        <w:ind w:right="80" w:firstLine="228"/>
        <w:spacing w:after="0" w:line="294" w:lineRule="auto"/>
        <w:rPr>
          <w:sz w:val="20"/>
          <w:szCs w:val="20"/>
          <w:color w:val="auto"/>
        </w:rPr>
      </w:pPr>
      <w:r>
        <w:rPr>
          <w:rFonts w:ascii="Arial" w:cs="Arial" w:eastAsia="Arial" w:hAnsi="Arial"/>
          <w:sz w:val="16"/>
          <w:szCs w:val="16"/>
          <w:color w:val="auto"/>
        </w:rPr>
        <w:t>Corporate Average Fuel Economy (CAFE) provisions in the Energy Independence and Security Act of 2007 (the EISA) mandate fuel economy standards beginning in the 2011 model year that would increase to at least 35 mpg by 2020 on a combined car and truck fleet basis, a 40% increase over current levels. In addition, California is implementing a program to regulate vehicle greenhouse gas emissions (AB 1493 Rules) and therefore will require increased fuel economy. This California program has standards currently established for the 2009 model year through the 2016 model year. Thirteen additional states and the Province of Quebec have also adopted the California greenhouse gas standards.</w:t>
      </w:r>
    </w:p>
    <w:p>
      <w:pPr>
        <w:spacing w:after="0" w:line="116" w:lineRule="exact"/>
        <w:rPr>
          <w:sz w:val="20"/>
          <w:szCs w:val="20"/>
          <w:color w:val="auto"/>
        </w:rPr>
      </w:pPr>
    </w:p>
    <w:p>
      <w:pPr>
        <w:ind w:firstLine="228"/>
        <w:spacing w:after="0" w:line="289" w:lineRule="auto"/>
        <w:rPr>
          <w:sz w:val="20"/>
          <w:szCs w:val="20"/>
          <w:color w:val="auto"/>
        </w:rPr>
      </w:pPr>
      <w:r>
        <w:rPr>
          <w:rFonts w:ascii="Arial" w:cs="Arial" w:eastAsia="Arial" w:hAnsi="Arial"/>
          <w:sz w:val="16"/>
          <w:szCs w:val="16"/>
          <w:color w:val="auto"/>
        </w:rPr>
        <w:t>On May 19, 2009, President Obama announced his intention for the federal government to implement a harmonized federal program to regulate fuel economy and greenhouse gases. He directed the Environmental Protection Agency (EPA) and the United States Department of Transportation (DOT) to work together to create standards through a joint rulemaking for control of emissions of greenhouse gases and for fuel economy. In the first phase, these standards would apply to passenger cars, light-duty trucks, and medium-duty passenger vehicles built in model years 2012 through 2016. The California Air Resources Board (CARB) has agreed that compliance with EPA’s greenhouse gas standards will be deemed compliance with the California greenhouse gas standards for the 2012 through 2016 model years. EPA and the National Highway Traffic Safety Administration (NHTSA), on behalf of DOT, issued their final rule to implement this new federal program on April 1, 2010. We have committed to work with EPA, the NHTSA, the states, and other stakeholders in support of a strong national program to reduce oil consumption and address global climate change.</w:t>
      </w:r>
    </w:p>
    <w:p>
      <w:pPr>
        <w:spacing w:after="0" w:line="118" w:lineRule="exact"/>
        <w:rPr>
          <w:sz w:val="20"/>
          <w:szCs w:val="20"/>
          <w:color w:val="auto"/>
        </w:rPr>
      </w:pPr>
    </w:p>
    <w:p>
      <w:pPr>
        <w:ind w:right="20" w:firstLine="228"/>
        <w:spacing w:after="0" w:line="294" w:lineRule="auto"/>
        <w:rPr>
          <w:sz w:val="20"/>
          <w:szCs w:val="20"/>
          <w:color w:val="auto"/>
        </w:rPr>
      </w:pPr>
      <w:r>
        <w:rPr>
          <w:rFonts w:ascii="Arial" w:cs="Arial" w:eastAsia="Arial" w:hAnsi="Arial"/>
          <w:sz w:val="16"/>
          <w:szCs w:val="16"/>
          <w:color w:val="auto"/>
        </w:rPr>
        <w:t>We are committed to meeting or exceeding these regulatory requirements, and our product plan of record projects compliance with the anticipated federal program through the 2016 model year. We expect that to comply with these standards we will be required to sell a significant volume of hybrid or electrically powered vehicles throughout the U.S., as well as implement new technologies for conventional internal combustion engines, all at increased cost levels. There is no assurance that we will be able to produce and sell vehicles that use such technologies on a profitable basis, or that our customers will purchase such vehicles in the quantities necessary for us to comply with these regulatory programs.</w:t>
      </w:r>
    </w:p>
    <w:p>
      <w:pPr>
        <w:spacing w:after="0" w:line="116" w:lineRule="exact"/>
        <w:rPr>
          <w:sz w:val="20"/>
          <w:szCs w:val="20"/>
          <w:color w:val="auto"/>
        </w:rPr>
      </w:pPr>
    </w:p>
    <w:p>
      <w:pPr>
        <w:ind w:firstLine="228"/>
        <w:spacing w:after="0" w:line="254" w:lineRule="auto"/>
        <w:rPr>
          <w:sz w:val="20"/>
          <w:szCs w:val="20"/>
          <w:color w:val="auto"/>
        </w:rPr>
      </w:pPr>
      <w:r>
        <w:rPr>
          <w:rFonts w:ascii="Arial" w:cs="Arial" w:eastAsia="Arial" w:hAnsi="Arial"/>
          <w:sz w:val="18"/>
          <w:szCs w:val="18"/>
          <w:color w:val="auto"/>
        </w:rPr>
        <w:t>In addition, the European Union (EU) passed legislation, effective April 23, 2009, to begin regulating vehicle carbon dioxide emissions beginning in 2012. The legislation sets a target of a fleet average of 95 grams per kilometer for 2020, with the requirements for each manufacturer based on the weight of the vehicles it sells. Additional measures have been proposed or adopted in Europe to regulate features such as tire rolling resistance, vehicle air conditioners, tire pressure monitors, gear shift indicators, and others. At the national level, 17 EU Member States have adopted some form of fuel consumption or carbon dioxide-based vehicle taxation system, which could result in specific market requirements for us to introduce technology earlier than is required for compliance with the EU emissions standards.</w:t>
      </w:r>
    </w:p>
    <w:p>
      <w:pPr>
        <w:spacing w:after="0" w:line="144" w:lineRule="exact"/>
        <w:rPr>
          <w:sz w:val="20"/>
          <w:szCs w:val="20"/>
          <w:color w:val="auto"/>
        </w:rPr>
      </w:pPr>
    </w:p>
    <w:p>
      <w:pPr>
        <w:ind w:right="80" w:firstLine="228"/>
        <w:spacing w:after="0" w:line="294" w:lineRule="auto"/>
        <w:rPr>
          <w:sz w:val="20"/>
          <w:szCs w:val="20"/>
          <w:color w:val="auto"/>
        </w:rPr>
      </w:pPr>
      <w:r>
        <w:rPr>
          <w:rFonts w:ascii="Arial" w:cs="Arial" w:eastAsia="Arial" w:hAnsi="Arial"/>
          <w:sz w:val="16"/>
          <w:szCs w:val="16"/>
          <w:color w:val="auto"/>
        </w:rPr>
        <w:t>Other governments around the world, such as Canada, South Korea, and China are also creating new policies to address these same issues. As in the U.S., these government policies could significantly affect our plans for product development. Due to these regulations, we could be subject to sizable civil penalties or have to restrict product offerings drastically to remain in compliance. Additionally, the regulations will result in substantial costs, which could be difficult to pass through to our customers, and could result in limits on the types of vehicles we sell and where we sell them, which could affect our operations, including facility closings, reduced employment, increased costs, and loss of revenue.</w:t>
      </w:r>
    </w:p>
    <w:p>
      <w:pPr>
        <w:spacing w:after="0" w:line="1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161</w:t>
      </w:r>
    </w:p>
    <w:p>
      <w:pPr>
        <w:sectPr>
          <w:pgSz w:w="11900" w:h="16838" w:orient="portrait"/>
          <w:cols w:equalWidth="0" w:num="1">
            <w:col w:w="11420"/>
          </w:cols>
          <w:pgMar w:left="240" w:top="460" w:right="239" w:bottom="1440" w:gutter="0" w:footer="0" w:header="0"/>
        </w:sectPr>
      </w:pPr>
    </w:p>
    <w:bookmarkStart w:id="163" w:name="page164"/>
    <w:bookmarkEnd w:id="16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339" w:lineRule="exact"/>
        <w:rPr>
          <w:sz w:val="20"/>
          <w:szCs w:val="20"/>
          <w:color w:val="auto"/>
        </w:rPr>
      </w:pPr>
    </w:p>
    <w:p>
      <w:pPr>
        <w:ind w:left="240" w:right="200"/>
        <w:spacing w:after="0" w:line="268" w:lineRule="auto"/>
        <w:rPr>
          <w:sz w:val="20"/>
          <w:szCs w:val="20"/>
          <w:color w:val="auto"/>
        </w:rPr>
      </w:pPr>
      <w:r>
        <w:rPr>
          <w:rFonts w:ascii="Arial" w:cs="Arial" w:eastAsia="Arial" w:hAnsi="Arial"/>
          <w:sz w:val="18"/>
          <w:szCs w:val="18"/>
          <w:b w:val="1"/>
          <w:bCs w:val="1"/>
          <w:i w:val="1"/>
          <w:iCs w:val="1"/>
          <w:color w:val="auto"/>
        </w:rPr>
        <w:t>We may be unable to qualify for federal funding for our advanced technology vehicle programs under Section 136 of the EISA or may not be selected to participate in the program.</w:t>
      </w:r>
    </w:p>
    <w:p>
      <w:pPr>
        <w:spacing w:after="0" w:line="132" w:lineRule="exact"/>
        <w:rPr>
          <w:sz w:val="20"/>
          <w:szCs w:val="20"/>
          <w:color w:val="auto"/>
        </w:rPr>
      </w:pPr>
    </w:p>
    <w:p>
      <w:pPr>
        <w:ind w:right="40" w:firstLine="228"/>
        <w:spacing w:after="0" w:line="294" w:lineRule="auto"/>
        <w:rPr>
          <w:sz w:val="20"/>
          <w:szCs w:val="20"/>
          <w:color w:val="auto"/>
        </w:rPr>
      </w:pPr>
      <w:r>
        <w:rPr>
          <w:rFonts w:ascii="Arial" w:cs="Arial" w:eastAsia="Arial" w:hAnsi="Arial"/>
          <w:sz w:val="16"/>
          <w:szCs w:val="16"/>
          <w:color w:val="auto"/>
        </w:rPr>
        <w:t>The U.S. Congress provided the United States Department of Energy (DOE) with $25.0 billion in funding to make direct loans to eligible applicants for the costs of re-equipping, expanding, and establishing manufacturing facilities in the U.S. to produce advanced technology vehicles and components for these vehicles. Old GM submitted three applications for Section 136 Loans aggregating $10.3 billion to support its advanced technology vehicle programs prior to July 2009. Based on the findings of the Presidential Task Force on the Auto Industry (Auto Task Force) under Old GM’s UST Loan Agreement in March 2009, the DOE determined that Old GM did not meet the viability requirements for Section 136 Loans.</w:t>
      </w:r>
    </w:p>
    <w:p>
      <w:pPr>
        <w:spacing w:after="0" w:line="116" w:lineRule="exact"/>
        <w:rPr>
          <w:sz w:val="20"/>
          <w:szCs w:val="20"/>
          <w:color w:val="auto"/>
        </w:rPr>
      </w:pPr>
    </w:p>
    <w:p>
      <w:pPr>
        <w:ind w:right="20" w:firstLine="228"/>
        <w:spacing w:after="0" w:line="289" w:lineRule="auto"/>
        <w:rPr>
          <w:sz w:val="20"/>
          <w:szCs w:val="20"/>
          <w:color w:val="auto"/>
        </w:rPr>
      </w:pPr>
      <w:r>
        <w:rPr>
          <w:rFonts w:ascii="Arial" w:cs="Arial" w:eastAsia="Arial" w:hAnsi="Arial"/>
          <w:sz w:val="16"/>
          <w:szCs w:val="16"/>
          <w:color w:val="auto"/>
        </w:rPr>
        <w:t>On July 10, 2009 we purchased certain assets of Old GM pursuant to Section 363 of the Bankruptcy Code, including the rights to the loan applications submitted to the Advanced Technology Vehicle Manufacturing Incentive Program (the ATVMIP). Further, we submitted a fourth application in August 2009. Subsequently, the DOE advised us to resubmit a consolidated application including all the four applications submitted earlier and also the Electric Power Steering project acquired from Delphi in October 2009. We submitted the consolidated application in October 2009, which requested an aggregate amount of $14.4 billion of Section 136 Loans. Ongoing product portfolio updates and project modifications requested from the DOE have the potential to reduce the maximum loan amount. To date, the DOE has announced that it would provide approximately $8.4 billion in Section 136 Loans to Ford Motor Company, Nissan Motor Company, Tesla Motors, Inc., Fisker Automotive, Inc., and Tenneco Inc. There can be no assurance that we will qualify for any remaining loans or receive any such loans even if we qualify.</w:t>
      </w:r>
    </w:p>
    <w:p>
      <w:pPr>
        <w:spacing w:after="0" w:line="118"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A significant amount of our operations are conducted by joint ventures that we cannot operate solely for our benefit.</w:t>
      </w:r>
    </w:p>
    <w:p>
      <w:pPr>
        <w:spacing w:after="0" w:line="171" w:lineRule="exact"/>
        <w:rPr>
          <w:sz w:val="20"/>
          <w:szCs w:val="20"/>
          <w:color w:val="auto"/>
        </w:rPr>
      </w:pPr>
    </w:p>
    <w:p>
      <w:pPr>
        <w:ind w:right="60" w:firstLine="228"/>
        <w:spacing w:after="0" w:line="290" w:lineRule="auto"/>
        <w:rPr>
          <w:sz w:val="20"/>
          <w:szCs w:val="20"/>
          <w:color w:val="auto"/>
        </w:rPr>
      </w:pPr>
      <w:r>
        <w:rPr>
          <w:rFonts w:ascii="Arial" w:cs="Arial" w:eastAsia="Arial" w:hAnsi="Arial"/>
          <w:sz w:val="16"/>
          <w:szCs w:val="16"/>
          <w:color w:val="auto"/>
        </w:rPr>
        <w:t>Many of our operations, particularly in emerging markets, are carried on by joint ventures such as Shanghai General Motors Co., Ltd. (SGM). In joint ventures, we share ownership and management of a company with one or more parties who may not have the same goals, strategies, priorities, or resources as we do. In general, joint ventures are intended to be operated for the equal benefit of all co-owners, rather than for our exclusive benefit. Operating a business as a joint venture often requires additional organizational formalities as well as time-consuming procedures for sharing information and making decisions. In joint ventures, we are required to pay more attention to our relationship with our co-owners as well as with the joint venture, and if a co-owner changes, our relationship may be materially adversely affected. In addition, the benefits from a successful joint venture are shared among the co-owners, so that we do not receive all the benefits from our successful joint ventures.</w:t>
      </w:r>
    </w:p>
    <w:p>
      <w:pPr>
        <w:spacing w:after="0" w:line="118"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Our business in China is subject to aggressive competition and is sensitive to economic and market conditions.</w:t>
      </w:r>
    </w:p>
    <w:p>
      <w:pPr>
        <w:spacing w:after="0" w:line="171" w:lineRule="exact"/>
        <w:rPr>
          <w:sz w:val="20"/>
          <w:szCs w:val="20"/>
          <w:color w:val="auto"/>
        </w:rPr>
      </w:pPr>
    </w:p>
    <w:p>
      <w:pPr>
        <w:ind w:firstLine="228"/>
        <w:spacing w:after="0" w:line="253" w:lineRule="auto"/>
        <w:rPr>
          <w:sz w:val="20"/>
          <w:szCs w:val="20"/>
          <w:color w:val="auto"/>
        </w:rPr>
      </w:pPr>
      <w:r>
        <w:rPr>
          <w:rFonts w:ascii="Arial" w:cs="Arial" w:eastAsia="Arial" w:hAnsi="Arial"/>
          <w:sz w:val="18"/>
          <w:szCs w:val="18"/>
          <w:color w:val="auto"/>
        </w:rPr>
        <w:t>Maintaining a strong position in the Chinese market is a key component of our global growth strategy. The automotive market in China is highly competitive, with competition from many of the largest global manufacturers and numerous smaller domestic manufacturers. As the size of the Chinese market continues to increase, we anticipate that additional competitors, both international and domestic, will seek to enter the Chinese market and that existing market participants will act aggressively to increase their market share. Increased competition may result in price reductions, reduced margins and our inability to gain or hold market share. In addition, our business in China is sensitive to economic and market conditions that drive sales volume in China. If we are unable to maintain our position in the Chinese market or if vehicle sales in China decrease or do not continue to increase, our business and financial results could be materially adversely affected.</w:t>
      </w:r>
    </w:p>
    <w:p>
      <w:pPr>
        <w:spacing w:after="0" w:line="147" w:lineRule="exact"/>
        <w:rPr>
          <w:sz w:val="20"/>
          <w:szCs w:val="20"/>
          <w:color w:val="auto"/>
        </w:rPr>
      </w:pPr>
    </w:p>
    <w:p>
      <w:pPr>
        <w:ind w:left="240" w:right="600"/>
        <w:spacing w:after="0" w:line="268" w:lineRule="auto"/>
        <w:rPr>
          <w:sz w:val="20"/>
          <w:szCs w:val="20"/>
          <w:color w:val="auto"/>
        </w:rPr>
      </w:pPr>
      <w:r>
        <w:rPr>
          <w:rFonts w:ascii="Arial" w:cs="Arial" w:eastAsia="Arial" w:hAnsi="Arial"/>
          <w:sz w:val="18"/>
          <w:szCs w:val="18"/>
          <w:b w:val="1"/>
          <w:bCs w:val="1"/>
          <w:i w:val="1"/>
          <w:iCs w:val="1"/>
          <w:color w:val="auto"/>
        </w:rPr>
        <w:t>Shortages of and volatility in the price of oil have caused and may have a material adverse effect on our business due to shifts in consumer vehicle demand.</w:t>
      </w:r>
    </w:p>
    <w:p>
      <w:pPr>
        <w:spacing w:after="0" w:line="132" w:lineRule="exact"/>
        <w:rPr>
          <w:sz w:val="20"/>
          <w:szCs w:val="20"/>
          <w:color w:val="auto"/>
        </w:rPr>
      </w:pPr>
    </w:p>
    <w:p>
      <w:pPr>
        <w:ind w:right="60" w:firstLine="228"/>
        <w:spacing w:after="0" w:line="255" w:lineRule="auto"/>
        <w:rPr>
          <w:sz w:val="20"/>
          <w:szCs w:val="20"/>
          <w:color w:val="auto"/>
        </w:rPr>
      </w:pPr>
      <w:r>
        <w:rPr>
          <w:rFonts w:ascii="Arial" w:cs="Arial" w:eastAsia="Arial" w:hAnsi="Arial"/>
          <w:sz w:val="18"/>
          <w:szCs w:val="18"/>
          <w:color w:val="auto"/>
        </w:rPr>
        <w:t>Volatile oil prices in 2008 and 2009 contributed to weaker demand for some of Old GM’s and our higher margin vehicles, especially our fullsize sport utility vehicles, as consumer demand shifted to smaller, more fuel-efficient vehicles, which provide lower profit margins and in recent years represented a smaller proportion of Old GM’s and our sales volume in North America. Fullsize pick-up trucks, which are generally less fuel efficient than smaller vehicles, represented a higher percentage of Old GM’s and our North American sales during 2008 and 2009 compared to the total industry average percentage of fullsize pick-up truck sales in those</w:t>
      </w:r>
    </w:p>
    <w:p>
      <w:pPr>
        <w:spacing w:after="0" w:line="12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162</w:t>
      </w:r>
    </w:p>
    <w:p>
      <w:pPr>
        <w:sectPr>
          <w:pgSz w:w="11900" w:h="16838" w:orient="portrait"/>
          <w:cols w:equalWidth="0" w:num="1">
            <w:col w:w="11400"/>
          </w:cols>
          <w:pgMar w:left="240" w:top="460" w:right="259" w:bottom="1440" w:gutter="0" w:footer="0" w:header="0"/>
        </w:sectPr>
      </w:pPr>
    </w:p>
    <w:bookmarkStart w:id="164" w:name="page165"/>
    <w:bookmarkEnd w:id="16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164"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periods. Demand for traditional sport utility vehicles and vans also declined during the same periods. Any future increases in the price of oil in the U.S. or in our other markets or any sustained shortage of oil could further weaken the demand for such vehicles, which could reduce our market share in affected markets, decrease profitability, and have a material adverse effect on our business.</w:t>
      </w:r>
    </w:p>
    <w:p>
      <w:pPr>
        <w:spacing w:after="0" w:line="140" w:lineRule="exact"/>
        <w:rPr>
          <w:sz w:val="20"/>
          <w:szCs w:val="20"/>
          <w:color w:val="auto"/>
        </w:rPr>
      </w:pPr>
    </w:p>
    <w:p>
      <w:pPr>
        <w:ind w:left="240" w:right="380"/>
        <w:spacing w:after="0" w:line="268" w:lineRule="auto"/>
        <w:rPr>
          <w:sz w:val="20"/>
          <w:szCs w:val="20"/>
          <w:color w:val="auto"/>
        </w:rPr>
      </w:pPr>
      <w:r>
        <w:rPr>
          <w:rFonts w:ascii="Arial" w:cs="Arial" w:eastAsia="Arial" w:hAnsi="Arial"/>
          <w:sz w:val="18"/>
          <w:szCs w:val="18"/>
          <w:b w:val="1"/>
          <w:bCs w:val="1"/>
          <w:i w:val="1"/>
          <w:iCs w:val="1"/>
          <w:color w:val="auto"/>
        </w:rPr>
        <w:t>Restrictions in our labor agreements could limit our ability to pursue or achieve cost savings through restructuring initiatives, and labor strikes, work stoppages, or similar difficulties could significantly disrupt our operations.</w:t>
      </w:r>
    </w:p>
    <w:p>
      <w:pPr>
        <w:spacing w:after="0" w:line="132" w:lineRule="exact"/>
        <w:rPr>
          <w:sz w:val="20"/>
          <w:szCs w:val="20"/>
          <w:color w:val="auto"/>
        </w:rPr>
      </w:pPr>
    </w:p>
    <w:p>
      <w:pPr>
        <w:ind w:right="40" w:firstLine="228"/>
        <w:spacing w:after="0" w:line="289" w:lineRule="auto"/>
        <w:rPr>
          <w:sz w:val="20"/>
          <w:szCs w:val="20"/>
          <w:color w:val="auto"/>
        </w:rPr>
      </w:pPr>
      <w:r>
        <w:rPr>
          <w:rFonts w:ascii="Arial" w:cs="Arial" w:eastAsia="Arial" w:hAnsi="Arial"/>
          <w:sz w:val="16"/>
          <w:szCs w:val="16"/>
          <w:color w:val="auto"/>
        </w:rPr>
        <w:t>Substantially all of the hourly employees in our U.S., Canadian, and European automotive operations are represented by labor unions and are covered by collective bargaining agreements, which usually have a multi- year duration. Many of these agreements include provisions that limit our ability to realize cost savings from restructuring initiatives such as plant closings and reductions in workforce. Our current collective bargaining agreement with the International Union, United Automobile, Aerospace and Agricultural Implement Workers of America (UAW) will expire in September 2011, and while the UAW has agreed to a commitment not to strike prior to 2015, any UAW strikes, threats of strikes, or other resistance in the future could materially adversely affect our business as well as impair our ability to implement further measures to reduce costs and improve production efficiencies in furtherance of our North American initiatives. A lengthy strike by the UAW that involves all or a significant portion of our manufacturing facilities in the United States would have a material adverse effect on our operations and financial condition, particularly our liquidity.</w:t>
      </w:r>
    </w:p>
    <w:p>
      <w:pPr>
        <w:spacing w:after="0" w:line="118" w:lineRule="exact"/>
        <w:rPr>
          <w:sz w:val="20"/>
          <w:szCs w:val="20"/>
          <w:color w:val="auto"/>
        </w:rPr>
      </w:pPr>
    </w:p>
    <w:p>
      <w:pPr>
        <w:ind w:left="240" w:right="320"/>
        <w:spacing w:after="0" w:line="332" w:lineRule="auto"/>
        <w:rPr>
          <w:sz w:val="20"/>
          <w:szCs w:val="20"/>
          <w:color w:val="auto"/>
        </w:rPr>
      </w:pPr>
      <w:r>
        <w:rPr>
          <w:rFonts w:ascii="Arial" w:cs="Arial" w:eastAsia="Arial" w:hAnsi="Arial"/>
          <w:sz w:val="16"/>
          <w:szCs w:val="16"/>
          <w:b w:val="1"/>
          <w:bCs w:val="1"/>
          <w:i w:val="1"/>
          <w:iCs w:val="1"/>
          <w:color w:val="auto"/>
        </w:rPr>
        <w:t>Despite the formation of our new company, we continue to have indebtedness and other obligations. Our obligations together with our cash needs may require us to seek additional financing, minimize capital expenditures, or seek to refinance some or all of our debt.</w:t>
      </w:r>
    </w:p>
    <w:p>
      <w:pPr>
        <w:spacing w:after="0" w:line="85" w:lineRule="exact"/>
        <w:rPr>
          <w:sz w:val="20"/>
          <w:szCs w:val="20"/>
          <w:color w:val="auto"/>
        </w:rPr>
      </w:pPr>
    </w:p>
    <w:p>
      <w:pPr>
        <w:ind w:firstLine="228"/>
        <w:spacing w:after="0" w:line="332" w:lineRule="auto"/>
        <w:rPr>
          <w:sz w:val="20"/>
          <w:szCs w:val="20"/>
          <w:color w:val="auto"/>
        </w:rPr>
      </w:pPr>
      <w:r>
        <w:rPr>
          <w:rFonts w:ascii="Arial" w:cs="Arial" w:eastAsia="Arial" w:hAnsi="Arial"/>
          <w:sz w:val="16"/>
          <w:szCs w:val="16"/>
          <w:color w:val="auto"/>
        </w:rPr>
        <w:t>Despite the formation of our new company, we continue to have indebtedness and other obligations, including significant liabilities to our underfunded defined benefit pension plans. Our current and future indebtedness and other obligations could have several important consequences. For example, they could:</w:t>
      </w:r>
    </w:p>
    <w:p>
      <w:pPr>
        <w:spacing w:after="0" w:line="126" w:lineRule="exact"/>
        <w:rPr>
          <w:sz w:val="20"/>
          <w:szCs w:val="20"/>
          <w:color w:val="auto"/>
        </w:rPr>
      </w:pPr>
    </w:p>
    <w:p>
      <w:pPr>
        <w:ind w:left="660" w:right="920" w:hanging="436"/>
        <w:spacing w:after="0" w:line="332" w:lineRule="auto"/>
        <w:tabs>
          <w:tab w:leader="none" w:pos="660" w:val="left"/>
        </w:tabs>
        <w:numPr>
          <w:ilvl w:val="0"/>
          <w:numId w:val="119"/>
        </w:numPr>
        <w:rPr>
          <w:rFonts w:ascii="Arial" w:cs="Arial" w:eastAsia="Arial" w:hAnsi="Arial"/>
          <w:sz w:val="16"/>
          <w:szCs w:val="16"/>
          <w:color w:val="auto"/>
        </w:rPr>
      </w:pPr>
      <w:r>
        <w:rPr>
          <w:rFonts w:ascii="Arial" w:cs="Arial" w:eastAsia="Arial" w:hAnsi="Arial"/>
          <w:sz w:val="16"/>
          <w:szCs w:val="16"/>
          <w:color w:val="auto"/>
        </w:rPr>
        <w:t>Require us to dedicate a larger portion of our cash flow from operations than we currently do to the payment of principal and interest on our indebtedness and other obligations, which will reduce the funds available for other purposes such as product development;</w:t>
      </w:r>
    </w:p>
    <w:p>
      <w:pPr>
        <w:spacing w:after="0" w:line="4" w:lineRule="exact"/>
        <w:rPr>
          <w:rFonts w:ascii="Arial" w:cs="Arial" w:eastAsia="Arial" w:hAnsi="Arial"/>
          <w:sz w:val="16"/>
          <w:szCs w:val="16"/>
          <w:color w:val="auto"/>
        </w:rPr>
      </w:pPr>
    </w:p>
    <w:p>
      <w:pPr>
        <w:ind w:left="660" w:hanging="436"/>
        <w:spacing w:after="0"/>
        <w:tabs>
          <w:tab w:leader="none" w:pos="660" w:val="left"/>
        </w:tabs>
        <w:numPr>
          <w:ilvl w:val="0"/>
          <w:numId w:val="119"/>
        </w:numPr>
        <w:rPr>
          <w:rFonts w:ascii="Arial" w:cs="Arial" w:eastAsia="Arial" w:hAnsi="Arial"/>
          <w:sz w:val="18"/>
          <w:szCs w:val="18"/>
          <w:color w:val="auto"/>
        </w:rPr>
      </w:pPr>
      <w:r>
        <w:rPr>
          <w:rFonts w:ascii="Arial" w:cs="Arial" w:eastAsia="Arial" w:hAnsi="Arial"/>
          <w:sz w:val="18"/>
          <w:szCs w:val="18"/>
          <w:color w:val="auto"/>
        </w:rPr>
        <w:t>Make it more difficult for us to satisfy our obligations;</w:t>
      </w:r>
    </w:p>
    <w:p>
      <w:pPr>
        <w:spacing w:after="0" w:line="90" w:lineRule="exact"/>
        <w:rPr>
          <w:rFonts w:ascii="Arial" w:cs="Arial" w:eastAsia="Arial" w:hAnsi="Arial"/>
          <w:sz w:val="18"/>
          <w:szCs w:val="18"/>
          <w:color w:val="auto"/>
        </w:rPr>
      </w:pPr>
    </w:p>
    <w:p>
      <w:pPr>
        <w:ind w:left="660" w:hanging="436"/>
        <w:spacing w:after="0"/>
        <w:tabs>
          <w:tab w:leader="none" w:pos="660" w:val="left"/>
        </w:tabs>
        <w:numPr>
          <w:ilvl w:val="0"/>
          <w:numId w:val="119"/>
        </w:numPr>
        <w:rPr>
          <w:rFonts w:ascii="Arial" w:cs="Arial" w:eastAsia="Arial" w:hAnsi="Arial"/>
          <w:sz w:val="18"/>
          <w:szCs w:val="18"/>
          <w:color w:val="auto"/>
        </w:rPr>
      </w:pPr>
      <w:r>
        <w:rPr>
          <w:rFonts w:ascii="Arial" w:cs="Arial" w:eastAsia="Arial" w:hAnsi="Arial"/>
          <w:sz w:val="18"/>
          <w:szCs w:val="18"/>
          <w:color w:val="auto"/>
        </w:rPr>
        <w:t>Make us more vulnerable to adverse economic and industry conditions and adverse developments in our business;</w:t>
      </w:r>
    </w:p>
    <w:p>
      <w:pPr>
        <w:spacing w:after="0" w:line="90" w:lineRule="exact"/>
        <w:rPr>
          <w:rFonts w:ascii="Arial" w:cs="Arial" w:eastAsia="Arial" w:hAnsi="Arial"/>
          <w:sz w:val="18"/>
          <w:szCs w:val="18"/>
          <w:color w:val="auto"/>
        </w:rPr>
      </w:pPr>
    </w:p>
    <w:p>
      <w:pPr>
        <w:ind w:left="660" w:hanging="436"/>
        <w:spacing w:after="0"/>
        <w:tabs>
          <w:tab w:leader="none" w:pos="660" w:val="left"/>
        </w:tabs>
        <w:numPr>
          <w:ilvl w:val="0"/>
          <w:numId w:val="119"/>
        </w:numPr>
        <w:rPr>
          <w:rFonts w:ascii="Arial" w:cs="Arial" w:eastAsia="Arial" w:hAnsi="Arial"/>
          <w:sz w:val="18"/>
          <w:szCs w:val="18"/>
          <w:color w:val="auto"/>
        </w:rPr>
      </w:pPr>
      <w:r>
        <w:rPr>
          <w:rFonts w:ascii="Arial" w:cs="Arial" w:eastAsia="Arial" w:hAnsi="Arial"/>
          <w:sz w:val="18"/>
          <w:szCs w:val="18"/>
          <w:color w:val="auto"/>
        </w:rPr>
        <w:t>Limit our ability to withstand competitive pressures;</w:t>
      </w:r>
    </w:p>
    <w:p>
      <w:pPr>
        <w:spacing w:after="0" w:line="90" w:lineRule="exact"/>
        <w:rPr>
          <w:rFonts w:ascii="Arial" w:cs="Arial" w:eastAsia="Arial" w:hAnsi="Arial"/>
          <w:sz w:val="18"/>
          <w:szCs w:val="18"/>
          <w:color w:val="auto"/>
        </w:rPr>
      </w:pPr>
    </w:p>
    <w:p>
      <w:pPr>
        <w:ind w:left="660" w:hanging="436"/>
        <w:spacing w:after="0"/>
        <w:tabs>
          <w:tab w:leader="none" w:pos="660" w:val="left"/>
        </w:tabs>
        <w:numPr>
          <w:ilvl w:val="0"/>
          <w:numId w:val="119"/>
        </w:numPr>
        <w:rPr>
          <w:rFonts w:ascii="Arial" w:cs="Arial" w:eastAsia="Arial" w:hAnsi="Arial"/>
          <w:sz w:val="18"/>
          <w:szCs w:val="18"/>
          <w:color w:val="auto"/>
        </w:rPr>
      </w:pPr>
      <w:r>
        <w:rPr>
          <w:rFonts w:ascii="Arial" w:cs="Arial" w:eastAsia="Arial" w:hAnsi="Arial"/>
          <w:sz w:val="18"/>
          <w:szCs w:val="18"/>
          <w:color w:val="auto"/>
        </w:rPr>
        <w:t>Limit our ability to fund working capital, capital expenditures, and other general corporate purposes; and</w:t>
      </w:r>
    </w:p>
    <w:p>
      <w:pPr>
        <w:spacing w:after="0" w:line="90" w:lineRule="exact"/>
        <w:rPr>
          <w:rFonts w:ascii="Arial" w:cs="Arial" w:eastAsia="Arial" w:hAnsi="Arial"/>
          <w:sz w:val="18"/>
          <w:szCs w:val="18"/>
          <w:color w:val="auto"/>
        </w:rPr>
      </w:pPr>
    </w:p>
    <w:p>
      <w:pPr>
        <w:ind w:left="660" w:hanging="436"/>
        <w:spacing w:after="0"/>
        <w:tabs>
          <w:tab w:leader="none" w:pos="660" w:val="left"/>
        </w:tabs>
        <w:numPr>
          <w:ilvl w:val="0"/>
          <w:numId w:val="119"/>
        </w:numPr>
        <w:rPr>
          <w:rFonts w:ascii="Arial" w:cs="Arial" w:eastAsia="Arial" w:hAnsi="Arial"/>
          <w:sz w:val="18"/>
          <w:szCs w:val="18"/>
          <w:color w:val="auto"/>
        </w:rPr>
      </w:pPr>
      <w:r>
        <w:rPr>
          <w:rFonts w:ascii="Arial" w:cs="Arial" w:eastAsia="Arial" w:hAnsi="Arial"/>
          <w:sz w:val="18"/>
          <w:szCs w:val="18"/>
          <w:color w:val="auto"/>
        </w:rPr>
        <w:t>Reduce our flexibility in responding to changing business and economic conditions.</w:t>
      </w:r>
    </w:p>
    <w:p>
      <w:pPr>
        <w:spacing w:after="0" w:line="171" w:lineRule="exact"/>
        <w:rPr>
          <w:sz w:val="20"/>
          <w:szCs w:val="20"/>
          <w:color w:val="auto"/>
        </w:rPr>
      </w:pPr>
    </w:p>
    <w:p>
      <w:pPr>
        <w:ind w:right="420" w:firstLine="228"/>
        <w:spacing w:after="0" w:line="370" w:lineRule="auto"/>
        <w:rPr>
          <w:sz w:val="20"/>
          <w:szCs w:val="20"/>
          <w:color w:val="auto"/>
        </w:rPr>
      </w:pPr>
      <w:r>
        <w:rPr>
          <w:rFonts w:ascii="Arial" w:cs="Arial" w:eastAsia="Arial" w:hAnsi="Arial"/>
          <w:sz w:val="15"/>
          <w:szCs w:val="15"/>
          <w:color w:val="auto"/>
        </w:rPr>
        <w:t>Future liquidity needs may require us to seek additional financing or minimize capital expenditures. There is no assurance that either of these alternatives would be available to us on satisfactory terms or on terms that would not require us to renegotiate the terms and conditions of our existing debt agreements.</w:t>
      </w:r>
    </w:p>
    <w:p>
      <w:pPr>
        <w:spacing w:after="0" w:line="62" w:lineRule="exact"/>
        <w:rPr>
          <w:sz w:val="20"/>
          <w:szCs w:val="20"/>
          <w:color w:val="auto"/>
        </w:rPr>
      </w:pPr>
    </w:p>
    <w:p>
      <w:pPr>
        <w:ind w:left="240" w:right="100"/>
        <w:spacing w:after="0" w:line="268" w:lineRule="auto"/>
        <w:rPr>
          <w:sz w:val="20"/>
          <w:szCs w:val="20"/>
          <w:color w:val="auto"/>
        </w:rPr>
      </w:pPr>
      <w:r>
        <w:rPr>
          <w:rFonts w:ascii="Arial" w:cs="Arial" w:eastAsia="Arial" w:hAnsi="Arial"/>
          <w:sz w:val="18"/>
          <w:szCs w:val="18"/>
          <w:b w:val="1"/>
          <w:bCs w:val="1"/>
          <w:i w:val="1"/>
          <w:iCs w:val="1"/>
          <w:color w:val="auto"/>
        </w:rPr>
        <w:t>Our failure to comply with the covenants in the agreements governing our present and future indebtedness could materially adversely affect our financial condition and liquidity.</w:t>
      </w:r>
    </w:p>
    <w:p>
      <w:pPr>
        <w:spacing w:after="0" w:line="132" w:lineRule="exact"/>
        <w:rPr>
          <w:sz w:val="20"/>
          <w:szCs w:val="20"/>
          <w:color w:val="auto"/>
        </w:rPr>
      </w:pPr>
    </w:p>
    <w:p>
      <w:pPr>
        <w:ind w:right="60" w:firstLine="228"/>
        <w:spacing w:after="0" w:line="294" w:lineRule="auto"/>
        <w:rPr>
          <w:sz w:val="20"/>
          <w:szCs w:val="20"/>
          <w:color w:val="auto"/>
        </w:rPr>
      </w:pPr>
      <w:r>
        <w:rPr>
          <w:rFonts w:ascii="Arial" w:cs="Arial" w:eastAsia="Arial" w:hAnsi="Arial"/>
          <w:sz w:val="16"/>
          <w:szCs w:val="16"/>
          <w:color w:val="auto"/>
        </w:rPr>
        <w:t>Several of the agreements governing our indebtedness, including our new secured revolving credit facility and other loan facility agreements, contain covenants requiring us to take certain actions and negative covenants restricting our ability to take certain actions. In the past, we have failed to meet certain of these covenants, including by failing to provide financial statements in a timely manner and failing certain financial tests. In addition, the Chapter 11 Proceedings and the change in control as a result of the 363 Sale triggered technical defaults in certain loans for which we had assumed the obligations. A breach of any of the covenants in the agreements governing our indebtedness, if uncured, could lead to an event of default under any such agreements, which in some</w:t>
      </w:r>
    </w:p>
    <w:p>
      <w:pPr>
        <w:spacing w:after="0" w:line="1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163</w:t>
      </w:r>
    </w:p>
    <w:p>
      <w:pPr>
        <w:sectPr>
          <w:pgSz w:w="11900" w:h="16838" w:orient="portrait"/>
          <w:cols w:equalWidth="0" w:num="1">
            <w:col w:w="11420"/>
          </w:cols>
          <w:pgMar w:left="240" w:top="459" w:right="239" w:bottom="1440" w:gutter="0" w:footer="0" w:header="0"/>
        </w:sectPr>
      </w:pPr>
    </w:p>
    <w:bookmarkStart w:id="165" w:name="page166"/>
    <w:bookmarkEnd w:id="16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164" w:lineRule="exact"/>
        <w:rPr>
          <w:sz w:val="20"/>
          <w:szCs w:val="20"/>
          <w:color w:val="auto"/>
        </w:rPr>
      </w:pPr>
    </w:p>
    <w:p>
      <w:pPr>
        <w:spacing w:after="0" w:line="312" w:lineRule="auto"/>
        <w:rPr>
          <w:sz w:val="20"/>
          <w:szCs w:val="20"/>
          <w:color w:val="auto"/>
        </w:rPr>
      </w:pPr>
      <w:r>
        <w:rPr>
          <w:rFonts w:ascii="Arial" w:cs="Arial" w:eastAsia="Arial" w:hAnsi="Arial"/>
          <w:sz w:val="15"/>
          <w:szCs w:val="15"/>
          <w:color w:val="auto"/>
        </w:rPr>
        <w:t>circumstances could give the lender the right to demand that we accelerate repayment of amounts due under the agreement. Therefore, in the event of any such breach, we may need to seek covenant waivers or amendments from the lenders or to seek alternative or additional sources of financing, and we cannot assure you that we would be able to obtain any such waivers or amendments or alternative or additional financing on acceptable terms, if at all. Refer to “Managements’s Discussion and Analysis of Financial Condition and Results of Operations—Liquidity and Capital Resources—Other Liquidity Issues—Technical Defaults and Covenant Violations” and to Note 13 to the condensed consolidated financial statements included herein for additional information on technical defaults and covenant violations that have occurred recently. In addition, any covenant breach or event of default could harm our credit rating and our ability to obtain additional financing on acceptable terms. The occurrence of any of these events could have a material adverse effect on our financial condition and liquidity.</w:t>
      </w:r>
    </w:p>
    <w:p>
      <w:pPr>
        <w:spacing w:after="0" w:line="105" w:lineRule="exact"/>
        <w:rPr>
          <w:sz w:val="20"/>
          <w:szCs w:val="20"/>
          <w:color w:val="auto"/>
        </w:rPr>
      </w:pPr>
    </w:p>
    <w:p>
      <w:pPr>
        <w:ind w:left="240" w:right="40"/>
        <w:spacing w:after="0" w:line="332" w:lineRule="auto"/>
        <w:rPr>
          <w:sz w:val="20"/>
          <w:szCs w:val="20"/>
          <w:color w:val="auto"/>
        </w:rPr>
      </w:pPr>
      <w:r>
        <w:rPr>
          <w:rFonts w:ascii="Arial" w:cs="Arial" w:eastAsia="Arial" w:hAnsi="Arial"/>
          <w:sz w:val="16"/>
          <w:szCs w:val="16"/>
          <w:b w:val="1"/>
          <w:bCs w:val="1"/>
          <w:i w:val="1"/>
          <w:iCs w:val="1"/>
          <w:color w:val="auto"/>
        </w:rPr>
        <w:t>The ability of our new executive management team to quickly learn the automotive industry and lead our company will be critical to our ability to succeed, and our business and results of operations could be materially adversely affected if they are unsuccessful.</w:t>
      </w:r>
    </w:p>
    <w:p>
      <w:pPr>
        <w:spacing w:after="0" w:line="85" w:lineRule="exact"/>
        <w:rPr>
          <w:sz w:val="20"/>
          <w:szCs w:val="20"/>
          <w:color w:val="auto"/>
        </w:rPr>
      </w:pPr>
    </w:p>
    <w:p>
      <w:pPr>
        <w:ind w:right="180" w:firstLine="228"/>
        <w:spacing w:after="0" w:line="294" w:lineRule="auto"/>
        <w:rPr>
          <w:sz w:val="20"/>
          <w:szCs w:val="20"/>
          <w:color w:val="auto"/>
        </w:rPr>
      </w:pPr>
      <w:r>
        <w:rPr>
          <w:rFonts w:ascii="Arial" w:cs="Arial" w:eastAsia="Arial" w:hAnsi="Arial"/>
          <w:sz w:val="16"/>
          <w:szCs w:val="16"/>
          <w:color w:val="auto"/>
        </w:rPr>
        <w:t>Within the past year we have substantially changed our executive management team. We have a new Chief Executive Officer who started on September 1, 2010 and a new Chief Financial Officer who started on January 1, 2010, both of whom have no outside automotive industry experience. We have also promoted from within GM many new senior officers. It is important to our success that the new members of the executive management team quickly understand the automotive industry and that our senior officers quickly adapt and excel in their new senior management roles. If they are unable to do so, and as a result are unable to provide effective guidance and leadership, our business and financial results could be materially adversely affected.</w:t>
      </w:r>
    </w:p>
    <w:p>
      <w:pPr>
        <w:spacing w:after="0" w:line="11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We could be materially adversely affected by changes or imbalances in foreign currency exchange and other rates.</w:t>
      </w:r>
    </w:p>
    <w:p>
      <w:pPr>
        <w:spacing w:after="0" w:line="171" w:lineRule="exact"/>
        <w:rPr>
          <w:sz w:val="20"/>
          <w:szCs w:val="20"/>
          <w:color w:val="auto"/>
        </w:rPr>
      </w:pPr>
    </w:p>
    <w:p>
      <w:pPr>
        <w:ind w:right="40" w:firstLine="228"/>
        <w:spacing w:after="0" w:line="288" w:lineRule="auto"/>
        <w:rPr>
          <w:sz w:val="20"/>
          <w:szCs w:val="20"/>
          <w:color w:val="auto"/>
        </w:rPr>
      </w:pPr>
      <w:r>
        <w:rPr>
          <w:rFonts w:ascii="Arial" w:cs="Arial" w:eastAsia="Arial" w:hAnsi="Arial"/>
          <w:sz w:val="16"/>
          <w:szCs w:val="16"/>
          <w:color w:val="auto"/>
        </w:rPr>
        <w:t>Given the nature and global spread of our business, we have significant exposures to risks related to changes in foreign currency exchange rates, commodity prices, and interest rates, which can have material adverse effects on our business. For example, at times certain of our competitors have derived competitive advantage from relative weakness of the Japanese Yen through pricing advantages for vehicles and parts imported from Japan to markets with more robust currencies like the U.S. and Western Europe. Similarly, a significant strengthening of the Korean Won relative to the U.S. dollar or the Euro would affect the competitiveness of our Korean operations as well as that of certain Korean competitors. As yet another example, a relative weakness of the British Pound compared to the Euro has an adverse effect on our results of operations in Europe. In addition, in preparing our consolidated financial statements, we translate our revenues and expenses outside the U.S. into U.S. Dollars using the average foreign currency exchange rate for the period and the assets and liabilities using the foreign currency exchange rate at the balance sheet date. As a result, foreign currency fluctuations and the associated translations could have a material adverse effect on our results of operations.</w:t>
      </w:r>
    </w:p>
    <w:p>
      <w:pPr>
        <w:spacing w:after="0" w:line="120"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Our businesses outside the U.S. expose us to additional risks that may materially adversely affect our business.</w:t>
      </w:r>
    </w:p>
    <w:p>
      <w:pPr>
        <w:spacing w:after="0" w:line="171" w:lineRule="exact"/>
        <w:rPr>
          <w:sz w:val="20"/>
          <w:szCs w:val="20"/>
          <w:color w:val="auto"/>
        </w:rPr>
      </w:pPr>
    </w:p>
    <w:p>
      <w:pPr>
        <w:ind w:right="180" w:firstLine="228"/>
        <w:spacing w:after="0" w:line="259" w:lineRule="auto"/>
        <w:rPr>
          <w:sz w:val="20"/>
          <w:szCs w:val="20"/>
          <w:color w:val="auto"/>
        </w:rPr>
      </w:pPr>
      <w:r>
        <w:rPr>
          <w:rFonts w:ascii="Arial" w:cs="Arial" w:eastAsia="Arial" w:hAnsi="Arial"/>
          <w:sz w:val="18"/>
          <w:szCs w:val="18"/>
          <w:color w:val="auto"/>
        </w:rPr>
        <w:t>The majority of our vehicle sales are generated outside the U.S. We are pursuing growth opportunities for our business in a variety of business environments outside the U.S. Operating in a large number of different regions and countries exposes us to political, economic, and other risks as well as multiple foreign regulatory requirements that are subject to change, including:</w:t>
      </w:r>
    </w:p>
    <w:p>
      <w:pPr>
        <w:spacing w:after="0" w:line="181" w:lineRule="exact"/>
        <w:rPr>
          <w:sz w:val="20"/>
          <w:szCs w:val="20"/>
          <w:color w:val="auto"/>
        </w:rPr>
      </w:pPr>
    </w:p>
    <w:p>
      <w:pPr>
        <w:ind w:left="660" w:hanging="436"/>
        <w:spacing w:after="0"/>
        <w:tabs>
          <w:tab w:leader="none" w:pos="660" w:val="left"/>
        </w:tabs>
        <w:numPr>
          <w:ilvl w:val="0"/>
          <w:numId w:val="120"/>
        </w:numPr>
        <w:rPr>
          <w:rFonts w:ascii="Arial" w:cs="Arial" w:eastAsia="Arial" w:hAnsi="Arial"/>
          <w:sz w:val="18"/>
          <w:szCs w:val="18"/>
          <w:color w:val="auto"/>
        </w:rPr>
      </w:pPr>
      <w:r>
        <w:rPr>
          <w:rFonts w:ascii="Arial" w:cs="Arial" w:eastAsia="Arial" w:hAnsi="Arial"/>
          <w:sz w:val="18"/>
          <w:szCs w:val="18"/>
          <w:color w:val="auto"/>
        </w:rPr>
        <w:t>Economic downturns in foreign countries or geographic regions where we have significant operations, such as China;</w:t>
      </w:r>
    </w:p>
    <w:p>
      <w:pPr>
        <w:spacing w:after="0" w:line="90" w:lineRule="exact"/>
        <w:rPr>
          <w:rFonts w:ascii="Arial" w:cs="Arial" w:eastAsia="Arial" w:hAnsi="Arial"/>
          <w:sz w:val="18"/>
          <w:szCs w:val="18"/>
          <w:color w:val="auto"/>
        </w:rPr>
      </w:pPr>
    </w:p>
    <w:p>
      <w:pPr>
        <w:ind w:left="660" w:right="120" w:hanging="436"/>
        <w:spacing w:after="0" w:line="268" w:lineRule="auto"/>
        <w:tabs>
          <w:tab w:leader="none" w:pos="660" w:val="left"/>
        </w:tabs>
        <w:numPr>
          <w:ilvl w:val="0"/>
          <w:numId w:val="120"/>
        </w:numPr>
        <w:rPr>
          <w:rFonts w:ascii="Arial" w:cs="Arial" w:eastAsia="Arial" w:hAnsi="Arial"/>
          <w:sz w:val="18"/>
          <w:szCs w:val="18"/>
          <w:color w:val="auto"/>
        </w:rPr>
      </w:pPr>
      <w:r>
        <w:rPr>
          <w:rFonts w:ascii="Arial" w:cs="Arial" w:eastAsia="Arial" w:hAnsi="Arial"/>
          <w:sz w:val="18"/>
          <w:szCs w:val="18"/>
          <w:color w:val="auto"/>
        </w:rPr>
        <w:t>Economic tensions between governments and changes in international trade and investment policies, including imposing restrictions on the repatriation of dividends, especially between the United States and China;</w:t>
      </w:r>
    </w:p>
    <w:p>
      <w:pPr>
        <w:spacing w:after="0" w:line="50" w:lineRule="exact"/>
        <w:rPr>
          <w:rFonts w:ascii="Arial" w:cs="Arial" w:eastAsia="Arial" w:hAnsi="Arial"/>
          <w:sz w:val="18"/>
          <w:szCs w:val="18"/>
          <w:color w:val="auto"/>
        </w:rPr>
      </w:pPr>
    </w:p>
    <w:p>
      <w:pPr>
        <w:ind w:left="660" w:hanging="436"/>
        <w:spacing w:after="0"/>
        <w:tabs>
          <w:tab w:leader="none" w:pos="660" w:val="left"/>
        </w:tabs>
        <w:numPr>
          <w:ilvl w:val="0"/>
          <w:numId w:val="120"/>
        </w:numPr>
        <w:rPr>
          <w:rFonts w:ascii="Arial" w:cs="Arial" w:eastAsia="Arial" w:hAnsi="Arial"/>
          <w:sz w:val="18"/>
          <w:szCs w:val="18"/>
          <w:color w:val="auto"/>
        </w:rPr>
      </w:pPr>
      <w:r>
        <w:rPr>
          <w:rFonts w:ascii="Arial" w:cs="Arial" w:eastAsia="Arial" w:hAnsi="Arial"/>
          <w:sz w:val="18"/>
          <w:szCs w:val="18"/>
          <w:color w:val="auto"/>
        </w:rPr>
        <w:t>Foreign regulations restricting our ability to sell our products in those countries;</w:t>
      </w:r>
    </w:p>
    <w:p>
      <w:pPr>
        <w:spacing w:after="0" w:line="90" w:lineRule="exact"/>
        <w:rPr>
          <w:rFonts w:ascii="Arial" w:cs="Arial" w:eastAsia="Arial" w:hAnsi="Arial"/>
          <w:sz w:val="18"/>
          <w:szCs w:val="18"/>
          <w:color w:val="auto"/>
        </w:rPr>
      </w:pPr>
    </w:p>
    <w:p>
      <w:pPr>
        <w:ind w:left="660" w:hanging="436"/>
        <w:spacing w:after="0"/>
        <w:tabs>
          <w:tab w:leader="none" w:pos="660" w:val="left"/>
        </w:tabs>
        <w:numPr>
          <w:ilvl w:val="0"/>
          <w:numId w:val="120"/>
        </w:numPr>
        <w:rPr>
          <w:rFonts w:ascii="Arial" w:cs="Arial" w:eastAsia="Arial" w:hAnsi="Arial"/>
          <w:sz w:val="18"/>
          <w:szCs w:val="18"/>
          <w:color w:val="auto"/>
        </w:rPr>
      </w:pPr>
      <w:r>
        <w:rPr>
          <w:rFonts w:ascii="Arial" w:cs="Arial" w:eastAsia="Arial" w:hAnsi="Arial"/>
          <w:sz w:val="18"/>
          <w:szCs w:val="18"/>
          <w:color w:val="auto"/>
        </w:rPr>
        <w:t>Differing local product preferences and product requirements, including fuel economy, vehicle emissions, and safety;</w:t>
      </w:r>
    </w:p>
    <w:p>
      <w:pPr>
        <w:spacing w:after="0" w:line="90" w:lineRule="exact"/>
        <w:rPr>
          <w:rFonts w:ascii="Arial" w:cs="Arial" w:eastAsia="Arial" w:hAnsi="Arial"/>
          <w:sz w:val="18"/>
          <w:szCs w:val="18"/>
          <w:color w:val="auto"/>
        </w:rPr>
      </w:pPr>
    </w:p>
    <w:p>
      <w:pPr>
        <w:ind w:left="660" w:hanging="436"/>
        <w:spacing w:after="0"/>
        <w:tabs>
          <w:tab w:leader="none" w:pos="660" w:val="left"/>
        </w:tabs>
        <w:numPr>
          <w:ilvl w:val="0"/>
          <w:numId w:val="120"/>
        </w:numPr>
        <w:rPr>
          <w:rFonts w:ascii="Arial" w:cs="Arial" w:eastAsia="Arial" w:hAnsi="Arial"/>
          <w:sz w:val="18"/>
          <w:szCs w:val="18"/>
          <w:color w:val="auto"/>
        </w:rPr>
      </w:pPr>
      <w:r>
        <w:rPr>
          <w:rFonts w:ascii="Arial" w:cs="Arial" w:eastAsia="Arial" w:hAnsi="Arial"/>
          <w:sz w:val="18"/>
          <w:szCs w:val="18"/>
          <w:color w:val="auto"/>
        </w:rPr>
        <w:t>Differing labor regulations and union relationships;</w:t>
      </w:r>
    </w:p>
    <w:p>
      <w:pPr>
        <w:spacing w:after="0" w:line="90" w:lineRule="exact"/>
        <w:rPr>
          <w:rFonts w:ascii="Arial" w:cs="Arial" w:eastAsia="Arial" w:hAnsi="Arial"/>
          <w:sz w:val="18"/>
          <w:szCs w:val="18"/>
          <w:color w:val="auto"/>
        </w:rPr>
      </w:pPr>
    </w:p>
    <w:p>
      <w:pPr>
        <w:ind w:left="660" w:hanging="436"/>
        <w:spacing w:after="0"/>
        <w:tabs>
          <w:tab w:leader="none" w:pos="660" w:val="left"/>
        </w:tabs>
        <w:numPr>
          <w:ilvl w:val="0"/>
          <w:numId w:val="120"/>
        </w:numPr>
        <w:rPr>
          <w:rFonts w:ascii="Arial" w:cs="Arial" w:eastAsia="Arial" w:hAnsi="Arial"/>
          <w:sz w:val="18"/>
          <w:szCs w:val="18"/>
          <w:color w:val="auto"/>
        </w:rPr>
      </w:pPr>
      <w:r>
        <w:rPr>
          <w:rFonts w:ascii="Arial" w:cs="Arial" w:eastAsia="Arial" w:hAnsi="Arial"/>
          <w:sz w:val="18"/>
          <w:szCs w:val="18"/>
          <w:color w:val="auto"/>
        </w:rPr>
        <w:t>Consequences from changes in tax laws;</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164</w:t>
      </w:r>
    </w:p>
    <w:p>
      <w:pPr>
        <w:sectPr>
          <w:pgSz w:w="11900" w:h="16838" w:orient="portrait"/>
          <w:cols w:equalWidth="0" w:num="1">
            <w:col w:w="11420"/>
          </w:cols>
          <w:pgMar w:left="240" w:top="460" w:right="239" w:bottom="1440" w:gutter="0" w:footer="0" w:header="0"/>
        </w:sectPr>
      </w:pPr>
    </w:p>
    <w:bookmarkStart w:id="166" w:name="page167"/>
    <w:bookmarkEnd w:id="16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258" w:lineRule="exact"/>
        <w:rPr>
          <w:sz w:val="20"/>
          <w:szCs w:val="20"/>
          <w:color w:val="auto"/>
        </w:rPr>
      </w:pPr>
    </w:p>
    <w:p>
      <w:pPr>
        <w:ind w:left="660" w:hanging="436"/>
        <w:spacing w:after="0"/>
        <w:tabs>
          <w:tab w:leader="none" w:pos="660" w:val="left"/>
        </w:tabs>
        <w:numPr>
          <w:ilvl w:val="0"/>
          <w:numId w:val="121"/>
        </w:numPr>
        <w:rPr>
          <w:rFonts w:ascii="Arial" w:cs="Arial" w:eastAsia="Arial" w:hAnsi="Arial"/>
          <w:sz w:val="18"/>
          <w:szCs w:val="18"/>
          <w:color w:val="auto"/>
        </w:rPr>
      </w:pPr>
      <w:r>
        <w:rPr>
          <w:rFonts w:ascii="Arial" w:cs="Arial" w:eastAsia="Arial" w:hAnsi="Arial"/>
          <w:sz w:val="18"/>
          <w:szCs w:val="18"/>
          <w:color w:val="auto"/>
        </w:rPr>
        <w:t>Difficulties in obtaining financing in foreign countries for local operations; and</w:t>
      </w:r>
    </w:p>
    <w:p>
      <w:pPr>
        <w:spacing w:after="0" w:line="90" w:lineRule="exact"/>
        <w:rPr>
          <w:rFonts w:ascii="Arial" w:cs="Arial" w:eastAsia="Arial" w:hAnsi="Arial"/>
          <w:sz w:val="18"/>
          <w:szCs w:val="18"/>
          <w:color w:val="auto"/>
        </w:rPr>
      </w:pPr>
    </w:p>
    <w:p>
      <w:pPr>
        <w:ind w:left="660" w:hanging="436"/>
        <w:spacing w:after="0"/>
        <w:tabs>
          <w:tab w:leader="none" w:pos="660" w:val="left"/>
        </w:tabs>
        <w:numPr>
          <w:ilvl w:val="0"/>
          <w:numId w:val="121"/>
        </w:numPr>
        <w:rPr>
          <w:rFonts w:ascii="Arial" w:cs="Arial" w:eastAsia="Arial" w:hAnsi="Arial"/>
          <w:sz w:val="18"/>
          <w:szCs w:val="18"/>
          <w:color w:val="auto"/>
        </w:rPr>
      </w:pPr>
      <w:r>
        <w:rPr>
          <w:rFonts w:ascii="Arial" w:cs="Arial" w:eastAsia="Arial" w:hAnsi="Arial"/>
          <w:sz w:val="18"/>
          <w:szCs w:val="18"/>
          <w:color w:val="auto"/>
        </w:rPr>
        <w:t>Political and economic instability, natural calamities, war, and terrorism.</w:t>
      </w:r>
    </w:p>
    <w:p>
      <w:pPr>
        <w:spacing w:after="0" w:line="171" w:lineRule="exact"/>
        <w:rPr>
          <w:sz w:val="20"/>
          <w:szCs w:val="20"/>
          <w:color w:val="auto"/>
        </w:rPr>
      </w:pPr>
    </w:p>
    <w:p>
      <w:pPr>
        <w:ind w:left="240"/>
        <w:spacing w:after="0"/>
        <w:rPr>
          <w:sz w:val="20"/>
          <w:szCs w:val="20"/>
          <w:color w:val="auto"/>
        </w:rPr>
      </w:pPr>
      <w:r>
        <w:rPr>
          <w:rFonts w:ascii="Arial" w:cs="Arial" w:eastAsia="Arial" w:hAnsi="Arial"/>
          <w:sz w:val="18"/>
          <w:szCs w:val="18"/>
          <w:color w:val="auto"/>
        </w:rPr>
        <w:t>The effects of these risks may, individually or in the aggregate, materially adversely affect our business.</w:t>
      </w:r>
    </w:p>
    <w:p>
      <w:pPr>
        <w:spacing w:after="0" w:line="171" w:lineRule="exact"/>
        <w:rPr>
          <w:sz w:val="20"/>
          <w:szCs w:val="20"/>
          <w:color w:val="auto"/>
        </w:rPr>
      </w:pPr>
    </w:p>
    <w:p>
      <w:pPr>
        <w:ind w:left="240" w:right="100"/>
        <w:spacing w:after="0" w:line="268" w:lineRule="auto"/>
        <w:rPr>
          <w:sz w:val="20"/>
          <w:szCs w:val="20"/>
          <w:color w:val="auto"/>
        </w:rPr>
      </w:pPr>
      <w:r>
        <w:rPr>
          <w:rFonts w:ascii="Arial" w:cs="Arial" w:eastAsia="Arial" w:hAnsi="Arial"/>
          <w:sz w:val="18"/>
          <w:szCs w:val="18"/>
          <w:b w:val="1"/>
          <w:bCs w:val="1"/>
          <w:i w:val="1"/>
          <w:iCs w:val="1"/>
          <w:color w:val="auto"/>
        </w:rPr>
        <w:t>New laws, regulations, or policies of governmental organizations regarding safety standards, or changes in existing ones, may have a significant negative effect on how we do business.</w:t>
      </w:r>
    </w:p>
    <w:p>
      <w:pPr>
        <w:spacing w:after="0" w:line="132" w:lineRule="exact"/>
        <w:rPr>
          <w:sz w:val="20"/>
          <w:szCs w:val="20"/>
          <w:color w:val="auto"/>
        </w:rPr>
      </w:pPr>
    </w:p>
    <w:p>
      <w:pPr>
        <w:ind w:right="40" w:firstLine="228"/>
        <w:spacing w:after="0" w:line="318" w:lineRule="auto"/>
        <w:rPr>
          <w:sz w:val="20"/>
          <w:szCs w:val="20"/>
          <w:color w:val="auto"/>
        </w:rPr>
      </w:pPr>
      <w:r>
        <w:rPr>
          <w:rFonts w:ascii="Arial" w:cs="Arial" w:eastAsia="Arial" w:hAnsi="Arial"/>
          <w:sz w:val="15"/>
          <w:szCs w:val="15"/>
          <w:color w:val="auto"/>
        </w:rPr>
        <w:t>Our products must satisfy legal safety requirements. Meeting or exceeding government-mandated safety standards is difficult and costly because crashworthiness standards tend to conflict with the need to reduce vehicle weight in order to meet emissions and fuel economy standards. While we are managing our product development and production operations on a global basis to reduce costs and lead times, unique national or regional standards or vehicle rating programs can result in additional costs for product development, testing, and manufacturing. Governments often require the implementation of new requirements during the middle of a product cycle, which can be substantially more expensive than accommodating these requirements during the design of a new product.</w:t>
      </w:r>
    </w:p>
    <w:p>
      <w:pPr>
        <w:spacing w:after="0" w:line="100" w:lineRule="exact"/>
        <w:rPr>
          <w:sz w:val="20"/>
          <w:szCs w:val="20"/>
          <w:color w:val="auto"/>
        </w:rPr>
      </w:pPr>
    </w:p>
    <w:p>
      <w:pPr>
        <w:jc w:val="both"/>
        <w:ind w:right="120" w:firstLine="228"/>
        <w:spacing w:after="0" w:line="259" w:lineRule="auto"/>
        <w:rPr>
          <w:sz w:val="20"/>
          <w:szCs w:val="20"/>
          <w:color w:val="auto"/>
        </w:rPr>
      </w:pPr>
      <w:r>
        <w:rPr>
          <w:rFonts w:ascii="Arial" w:cs="Arial" w:eastAsia="Arial" w:hAnsi="Arial"/>
          <w:sz w:val="18"/>
          <w:szCs w:val="18"/>
          <w:b w:val="1"/>
          <w:bCs w:val="1"/>
          <w:i w:val="1"/>
          <w:iCs w:val="1"/>
          <w:color w:val="auto"/>
        </w:rPr>
        <w:t>Our views on the fourth quarter rely in large part upon assumptions and analyses we developed. If these assumptions and analyses prove to be incorrect, actual results could vary significantly from our views. If our actual results are lower than our anticipated results it could have an adverse effect on our stock price.</w:t>
      </w:r>
    </w:p>
    <w:p>
      <w:pPr>
        <w:spacing w:after="0" w:line="140" w:lineRule="exact"/>
        <w:rPr>
          <w:sz w:val="20"/>
          <w:szCs w:val="20"/>
          <w:color w:val="auto"/>
        </w:rPr>
      </w:pPr>
    </w:p>
    <w:p>
      <w:pPr>
        <w:ind w:right="80" w:firstLine="228"/>
        <w:spacing w:after="0" w:line="298" w:lineRule="auto"/>
        <w:rPr>
          <w:sz w:val="20"/>
          <w:szCs w:val="20"/>
          <w:color w:val="auto"/>
        </w:rPr>
      </w:pPr>
      <w:r>
        <w:rPr>
          <w:rFonts w:ascii="Arial" w:cs="Arial" w:eastAsia="Arial" w:hAnsi="Arial"/>
          <w:sz w:val="16"/>
          <w:szCs w:val="16"/>
          <w:color w:val="auto"/>
        </w:rPr>
        <w:t>Our views on the fourth quarter rely in large part upon assumptions and analyses that we developed based on our experience and perception of historical trends, current conditions and expected future developments, as well as other factors that we consider appropriate under the circumstances. Whether actual future results and developments will be consistent with our expectations as set forth in “Management’s Discussion and Analysis of Financial Condition and Results of Operations—Projected Fourth Quarter Results” depends on a number of factors, including but not limited to:</w:t>
      </w:r>
    </w:p>
    <w:p>
      <w:pPr>
        <w:spacing w:after="0" w:line="153" w:lineRule="exact"/>
        <w:rPr>
          <w:sz w:val="20"/>
          <w:szCs w:val="20"/>
          <w:color w:val="auto"/>
        </w:rPr>
      </w:pPr>
    </w:p>
    <w:p>
      <w:pPr>
        <w:ind w:left="900" w:hanging="325"/>
        <w:spacing w:after="0"/>
        <w:tabs>
          <w:tab w:leader="none" w:pos="900" w:val="left"/>
        </w:tabs>
        <w:numPr>
          <w:ilvl w:val="0"/>
          <w:numId w:val="122"/>
        </w:numPr>
        <w:rPr>
          <w:rFonts w:ascii="Arial" w:cs="Arial" w:eastAsia="Arial" w:hAnsi="Arial"/>
          <w:sz w:val="18"/>
          <w:szCs w:val="18"/>
          <w:color w:val="auto"/>
        </w:rPr>
      </w:pPr>
      <w:r>
        <w:rPr>
          <w:rFonts w:ascii="Arial" w:cs="Arial" w:eastAsia="Arial" w:hAnsi="Arial"/>
          <w:sz w:val="18"/>
          <w:szCs w:val="18"/>
          <w:color w:val="auto"/>
        </w:rPr>
        <w:t>The effect of changes in consumer demand on our product mix;</w:t>
      </w:r>
    </w:p>
    <w:p>
      <w:pPr>
        <w:spacing w:after="0" w:line="211" w:lineRule="exact"/>
        <w:rPr>
          <w:rFonts w:ascii="Arial" w:cs="Arial" w:eastAsia="Arial" w:hAnsi="Arial"/>
          <w:sz w:val="18"/>
          <w:szCs w:val="18"/>
          <w:color w:val="auto"/>
        </w:rPr>
      </w:pPr>
    </w:p>
    <w:p>
      <w:pPr>
        <w:ind w:left="900" w:hanging="325"/>
        <w:spacing w:after="0"/>
        <w:tabs>
          <w:tab w:leader="none" w:pos="900" w:val="left"/>
        </w:tabs>
        <w:numPr>
          <w:ilvl w:val="0"/>
          <w:numId w:val="122"/>
        </w:numPr>
        <w:rPr>
          <w:rFonts w:ascii="Arial" w:cs="Arial" w:eastAsia="Arial" w:hAnsi="Arial"/>
          <w:sz w:val="18"/>
          <w:szCs w:val="18"/>
          <w:color w:val="auto"/>
        </w:rPr>
      </w:pPr>
      <w:r>
        <w:rPr>
          <w:rFonts w:ascii="Arial" w:cs="Arial" w:eastAsia="Arial" w:hAnsi="Arial"/>
          <w:sz w:val="18"/>
          <w:szCs w:val="18"/>
          <w:color w:val="auto"/>
        </w:rPr>
        <w:t>Our ability to realize production efficiencies and control costs, particularly as it relates to engineering and marketing expenses;</w:t>
      </w:r>
    </w:p>
    <w:p>
      <w:pPr>
        <w:spacing w:after="0" w:line="211" w:lineRule="exact"/>
        <w:rPr>
          <w:rFonts w:ascii="Arial" w:cs="Arial" w:eastAsia="Arial" w:hAnsi="Arial"/>
          <w:sz w:val="18"/>
          <w:szCs w:val="18"/>
          <w:color w:val="auto"/>
        </w:rPr>
      </w:pPr>
    </w:p>
    <w:p>
      <w:pPr>
        <w:ind w:left="900" w:right="660" w:hanging="325"/>
        <w:spacing w:after="0" w:line="268" w:lineRule="auto"/>
        <w:tabs>
          <w:tab w:leader="none" w:pos="900" w:val="left"/>
        </w:tabs>
        <w:numPr>
          <w:ilvl w:val="0"/>
          <w:numId w:val="122"/>
        </w:numPr>
        <w:rPr>
          <w:rFonts w:ascii="Arial" w:cs="Arial" w:eastAsia="Arial" w:hAnsi="Arial"/>
          <w:sz w:val="18"/>
          <w:szCs w:val="18"/>
          <w:color w:val="auto"/>
        </w:rPr>
      </w:pPr>
      <w:r>
        <w:rPr>
          <w:rFonts w:ascii="Arial" w:cs="Arial" w:eastAsia="Arial" w:hAnsi="Arial"/>
          <w:sz w:val="18"/>
          <w:szCs w:val="18"/>
          <w:color w:val="auto"/>
        </w:rPr>
        <w:t>Consumers’ confidence in our products and our ability to continue to attract customers, particularly for our new products, including cars and crossover vehicles;</w:t>
      </w:r>
    </w:p>
    <w:p>
      <w:pPr>
        <w:spacing w:after="0" w:line="172" w:lineRule="exact"/>
        <w:rPr>
          <w:rFonts w:ascii="Arial" w:cs="Arial" w:eastAsia="Arial" w:hAnsi="Arial"/>
          <w:sz w:val="18"/>
          <w:szCs w:val="18"/>
          <w:color w:val="auto"/>
        </w:rPr>
      </w:pPr>
    </w:p>
    <w:p>
      <w:pPr>
        <w:ind w:left="900" w:right="480" w:hanging="325"/>
        <w:spacing w:after="0" w:line="268" w:lineRule="auto"/>
        <w:tabs>
          <w:tab w:leader="none" w:pos="900" w:val="left"/>
        </w:tabs>
        <w:numPr>
          <w:ilvl w:val="0"/>
          <w:numId w:val="122"/>
        </w:numPr>
        <w:rPr>
          <w:rFonts w:ascii="Arial" w:cs="Arial" w:eastAsia="Arial" w:hAnsi="Arial"/>
          <w:sz w:val="18"/>
          <w:szCs w:val="18"/>
          <w:color w:val="auto"/>
        </w:rPr>
      </w:pPr>
      <w:r>
        <w:rPr>
          <w:rFonts w:ascii="Arial" w:cs="Arial" w:eastAsia="Arial" w:hAnsi="Arial"/>
          <w:sz w:val="18"/>
          <w:szCs w:val="18"/>
          <w:color w:val="auto"/>
        </w:rPr>
        <w:t>The availability of adequate financing on acceptable terms to our customers, dealers, distributors and suppliers to enable them to continue their business relationships with us;</w:t>
      </w:r>
    </w:p>
    <w:p>
      <w:pPr>
        <w:spacing w:after="0" w:line="172" w:lineRule="exact"/>
        <w:rPr>
          <w:rFonts w:ascii="Arial" w:cs="Arial" w:eastAsia="Arial" w:hAnsi="Arial"/>
          <w:sz w:val="18"/>
          <w:szCs w:val="18"/>
          <w:color w:val="auto"/>
        </w:rPr>
      </w:pPr>
    </w:p>
    <w:p>
      <w:pPr>
        <w:ind w:left="900" w:hanging="325"/>
        <w:spacing w:after="0"/>
        <w:tabs>
          <w:tab w:leader="none" w:pos="900" w:val="left"/>
        </w:tabs>
        <w:numPr>
          <w:ilvl w:val="0"/>
          <w:numId w:val="122"/>
        </w:numPr>
        <w:rPr>
          <w:rFonts w:ascii="Arial" w:cs="Arial" w:eastAsia="Arial" w:hAnsi="Arial"/>
          <w:sz w:val="18"/>
          <w:szCs w:val="18"/>
          <w:color w:val="auto"/>
        </w:rPr>
      </w:pPr>
      <w:r>
        <w:rPr>
          <w:rFonts w:ascii="Arial" w:cs="Arial" w:eastAsia="Arial" w:hAnsi="Arial"/>
          <w:sz w:val="18"/>
          <w:szCs w:val="18"/>
          <w:color w:val="auto"/>
        </w:rPr>
        <w:t>The ability of our foreign operations to successfully restructure;</w:t>
      </w:r>
    </w:p>
    <w:p>
      <w:pPr>
        <w:spacing w:after="0" w:line="211" w:lineRule="exact"/>
        <w:rPr>
          <w:rFonts w:ascii="Arial" w:cs="Arial" w:eastAsia="Arial" w:hAnsi="Arial"/>
          <w:sz w:val="18"/>
          <w:szCs w:val="18"/>
          <w:color w:val="auto"/>
        </w:rPr>
      </w:pPr>
    </w:p>
    <w:p>
      <w:pPr>
        <w:ind w:left="900" w:hanging="325"/>
        <w:spacing w:after="0"/>
        <w:tabs>
          <w:tab w:leader="none" w:pos="900" w:val="left"/>
        </w:tabs>
        <w:numPr>
          <w:ilvl w:val="0"/>
          <w:numId w:val="122"/>
        </w:numPr>
        <w:rPr>
          <w:rFonts w:ascii="Arial" w:cs="Arial" w:eastAsia="Arial" w:hAnsi="Arial"/>
          <w:sz w:val="18"/>
          <w:szCs w:val="18"/>
          <w:color w:val="auto"/>
        </w:rPr>
      </w:pPr>
      <w:r>
        <w:rPr>
          <w:rFonts w:ascii="Arial" w:cs="Arial" w:eastAsia="Arial" w:hAnsi="Arial"/>
          <w:sz w:val="18"/>
          <w:szCs w:val="18"/>
          <w:color w:val="auto"/>
        </w:rPr>
        <w:t>The effect of foreign currency exchange rates on our revenue and expenses;</w:t>
      </w:r>
    </w:p>
    <w:p>
      <w:pPr>
        <w:spacing w:after="0" w:line="211" w:lineRule="exact"/>
        <w:rPr>
          <w:rFonts w:ascii="Arial" w:cs="Arial" w:eastAsia="Arial" w:hAnsi="Arial"/>
          <w:sz w:val="18"/>
          <w:szCs w:val="18"/>
          <w:color w:val="auto"/>
        </w:rPr>
      </w:pPr>
    </w:p>
    <w:p>
      <w:pPr>
        <w:ind w:left="900" w:hanging="325"/>
        <w:spacing w:after="0"/>
        <w:tabs>
          <w:tab w:leader="none" w:pos="900" w:val="left"/>
        </w:tabs>
        <w:numPr>
          <w:ilvl w:val="0"/>
          <w:numId w:val="122"/>
        </w:numPr>
        <w:rPr>
          <w:rFonts w:ascii="Arial" w:cs="Arial" w:eastAsia="Arial" w:hAnsi="Arial"/>
          <w:sz w:val="18"/>
          <w:szCs w:val="18"/>
          <w:color w:val="auto"/>
        </w:rPr>
      </w:pPr>
      <w:r>
        <w:rPr>
          <w:rFonts w:ascii="Arial" w:cs="Arial" w:eastAsia="Arial" w:hAnsi="Arial"/>
          <w:sz w:val="18"/>
          <w:szCs w:val="18"/>
          <w:color w:val="auto"/>
        </w:rPr>
        <w:t>Shortages of and increases or volatility in the price of oil;</w:t>
      </w:r>
    </w:p>
    <w:p>
      <w:pPr>
        <w:spacing w:after="0" w:line="211" w:lineRule="exact"/>
        <w:rPr>
          <w:rFonts w:ascii="Arial" w:cs="Arial" w:eastAsia="Arial" w:hAnsi="Arial"/>
          <w:sz w:val="18"/>
          <w:szCs w:val="18"/>
          <w:color w:val="auto"/>
        </w:rPr>
      </w:pPr>
    </w:p>
    <w:p>
      <w:pPr>
        <w:ind w:left="900" w:hanging="325"/>
        <w:spacing w:after="0"/>
        <w:tabs>
          <w:tab w:leader="none" w:pos="900" w:val="left"/>
        </w:tabs>
        <w:numPr>
          <w:ilvl w:val="0"/>
          <w:numId w:val="122"/>
        </w:numPr>
        <w:rPr>
          <w:rFonts w:ascii="Arial" w:cs="Arial" w:eastAsia="Arial" w:hAnsi="Arial"/>
          <w:sz w:val="18"/>
          <w:szCs w:val="18"/>
          <w:color w:val="auto"/>
        </w:rPr>
      </w:pPr>
      <w:r>
        <w:rPr>
          <w:rFonts w:ascii="Arial" w:cs="Arial" w:eastAsia="Arial" w:hAnsi="Arial"/>
          <w:sz w:val="18"/>
          <w:szCs w:val="18"/>
          <w:color w:val="auto"/>
        </w:rPr>
        <w:t>Our ability to maintain quality control over our vehicles and avoid material vehicle recalls; and</w:t>
      </w:r>
    </w:p>
    <w:p>
      <w:pPr>
        <w:spacing w:after="0" w:line="211" w:lineRule="exact"/>
        <w:rPr>
          <w:rFonts w:ascii="Arial" w:cs="Arial" w:eastAsia="Arial" w:hAnsi="Arial"/>
          <w:sz w:val="18"/>
          <w:szCs w:val="18"/>
          <w:color w:val="auto"/>
        </w:rPr>
      </w:pPr>
    </w:p>
    <w:p>
      <w:pPr>
        <w:ind w:left="900" w:hanging="325"/>
        <w:spacing w:after="0"/>
        <w:tabs>
          <w:tab w:leader="none" w:pos="900" w:val="left"/>
        </w:tabs>
        <w:numPr>
          <w:ilvl w:val="0"/>
          <w:numId w:val="122"/>
        </w:numPr>
        <w:rPr>
          <w:rFonts w:ascii="Arial" w:cs="Arial" w:eastAsia="Arial" w:hAnsi="Arial"/>
          <w:sz w:val="16"/>
          <w:szCs w:val="16"/>
          <w:color w:val="auto"/>
        </w:rPr>
      </w:pPr>
      <w:r>
        <w:rPr>
          <w:rFonts w:ascii="Arial" w:cs="Arial" w:eastAsia="Arial" w:hAnsi="Arial"/>
          <w:sz w:val="16"/>
          <w:szCs w:val="16"/>
          <w:color w:val="auto"/>
        </w:rPr>
        <w:t>The overall strength and stability of general economic conditions and of the automotive industry, both in the United States and in global markets.</w:t>
      </w:r>
    </w:p>
    <w:p>
      <w:pPr>
        <w:spacing w:after="0" w:line="194" w:lineRule="exact"/>
        <w:rPr>
          <w:sz w:val="20"/>
          <w:szCs w:val="20"/>
          <w:color w:val="auto"/>
        </w:rPr>
      </w:pPr>
    </w:p>
    <w:p>
      <w:pPr>
        <w:ind w:firstLine="228"/>
        <w:spacing w:after="0" w:line="259" w:lineRule="auto"/>
        <w:rPr>
          <w:sz w:val="20"/>
          <w:szCs w:val="20"/>
          <w:color w:val="auto"/>
        </w:rPr>
      </w:pPr>
      <w:r>
        <w:rPr>
          <w:rFonts w:ascii="Arial" w:cs="Arial" w:eastAsia="Arial" w:hAnsi="Arial"/>
          <w:sz w:val="18"/>
          <w:szCs w:val="18"/>
          <w:color w:val="auto"/>
        </w:rPr>
        <w:t>Views on future financial performance are necessarily speculative, and it is likely that one or more of the assumptions that are the basis of these financial forecasts will not come to fruition. Accordingly, we believe that our actual financial condition and results of operations could differ, perhaps materially, from what we describe in “Management’s Discussion and Analysis of Financial Condition</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165</w:t>
      </w:r>
    </w:p>
    <w:p>
      <w:pPr>
        <w:sectPr>
          <w:pgSz w:w="11900" w:h="16838" w:orient="portrait"/>
          <w:cols w:equalWidth="0" w:num="1">
            <w:col w:w="11420"/>
          </w:cols>
          <w:pgMar w:left="240" w:top="459" w:right="239" w:bottom="1440" w:gutter="0" w:footer="0" w:header="0"/>
        </w:sectPr>
      </w:pPr>
    </w:p>
    <w:bookmarkStart w:id="167" w:name="page168"/>
    <w:bookmarkEnd w:id="16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164"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and Results of Operations—Projected Fourth Quarter Results.” Consequently, there can be no assurance that the results or developments predicted will occur. The failure of any such results or developments to materialize as anticipated or the occurrence of unanticipated events or uncertainties could materially adversely affect our stock price.</w:t>
      </w:r>
    </w:p>
    <w:p>
      <w:pPr>
        <w:spacing w:after="0" w:line="140"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The costs and effect on our reputation of product recalls could materially adversely affect our business.</w:t>
      </w:r>
    </w:p>
    <w:p>
      <w:pPr>
        <w:spacing w:after="0" w:line="171" w:lineRule="exact"/>
        <w:rPr>
          <w:sz w:val="20"/>
          <w:szCs w:val="20"/>
          <w:color w:val="auto"/>
        </w:rPr>
      </w:pPr>
    </w:p>
    <w:p>
      <w:pPr>
        <w:ind w:right="120" w:firstLine="228"/>
        <w:spacing w:after="0" w:line="294" w:lineRule="auto"/>
        <w:rPr>
          <w:sz w:val="20"/>
          <w:szCs w:val="20"/>
          <w:color w:val="auto"/>
        </w:rPr>
      </w:pPr>
      <w:r>
        <w:rPr>
          <w:rFonts w:ascii="Arial" w:cs="Arial" w:eastAsia="Arial" w:hAnsi="Arial"/>
          <w:sz w:val="16"/>
          <w:szCs w:val="16"/>
          <w:color w:val="auto"/>
        </w:rPr>
        <w:t>From time to time, we recall our products to address performance, compliance, or safety-related issues. The costs we incur in connection with these recalls typically include the cost of the part being replaced and labor to remove and replace the defective part. In addition, product recalls can harm our reputation and cause us to lose customers, particularly if those recalls cause consumers to question the safety or reliability of our products. Any costs incurred or lost sales caused by future product recalls could materially adversely affect our business. Conversely, not issuing a recall or not issuing a recall on a timely basis can harm our reputation and cause us to lose customers for the same reasons as expressed above.</w:t>
      </w:r>
    </w:p>
    <w:p>
      <w:pPr>
        <w:spacing w:after="0" w:line="116" w:lineRule="exact"/>
        <w:rPr>
          <w:sz w:val="20"/>
          <w:szCs w:val="20"/>
          <w:color w:val="auto"/>
        </w:rPr>
      </w:pPr>
    </w:p>
    <w:p>
      <w:pPr>
        <w:ind w:left="240" w:right="140"/>
        <w:spacing w:after="0" w:line="332" w:lineRule="auto"/>
        <w:rPr>
          <w:sz w:val="20"/>
          <w:szCs w:val="20"/>
          <w:color w:val="auto"/>
        </w:rPr>
      </w:pPr>
      <w:r>
        <w:rPr>
          <w:rFonts w:ascii="Arial" w:cs="Arial" w:eastAsia="Arial" w:hAnsi="Arial"/>
          <w:sz w:val="16"/>
          <w:szCs w:val="16"/>
          <w:b w:val="1"/>
          <w:bCs w:val="1"/>
          <w:i w:val="1"/>
          <w:iCs w:val="1"/>
          <w:color w:val="auto"/>
        </w:rPr>
        <w:t>We have determined that our disclosure controls and procedures and our internal control over financial reporting are currently not effective. The lack of effective internal controls could materially adversely affect our financial condition and ability to carry out our business plan.</w:t>
      </w:r>
    </w:p>
    <w:p>
      <w:pPr>
        <w:spacing w:after="0" w:line="85" w:lineRule="exact"/>
        <w:rPr>
          <w:sz w:val="20"/>
          <w:szCs w:val="20"/>
          <w:color w:val="auto"/>
        </w:rPr>
      </w:pPr>
    </w:p>
    <w:p>
      <w:pPr>
        <w:ind w:right="40" w:firstLine="228"/>
        <w:spacing w:after="0" w:line="287" w:lineRule="auto"/>
        <w:rPr>
          <w:sz w:val="20"/>
          <w:szCs w:val="20"/>
          <w:color w:val="auto"/>
        </w:rPr>
      </w:pPr>
      <w:r>
        <w:rPr>
          <w:rFonts w:ascii="Arial" w:cs="Arial" w:eastAsia="Arial" w:hAnsi="Arial"/>
          <w:sz w:val="16"/>
          <w:szCs w:val="16"/>
          <w:color w:val="auto"/>
        </w:rPr>
        <w:t>Our management team for financial reporting, under the supervision and with the participation of our Chief Executive Officer and our Chief Financial Officer, conducted an evaluation of the effectiveness of the design and operation of our internal controls. At December 31, 2009, because of the inability to sufficiently test the effectiveness of remediated internal controls, we concluded that our internal control over financial reporting was not effective. At September 30, 2010 we concluded that our disclosure controls and procedures were not effective at a reasonable assurance level because of the material weakness in our internal control over financial reporting that continued to exist. Until we have been able to test the operating effectiveness of remediated internal controls and ensure the effectiveness of our disclosure controls and procedures, any material weaknesses may materially adversely affect our ability to report accurately our financial condition and results of operations in the future in a timely and reliable manner. In addition, although we continually review and evaluate internal control systems to allow management to report on the sufficiency of our internal controls, we cannot assure you that we will not discover additional weaknesses in our internal control over financial reporting. Any such additional weakness or failure to remediate the existing weakness could materially adversely affect our financial condition or ability to comply with applicable financial reporting requirements and the requirements of the Company’s various financing agreements.</w:t>
      </w:r>
    </w:p>
    <w:p>
      <w:pPr>
        <w:spacing w:after="0" w:line="12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  *  *  *  *  *</w:t>
      </w:r>
    </w:p>
    <w:p>
      <w:pPr>
        <w:spacing w:after="0" w:line="15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166</w:t>
      </w:r>
    </w:p>
    <w:p>
      <w:pPr>
        <w:sectPr>
          <w:pgSz w:w="11900" w:h="16838" w:orient="portrait"/>
          <w:cols w:equalWidth="0" w:num="1">
            <w:col w:w="11400"/>
          </w:cols>
          <w:pgMar w:left="240" w:top="460" w:right="259" w:bottom="1440" w:gutter="0" w:footer="0" w:header="0"/>
        </w:sectPr>
      </w:pPr>
    </w:p>
    <w:bookmarkStart w:id="168" w:name="page169"/>
    <w:bookmarkEnd w:id="16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Exhibits</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00" w:type="dxa"/>
            <w:vAlign w:val="bottom"/>
          </w:tcPr>
          <w:p>
            <w:pPr>
              <w:spacing w:after="0"/>
              <w:rPr>
                <w:sz w:val="20"/>
                <w:szCs w:val="20"/>
                <w:color w:val="auto"/>
              </w:rPr>
            </w:pPr>
            <w:r>
              <w:rPr>
                <w:rFonts w:ascii="Arial" w:cs="Arial" w:eastAsia="Arial" w:hAnsi="Arial"/>
                <w:sz w:val="14"/>
                <w:szCs w:val="14"/>
                <w:b w:val="1"/>
                <w:bCs w:val="1"/>
                <w:color w:val="auto"/>
              </w:rPr>
              <w:t>Exhibit</w:t>
            </w:r>
          </w:p>
        </w:tc>
        <w:tc>
          <w:tcPr>
            <w:tcW w:w="1200" w:type="dxa"/>
            <w:vAlign w:val="bottom"/>
          </w:tcPr>
          <w:p>
            <w:pPr>
              <w:spacing w:after="0"/>
              <w:rPr>
                <w:sz w:val="14"/>
                <w:szCs w:val="14"/>
                <w:color w:val="auto"/>
              </w:rPr>
            </w:pPr>
          </w:p>
        </w:tc>
        <w:tc>
          <w:tcPr>
            <w:tcW w:w="32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4140" w:type="dxa"/>
            <w:vAlign w:val="bottom"/>
          </w:tcPr>
          <w:p>
            <w:pPr>
              <w:spacing w:after="0"/>
              <w:rPr>
                <w:sz w:val="14"/>
                <w:szCs w:val="14"/>
                <w:color w:val="auto"/>
              </w:rPr>
            </w:pPr>
          </w:p>
        </w:tc>
        <w:tc>
          <w:tcPr>
            <w:tcW w:w="1460" w:type="dxa"/>
            <w:vAlign w:val="bottom"/>
          </w:tcPr>
          <w:p>
            <w:pPr>
              <w:spacing w:after="0"/>
              <w:rPr>
                <w:sz w:val="14"/>
                <w:szCs w:val="14"/>
                <w:color w:val="auto"/>
              </w:rPr>
            </w:pPr>
          </w:p>
        </w:tc>
      </w:tr>
      <w:tr>
        <w:trPr>
          <w:trHeight w:val="168"/>
        </w:trPr>
        <w:tc>
          <w:tcPr>
            <w:tcW w:w="50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0"/>
              </w:rPr>
              <w:t>Number</w:t>
            </w:r>
          </w:p>
        </w:tc>
        <w:tc>
          <w:tcPr>
            <w:tcW w:w="1200" w:type="dxa"/>
            <w:vAlign w:val="bottom"/>
          </w:tcPr>
          <w:p>
            <w:pPr>
              <w:spacing w:after="0"/>
              <w:rPr>
                <w:sz w:val="14"/>
                <w:szCs w:val="14"/>
                <w:color w:val="auto"/>
              </w:rPr>
            </w:pPr>
          </w:p>
        </w:tc>
        <w:tc>
          <w:tcPr>
            <w:tcW w:w="3280" w:type="dxa"/>
            <w:vAlign w:val="bottom"/>
          </w:tcPr>
          <w:p>
            <w:pPr>
              <w:spacing w:after="0"/>
              <w:rPr>
                <w:sz w:val="14"/>
                <w:szCs w:val="14"/>
                <w:color w:val="auto"/>
              </w:rPr>
            </w:pPr>
          </w:p>
        </w:tc>
        <w:tc>
          <w:tcPr>
            <w:tcW w:w="84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w w:val="90"/>
              </w:rPr>
              <w:t>Exhibit Name</w:t>
            </w:r>
          </w:p>
        </w:tc>
        <w:tc>
          <w:tcPr>
            <w:tcW w:w="4140" w:type="dxa"/>
            <w:vAlign w:val="bottom"/>
          </w:tcPr>
          <w:p>
            <w:pPr>
              <w:spacing w:after="0"/>
              <w:rPr>
                <w:sz w:val="14"/>
                <w:szCs w:val="14"/>
                <w:color w:val="auto"/>
              </w:rPr>
            </w:pPr>
          </w:p>
        </w:tc>
        <w:tc>
          <w:tcPr>
            <w:tcW w:w="1460" w:type="dxa"/>
            <w:vAlign w:val="bottom"/>
          </w:tcPr>
          <w:p>
            <w:pPr>
              <w:spacing w:after="0"/>
              <w:rPr>
                <w:sz w:val="14"/>
                <w:szCs w:val="14"/>
                <w:color w:val="auto"/>
              </w:rPr>
            </w:pPr>
          </w:p>
        </w:tc>
      </w:tr>
      <w:tr>
        <w:trPr>
          <w:trHeight w:val="322"/>
        </w:trPr>
        <w:tc>
          <w:tcPr>
            <w:tcW w:w="500" w:type="dxa"/>
            <w:vAlign w:val="bottom"/>
          </w:tcPr>
          <w:p>
            <w:pPr>
              <w:spacing w:after="0"/>
              <w:rPr>
                <w:sz w:val="20"/>
                <w:szCs w:val="20"/>
                <w:color w:val="auto"/>
              </w:rPr>
            </w:pPr>
            <w:r>
              <w:rPr>
                <w:rFonts w:ascii="Arial" w:cs="Arial" w:eastAsia="Arial" w:hAnsi="Arial"/>
                <w:sz w:val="18"/>
                <w:szCs w:val="18"/>
                <w:color w:val="auto"/>
              </w:rPr>
              <w:t>31.1</w:t>
            </w:r>
          </w:p>
        </w:tc>
        <w:tc>
          <w:tcPr>
            <w:tcW w:w="1200" w:type="dxa"/>
            <w:vAlign w:val="bottom"/>
          </w:tcPr>
          <w:p>
            <w:pPr>
              <w:ind w:left="340"/>
              <w:spacing w:after="0"/>
              <w:rPr>
                <w:sz w:val="20"/>
                <w:szCs w:val="20"/>
                <w:color w:val="auto"/>
              </w:rPr>
            </w:pPr>
            <w:r>
              <w:rPr>
                <w:rFonts w:ascii="Arial" w:cs="Arial" w:eastAsia="Arial" w:hAnsi="Arial"/>
                <w:sz w:val="18"/>
                <w:szCs w:val="18"/>
                <w:color w:val="auto"/>
                <w:w w:val="88"/>
              </w:rPr>
              <w:t>Section 302</w:t>
            </w:r>
          </w:p>
        </w:tc>
        <w:tc>
          <w:tcPr>
            <w:tcW w:w="8260" w:type="dxa"/>
            <w:vAlign w:val="bottom"/>
            <w:gridSpan w:val="3"/>
          </w:tcPr>
          <w:p>
            <w:pPr>
              <w:ind w:left="20"/>
              <w:spacing w:after="0"/>
              <w:rPr>
                <w:sz w:val="20"/>
                <w:szCs w:val="20"/>
                <w:color w:val="auto"/>
              </w:rPr>
            </w:pPr>
            <w:r>
              <w:rPr>
                <w:rFonts w:ascii="Arial" w:cs="Arial" w:eastAsia="Arial" w:hAnsi="Arial"/>
                <w:sz w:val="18"/>
                <w:szCs w:val="18"/>
                <w:color w:val="auto"/>
              </w:rPr>
              <w:t>Certification of the Chief Executive Officer</w:t>
            </w:r>
          </w:p>
        </w:tc>
        <w:tc>
          <w:tcPr>
            <w:tcW w:w="1460" w:type="dxa"/>
            <w:vAlign w:val="bottom"/>
          </w:tcPr>
          <w:p>
            <w:pPr>
              <w:ind w:left="400"/>
              <w:spacing w:after="0"/>
              <w:rPr>
                <w:sz w:val="20"/>
                <w:szCs w:val="20"/>
                <w:color w:val="auto"/>
              </w:rPr>
            </w:pPr>
            <w:r>
              <w:rPr>
                <w:rFonts w:ascii="Arial" w:cs="Arial" w:eastAsia="Arial" w:hAnsi="Arial"/>
                <w:sz w:val="18"/>
                <w:szCs w:val="18"/>
                <w:color w:val="auto"/>
                <w:w w:val="90"/>
              </w:rPr>
              <w:t>Filed Herewith</w:t>
            </w:r>
          </w:p>
        </w:tc>
      </w:tr>
      <w:tr>
        <w:trPr>
          <w:trHeight w:val="324"/>
        </w:trPr>
        <w:tc>
          <w:tcPr>
            <w:tcW w:w="500" w:type="dxa"/>
            <w:vAlign w:val="bottom"/>
          </w:tcPr>
          <w:p>
            <w:pPr>
              <w:spacing w:after="0"/>
              <w:rPr>
                <w:sz w:val="20"/>
                <w:szCs w:val="20"/>
                <w:color w:val="auto"/>
              </w:rPr>
            </w:pPr>
            <w:r>
              <w:rPr>
                <w:rFonts w:ascii="Arial" w:cs="Arial" w:eastAsia="Arial" w:hAnsi="Arial"/>
                <w:sz w:val="18"/>
                <w:szCs w:val="18"/>
                <w:color w:val="auto"/>
              </w:rPr>
              <w:t>31.2</w:t>
            </w:r>
          </w:p>
        </w:tc>
        <w:tc>
          <w:tcPr>
            <w:tcW w:w="1200" w:type="dxa"/>
            <w:vAlign w:val="bottom"/>
          </w:tcPr>
          <w:p>
            <w:pPr>
              <w:ind w:left="340"/>
              <w:spacing w:after="0"/>
              <w:rPr>
                <w:sz w:val="20"/>
                <w:szCs w:val="20"/>
                <w:color w:val="auto"/>
              </w:rPr>
            </w:pPr>
            <w:r>
              <w:rPr>
                <w:rFonts w:ascii="Arial" w:cs="Arial" w:eastAsia="Arial" w:hAnsi="Arial"/>
                <w:sz w:val="18"/>
                <w:szCs w:val="18"/>
                <w:color w:val="auto"/>
                <w:w w:val="88"/>
              </w:rPr>
              <w:t>Section 302</w:t>
            </w:r>
          </w:p>
        </w:tc>
        <w:tc>
          <w:tcPr>
            <w:tcW w:w="8260" w:type="dxa"/>
            <w:vAlign w:val="bottom"/>
            <w:gridSpan w:val="3"/>
          </w:tcPr>
          <w:p>
            <w:pPr>
              <w:ind w:left="20"/>
              <w:spacing w:after="0"/>
              <w:rPr>
                <w:sz w:val="20"/>
                <w:szCs w:val="20"/>
                <w:color w:val="auto"/>
              </w:rPr>
            </w:pPr>
            <w:r>
              <w:rPr>
                <w:rFonts w:ascii="Arial" w:cs="Arial" w:eastAsia="Arial" w:hAnsi="Arial"/>
                <w:sz w:val="18"/>
                <w:szCs w:val="18"/>
                <w:color w:val="auto"/>
              </w:rPr>
              <w:t>Certification of the Chief Financial Officer</w:t>
            </w:r>
          </w:p>
        </w:tc>
        <w:tc>
          <w:tcPr>
            <w:tcW w:w="1460" w:type="dxa"/>
            <w:vAlign w:val="bottom"/>
          </w:tcPr>
          <w:p>
            <w:pPr>
              <w:ind w:left="400"/>
              <w:spacing w:after="0"/>
              <w:rPr>
                <w:sz w:val="20"/>
                <w:szCs w:val="20"/>
                <w:color w:val="auto"/>
              </w:rPr>
            </w:pPr>
            <w:r>
              <w:rPr>
                <w:rFonts w:ascii="Arial" w:cs="Arial" w:eastAsia="Arial" w:hAnsi="Arial"/>
                <w:sz w:val="18"/>
                <w:szCs w:val="18"/>
                <w:color w:val="auto"/>
                <w:w w:val="90"/>
              </w:rPr>
              <w:t>Filed Herewith</w:t>
            </w:r>
          </w:p>
        </w:tc>
      </w:tr>
      <w:tr>
        <w:trPr>
          <w:trHeight w:val="318"/>
        </w:trPr>
        <w:tc>
          <w:tcPr>
            <w:tcW w:w="500" w:type="dxa"/>
            <w:vAlign w:val="bottom"/>
          </w:tcPr>
          <w:p>
            <w:pPr>
              <w:spacing w:after="0"/>
              <w:rPr>
                <w:sz w:val="20"/>
                <w:szCs w:val="20"/>
                <w:color w:val="auto"/>
              </w:rPr>
            </w:pPr>
            <w:r>
              <w:rPr>
                <w:rFonts w:ascii="Arial" w:cs="Arial" w:eastAsia="Arial" w:hAnsi="Arial"/>
                <w:sz w:val="18"/>
                <w:szCs w:val="18"/>
                <w:color w:val="auto"/>
              </w:rPr>
              <w:t>32.1</w:t>
            </w:r>
          </w:p>
        </w:tc>
        <w:tc>
          <w:tcPr>
            <w:tcW w:w="9460" w:type="dxa"/>
            <w:vAlign w:val="bottom"/>
            <w:gridSpan w:val="4"/>
          </w:tcPr>
          <w:p>
            <w:pPr>
              <w:ind w:left="340"/>
              <w:spacing w:after="0"/>
              <w:rPr>
                <w:sz w:val="20"/>
                <w:szCs w:val="20"/>
                <w:color w:val="auto"/>
              </w:rPr>
            </w:pPr>
            <w:r>
              <w:rPr>
                <w:rFonts w:ascii="Arial" w:cs="Arial" w:eastAsia="Arial" w:hAnsi="Arial"/>
                <w:sz w:val="18"/>
                <w:szCs w:val="18"/>
                <w:color w:val="auto"/>
                <w:w w:val="93"/>
              </w:rPr>
              <w:t>Certification of the Chief Executive Officer Pursuant to 18 U.S.C. Section 1350, As Adopted Pursuant to Section 906 of the</w:t>
            </w:r>
          </w:p>
        </w:tc>
        <w:tc>
          <w:tcPr>
            <w:tcW w:w="1460" w:type="dxa"/>
            <w:vAlign w:val="bottom"/>
          </w:tcPr>
          <w:p>
            <w:pPr>
              <w:ind w:left="400"/>
              <w:spacing w:after="0"/>
              <w:rPr>
                <w:sz w:val="20"/>
                <w:szCs w:val="20"/>
                <w:color w:val="auto"/>
              </w:rPr>
            </w:pPr>
            <w:r>
              <w:rPr>
                <w:rFonts w:ascii="Arial" w:cs="Arial" w:eastAsia="Arial" w:hAnsi="Arial"/>
                <w:sz w:val="18"/>
                <w:szCs w:val="18"/>
                <w:color w:val="auto"/>
                <w:w w:val="90"/>
              </w:rPr>
              <w:t>Filed Herewith</w:t>
            </w:r>
          </w:p>
        </w:tc>
      </w:tr>
      <w:tr>
        <w:trPr>
          <w:trHeight w:val="222"/>
        </w:trPr>
        <w:tc>
          <w:tcPr>
            <w:tcW w:w="500" w:type="dxa"/>
            <w:vAlign w:val="bottom"/>
          </w:tcPr>
          <w:p>
            <w:pPr>
              <w:spacing w:after="0"/>
              <w:rPr>
                <w:sz w:val="19"/>
                <w:szCs w:val="19"/>
                <w:color w:val="auto"/>
              </w:rPr>
            </w:pPr>
          </w:p>
        </w:tc>
        <w:tc>
          <w:tcPr>
            <w:tcW w:w="9460" w:type="dxa"/>
            <w:vAlign w:val="bottom"/>
            <w:gridSpan w:val="4"/>
          </w:tcPr>
          <w:p>
            <w:pPr>
              <w:ind w:left="340"/>
              <w:spacing w:after="0"/>
              <w:rPr>
                <w:sz w:val="20"/>
                <w:szCs w:val="20"/>
                <w:color w:val="auto"/>
              </w:rPr>
            </w:pPr>
            <w:r>
              <w:rPr>
                <w:rFonts w:ascii="Arial" w:cs="Arial" w:eastAsia="Arial" w:hAnsi="Arial"/>
                <w:sz w:val="18"/>
                <w:szCs w:val="18"/>
                <w:color w:val="auto"/>
              </w:rPr>
              <w:t>Sarbanes-Oxley Act of 2002</w:t>
            </w:r>
          </w:p>
        </w:tc>
        <w:tc>
          <w:tcPr>
            <w:tcW w:w="1460" w:type="dxa"/>
            <w:vAlign w:val="bottom"/>
          </w:tcPr>
          <w:p>
            <w:pPr>
              <w:spacing w:after="0"/>
              <w:rPr>
                <w:sz w:val="19"/>
                <w:szCs w:val="19"/>
                <w:color w:val="auto"/>
              </w:rPr>
            </w:pPr>
          </w:p>
        </w:tc>
      </w:tr>
      <w:tr>
        <w:trPr>
          <w:trHeight w:val="318"/>
        </w:trPr>
        <w:tc>
          <w:tcPr>
            <w:tcW w:w="500" w:type="dxa"/>
            <w:vAlign w:val="bottom"/>
          </w:tcPr>
          <w:p>
            <w:pPr>
              <w:spacing w:after="0"/>
              <w:rPr>
                <w:sz w:val="20"/>
                <w:szCs w:val="20"/>
                <w:color w:val="auto"/>
              </w:rPr>
            </w:pPr>
            <w:r>
              <w:rPr>
                <w:rFonts w:ascii="Arial" w:cs="Arial" w:eastAsia="Arial" w:hAnsi="Arial"/>
                <w:sz w:val="18"/>
                <w:szCs w:val="18"/>
                <w:color w:val="auto"/>
              </w:rPr>
              <w:t>32.2</w:t>
            </w:r>
          </w:p>
        </w:tc>
        <w:tc>
          <w:tcPr>
            <w:tcW w:w="9460" w:type="dxa"/>
            <w:vAlign w:val="bottom"/>
            <w:gridSpan w:val="4"/>
          </w:tcPr>
          <w:p>
            <w:pPr>
              <w:ind w:left="340"/>
              <w:spacing w:after="0"/>
              <w:rPr>
                <w:sz w:val="20"/>
                <w:szCs w:val="20"/>
                <w:color w:val="auto"/>
              </w:rPr>
            </w:pPr>
            <w:r>
              <w:rPr>
                <w:rFonts w:ascii="Arial" w:cs="Arial" w:eastAsia="Arial" w:hAnsi="Arial"/>
                <w:sz w:val="18"/>
                <w:szCs w:val="18"/>
                <w:color w:val="auto"/>
                <w:w w:val="94"/>
              </w:rPr>
              <w:t>Certification of the Chief Financial Officer Pursuant to 18 U.S.C. Section 1350, As Adopted Pursuant to Section 906 of the</w:t>
            </w:r>
          </w:p>
        </w:tc>
        <w:tc>
          <w:tcPr>
            <w:tcW w:w="1460" w:type="dxa"/>
            <w:vAlign w:val="bottom"/>
          </w:tcPr>
          <w:p>
            <w:pPr>
              <w:ind w:left="400"/>
              <w:spacing w:after="0"/>
              <w:rPr>
                <w:sz w:val="20"/>
                <w:szCs w:val="20"/>
                <w:color w:val="auto"/>
              </w:rPr>
            </w:pPr>
            <w:r>
              <w:rPr>
                <w:rFonts w:ascii="Arial" w:cs="Arial" w:eastAsia="Arial" w:hAnsi="Arial"/>
                <w:sz w:val="18"/>
                <w:szCs w:val="18"/>
                <w:color w:val="auto"/>
                <w:w w:val="90"/>
              </w:rPr>
              <w:t>Filed Herewith</w:t>
            </w:r>
          </w:p>
        </w:tc>
      </w:tr>
      <w:tr>
        <w:trPr>
          <w:trHeight w:val="222"/>
        </w:trPr>
        <w:tc>
          <w:tcPr>
            <w:tcW w:w="500" w:type="dxa"/>
            <w:vAlign w:val="bottom"/>
          </w:tcPr>
          <w:p>
            <w:pPr>
              <w:spacing w:after="0"/>
              <w:rPr>
                <w:sz w:val="19"/>
                <w:szCs w:val="19"/>
                <w:color w:val="auto"/>
              </w:rPr>
            </w:pPr>
          </w:p>
        </w:tc>
        <w:tc>
          <w:tcPr>
            <w:tcW w:w="9460" w:type="dxa"/>
            <w:vAlign w:val="bottom"/>
            <w:gridSpan w:val="4"/>
          </w:tcPr>
          <w:p>
            <w:pPr>
              <w:ind w:left="340"/>
              <w:spacing w:after="0"/>
              <w:rPr>
                <w:sz w:val="20"/>
                <w:szCs w:val="20"/>
                <w:color w:val="auto"/>
              </w:rPr>
            </w:pPr>
            <w:r>
              <w:rPr>
                <w:rFonts w:ascii="Arial" w:cs="Arial" w:eastAsia="Arial" w:hAnsi="Arial"/>
                <w:sz w:val="18"/>
                <w:szCs w:val="18"/>
                <w:color w:val="auto"/>
              </w:rPr>
              <w:t>Sarbanes-Oxley Act of 2002</w:t>
            </w:r>
          </w:p>
        </w:tc>
        <w:tc>
          <w:tcPr>
            <w:tcW w:w="1460" w:type="dxa"/>
            <w:vAlign w:val="bottom"/>
          </w:tcPr>
          <w:p>
            <w:pPr>
              <w:spacing w:after="0"/>
              <w:rPr>
                <w:sz w:val="19"/>
                <w:szCs w:val="19"/>
                <w:color w:val="auto"/>
              </w:rPr>
            </w:pPr>
          </w:p>
        </w:tc>
      </w:tr>
    </w:tbl>
    <w:p>
      <w:pPr>
        <w:spacing w:after="0" w:line="1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  *  *  *  *</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167</w:t>
      </w:r>
    </w:p>
    <w:p>
      <w:pPr>
        <w:sectPr>
          <w:pgSz w:w="11900" w:h="16838" w:orient="portrait"/>
          <w:cols w:equalWidth="0" w:num="1">
            <w:col w:w="11420"/>
          </w:cols>
          <w:pgMar w:left="240" w:top="460" w:right="239" w:bottom="1440" w:gutter="0" w:footer="0" w:header="0"/>
        </w:sectPr>
      </w:pPr>
    </w:p>
    <w:bookmarkStart w:id="169" w:name="page170"/>
    <w:bookmarkEnd w:id="16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333"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SIGNATURE</w:t>
      </w:r>
    </w:p>
    <w:p>
      <w:pPr>
        <w:spacing w:after="0" w:line="177" w:lineRule="exact"/>
        <w:rPr>
          <w:sz w:val="20"/>
          <w:szCs w:val="20"/>
          <w:color w:val="auto"/>
        </w:rPr>
      </w:pPr>
    </w:p>
    <w:p>
      <w:pPr>
        <w:ind w:firstLine="228"/>
        <w:spacing w:after="0" w:line="268"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72"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GENERAL MOTORS COMPANY</w:t>
      </w:r>
    </w:p>
    <w:p>
      <w:pPr>
        <w:spacing w:after="0" w:line="1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(Registrant)</w:t>
      </w:r>
    </w:p>
    <w:p>
      <w:pPr>
        <w:spacing w:after="0" w:line="232" w:lineRule="exact"/>
        <w:rPr>
          <w:sz w:val="20"/>
          <w:szCs w:val="20"/>
          <w:color w:val="auto"/>
        </w:rPr>
      </w:pPr>
    </w:p>
    <w:p>
      <w:pPr>
        <w:ind w:left="6860"/>
        <w:spacing w:after="0"/>
        <w:tabs>
          <w:tab w:leader="none" w:pos="7260" w:val="left"/>
          <w:tab w:leader="none" w:pos="7600" w:val="left"/>
        </w:tabs>
        <w:rPr>
          <w:sz w:val="20"/>
          <w:szCs w:val="20"/>
          <w:color w:val="auto"/>
        </w:rPr>
      </w:pPr>
      <w:r>
        <w:rPr>
          <w:rFonts w:ascii="Arial" w:cs="Arial" w:eastAsia="Arial" w:hAnsi="Arial"/>
          <w:sz w:val="18"/>
          <w:szCs w:val="18"/>
          <w:color w:val="auto"/>
        </w:rPr>
        <w:t>By:</w:t>
        <w:tab/>
        <w:t>/s/</w:t>
      </w:r>
      <w:r>
        <w:rPr>
          <w:sz w:val="20"/>
          <w:szCs w:val="20"/>
          <w:color w:val="auto"/>
        </w:rPr>
        <w:tab/>
      </w:r>
      <w:r>
        <w:rPr>
          <w:rFonts w:ascii="Arial" w:cs="Arial" w:eastAsia="Arial" w:hAnsi="Arial"/>
          <w:sz w:val="16"/>
          <w:szCs w:val="16"/>
          <w:color w:val="auto"/>
        </w:rPr>
        <w:t>NICK S. CYPRUS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4618990</wp:posOffset>
            </wp:positionH>
            <wp:positionV relativeFrom="paragraph">
              <wp:posOffset>10795</wp:posOffset>
            </wp:positionV>
            <wp:extent cx="2632710" cy="8890"/>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2632710" cy="8890"/>
                    </a:xfrm>
                    <a:prstGeom prst="rect">
                      <a:avLst/>
                    </a:prstGeom>
                    <a:noFill/>
                  </pic:spPr>
                </pic:pic>
              </a:graphicData>
            </a:graphic>
          </wp:anchor>
        </w:drawing>
      </w:r>
    </w:p>
    <w:p>
      <w:pPr>
        <w:spacing w:after="0" w:line="13" w:lineRule="exact"/>
        <w:rPr>
          <w:sz w:val="20"/>
          <w:szCs w:val="20"/>
          <w:color w:val="auto"/>
        </w:rPr>
      </w:pPr>
    </w:p>
    <w:p>
      <w:pPr>
        <w:ind w:left="7280"/>
        <w:spacing w:after="0"/>
        <w:rPr>
          <w:sz w:val="20"/>
          <w:szCs w:val="20"/>
          <w:color w:val="auto"/>
        </w:rPr>
      </w:pPr>
      <w:r>
        <w:rPr>
          <w:rFonts w:ascii="Arial" w:cs="Arial" w:eastAsia="Arial" w:hAnsi="Arial"/>
          <w:sz w:val="14"/>
          <w:szCs w:val="14"/>
          <w:color w:val="auto"/>
        </w:rPr>
        <w:t>(Nick S. Cyprus, Vice President, Controller and</w:t>
      </w:r>
    </w:p>
    <w:p>
      <w:pPr>
        <w:ind w:left="7280"/>
        <w:spacing w:after="0"/>
        <w:rPr>
          <w:sz w:val="20"/>
          <w:szCs w:val="20"/>
          <w:color w:val="auto"/>
        </w:rPr>
      </w:pPr>
      <w:r>
        <w:rPr>
          <w:rFonts w:ascii="Arial" w:cs="Arial" w:eastAsia="Arial" w:hAnsi="Arial"/>
          <w:sz w:val="14"/>
          <w:szCs w:val="14"/>
          <w:color w:val="auto"/>
        </w:rPr>
        <w:t>Chief Accounting Officer)</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color w:val="auto"/>
        </w:rPr>
        <w:t>Date: November 10, 2010</w:t>
      </w:r>
    </w:p>
    <w:p>
      <w:pPr>
        <w:spacing w:after="0" w:line="158"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168</w:t>
      </w:r>
    </w:p>
    <w:p>
      <w:pPr>
        <w:sectPr>
          <w:pgSz w:w="11900" w:h="16838" w:orient="portrait"/>
          <w:cols w:equalWidth="0" w:num="1">
            <w:col w:w="11220"/>
          </w:cols>
          <w:pgMar w:left="240" w:top="459" w:right="439" w:bottom="1440" w:gutter="0" w:footer="0" w:header="0"/>
        </w:sectPr>
      </w:pPr>
    </w:p>
    <w:bookmarkStart w:id="170" w:name="page171"/>
    <w:bookmarkEnd w:id="17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EXHIBIT INDEX</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00" w:type="dxa"/>
            <w:vAlign w:val="bottom"/>
          </w:tcPr>
          <w:p>
            <w:pPr>
              <w:spacing w:after="0"/>
              <w:rPr>
                <w:sz w:val="20"/>
                <w:szCs w:val="20"/>
                <w:color w:val="auto"/>
              </w:rPr>
            </w:pPr>
            <w:r>
              <w:rPr>
                <w:rFonts w:ascii="Arial" w:cs="Arial" w:eastAsia="Arial" w:hAnsi="Arial"/>
                <w:sz w:val="14"/>
                <w:szCs w:val="14"/>
                <w:b w:val="1"/>
                <w:bCs w:val="1"/>
                <w:color w:val="auto"/>
              </w:rPr>
              <w:t>Exhibit</w:t>
            </w:r>
          </w:p>
        </w:tc>
        <w:tc>
          <w:tcPr>
            <w:tcW w:w="1200" w:type="dxa"/>
            <w:vAlign w:val="bottom"/>
          </w:tcPr>
          <w:p>
            <w:pPr>
              <w:spacing w:after="0"/>
              <w:rPr>
                <w:sz w:val="14"/>
                <w:szCs w:val="14"/>
                <w:color w:val="auto"/>
              </w:rPr>
            </w:pPr>
          </w:p>
        </w:tc>
        <w:tc>
          <w:tcPr>
            <w:tcW w:w="32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4140" w:type="dxa"/>
            <w:vAlign w:val="bottom"/>
          </w:tcPr>
          <w:p>
            <w:pPr>
              <w:spacing w:after="0"/>
              <w:rPr>
                <w:sz w:val="14"/>
                <w:szCs w:val="14"/>
                <w:color w:val="auto"/>
              </w:rPr>
            </w:pPr>
          </w:p>
        </w:tc>
        <w:tc>
          <w:tcPr>
            <w:tcW w:w="1460" w:type="dxa"/>
            <w:vAlign w:val="bottom"/>
          </w:tcPr>
          <w:p>
            <w:pPr>
              <w:spacing w:after="0"/>
              <w:rPr>
                <w:sz w:val="14"/>
                <w:szCs w:val="14"/>
                <w:color w:val="auto"/>
              </w:rPr>
            </w:pPr>
          </w:p>
        </w:tc>
      </w:tr>
      <w:tr>
        <w:trPr>
          <w:trHeight w:val="168"/>
        </w:trPr>
        <w:tc>
          <w:tcPr>
            <w:tcW w:w="50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0"/>
              </w:rPr>
              <w:t>Number</w:t>
            </w:r>
          </w:p>
        </w:tc>
        <w:tc>
          <w:tcPr>
            <w:tcW w:w="1200" w:type="dxa"/>
            <w:vAlign w:val="bottom"/>
          </w:tcPr>
          <w:p>
            <w:pPr>
              <w:spacing w:after="0"/>
              <w:rPr>
                <w:sz w:val="14"/>
                <w:szCs w:val="14"/>
                <w:color w:val="auto"/>
              </w:rPr>
            </w:pPr>
          </w:p>
        </w:tc>
        <w:tc>
          <w:tcPr>
            <w:tcW w:w="3280" w:type="dxa"/>
            <w:vAlign w:val="bottom"/>
          </w:tcPr>
          <w:p>
            <w:pPr>
              <w:spacing w:after="0"/>
              <w:rPr>
                <w:sz w:val="14"/>
                <w:szCs w:val="14"/>
                <w:color w:val="auto"/>
              </w:rPr>
            </w:pPr>
          </w:p>
        </w:tc>
        <w:tc>
          <w:tcPr>
            <w:tcW w:w="84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w w:val="90"/>
              </w:rPr>
              <w:t>Exhibit Name</w:t>
            </w:r>
          </w:p>
        </w:tc>
        <w:tc>
          <w:tcPr>
            <w:tcW w:w="4140" w:type="dxa"/>
            <w:vAlign w:val="bottom"/>
          </w:tcPr>
          <w:p>
            <w:pPr>
              <w:spacing w:after="0"/>
              <w:rPr>
                <w:sz w:val="14"/>
                <w:szCs w:val="14"/>
                <w:color w:val="auto"/>
              </w:rPr>
            </w:pPr>
          </w:p>
        </w:tc>
        <w:tc>
          <w:tcPr>
            <w:tcW w:w="1460" w:type="dxa"/>
            <w:vAlign w:val="bottom"/>
          </w:tcPr>
          <w:p>
            <w:pPr>
              <w:spacing w:after="0"/>
              <w:rPr>
                <w:sz w:val="14"/>
                <w:szCs w:val="14"/>
                <w:color w:val="auto"/>
              </w:rPr>
            </w:pPr>
          </w:p>
        </w:tc>
      </w:tr>
      <w:tr>
        <w:trPr>
          <w:trHeight w:val="322"/>
        </w:trPr>
        <w:tc>
          <w:tcPr>
            <w:tcW w:w="500" w:type="dxa"/>
            <w:vAlign w:val="bottom"/>
          </w:tcPr>
          <w:p>
            <w:pPr>
              <w:spacing w:after="0"/>
              <w:rPr>
                <w:sz w:val="20"/>
                <w:szCs w:val="20"/>
                <w:color w:val="auto"/>
              </w:rPr>
            </w:pPr>
            <w:r>
              <w:rPr>
                <w:rFonts w:ascii="Arial" w:cs="Arial" w:eastAsia="Arial" w:hAnsi="Arial"/>
                <w:sz w:val="18"/>
                <w:szCs w:val="18"/>
                <w:color w:val="auto"/>
              </w:rPr>
              <w:t>31.1</w:t>
            </w:r>
          </w:p>
        </w:tc>
        <w:tc>
          <w:tcPr>
            <w:tcW w:w="1200" w:type="dxa"/>
            <w:vAlign w:val="bottom"/>
          </w:tcPr>
          <w:p>
            <w:pPr>
              <w:ind w:left="340"/>
              <w:spacing w:after="0"/>
              <w:rPr>
                <w:sz w:val="20"/>
                <w:szCs w:val="20"/>
                <w:color w:val="auto"/>
              </w:rPr>
            </w:pPr>
            <w:r>
              <w:rPr>
                <w:rFonts w:ascii="Arial" w:cs="Arial" w:eastAsia="Arial" w:hAnsi="Arial"/>
                <w:sz w:val="18"/>
                <w:szCs w:val="18"/>
                <w:color w:val="auto"/>
                <w:w w:val="88"/>
              </w:rPr>
              <w:t>Section 302</w:t>
            </w:r>
          </w:p>
        </w:tc>
        <w:tc>
          <w:tcPr>
            <w:tcW w:w="8260" w:type="dxa"/>
            <w:vAlign w:val="bottom"/>
            <w:gridSpan w:val="3"/>
          </w:tcPr>
          <w:p>
            <w:pPr>
              <w:ind w:left="20"/>
              <w:spacing w:after="0"/>
              <w:rPr>
                <w:sz w:val="20"/>
                <w:szCs w:val="20"/>
                <w:color w:val="auto"/>
              </w:rPr>
            </w:pPr>
            <w:r>
              <w:rPr>
                <w:rFonts w:ascii="Arial" w:cs="Arial" w:eastAsia="Arial" w:hAnsi="Arial"/>
                <w:sz w:val="18"/>
                <w:szCs w:val="18"/>
                <w:color w:val="auto"/>
              </w:rPr>
              <w:t>Certification of the Chief Executive Officer</w:t>
            </w:r>
          </w:p>
        </w:tc>
        <w:tc>
          <w:tcPr>
            <w:tcW w:w="1460" w:type="dxa"/>
            <w:vAlign w:val="bottom"/>
          </w:tcPr>
          <w:p>
            <w:pPr>
              <w:ind w:left="400"/>
              <w:spacing w:after="0"/>
              <w:rPr>
                <w:sz w:val="20"/>
                <w:szCs w:val="20"/>
                <w:color w:val="auto"/>
              </w:rPr>
            </w:pPr>
            <w:r>
              <w:rPr>
                <w:rFonts w:ascii="Arial" w:cs="Arial" w:eastAsia="Arial" w:hAnsi="Arial"/>
                <w:sz w:val="18"/>
                <w:szCs w:val="18"/>
                <w:color w:val="auto"/>
                <w:w w:val="90"/>
              </w:rPr>
              <w:t>Filed Herewith</w:t>
            </w:r>
          </w:p>
        </w:tc>
      </w:tr>
      <w:tr>
        <w:trPr>
          <w:trHeight w:val="324"/>
        </w:trPr>
        <w:tc>
          <w:tcPr>
            <w:tcW w:w="500" w:type="dxa"/>
            <w:vAlign w:val="bottom"/>
          </w:tcPr>
          <w:p>
            <w:pPr>
              <w:spacing w:after="0"/>
              <w:rPr>
                <w:sz w:val="20"/>
                <w:szCs w:val="20"/>
                <w:color w:val="auto"/>
              </w:rPr>
            </w:pPr>
            <w:r>
              <w:rPr>
                <w:rFonts w:ascii="Arial" w:cs="Arial" w:eastAsia="Arial" w:hAnsi="Arial"/>
                <w:sz w:val="18"/>
                <w:szCs w:val="18"/>
                <w:color w:val="auto"/>
              </w:rPr>
              <w:t>31.2</w:t>
            </w:r>
          </w:p>
        </w:tc>
        <w:tc>
          <w:tcPr>
            <w:tcW w:w="1200" w:type="dxa"/>
            <w:vAlign w:val="bottom"/>
          </w:tcPr>
          <w:p>
            <w:pPr>
              <w:ind w:left="340"/>
              <w:spacing w:after="0"/>
              <w:rPr>
                <w:sz w:val="20"/>
                <w:szCs w:val="20"/>
                <w:color w:val="auto"/>
              </w:rPr>
            </w:pPr>
            <w:r>
              <w:rPr>
                <w:rFonts w:ascii="Arial" w:cs="Arial" w:eastAsia="Arial" w:hAnsi="Arial"/>
                <w:sz w:val="18"/>
                <w:szCs w:val="18"/>
                <w:color w:val="auto"/>
                <w:w w:val="88"/>
              </w:rPr>
              <w:t>Section 302</w:t>
            </w:r>
          </w:p>
        </w:tc>
        <w:tc>
          <w:tcPr>
            <w:tcW w:w="8260" w:type="dxa"/>
            <w:vAlign w:val="bottom"/>
            <w:gridSpan w:val="3"/>
          </w:tcPr>
          <w:p>
            <w:pPr>
              <w:ind w:left="20"/>
              <w:spacing w:after="0"/>
              <w:rPr>
                <w:sz w:val="20"/>
                <w:szCs w:val="20"/>
                <w:color w:val="auto"/>
              </w:rPr>
            </w:pPr>
            <w:r>
              <w:rPr>
                <w:rFonts w:ascii="Arial" w:cs="Arial" w:eastAsia="Arial" w:hAnsi="Arial"/>
                <w:sz w:val="18"/>
                <w:szCs w:val="18"/>
                <w:color w:val="auto"/>
              </w:rPr>
              <w:t>Certification of the Chief Financial Officer</w:t>
            </w:r>
          </w:p>
        </w:tc>
        <w:tc>
          <w:tcPr>
            <w:tcW w:w="1460" w:type="dxa"/>
            <w:vAlign w:val="bottom"/>
          </w:tcPr>
          <w:p>
            <w:pPr>
              <w:ind w:left="400"/>
              <w:spacing w:after="0"/>
              <w:rPr>
                <w:sz w:val="20"/>
                <w:szCs w:val="20"/>
                <w:color w:val="auto"/>
              </w:rPr>
            </w:pPr>
            <w:r>
              <w:rPr>
                <w:rFonts w:ascii="Arial" w:cs="Arial" w:eastAsia="Arial" w:hAnsi="Arial"/>
                <w:sz w:val="18"/>
                <w:szCs w:val="18"/>
                <w:color w:val="auto"/>
                <w:w w:val="90"/>
              </w:rPr>
              <w:t>Filed Herewith</w:t>
            </w:r>
          </w:p>
        </w:tc>
      </w:tr>
      <w:tr>
        <w:trPr>
          <w:trHeight w:val="318"/>
        </w:trPr>
        <w:tc>
          <w:tcPr>
            <w:tcW w:w="500" w:type="dxa"/>
            <w:vAlign w:val="bottom"/>
          </w:tcPr>
          <w:p>
            <w:pPr>
              <w:spacing w:after="0"/>
              <w:rPr>
                <w:sz w:val="20"/>
                <w:szCs w:val="20"/>
                <w:color w:val="auto"/>
              </w:rPr>
            </w:pPr>
            <w:r>
              <w:rPr>
                <w:rFonts w:ascii="Arial" w:cs="Arial" w:eastAsia="Arial" w:hAnsi="Arial"/>
                <w:sz w:val="18"/>
                <w:szCs w:val="18"/>
                <w:color w:val="auto"/>
              </w:rPr>
              <w:t>32.1</w:t>
            </w:r>
          </w:p>
        </w:tc>
        <w:tc>
          <w:tcPr>
            <w:tcW w:w="9460" w:type="dxa"/>
            <w:vAlign w:val="bottom"/>
            <w:gridSpan w:val="4"/>
          </w:tcPr>
          <w:p>
            <w:pPr>
              <w:ind w:left="340"/>
              <w:spacing w:after="0"/>
              <w:rPr>
                <w:sz w:val="20"/>
                <w:szCs w:val="20"/>
                <w:color w:val="auto"/>
              </w:rPr>
            </w:pPr>
            <w:r>
              <w:rPr>
                <w:rFonts w:ascii="Arial" w:cs="Arial" w:eastAsia="Arial" w:hAnsi="Arial"/>
                <w:sz w:val="18"/>
                <w:szCs w:val="18"/>
                <w:color w:val="auto"/>
                <w:w w:val="93"/>
              </w:rPr>
              <w:t>Certification of the Chief Executive Officer Pursuant to 18 U.S.C. Section 1350, As Adopted Pursuant to Section 906 of the</w:t>
            </w:r>
          </w:p>
        </w:tc>
        <w:tc>
          <w:tcPr>
            <w:tcW w:w="1460" w:type="dxa"/>
            <w:vAlign w:val="bottom"/>
          </w:tcPr>
          <w:p>
            <w:pPr>
              <w:ind w:left="400"/>
              <w:spacing w:after="0"/>
              <w:rPr>
                <w:sz w:val="20"/>
                <w:szCs w:val="20"/>
                <w:color w:val="auto"/>
              </w:rPr>
            </w:pPr>
            <w:r>
              <w:rPr>
                <w:rFonts w:ascii="Arial" w:cs="Arial" w:eastAsia="Arial" w:hAnsi="Arial"/>
                <w:sz w:val="18"/>
                <w:szCs w:val="18"/>
                <w:color w:val="auto"/>
                <w:w w:val="90"/>
              </w:rPr>
              <w:t>Filed Herewith</w:t>
            </w:r>
          </w:p>
        </w:tc>
      </w:tr>
      <w:tr>
        <w:trPr>
          <w:trHeight w:val="222"/>
        </w:trPr>
        <w:tc>
          <w:tcPr>
            <w:tcW w:w="500" w:type="dxa"/>
            <w:vAlign w:val="bottom"/>
          </w:tcPr>
          <w:p>
            <w:pPr>
              <w:spacing w:after="0"/>
              <w:rPr>
                <w:sz w:val="19"/>
                <w:szCs w:val="19"/>
                <w:color w:val="auto"/>
              </w:rPr>
            </w:pPr>
          </w:p>
        </w:tc>
        <w:tc>
          <w:tcPr>
            <w:tcW w:w="9460" w:type="dxa"/>
            <w:vAlign w:val="bottom"/>
            <w:gridSpan w:val="4"/>
          </w:tcPr>
          <w:p>
            <w:pPr>
              <w:ind w:left="340"/>
              <w:spacing w:after="0"/>
              <w:rPr>
                <w:sz w:val="20"/>
                <w:szCs w:val="20"/>
                <w:color w:val="auto"/>
              </w:rPr>
            </w:pPr>
            <w:r>
              <w:rPr>
                <w:rFonts w:ascii="Arial" w:cs="Arial" w:eastAsia="Arial" w:hAnsi="Arial"/>
                <w:sz w:val="18"/>
                <w:szCs w:val="18"/>
                <w:color w:val="auto"/>
              </w:rPr>
              <w:t>Sarbanes-Oxley Act of 2002</w:t>
            </w:r>
          </w:p>
        </w:tc>
        <w:tc>
          <w:tcPr>
            <w:tcW w:w="1460" w:type="dxa"/>
            <w:vAlign w:val="bottom"/>
          </w:tcPr>
          <w:p>
            <w:pPr>
              <w:spacing w:after="0"/>
              <w:rPr>
                <w:sz w:val="19"/>
                <w:szCs w:val="19"/>
                <w:color w:val="auto"/>
              </w:rPr>
            </w:pPr>
          </w:p>
        </w:tc>
      </w:tr>
      <w:tr>
        <w:trPr>
          <w:trHeight w:val="318"/>
        </w:trPr>
        <w:tc>
          <w:tcPr>
            <w:tcW w:w="500" w:type="dxa"/>
            <w:vAlign w:val="bottom"/>
          </w:tcPr>
          <w:p>
            <w:pPr>
              <w:spacing w:after="0"/>
              <w:rPr>
                <w:sz w:val="20"/>
                <w:szCs w:val="20"/>
                <w:color w:val="auto"/>
              </w:rPr>
            </w:pPr>
            <w:r>
              <w:rPr>
                <w:rFonts w:ascii="Arial" w:cs="Arial" w:eastAsia="Arial" w:hAnsi="Arial"/>
                <w:sz w:val="18"/>
                <w:szCs w:val="18"/>
                <w:color w:val="auto"/>
              </w:rPr>
              <w:t>32.2</w:t>
            </w:r>
          </w:p>
        </w:tc>
        <w:tc>
          <w:tcPr>
            <w:tcW w:w="9460" w:type="dxa"/>
            <w:vAlign w:val="bottom"/>
            <w:gridSpan w:val="4"/>
          </w:tcPr>
          <w:p>
            <w:pPr>
              <w:ind w:left="340"/>
              <w:spacing w:after="0"/>
              <w:rPr>
                <w:sz w:val="20"/>
                <w:szCs w:val="20"/>
                <w:color w:val="auto"/>
              </w:rPr>
            </w:pPr>
            <w:r>
              <w:rPr>
                <w:rFonts w:ascii="Arial" w:cs="Arial" w:eastAsia="Arial" w:hAnsi="Arial"/>
                <w:sz w:val="18"/>
                <w:szCs w:val="18"/>
                <w:color w:val="auto"/>
                <w:w w:val="94"/>
              </w:rPr>
              <w:t>Certification of the Chief Financial Officer Pursuant to 18 U.S.C. Section 1350, As Adopted Pursuant to Section 906 of the</w:t>
            </w:r>
          </w:p>
        </w:tc>
        <w:tc>
          <w:tcPr>
            <w:tcW w:w="1460" w:type="dxa"/>
            <w:vAlign w:val="bottom"/>
          </w:tcPr>
          <w:p>
            <w:pPr>
              <w:ind w:left="400"/>
              <w:spacing w:after="0"/>
              <w:rPr>
                <w:sz w:val="20"/>
                <w:szCs w:val="20"/>
                <w:color w:val="auto"/>
              </w:rPr>
            </w:pPr>
            <w:r>
              <w:rPr>
                <w:rFonts w:ascii="Arial" w:cs="Arial" w:eastAsia="Arial" w:hAnsi="Arial"/>
                <w:sz w:val="18"/>
                <w:szCs w:val="18"/>
                <w:color w:val="auto"/>
                <w:w w:val="90"/>
              </w:rPr>
              <w:t>Filed Herewith</w:t>
            </w:r>
          </w:p>
        </w:tc>
      </w:tr>
      <w:tr>
        <w:trPr>
          <w:trHeight w:val="222"/>
        </w:trPr>
        <w:tc>
          <w:tcPr>
            <w:tcW w:w="500" w:type="dxa"/>
            <w:vAlign w:val="bottom"/>
          </w:tcPr>
          <w:p>
            <w:pPr>
              <w:spacing w:after="0"/>
              <w:rPr>
                <w:sz w:val="19"/>
                <w:szCs w:val="19"/>
                <w:color w:val="auto"/>
              </w:rPr>
            </w:pPr>
          </w:p>
        </w:tc>
        <w:tc>
          <w:tcPr>
            <w:tcW w:w="9460" w:type="dxa"/>
            <w:vAlign w:val="bottom"/>
            <w:gridSpan w:val="4"/>
          </w:tcPr>
          <w:p>
            <w:pPr>
              <w:ind w:left="340"/>
              <w:spacing w:after="0"/>
              <w:rPr>
                <w:sz w:val="20"/>
                <w:szCs w:val="20"/>
                <w:color w:val="auto"/>
              </w:rPr>
            </w:pPr>
            <w:r>
              <w:rPr>
                <w:rFonts w:ascii="Arial" w:cs="Arial" w:eastAsia="Arial" w:hAnsi="Arial"/>
                <w:sz w:val="18"/>
                <w:szCs w:val="18"/>
                <w:color w:val="auto"/>
              </w:rPr>
              <w:t>Sarbanes-Oxley Act of 2002</w:t>
            </w:r>
          </w:p>
        </w:tc>
        <w:tc>
          <w:tcPr>
            <w:tcW w:w="1460" w:type="dxa"/>
            <w:vAlign w:val="bottom"/>
          </w:tcPr>
          <w:p>
            <w:pPr>
              <w:spacing w:after="0"/>
              <w:rPr>
                <w:sz w:val="19"/>
                <w:szCs w:val="19"/>
                <w:color w:val="auto"/>
              </w:rPr>
            </w:pPr>
          </w:p>
        </w:tc>
      </w:tr>
      <w:tr>
        <w:trPr>
          <w:trHeight w:val="365"/>
        </w:trPr>
        <w:tc>
          <w:tcPr>
            <w:tcW w:w="5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8260" w:type="dxa"/>
            <w:vAlign w:val="bottom"/>
            <w:gridSpan w:val="3"/>
          </w:tcPr>
          <w:p>
            <w:pPr>
              <w:jc w:val="right"/>
              <w:ind w:right="4120"/>
              <w:spacing w:after="0"/>
              <w:rPr>
                <w:sz w:val="20"/>
                <w:szCs w:val="20"/>
                <w:color w:val="auto"/>
              </w:rPr>
            </w:pPr>
            <w:r>
              <w:rPr>
                <w:rFonts w:ascii="Arial" w:cs="Arial" w:eastAsia="Arial" w:hAnsi="Arial"/>
                <w:sz w:val="18"/>
                <w:szCs w:val="18"/>
                <w:color w:val="auto"/>
              </w:rPr>
              <w:t>169</w:t>
            </w:r>
          </w:p>
        </w:tc>
        <w:tc>
          <w:tcPr>
            <w:tcW w:w="1460" w:type="dxa"/>
            <w:vAlign w:val="bottom"/>
          </w:tcPr>
          <w:p>
            <w:pPr>
              <w:spacing w:after="0"/>
              <w:rPr>
                <w:sz w:val="24"/>
                <w:szCs w:val="24"/>
                <w:color w:val="auto"/>
              </w:rPr>
            </w:pPr>
          </w:p>
        </w:tc>
      </w:tr>
    </w:tbl>
    <w:p>
      <w:pPr>
        <w:sectPr>
          <w:pgSz w:w="11900" w:h="16838" w:orient="portrait"/>
          <w:cols w:equalWidth="0" w:num="1">
            <w:col w:w="11420"/>
          </w:cols>
          <w:pgMar w:left="240" w:top="460" w:right="239" w:bottom="1440" w:gutter="0" w:footer="0" w:header="0"/>
        </w:sectPr>
      </w:pPr>
    </w:p>
    <w:bookmarkStart w:id="171" w:name="page172"/>
    <w:bookmarkEnd w:id="171"/>
    <w:p>
      <w:pPr>
        <w:jc w:val="right"/>
        <w:spacing w:after="0"/>
        <w:rPr>
          <w:sz w:val="20"/>
          <w:szCs w:val="20"/>
          <w:color w:val="auto"/>
        </w:rPr>
      </w:pPr>
      <w:r>
        <w:rPr>
          <w:rFonts w:ascii="Arial" w:cs="Arial" w:eastAsia="Arial" w:hAnsi="Arial"/>
          <w:sz w:val="18"/>
          <w:szCs w:val="18"/>
          <w:b w:val="1"/>
          <w:bCs w:val="1"/>
          <w:color w:val="auto"/>
        </w:rPr>
        <w:t>Exhibit 31.1</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color w:val="auto"/>
        </w:rPr>
        <w:t>I, Daniel F. Akerson, certify that:</w:t>
      </w:r>
    </w:p>
    <w:p>
      <w:pPr>
        <w:spacing w:after="0" w:line="171" w:lineRule="exact"/>
        <w:rPr>
          <w:sz w:val="20"/>
          <w:szCs w:val="20"/>
          <w:color w:val="auto"/>
        </w:rPr>
      </w:pPr>
    </w:p>
    <w:p>
      <w:pPr>
        <w:ind w:left="420" w:hanging="184"/>
        <w:spacing w:after="0"/>
        <w:tabs>
          <w:tab w:leader="none" w:pos="420" w:val="left"/>
        </w:tabs>
        <w:numPr>
          <w:ilvl w:val="0"/>
          <w:numId w:val="123"/>
        </w:numPr>
        <w:rPr>
          <w:rFonts w:ascii="Arial" w:cs="Arial" w:eastAsia="Arial" w:hAnsi="Arial"/>
          <w:sz w:val="18"/>
          <w:szCs w:val="18"/>
          <w:color w:val="auto"/>
        </w:rPr>
      </w:pPr>
      <w:r>
        <w:rPr>
          <w:rFonts w:ascii="Arial" w:cs="Arial" w:eastAsia="Arial" w:hAnsi="Arial"/>
          <w:sz w:val="18"/>
          <w:szCs w:val="18"/>
          <w:color w:val="auto"/>
        </w:rPr>
        <w:t>I have reviewed this quarterly report for the period ended September 30, 2010 on Form 10-Q of General Motors Company;</w:t>
      </w:r>
    </w:p>
    <w:p>
      <w:pPr>
        <w:spacing w:after="0" w:line="171" w:lineRule="exact"/>
        <w:rPr>
          <w:rFonts w:ascii="Arial" w:cs="Arial" w:eastAsia="Arial" w:hAnsi="Arial"/>
          <w:sz w:val="18"/>
          <w:szCs w:val="18"/>
          <w:color w:val="auto"/>
        </w:rPr>
      </w:pPr>
    </w:p>
    <w:p>
      <w:pPr>
        <w:ind w:firstLine="236"/>
        <w:spacing w:after="0" w:line="332" w:lineRule="auto"/>
        <w:tabs>
          <w:tab w:leader="none" w:pos="404" w:val="left"/>
        </w:tabs>
        <w:numPr>
          <w:ilvl w:val="0"/>
          <w:numId w:val="123"/>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85" w:lineRule="exact"/>
        <w:rPr>
          <w:rFonts w:ascii="Arial" w:cs="Arial" w:eastAsia="Arial" w:hAnsi="Arial"/>
          <w:sz w:val="16"/>
          <w:szCs w:val="16"/>
          <w:color w:val="auto"/>
        </w:rPr>
      </w:pPr>
    </w:p>
    <w:p>
      <w:pPr>
        <w:ind w:right="100" w:firstLine="236"/>
        <w:spacing w:after="0" w:line="268" w:lineRule="auto"/>
        <w:tabs>
          <w:tab w:leader="none" w:pos="404" w:val="left"/>
        </w:tabs>
        <w:numPr>
          <w:ilvl w:val="0"/>
          <w:numId w:val="123"/>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31" w:lineRule="exact"/>
        <w:rPr>
          <w:rFonts w:ascii="Arial" w:cs="Arial" w:eastAsia="Arial" w:hAnsi="Arial"/>
          <w:sz w:val="18"/>
          <w:szCs w:val="18"/>
          <w:color w:val="auto"/>
        </w:rPr>
      </w:pPr>
    </w:p>
    <w:p>
      <w:pPr>
        <w:ind w:firstLine="236"/>
        <w:spacing w:after="0" w:line="259" w:lineRule="auto"/>
        <w:tabs>
          <w:tab w:leader="none" w:pos="401" w:val="left"/>
        </w:tabs>
        <w:numPr>
          <w:ilvl w:val="0"/>
          <w:numId w:val="123"/>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40" w:lineRule="exact"/>
        <w:rPr>
          <w:rFonts w:ascii="Arial" w:cs="Arial" w:eastAsia="Arial" w:hAnsi="Arial"/>
          <w:sz w:val="18"/>
          <w:szCs w:val="18"/>
          <w:color w:val="auto"/>
        </w:rPr>
      </w:pPr>
    </w:p>
    <w:p>
      <w:pPr>
        <w:jc w:val="both"/>
        <w:ind w:left="460" w:right="100" w:firstLine="224"/>
        <w:spacing w:after="0" w:line="259" w:lineRule="auto"/>
        <w:tabs>
          <w:tab w:leader="none" w:pos="859" w:val="left"/>
        </w:tabs>
        <w:numPr>
          <w:ilvl w:val="1"/>
          <w:numId w:val="123"/>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40" w:lineRule="exact"/>
        <w:rPr>
          <w:rFonts w:ascii="Arial" w:cs="Arial" w:eastAsia="Arial" w:hAnsi="Arial"/>
          <w:sz w:val="18"/>
          <w:szCs w:val="18"/>
          <w:color w:val="auto"/>
        </w:rPr>
      </w:pPr>
    </w:p>
    <w:p>
      <w:pPr>
        <w:ind w:left="460" w:right="80" w:firstLine="224"/>
        <w:spacing w:after="0" w:line="259" w:lineRule="auto"/>
        <w:tabs>
          <w:tab w:leader="none" w:pos="869" w:val="left"/>
        </w:tabs>
        <w:numPr>
          <w:ilvl w:val="1"/>
          <w:numId w:val="123"/>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40" w:lineRule="exact"/>
        <w:rPr>
          <w:rFonts w:ascii="Arial" w:cs="Arial" w:eastAsia="Arial" w:hAnsi="Arial"/>
          <w:sz w:val="18"/>
          <w:szCs w:val="18"/>
          <w:color w:val="auto"/>
        </w:rPr>
      </w:pPr>
    </w:p>
    <w:p>
      <w:pPr>
        <w:ind w:left="460" w:right="140" w:firstLine="224"/>
        <w:spacing w:after="0" w:line="332" w:lineRule="auto"/>
        <w:tabs>
          <w:tab w:leader="none" w:pos="859" w:val="left"/>
        </w:tabs>
        <w:numPr>
          <w:ilvl w:val="1"/>
          <w:numId w:val="123"/>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85" w:lineRule="exact"/>
        <w:rPr>
          <w:rFonts w:ascii="Arial" w:cs="Arial" w:eastAsia="Arial" w:hAnsi="Arial"/>
          <w:sz w:val="16"/>
          <w:szCs w:val="16"/>
          <w:color w:val="auto"/>
        </w:rPr>
      </w:pPr>
    </w:p>
    <w:p>
      <w:pPr>
        <w:ind w:left="460" w:right="160" w:firstLine="224"/>
        <w:spacing w:after="0" w:line="259" w:lineRule="auto"/>
        <w:tabs>
          <w:tab w:leader="none" w:pos="869" w:val="left"/>
        </w:tabs>
        <w:numPr>
          <w:ilvl w:val="1"/>
          <w:numId w:val="123"/>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40" w:lineRule="exact"/>
        <w:rPr>
          <w:rFonts w:ascii="Arial" w:cs="Arial" w:eastAsia="Arial" w:hAnsi="Arial"/>
          <w:sz w:val="18"/>
          <w:szCs w:val="18"/>
          <w:color w:val="auto"/>
        </w:rPr>
      </w:pPr>
    </w:p>
    <w:p>
      <w:pPr>
        <w:ind w:right="680" w:firstLine="236"/>
        <w:spacing w:after="0" w:line="332" w:lineRule="auto"/>
        <w:tabs>
          <w:tab w:leader="none" w:pos="401" w:val="left"/>
        </w:tabs>
        <w:numPr>
          <w:ilvl w:val="0"/>
          <w:numId w:val="123"/>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85" w:lineRule="exact"/>
        <w:rPr>
          <w:rFonts w:ascii="Arial" w:cs="Arial" w:eastAsia="Arial" w:hAnsi="Arial"/>
          <w:sz w:val="16"/>
          <w:szCs w:val="16"/>
          <w:color w:val="auto"/>
        </w:rPr>
      </w:pPr>
    </w:p>
    <w:p>
      <w:pPr>
        <w:ind w:left="460" w:right="60" w:firstLine="224"/>
        <w:spacing w:after="0" w:line="268" w:lineRule="auto"/>
        <w:tabs>
          <w:tab w:leader="none" w:pos="850" w:val="left"/>
        </w:tabs>
        <w:numPr>
          <w:ilvl w:val="1"/>
          <w:numId w:val="123"/>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31" w:lineRule="exact"/>
        <w:rPr>
          <w:rFonts w:ascii="Arial" w:cs="Arial" w:eastAsia="Arial" w:hAnsi="Arial"/>
          <w:sz w:val="18"/>
          <w:szCs w:val="18"/>
          <w:color w:val="auto"/>
        </w:rPr>
      </w:pPr>
    </w:p>
    <w:p>
      <w:pPr>
        <w:ind w:left="460" w:right="100" w:firstLine="224"/>
        <w:spacing w:after="0" w:line="268" w:lineRule="auto"/>
        <w:tabs>
          <w:tab w:leader="none" w:pos="860" w:val="left"/>
        </w:tabs>
        <w:numPr>
          <w:ilvl w:val="1"/>
          <w:numId w:val="123"/>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2" w:lineRule="exact"/>
        <w:rPr>
          <w:sz w:val="20"/>
          <w:szCs w:val="20"/>
          <w:color w:val="auto"/>
        </w:rPr>
      </w:pPr>
    </w:p>
    <w:p>
      <w:pPr>
        <w:ind w:left="6860"/>
        <w:spacing w:after="0"/>
        <w:tabs>
          <w:tab w:leader="none" w:pos="7180" w:val="left"/>
        </w:tabs>
        <w:rPr>
          <w:sz w:val="20"/>
          <w:szCs w:val="20"/>
          <w:color w:val="auto"/>
        </w:rPr>
      </w:pPr>
      <w:r>
        <w:rPr>
          <w:rFonts w:ascii="Arial" w:cs="Arial" w:eastAsia="Arial" w:hAnsi="Arial"/>
          <w:sz w:val="18"/>
          <w:szCs w:val="18"/>
          <w:color w:val="auto"/>
        </w:rPr>
        <w:t>/s/</w:t>
      </w:r>
      <w:r>
        <w:rPr>
          <w:sz w:val="20"/>
          <w:szCs w:val="20"/>
          <w:color w:val="auto"/>
        </w:rPr>
        <w:tab/>
      </w:r>
      <w:r>
        <w:rPr>
          <w:rFonts w:ascii="Arial" w:cs="Arial" w:eastAsia="Arial" w:hAnsi="Arial"/>
          <w:sz w:val="16"/>
          <w:szCs w:val="16"/>
          <w:color w:val="auto"/>
        </w:rPr>
        <w:t>DANIEL F. AKERSON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10795</wp:posOffset>
            </wp:positionV>
            <wp:extent cx="2898775" cy="8890"/>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16"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Daniel F. Akerson</w:t>
      </w:r>
    </w:p>
    <w:p>
      <w:pPr>
        <w:spacing w:after="0" w:line="1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Chief Executive Officer</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Date: November 10, 2010</w:t>
      </w:r>
    </w:p>
    <w:p>
      <w:pPr>
        <w:sectPr>
          <w:pgSz w:w="11900" w:h="16838" w:orient="portrait"/>
          <w:cols w:equalWidth="0" w:num="1">
            <w:col w:w="11420"/>
          </w:cols>
          <w:pgMar w:left="240" w:top="139" w:right="239" w:bottom="1440" w:gutter="0" w:footer="0" w:header="0"/>
        </w:sectPr>
      </w:pPr>
    </w:p>
    <w:bookmarkStart w:id="172" w:name="page173"/>
    <w:bookmarkEnd w:id="172"/>
    <w:p>
      <w:pPr>
        <w:jc w:val="right"/>
        <w:spacing w:after="0"/>
        <w:rPr>
          <w:sz w:val="20"/>
          <w:szCs w:val="20"/>
          <w:color w:val="auto"/>
        </w:rPr>
      </w:pPr>
      <w:r>
        <w:rPr>
          <w:rFonts w:ascii="Arial" w:cs="Arial" w:eastAsia="Arial" w:hAnsi="Arial"/>
          <w:sz w:val="18"/>
          <w:szCs w:val="18"/>
          <w:b w:val="1"/>
          <w:bCs w:val="1"/>
          <w:color w:val="auto"/>
        </w:rPr>
        <w:t>Exhibit 31.2</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color w:val="auto"/>
        </w:rPr>
        <w:t>I, Christopher P. Liddell, certify that:</w:t>
      </w:r>
    </w:p>
    <w:p>
      <w:pPr>
        <w:spacing w:after="0" w:line="171" w:lineRule="exact"/>
        <w:rPr>
          <w:sz w:val="20"/>
          <w:szCs w:val="20"/>
          <w:color w:val="auto"/>
        </w:rPr>
      </w:pPr>
    </w:p>
    <w:p>
      <w:pPr>
        <w:ind w:left="420" w:hanging="184"/>
        <w:spacing w:after="0"/>
        <w:tabs>
          <w:tab w:leader="none" w:pos="420" w:val="left"/>
        </w:tabs>
        <w:numPr>
          <w:ilvl w:val="0"/>
          <w:numId w:val="124"/>
        </w:numPr>
        <w:rPr>
          <w:rFonts w:ascii="Arial" w:cs="Arial" w:eastAsia="Arial" w:hAnsi="Arial"/>
          <w:sz w:val="18"/>
          <w:szCs w:val="18"/>
          <w:color w:val="auto"/>
        </w:rPr>
      </w:pPr>
      <w:r>
        <w:rPr>
          <w:rFonts w:ascii="Arial" w:cs="Arial" w:eastAsia="Arial" w:hAnsi="Arial"/>
          <w:sz w:val="18"/>
          <w:szCs w:val="18"/>
          <w:color w:val="auto"/>
        </w:rPr>
        <w:t>I have reviewed this quarterly report for the period ended September 30, 2010 on Form 10-Q of General Motors Company;</w:t>
      </w:r>
    </w:p>
    <w:p>
      <w:pPr>
        <w:spacing w:after="0" w:line="171" w:lineRule="exact"/>
        <w:rPr>
          <w:rFonts w:ascii="Arial" w:cs="Arial" w:eastAsia="Arial" w:hAnsi="Arial"/>
          <w:sz w:val="18"/>
          <w:szCs w:val="18"/>
          <w:color w:val="auto"/>
        </w:rPr>
      </w:pPr>
    </w:p>
    <w:p>
      <w:pPr>
        <w:ind w:firstLine="236"/>
        <w:spacing w:after="0" w:line="332" w:lineRule="auto"/>
        <w:tabs>
          <w:tab w:leader="none" w:pos="404" w:val="left"/>
        </w:tabs>
        <w:numPr>
          <w:ilvl w:val="0"/>
          <w:numId w:val="124"/>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85" w:lineRule="exact"/>
        <w:rPr>
          <w:rFonts w:ascii="Arial" w:cs="Arial" w:eastAsia="Arial" w:hAnsi="Arial"/>
          <w:sz w:val="16"/>
          <w:szCs w:val="16"/>
          <w:color w:val="auto"/>
        </w:rPr>
      </w:pPr>
    </w:p>
    <w:p>
      <w:pPr>
        <w:ind w:right="100" w:firstLine="236"/>
        <w:spacing w:after="0" w:line="268" w:lineRule="auto"/>
        <w:tabs>
          <w:tab w:leader="none" w:pos="404" w:val="left"/>
        </w:tabs>
        <w:numPr>
          <w:ilvl w:val="0"/>
          <w:numId w:val="124"/>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31" w:lineRule="exact"/>
        <w:rPr>
          <w:rFonts w:ascii="Arial" w:cs="Arial" w:eastAsia="Arial" w:hAnsi="Arial"/>
          <w:sz w:val="18"/>
          <w:szCs w:val="18"/>
          <w:color w:val="auto"/>
        </w:rPr>
      </w:pPr>
    </w:p>
    <w:p>
      <w:pPr>
        <w:ind w:firstLine="236"/>
        <w:spacing w:after="0" w:line="259" w:lineRule="auto"/>
        <w:tabs>
          <w:tab w:leader="none" w:pos="401" w:val="left"/>
        </w:tabs>
        <w:numPr>
          <w:ilvl w:val="0"/>
          <w:numId w:val="124"/>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40" w:lineRule="exact"/>
        <w:rPr>
          <w:rFonts w:ascii="Arial" w:cs="Arial" w:eastAsia="Arial" w:hAnsi="Arial"/>
          <w:sz w:val="18"/>
          <w:szCs w:val="18"/>
          <w:color w:val="auto"/>
        </w:rPr>
      </w:pPr>
    </w:p>
    <w:p>
      <w:pPr>
        <w:jc w:val="both"/>
        <w:ind w:left="460" w:right="100" w:firstLine="224"/>
        <w:spacing w:after="0" w:line="259" w:lineRule="auto"/>
        <w:tabs>
          <w:tab w:leader="none" w:pos="859" w:val="left"/>
        </w:tabs>
        <w:numPr>
          <w:ilvl w:val="1"/>
          <w:numId w:val="124"/>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40" w:lineRule="exact"/>
        <w:rPr>
          <w:rFonts w:ascii="Arial" w:cs="Arial" w:eastAsia="Arial" w:hAnsi="Arial"/>
          <w:sz w:val="18"/>
          <w:szCs w:val="18"/>
          <w:color w:val="auto"/>
        </w:rPr>
      </w:pPr>
    </w:p>
    <w:p>
      <w:pPr>
        <w:ind w:left="460" w:right="80" w:firstLine="224"/>
        <w:spacing w:after="0" w:line="259" w:lineRule="auto"/>
        <w:tabs>
          <w:tab w:leader="none" w:pos="869" w:val="left"/>
        </w:tabs>
        <w:numPr>
          <w:ilvl w:val="1"/>
          <w:numId w:val="124"/>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40" w:lineRule="exact"/>
        <w:rPr>
          <w:rFonts w:ascii="Arial" w:cs="Arial" w:eastAsia="Arial" w:hAnsi="Arial"/>
          <w:sz w:val="18"/>
          <w:szCs w:val="18"/>
          <w:color w:val="auto"/>
        </w:rPr>
      </w:pPr>
    </w:p>
    <w:p>
      <w:pPr>
        <w:ind w:left="460" w:right="140" w:firstLine="224"/>
        <w:spacing w:after="0" w:line="332" w:lineRule="auto"/>
        <w:tabs>
          <w:tab w:leader="none" w:pos="859" w:val="left"/>
        </w:tabs>
        <w:numPr>
          <w:ilvl w:val="1"/>
          <w:numId w:val="124"/>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85" w:lineRule="exact"/>
        <w:rPr>
          <w:rFonts w:ascii="Arial" w:cs="Arial" w:eastAsia="Arial" w:hAnsi="Arial"/>
          <w:sz w:val="16"/>
          <w:szCs w:val="16"/>
          <w:color w:val="auto"/>
        </w:rPr>
      </w:pPr>
    </w:p>
    <w:p>
      <w:pPr>
        <w:ind w:left="460" w:right="160" w:firstLine="224"/>
        <w:spacing w:after="0" w:line="259" w:lineRule="auto"/>
        <w:tabs>
          <w:tab w:leader="none" w:pos="869" w:val="left"/>
        </w:tabs>
        <w:numPr>
          <w:ilvl w:val="1"/>
          <w:numId w:val="124"/>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40" w:lineRule="exact"/>
        <w:rPr>
          <w:rFonts w:ascii="Arial" w:cs="Arial" w:eastAsia="Arial" w:hAnsi="Arial"/>
          <w:sz w:val="18"/>
          <w:szCs w:val="18"/>
          <w:color w:val="auto"/>
        </w:rPr>
      </w:pPr>
    </w:p>
    <w:p>
      <w:pPr>
        <w:ind w:right="680" w:firstLine="236"/>
        <w:spacing w:after="0" w:line="332" w:lineRule="auto"/>
        <w:tabs>
          <w:tab w:leader="none" w:pos="401" w:val="left"/>
        </w:tabs>
        <w:numPr>
          <w:ilvl w:val="0"/>
          <w:numId w:val="124"/>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85" w:lineRule="exact"/>
        <w:rPr>
          <w:rFonts w:ascii="Arial" w:cs="Arial" w:eastAsia="Arial" w:hAnsi="Arial"/>
          <w:sz w:val="16"/>
          <w:szCs w:val="16"/>
          <w:color w:val="auto"/>
        </w:rPr>
      </w:pPr>
    </w:p>
    <w:p>
      <w:pPr>
        <w:ind w:left="460" w:right="60" w:firstLine="224"/>
        <w:spacing w:after="0" w:line="268" w:lineRule="auto"/>
        <w:tabs>
          <w:tab w:leader="none" w:pos="850" w:val="left"/>
        </w:tabs>
        <w:numPr>
          <w:ilvl w:val="1"/>
          <w:numId w:val="124"/>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31" w:lineRule="exact"/>
        <w:rPr>
          <w:rFonts w:ascii="Arial" w:cs="Arial" w:eastAsia="Arial" w:hAnsi="Arial"/>
          <w:sz w:val="18"/>
          <w:szCs w:val="18"/>
          <w:color w:val="auto"/>
        </w:rPr>
      </w:pPr>
    </w:p>
    <w:p>
      <w:pPr>
        <w:ind w:left="460" w:right="100" w:firstLine="224"/>
        <w:spacing w:after="0" w:line="268" w:lineRule="auto"/>
        <w:tabs>
          <w:tab w:leader="none" w:pos="860" w:val="left"/>
        </w:tabs>
        <w:numPr>
          <w:ilvl w:val="1"/>
          <w:numId w:val="124"/>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2" w:lineRule="exact"/>
        <w:rPr>
          <w:sz w:val="20"/>
          <w:szCs w:val="20"/>
          <w:color w:val="auto"/>
        </w:rPr>
      </w:pPr>
    </w:p>
    <w:p>
      <w:pPr>
        <w:ind w:left="6860"/>
        <w:spacing w:after="0"/>
        <w:tabs>
          <w:tab w:leader="none" w:pos="7180" w:val="left"/>
        </w:tabs>
        <w:rPr>
          <w:sz w:val="20"/>
          <w:szCs w:val="20"/>
          <w:color w:val="auto"/>
        </w:rPr>
      </w:pPr>
      <w:r>
        <w:rPr>
          <w:rFonts w:ascii="Arial" w:cs="Arial" w:eastAsia="Arial" w:hAnsi="Arial"/>
          <w:sz w:val="18"/>
          <w:szCs w:val="18"/>
          <w:color w:val="auto"/>
        </w:rPr>
        <w:t>/s/</w:t>
      </w:r>
      <w:r>
        <w:rPr>
          <w:sz w:val="20"/>
          <w:szCs w:val="20"/>
          <w:color w:val="auto"/>
        </w:rPr>
        <w:tab/>
      </w:r>
      <w:r>
        <w:rPr>
          <w:rFonts w:ascii="Arial" w:cs="Arial" w:eastAsia="Arial" w:hAnsi="Arial"/>
          <w:sz w:val="16"/>
          <w:szCs w:val="16"/>
          <w:color w:val="auto"/>
        </w:rPr>
        <w:t>CHRISTOPHER P. LIDDELL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10795</wp:posOffset>
            </wp:positionV>
            <wp:extent cx="2898775" cy="8890"/>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16"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Christopher P. Liddell</w:t>
      </w:r>
    </w:p>
    <w:p>
      <w:pPr>
        <w:spacing w:after="0" w:line="1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Vice Chairman and Chief Financial Officer</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Date: November 10, 2010</w:t>
      </w:r>
    </w:p>
    <w:p>
      <w:pPr>
        <w:sectPr>
          <w:pgSz w:w="11900" w:h="16838" w:orient="portrait"/>
          <w:cols w:equalWidth="0" w:num="1">
            <w:col w:w="11420"/>
          </w:cols>
          <w:pgMar w:left="240" w:top="139" w:right="239" w:bottom="1440" w:gutter="0" w:footer="0" w:header="0"/>
        </w:sectPr>
      </w:pPr>
    </w:p>
    <w:bookmarkStart w:id="173" w:name="page174"/>
    <w:bookmarkEnd w:id="173"/>
    <w:p>
      <w:pPr>
        <w:jc w:val="right"/>
        <w:spacing w:after="0"/>
        <w:rPr>
          <w:sz w:val="20"/>
          <w:szCs w:val="20"/>
          <w:color w:val="auto"/>
        </w:rPr>
      </w:pPr>
      <w:r>
        <w:rPr>
          <w:rFonts w:ascii="Arial" w:cs="Arial" w:eastAsia="Arial" w:hAnsi="Arial"/>
          <w:sz w:val="18"/>
          <w:szCs w:val="18"/>
          <w:b w:val="1"/>
          <w:bCs w:val="1"/>
          <w:color w:val="auto"/>
        </w:rPr>
        <w:t>Exhibit 32.1</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165" w:lineRule="exact"/>
        <w:rPr>
          <w:sz w:val="20"/>
          <w:szCs w:val="20"/>
          <w:color w:val="auto"/>
        </w:rPr>
      </w:pPr>
    </w:p>
    <w:p>
      <w:pPr>
        <w:ind w:right="160" w:firstLine="228"/>
        <w:spacing w:after="0" w:line="306" w:lineRule="auto"/>
        <w:rPr>
          <w:sz w:val="20"/>
          <w:szCs w:val="20"/>
          <w:color w:val="auto"/>
        </w:rPr>
      </w:pPr>
      <w:r>
        <w:rPr>
          <w:rFonts w:ascii="Arial" w:cs="Arial" w:eastAsia="Arial" w:hAnsi="Arial"/>
          <w:sz w:val="16"/>
          <w:szCs w:val="16"/>
          <w:color w:val="auto"/>
        </w:rPr>
        <w:t>In connection with the Quarterly Report of General Motors Company (the “Company”) on Form 10-Q for the period ended September 30, 2010 as filed with the Securities and Exchange Commission on the date hereof (the “Report”), I, Daniel F. Akerson, Chief Executive Officer of the Company, certify, pursuant to 18 U.S.C. § 1350, as adopted pursuant to § 906 of the Sarbanes-Oxley Act of 2002, that to the best of my knowledge:</w:t>
      </w:r>
    </w:p>
    <w:p>
      <w:pPr>
        <w:spacing w:after="0" w:line="107" w:lineRule="exact"/>
        <w:rPr>
          <w:sz w:val="20"/>
          <w:szCs w:val="20"/>
          <w:color w:val="auto"/>
        </w:rPr>
      </w:pPr>
    </w:p>
    <w:p>
      <w:pPr>
        <w:ind w:left="860" w:hanging="176"/>
        <w:spacing w:after="0"/>
        <w:tabs>
          <w:tab w:leader="none" w:pos="860" w:val="left"/>
        </w:tabs>
        <w:numPr>
          <w:ilvl w:val="0"/>
          <w:numId w:val="125"/>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171" w:lineRule="exact"/>
        <w:rPr>
          <w:rFonts w:ascii="Arial" w:cs="Arial" w:eastAsia="Arial" w:hAnsi="Arial"/>
          <w:sz w:val="18"/>
          <w:szCs w:val="18"/>
          <w:color w:val="auto"/>
        </w:rPr>
      </w:pPr>
    </w:p>
    <w:p>
      <w:pPr>
        <w:ind w:left="860" w:hanging="176"/>
        <w:spacing w:after="0"/>
        <w:tabs>
          <w:tab w:leader="none" w:pos="860" w:val="left"/>
        </w:tabs>
        <w:numPr>
          <w:ilvl w:val="0"/>
          <w:numId w:val="125"/>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35" w:lineRule="exact"/>
        <w:rPr>
          <w:sz w:val="20"/>
          <w:szCs w:val="20"/>
          <w:color w:val="auto"/>
        </w:rPr>
      </w:pPr>
    </w:p>
    <w:p>
      <w:pPr>
        <w:ind w:left="6860"/>
        <w:spacing w:after="0"/>
        <w:tabs>
          <w:tab w:leader="none" w:pos="7180" w:val="left"/>
        </w:tabs>
        <w:rPr>
          <w:sz w:val="20"/>
          <w:szCs w:val="20"/>
          <w:color w:val="auto"/>
        </w:rPr>
      </w:pPr>
      <w:r>
        <w:rPr>
          <w:rFonts w:ascii="Arial" w:cs="Arial" w:eastAsia="Arial" w:hAnsi="Arial"/>
          <w:sz w:val="18"/>
          <w:szCs w:val="18"/>
          <w:color w:val="auto"/>
        </w:rPr>
        <w:t>/s/</w:t>
      </w:r>
      <w:r>
        <w:rPr>
          <w:sz w:val="20"/>
          <w:szCs w:val="20"/>
          <w:color w:val="auto"/>
        </w:rPr>
        <w:tab/>
      </w:r>
      <w:r>
        <w:rPr>
          <w:rFonts w:ascii="Arial" w:cs="Arial" w:eastAsia="Arial" w:hAnsi="Arial"/>
          <w:sz w:val="16"/>
          <w:szCs w:val="16"/>
          <w:color w:val="auto"/>
        </w:rPr>
        <w:t>DANIEL F. AKERSON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10795</wp:posOffset>
            </wp:positionV>
            <wp:extent cx="2898775" cy="8890"/>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16"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Daniel F. Akerson</w:t>
      </w:r>
    </w:p>
    <w:p>
      <w:pPr>
        <w:spacing w:after="0" w:line="1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Chief Executive Officer</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Date: November 10, 2010</w:t>
      </w:r>
    </w:p>
    <w:p>
      <w:pPr>
        <w:sectPr>
          <w:pgSz w:w="11900" w:h="16838" w:orient="portrait"/>
          <w:cols w:equalWidth="0" w:num="1">
            <w:col w:w="11420"/>
          </w:cols>
          <w:pgMar w:left="240" w:top="139" w:right="239" w:bottom="1440" w:gutter="0" w:footer="0" w:header="0"/>
        </w:sectPr>
      </w:pPr>
    </w:p>
    <w:bookmarkStart w:id="174" w:name="page175"/>
    <w:bookmarkEnd w:id="174"/>
    <w:p>
      <w:pPr>
        <w:jc w:val="right"/>
        <w:spacing w:after="0"/>
        <w:rPr>
          <w:sz w:val="20"/>
          <w:szCs w:val="20"/>
          <w:color w:val="auto"/>
        </w:rPr>
      </w:pPr>
      <w:r>
        <w:rPr>
          <w:rFonts w:ascii="Arial" w:cs="Arial" w:eastAsia="Arial" w:hAnsi="Arial"/>
          <w:sz w:val="18"/>
          <w:szCs w:val="18"/>
          <w:b w:val="1"/>
          <w:bCs w:val="1"/>
          <w:color w:val="auto"/>
        </w:rPr>
        <w:t>Exhibit 32.2</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165" w:lineRule="exact"/>
        <w:rPr>
          <w:sz w:val="20"/>
          <w:szCs w:val="20"/>
          <w:color w:val="auto"/>
        </w:rPr>
      </w:pPr>
    </w:p>
    <w:p>
      <w:pPr>
        <w:ind w:right="20" w:firstLine="228"/>
        <w:spacing w:after="0" w:line="306" w:lineRule="auto"/>
        <w:rPr>
          <w:sz w:val="20"/>
          <w:szCs w:val="20"/>
          <w:color w:val="auto"/>
        </w:rPr>
      </w:pPr>
      <w:r>
        <w:rPr>
          <w:rFonts w:ascii="Arial" w:cs="Arial" w:eastAsia="Arial" w:hAnsi="Arial"/>
          <w:sz w:val="16"/>
          <w:szCs w:val="16"/>
          <w:color w:val="auto"/>
        </w:rPr>
        <w:t>In connection with the Quarterly Report of General Motors Company (the “Company”) on Form 10-Q for the period ended September 30, 2010 as filed with the Securities and Exchange Commission on the date hereof (the “Report”), I, Christopher P. Liddell, Vice Chairman and Chief Financial Officer of the Company, certify, pursuant to 18 U.S.C. § 1350, as adopted pursuant to § 906 of the Sarbanes-Oxley Act of 2002, that to the best of my knowledge:</w:t>
      </w:r>
    </w:p>
    <w:p>
      <w:pPr>
        <w:spacing w:after="0" w:line="107" w:lineRule="exact"/>
        <w:rPr>
          <w:sz w:val="20"/>
          <w:szCs w:val="20"/>
          <w:color w:val="auto"/>
        </w:rPr>
      </w:pPr>
    </w:p>
    <w:p>
      <w:pPr>
        <w:ind w:left="860" w:hanging="176"/>
        <w:spacing w:after="0"/>
        <w:tabs>
          <w:tab w:leader="none" w:pos="860" w:val="left"/>
        </w:tabs>
        <w:numPr>
          <w:ilvl w:val="0"/>
          <w:numId w:val="126"/>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171" w:lineRule="exact"/>
        <w:rPr>
          <w:rFonts w:ascii="Arial" w:cs="Arial" w:eastAsia="Arial" w:hAnsi="Arial"/>
          <w:sz w:val="18"/>
          <w:szCs w:val="18"/>
          <w:color w:val="auto"/>
        </w:rPr>
      </w:pPr>
    </w:p>
    <w:p>
      <w:pPr>
        <w:ind w:left="860" w:hanging="176"/>
        <w:spacing w:after="0"/>
        <w:tabs>
          <w:tab w:leader="none" w:pos="860" w:val="left"/>
        </w:tabs>
        <w:numPr>
          <w:ilvl w:val="0"/>
          <w:numId w:val="126"/>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35" w:lineRule="exact"/>
        <w:rPr>
          <w:sz w:val="20"/>
          <w:szCs w:val="20"/>
          <w:color w:val="auto"/>
        </w:rPr>
      </w:pPr>
    </w:p>
    <w:p>
      <w:pPr>
        <w:ind w:left="6860"/>
        <w:spacing w:after="0"/>
        <w:tabs>
          <w:tab w:leader="none" w:pos="7180" w:val="left"/>
        </w:tabs>
        <w:rPr>
          <w:sz w:val="20"/>
          <w:szCs w:val="20"/>
          <w:color w:val="auto"/>
        </w:rPr>
      </w:pPr>
      <w:r>
        <w:rPr>
          <w:rFonts w:ascii="Arial" w:cs="Arial" w:eastAsia="Arial" w:hAnsi="Arial"/>
          <w:sz w:val="18"/>
          <w:szCs w:val="18"/>
          <w:color w:val="auto"/>
        </w:rPr>
        <w:t>/s/</w:t>
      </w:r>
      <w:r>
        <w:rPr>
          <w:sz w:val="20"/>
          <w:szCs w:val="20"/>
          <w:color w:val="auto"/>
        </w:rPr>
        <w:tab/>
      </w:r>
      <w:r>
        <w:rPr>
          <w:rFonts w:ascii="Arial" w:cs="Arial" w:eastAsia="Arial" w:hAnsi="Arial"/>
          <w:sz w:val="16"/>
          <w:szCs w:val="16"/>
          <w:color w:val="auto"/>
        </w:rPr>
        <w:t>CHRISTOPHER P. LIDDELL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10795</wp:posOffset>
            </wp:positionV>
            <wp:extent cx="2898775" cy="8890"/>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16"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Christopher P. Liddell</w:t>
      </w:r>
    </w:p>
    <w:p>
      <w:pPr>
        <w:spacing w:after="0" w:line="1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Vice Chairman and Chief Financial Officer</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Date: November 10, 2010</w:t>
      </w:r>
    </w:p>
    <w:sectPr>
      <w:pgSz w:w="11900" w:h="16838" w:orient="portrait"/>
      <w:cols w:equalWidth="0" w:num="1">
        <w:col w:w="11420"/>
      </w:cols>
      <w:pgMar w:left="240" w:top="139"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79BE4F1"/>
    <w:multiLevelType w:val="hybridMultilevel"/>
    <w:lvl w:ilvl="0">
      <w:lvlJc w:val="left"/>
      <w:lvlText w:val="☑"/>
      <w:numFmt w:val="bullet"/>
      <w:start w:val="1"/>
    </w:lvl>
  </w:abstractNum>
  <w:abstractNum w:abstractNumId="1">
    <w:nsid w:val="310C50B3"/>
    <w:multiLevelType w:val="hybridMultilevel"/>
    <w:lvl w:ilvl="0">
      <w:lvlJc w:val="left"/>
      <w:lvlText w:val="☐"/>
      <w:numFmt w:val="bullet"/>
      <w:start w:val="1"/>
    </w:lvl>
  </w:abstractNum>
  <w:abstractNum w:abstractNumId="2">
    <w:nsid w:val="5FF87E05"/>
    <w:multiLevelType w:val="hybridMultilevel"/>
    <w:lvl w:ilvl="0">
      <w:lvlJc w:val="left"/>
      <w:lvlText w:val="(%1)"/>
      <w:numFmt w:val="lowerLetter"/>
      <w:start w:val="1"/>
    </w:lvl>
  </w:abstractNum>
  <w:abstractNum w:abstractNumId="3">
    <w:nsid w:val="2F305DEF"/>
    <w:multiLevelType w:val="hybridMultilevel"/>
    <w:lvl w:ilvl="0">
      <w:lvlJc w:val="left"/>
      <w:lvlText w:val="(%1)"/>
      <w:numFmt w:val="lowerLetter"/>
      <w:start w:val="1"/>
    </w:lvl>
  </w:abstractNum>
  <w:abstractNum w:abstractNumId="4">
    <w:nsid w:val="25A70BF7"/>
    <w:multiLevelType w:val="hybridMultilevel"/>
    <w:lvl w:ilvl="0">
      <w:lvlJc w:val="left"/>
      <w:lvlText w:val="•"/>
      <w:numFmt w:val="bullet"/>
      <w:start w:val="1"/>
    </w:lvl>
  </w:abstractNum>
  <w:abstractNum w:abstractNumId="5">
    <w:nsid w:val="1DBABF00"/>
    <w:multiLevelType w:val="hybridMultilevel"/>
    <w:lvl w:ilvl="0">
      <w:lvlJc w:val="left"/>
      <w:lvlText w:val="(%1)"/>
      <w:numFmt w:val="lowerLetter"/>
      <w:start w:val="1"/>
    </w:lvl>
  </w:abstractNum>
  <w:abstractNum w:abstractNumId="6">
    <w:nsid w:val="4AD084E9"/>
    <w:multiLevelType w:val="hybridMultilevel"/>
    <w:lvl w:ilvl="0">
      <w:lvlJc w:val="left"/>
      <w:lvlText w:val="(%1)"/>
      <w:numFmt w:val="lowerLetter"/>
      <w:start w:val="1"/>
    </w:lvl>
  </w:abstractNum>
  <w:abstractNum w:abstractNumId="7">
    <w:nsid w:val="1F48EAA1"/>
    <w:multiLevelType w:val="hybridMultilevel"/>
    <w:lvl w:ilvl="0">
      <w:lvlJc w:val="left"/>
      <w:lvlText w:val="(%1)"/>
      <w:numFmt w:val="lowerLetter"/>
      <w:start w:val="1"/>
    </w:lvl>
  </w:abstractNum>
  <w:abstractNum w:abstractNumId="8">
    <w:nsid w:val="1381823A"/>
    <w:multiLevelType w:val="hybridMultilevel"/>
    <w:lvl w:ilvl="0">
      <w:lvlJc w:val="left"/>
      <w:lvlText w:val="(%1)"/>
      <w:numFmt w:val="lowerLetter"/>
      <w:start w:val="1"/>
    </w:lvl>
  </w:abstractNum>
  <w:abstractNum w:abstractNumId="9">
    <w:nsid w:val="5DB70AE5"/>
    <w:multiLevelType w:val="hybridMultilevel"/>
    <w:lvl w:ilvl="0">
      <w:lvlJc w:val="left"/>
      <w:lvlText w:val="(%1)"/>
      <w:numFmt w:val="lowerLetter"/>
      <w:start w:val="1"/>
    </w:lvl>
  </w:abstractNum>
  <w:abstractNum w:abstractNumId="10">
    <w:nsid w:val="100F8FCA"/>
    <w:multiLevelType w:val="hybridMultilevel"/>
    <w:lvl w:ilvl="0">
      <w:lvlJc w:val="left"/>
      <w:lvlText w:val="*"/>
      <w:numFmt w:val="bullet"/>
      <w:start w:val="1"/>
    </w:lvl>
  </w:abstractNum>
  <w:abstractNum w:abstractNumId="11">
    <w:nsid w:val="6590700B"/>
    <w:multiLevelType w:val="hybridMultilevel"/>
    <w:lvl w:ilvl="0">
      <w:lvlJc w:val="left"/>
      <w:lvlText w:val="•"/>
      <w:numFmt w:val="bullet"/>
      <w:start w:val="1"/>
    </w:lvl>
  </w:abstractNum>
  <w:abstractNum w:abstractNumId="12">
    <w:nsid w:val="15014ACB"/>
    <w:multiLevelType w:val="hybridMultilevel"/>
    <w:lvl w:ilvl="0">
      <w:lvlJc w:val="left"/>
      <w:lvlText w:val="(%1)"/>
      <w:numFmt w:val="decimal"/>
      <w:start w:val="1"/>
    </w:lvl>
  </w:abstractNum>
  <w:abstractNum w:abstractNumId="13">
    <w:nsid w:val="5F5E7FD0"/>
    <w:multiLevelType w:val="hybridMultilevel"/>
    <w:lvl w:ilvl="0">
      <w:lvlJc w:val="left"/>
      <w:lvlText w:val="(%1)"/>
      <w:numFmt w:val="lowerLetter"/>
      <w:start w:val="1"/>
    </w:lvl>
  </w:abstractNum>
  <w:abstractNum w:abstractNumId="14">
    <w:nsid w:val="98A3148"/>
    <w:multiLevelType w:val="hybridMultilevel"/>
    <w:lvl w:ilvl="0">
      <w:lvlJc w:val="left"/>
      <w:lvlText w:val="(%1)"/>
      <w:numFmt w:val="lowerLetter"/>
      <w:start w:val="1"/>
    </w:lvl>
  </w:abstractNum>
  <w:abstractNum w:abstractNumId="15">
    <w:nsid w:val="799D0247"/>
    <w:multiLevelType w:val="hybridMultilevel"/>
    <w:lvl w:ilvl="0">
      <w:lvlJc w:val="left"/>
      <w:lvlText w:val="(%1)"/>
      <w:numFmt w:val="decimal"/>
      <w:start w:val="4"/>
    </w:lvl>
  </w:abstractNum>
  <w:abstractNum w:abstractNumId="16">
    <w:nsid w:val="6B94764"/>
    <w:multiLevelType w:val="hybridMultilevel"/>
    <w:lvl w:ilvl="0">
      <w:lvlJc w:val="left"/>
      <w:lvlText w:val="(%1)"/>
      <w:numFmt w:val="lowerLetter"/>
      <w:start w:val="1"/>
    </w:lvl>
  </w:abstractNum>
  <w:abstractNum w:abstractNumId="17">
    <w:nsid w:val="42C296BD"/>
    <w:multiLevelType w:val="hybridMultilevel"/>
    <w:lvl w:ilvl="0">
      <w:lvlJc w:val="left"/>
      <w:lvlText w:val="(%1)"/>
      <w:numFmt w:val="lowerLetter"/>
      <w:start w:val="1"/>
    </w:lvl>
  </w:abstractNum>
  <w:abstractNum w:abstractNumId="18">
    <w:nsid w:val="168E121F"/>
    <w:multiLevelType w:val="hybridMultilevel"/>
    <w:lvl w:ilvl="0">
      <w:lvlJc w:val="left"/>
      <w:lvlText w:val="(%1)"/>
      <w:numFmt w:val="lowerLetter"/>
      <w:start w:val="1"/>
    </w:lvl>
  </w:abstractNum>
  <w:abstractNum w:abstractNumId="19">
    <w:nsid w:val="1EBA5D23"/>
    <w:multiLevelType w:val="hybridMultilevel"/>
    <w:lvl w:ilvl="0">
      <w:lvlJc w:val="left"/>
      <w:lvlText w:val="(%1)"/>
      <w:numFmt w:val="lowerLetter"/>
      <w:start w:val="1"/>
    </w:lvl>
  </w:abstractNum>
  <w:abstractNum w:abstractNumId="20">
    <w:nsid w:val="661E3F1E"/>
    <w:multiLevelType w:val="hybridMultilevel"/>
    <w:lvl w:ilvl="0">
      <w:lvlJc w:val="left"/>
      <w:lvlText w:val="(%1)"/>
      <w:numFmt w:val="lowerLetter"/>
      <w:start w:val="1"/>
    </w:lvl>
  </w:abstractNum>
  <w:abstractNum w:abstractNumId="21">
    <w:nsid w:val="5DC79EA8"/>
    <w:multiLevelType w:val="hybridMultilevel"/>
    <w:lvl w:ilvl="0">
      <w:lvlJc w:val="left"/>
      <w:lvlText w:val="(%1)"/>
      <w:numFmt w:val="lowerLetter"/>
      <w:start w:val="1"/>
    </w:lvl>
  </w:abstractNum>
  <w:abstractNum w:abstractNumId="22">
    <w:nsid w:val="540A471C"/>
    <w:multiLevelType w:val="hybridMultilevel"/>
    <w:lvl w:ilvl="0">
      <w:lvlJc w:val="left"/>
      <w:lvlText w:val="(%1)"/>
      <w:numFmt w:val="lowerLetter"/>
      <w:start w:val="1"/>
    </w:lvl>
  </w:abstractNum>
  <w:abstractNum w:abstractNumId="23">
    <w:nsid w:val="7BD3EE7B"/>
    <w:multiLevelType w:val="hybridMultilevel"/>
    <w:lvl w:ilvl="0">
      <w:lvlJc w:val="left"/>
      <w:lvlText w:val="•"/>
      <w:numFmt w:val="bullet"/>
      <w:start w:val="1"/>
    </w:lvl>
  </w:abstractNum>
  <w:abstractNum w:abstractNumId="24">
    <w:nsid w:val="51D9C564"/>
    <w:multiLevelType w:val="hybridMultilevel"/>
    <w:lvl w:ilvl="0">
      <w:lvlJc w:val="left"/>
      <w:lvlText w:val="•"/>
      <w:numFmt w:val="bullet"/>
      <w:start w:val="1"/>
    </w:lvl>
  </w:abstractNum>
  <w:abstractNum w:abstractNumId="25">
    <w:nsid w:val="613EFDC5"/>
    <w:multiLevelType w:val="hybridMultilevel"/>
    <w:lvl w:ilvl="0">
      <w:lvlJc w:val="left"/>
      <w:lvlText w:val="(%1)"/>
      <w:numFmt w:val="lowerLetter"/>
      <w:start w:val="1"/>
    </w:lvl>
  </w:abstractNum>
  <w:abstractNum w:abstractNumId="26">
    <w:nsid w:val="BF72B14"/>
    <w:multiLevelType w:val="hybridMultilevel"/>
    <w:lvl w:ilvl="0">
      <w:lvlJc w:val="left"/>
      <w:lvlText w:val="(%1)"/>
      <w:numFmt w:val="lowerLetter"/>
      <w:start w:val="1"/>
    </w:lvl>
  </w:abstractNum>
  <w:abstractNum w:abstractNumId="27">
    <w:nsid w:val="11447B73"/>
    <w:multiLevelType w:val="hybridMultilevel"/>
    <w:lvl w:ilvl="0">
      <w:lvlJc w:val="left"/>
      <w:lvlText w:val="(%1)"/>
      <w:numFmt w:val="lowerLetter"/>
      <w:start w:val="1"/>
    </w:lvl>
  </w:abstractNum>
  <w:abstractNum w:abstractNumId="28">
    <w:nsid w:val="42963E5A"/>
    <w:multiLevelType w:val="hybridMultilevel"/>
    <w:lvl w:ilvl="0">
      <w:lvlJc w:val="left"/>
      <w:lvlText w:val="•"/>
      <w:numFmt w:val="bullet"/>
      <w:start w:val="1"/>
    </w:lvl>
  </w:abstractNum>
  <w:abstractNum w:abstractNumId="29">
    <w:nsid w:val="A0382C5"/>
    <w:multiLevelType w:val="hybridMultilevel"/>
    <w:lvl w:ilvl="0">
      <w:lvlJc w:val="left"/>
      <w:lvlText w:val="•"/>
      <w:numFmt w:val="bullet"/>
      <w:start w:val="1"/>
    </w:lvl>
  </w:abstractNum>
  <w:abstractNum w:abstractNumId="30">
    <w:nsid w:val="8F2B15E"/>
    <w:multiLevelType w:val="hybridMultilevel"/>
    <w:lvl w:ilvl="0">
      <w:lvlJc w:val="left"/>
      <w:lvlText w:val="•"/>
      <w:numFmt w:val="bullet"/>
      <w:start w:val="1"/>
    </w:lvl>
  </w:abstractNum>
  <w:abstractNum w:abstractNumId="31">
    <w:nsid w:val="1A32234B"/>
    <w:multiLevelType w:val="hybridMultilevel"/>
    <w:lvl w:ilvl="0">
      <w:lvlJc w:val="left"/>
      <w:lvlText w:val="(%1)"/>
      <w:numFmt w:val="lowerLetter"/>
      <w:start w:val="1"/>
    </w:lvl>
  </w:abstractNum>
  <w:abstractNum w:abstractNumId="32">
    <w:nsid w:val="3B0FD379"/>
    <w:multiLevelType w:val="hybridMultilevel"/>
    <w:lvl w:ilvl="0">
      <w:lvlJc w:val="left"/>
      <w:lvlText w:val="(%1)"/>
      <w:numFmt w:val="lowerLetter"/>
      <w:start w:val="1"/>
    </w:lvl>
  </w:abstractNum>
  <w:abstractNum w:abstractNumId="33">
    <w:nsid w:val="68EB2F63"/>
    <w:multiLevelType w:val="hybridMultilevel"/>
    <w:lvl w:ilvl="0">
      <w:lvlJc w:val="left"/>
      <w:lvlText w:val="•"/>
      <w:numFmt w:val="bullet"/>
      <w:start w:val="1"/>
    </w:lvl>
  </w:abstractNum>
  <w:abstractNum w:abstractNumId="34">
    <w:nsid w:val="4962813B"/>
    <w:multiLevelType w:val="hybridMultilevel"/>
    <w:lvl w:ilvl="0">
      <w:lvlJc w:val="left"/>
      <w:lvlText w:val="(%1)"/>
      <w:numFmt w:val="lowerLetter"/>
      <w:start w:val="1"/>
    </w:lvl>
  </w:abstractNum>
  <w:abstractNum w:abstractNumId="35">
    <w:nsid w:val="60B6DF70"/>
    <w:multiLevelType w:val="hybridMultilevel"/>
    <w:lvl w:ilvl="0">
      <w:lvlJc w:val="left"/>
      <w:lvlText w:val="(%1)"/>
      <w:numFmt w:val="lowerLetter"/>
      <w:start w:val="1"/>
    </w:lvl>
  </w:abstractNum>
  <w:abstractNum w:abstractNumId="36">
    <w:nsid w:val="6A5EE64"/>
    <w:multiLevelType w:val="hybridMultilevel"/>
    <w:lvl w:ilvl="0">
      <w:lvlJc w:val="left"/>
      <w:lvlText w:val="•"/>
      <w:numFmt w:val="bullet"/>
      <w:start w:val="1"/>
    </w:lvl>
  </w:abstractNum>
  <w:abstractNum w:abstractNumId="37">
    <w:nsid w:val="14330624"/>
    <w:multiLevelType w:val="hybridMultilevel"/>
    <w:lvl w:ilvl="0">
      <w:lvlJc w:val="left"/>
      <w:lvlText w:val="(%1)"/>
      <w:numFmt w:val="lowerLetter"/>
      <w:start w:val="1"/>
    </w:lvl>
  </w:abstractNum>
  <w:abstractNum w:abstractNumId="38">
    <w:nsid w:val="7FFFCA11"/>
    <w:multiLevelType w:val="hybridMultilevel"/>
    <w:lvl w:ilvl="0">
      <w:lvlJc w:val="left"/>
      <w:lvlText w:val="(%1)"/>
      <w:numFmt w:val="lowerLetter"/>
      <w:start w:val="1"/>
    </w:lvl>
  </w:abstractNum>
  <w:abstractNum w:abstractNumId="39">
    <w:nsid w:val="1A27709E"/>
    <w:multiLevelType w:val="hybridMultilevel"/>
    <w:lvl w:ilvl="0">
      <w:lvlJc w:val="left"/>
      <w:lvlText w:val="•"/>
      <w:numFmt w:val="bullet"/>
      <w:start w:val="1"/>
    </w:lvl>
  </w:abstractNum>
  <w:abstractNum w:abstractNumId="40">
    <w:nsid w:val="71EA1109"/>
    <w:multiLevelType w:val="hybridMultilevel"/>
    <w:lvl w:ilvl="0">
      <w:lvlJc w:val="left"/>
      <w:lvlText w:val="•"/>
      <w:numFmt w:val="bullet"/>
      <w:start w:val="1"/>
    </w:lvl>
  </w:abstractNum>
  <w:abstractNum w:abstractNumId="41">
    <w:nsid w:val="100F59DC"/>
    <w:multiLevelType w:val="hybridMultilevel"/>
    <w:lvl w:ilvl="0">
      <w:lvlJc w:val="left"/>
      <w:lvlText w:val="(%1)"/>
      <w:numFmt w:val="lowerLetter"/>
      <w:start w:val="1"/>
    </w:lvl>
  </w:abstractNum>
  <w:abstractNum w:abstractNumId="42">
    <w:nsid w:val="7FB7E0AA"/>
    <w:multiLevelType w:val="hybridMultilevel"/>
    <w:lvl w:ilvl="0">
      <w:lvlJc w:val="left"/>
      <w:lvlText w:val="(%1)"/>
      <w:numFmt w:val="lowerLetter"/>
      <w:start w:val="1"/>
    </w:lvl>
  </w:abstractNum>
  <w:abstractNum w:abstractNumId="43">
    <w:nsid w:val="6EB5BD4"/>
    <w:multiLevelType w:val="hybridMultilevel"/>
    <w:lvl w:ilvl="0">
      <w:lvlJc w:val="left"/>
      <w:lvlText w:val="(%1)"/>
      <w:numFmt w:val="lowerLetter"/>
      <w:start w:val="1"/>
    </w:lvl>
  </w:abstractNum>
  <w:abstractNum w:abstractNumId="44">
    <w:nsid w:val="6F6DD9AC"/>
    <w:multiLevelType w:val="hybridMultilevel"/>
    <w:lvl w:ilvl="0">
      <w:lvlJc w:val="left"/>
      <w:lvlText w:val="(%1)"/>
      <w:numFmt w:val="lowerLetter"/>
      <w:start w:val="1"/>
    </w:lvl>
  </w:abstractNum>
  <w:abstractNum w:abstractNumId="45">
    <w:nsid w:val="94211F2"/>
    <w:multiLevelType w:val="hybridMultilevel"/>
    <w:lvl w:ilvl="0">
      <w:lvlJc w:val="left"/>
      <w:lvlText w:val="(%1)"/>
      <w:numFmt w:val="lowerLetter"/>
      <w:start w:val="1"/>
    </w:lvl>
  </w:abstractNum>
  <w:abstractNum w:abstractNumId="46">
    <w:nsid w:val="885E1B"/>
    <w:multiLevelType w:val="hybridMultilevel"/>
    <w:lvl w:ilvl="0">
      <w:lvlJc w:val="left"/>
      <w:lvlText w:val="(%1)"/>
      <w:numFmt w:val="lowerLetter"/>
      <w:start w:val="1"/>
    </w:lvl>
  </w:abstractNum>
  <w:abstractNum w:abstractNumId="47">
    <w:nsid w:val="76272110"/>
    <w:multiLevelType w:val="hybridMultilevel"/>
    <w:lvl w:ilvl="0">
      <w:lvlJc w:val="left"/>
      <w:lvlText w:val="(%1)"/>
      <w:numFmt w:val="lowerLetter"/>
      <w:start w:val="1"/>
    </w:lvl>
  </w:abstractNum>
  <w:abstractNum w:abstractNumId="48">
    <w:nsid w:val="4C04A8AF"/>
    <w:multiLevelType w:val="hybridMultilevel"/>
    <w:lvl w:ilvl="0">
      <w:lvlJc w:val="left"/>
      <w:lvlText w:val="(%1)"/>
      <w:numFmt w:val="lowerLetter"/>
      <w:start w:val="1"/>
    </w:lvl>
  </w:abstractNum>
  <w:abstractNum w:abstractNumId="49">
    <w:nsid w:val="1716703B"/>
    <w:multiLevelType w:val="hybridMultilevel"/>
    <w:lvl w:ilvl="0">
      <w:lvlJc w:val="left"/>
      <w:lvlText w:val="(%1)"/>
      <w:numFmt w:val="lowerLetter"/>
      <w:start w:val="1"/>
    </w:lvl>
  </w:abstractNum>
  <w:abstractNum w:abstractNumId="50">
    <w:nsid w:val="14E17E33"/>
    <w:multiLevelType w:val="hybridMultilevel"/>
    <w:lvl w:ilvl="0">
      <w:lvlJc w:val="left"/>
      <w:lvlText w:val="(%1)"/>
      <w:numFmt w:val="lowerLetter"/>
      <w:start w:val="1"/>
    </w:lvl>
  </w:abstractNum>
  <w:abstractNum w:abstractNumId="51">
    <w:nsid w:val="3222E7CD"/>
    <w:multiLevelType w:val="hybridMultilevel"/>
    <w:lvl w:ilvl="0">
      <w:lvlJc w:val="left"/>
      <w:lvlText w:val="(%1)"/>
      <w:numFmt w:val="lowerLetter"/>
      <w:start w:val="1"/>
    </w:lvl>
  </w:abstractNum>
  <w:abstractNum w:abstractNumId="52">
    <w:nsid w:val="74DE0EE3"/>
    <w:multiLevelType w:val="hybridMultilevel"/>
    <w:lvl w:ilvl="0">
      <w:lvlJc w:val="left"/>
      <w:lvlText w:val="(%1)"/>
      <w:numFmt w:val="lowerLetter"/>
      <w:start w:val="1"/>
    </w:lvl>
  </w:abstractNum>
  <w:abstractNum w:abstractNumId="53">
    <w:nsid w:val="68EBC550"/>
    <w:multiLevelType w:val="hybridMultilevel"/>
    <w:lvl w:ilvl="0">
      <w:lvlJc w:val="left"/>
      <w:lvlText w:val="(%1)"/>
      <w:numFmt w:val="lowerLetter"/>
      <w:start w:val="1"/>
    </w:lvl>
  </w:abstractNum>
  <w:abstractNum w:abstractNumId="54">
    <w:nsid w:val="2DF6D648"/>
    <w:multiLevelType w:val="hybridMultilevel"/>
    <w:lvl w:ilvl="0">
      <w:lvlJc w:val="left"/>
      <w:lvlText w:val="•"/>
      <w:numFmt w:val="bullet"/>
      <w:start w:val="1"/>
    </w:lvl>
  </w:abstractNum>
  <w:abstractNum w:abstractNumId="55">
    <w:nsid w:val="46B7D447"/>
    <w:multiLevelType w:val="hybridMultilevel"/>
    <w:lvl w:ilvl="0">
      <w:lvlJc w:val="left"/>
      <w:lvlText w:val="•"/>
      <w:numFmt w:val="bullet"/>
      <w:start w:val="1"/>
    </w:lvl>
  </w:abstractNum>
  <w:abstractNum w:abstractNumId="56">
    <w:nsid w:val="4A2AC315"/>
    <w:multiLevelType w:val="hybridMultilevel"/>
    <w:lvl w:ilvl="0">
      <w:lvlJc w:val="left"/>
      <w:lvlText w:val="(%1)"/>
      <w:numFmt w:val="lowerLetter"/>
      <w:start w:val="1"/>
    </w:lvl>
  </w:abstractNum>
  <w:abstractNum w:abstractNumId="57">
    <w:nsid w:val="39EE015C"/>
    <w:multiLevelType w:val="hybridMultilevel"/>
    <w:lvl w:ilvl="0">
      <w:lvlJc w:val="left"/>
      <w:lvlText w:val="(%1)"/>
      <w:numFmt w:val="lowerLetter"/>
      <w:start w:val="1"/>
    </w:lvl>
  </w:abstractNum>
  <w:abstractNum w:abstractNumId="58">
    <w:nsid w:val="57FC4FBB"/>
    <w:multiLevelType w:val="hybridMultilevel"/>
    <w:lvl w:ilvl="0">
      <w:lvlJc w:val="left"/>
      <w:lvlText w:val="(%1)"/>
      <w:numFmt w:val="lowerLetter"/>
      <w:start w:val="1"/>
    </w:lvl>
  </w:abstractNum>
  <w:abstractNum w:abstractNumId="59">
    <w:nsid w:val="CC1016F"/>
    <w:multiLevelType w:val="hybridMultilevel"/>
    <w:lvl w:ilvl="0">
      <w:lvlJc w:val="left"/>
      <w:lvlText w:val="(%1)"/>
      <w:numFmt w:val="lowerLetter"/>
      <w:start w:val="1"/>
    </w:lvl>
  </w:abstractNum>
  <w:abstractNum w:abstractNumId="60">
    <w:nsid w:val="43F18422"/>
    <w:multiLevelType w:val="hybridMultilevel"/>
    <w:lvl w:ilvl="0">
      <w:lvlJc w:val="left"/>
      <w:lvlText w:val="•"/>
      <w:numFmt w:val="bullet"/>
      <w:start w:val="1"/>
    </w:lvl>
  </w:abstractNum>
  <w:abstractNum w:abstractNumId="61">
    <w:nsid w:val="60EF0119"/>
    <w:multiLevelType w:val="hybridMultilevel"/>
    <w:lvl w:ilvl="0">
      <w:lvlJc w:val="left"/>
      <w:lvlText w:val="•"/>
      <w:numFmt w:val="bullet"/>
      <w:start w:val="1"/>
    </w:lvl>
    <w:lvl w:ilvl="1">
      <w:lvlJc w:val="left"/>
      <w:lvlText w:val="•"/>
      <w:numFmt w:val="bullet"/>
      <w:start w:val="1"/>
    </w:lvl>
  </w:abstractNum>
  <w:abstractNum w:abstractNumId="62">
    <w:nsid w:val="26F324BA"/>
    <w:multiLevelType w:val="hybridMultilevel"/>
    <w:lvl w:ilvl="0">
      <w:lvlJc w:val="left"/>
      <w:lvlText w:val="•"/>
      <w:numFmt w:val="bullet"/>
      <w:start w:val="1"/>
    </w:lvl>
    <w:lvl w:ilvl="1">
      <w:lvlJc w:val="left"/>
      <w:lvlText w:val="•"/>
      <w:numFmt w:val="bullet"/>
      <w:start w:val="1"/>
    </w:lvl>
  </w:abstractNum>
  <w:abstractNum w:abstractNumId="63">
    <w:nsid w:val="7F01579B"/>
    <w:multiLevelType w:val="hybridMultilevel"/>
    <w:lvl w:ilvl="0">
      <w:lvlJc w:val="left"/>
      <w:lvlText w:val="•"/>
      <w:numFmt w:val="bullet"/>
      <w:start w:val="1"/>
    </w:lvl>
  </w:abstractNum>
  <w:abstractNum w:abstractNumId="64">
    <w:nsid w:val="49DA307D"/>
    <w:multiLevelType w:val="hybridMultilevel"/>
    <w:lvl w:ilvl="0">
      <w:lvlJc w:val="left"/>
      <w:lvlText w:val="•"/>
      <w:numFmt w:val="bullet"/>
      <w:start w:val="1"/>
    </w:lvl>
  </w:abstractNum>
  <w:abstractNum w:abstractNumId="65">
    <w:nsid w:val="7055A5F5"/>
    <w:multiLevelType w:val="hybridMultilevel"/>
    <w:lvl w:ilvl="0">
      <w:lvlJc w:val="left"/>
      <w:lvlText w:val="•"/>
      <w:numFmt w:val="bullet"/>
      <w:start w:val="1"/>
    </w:lvl>
  </w:abstractNum>
  <w:abstractNum w:abstractNumId="66">
    <w:nsid w:val="5FB8370B"/>
    <w:multiLevelType w:val="hybridMultilevel"/>
    <w:lvl w:ilvl="0">
      <w:lvlJc w:val="left"/>
      <w:lvlText w:val="•"/>
      <w:numFmt w:val="bullet"/>
      <w:start w:val="1"/>
    </w:lvl>
  </w:abstractNum>
  <w:abstractNum w:abstractNumId="67">
    <w:nsid w:val="50801EE1"/>
    <w:multiLevelType w:val="hybridMultilevel"/>
    <w:lvl w:ilvl="0">
      <w:lvlJc w:val="left"/>
      <w:lvlText w:val="•"/>
      <w:numFmt w:val="bullet"/>
      <w:start w:val="1"/>
    </w:lvl>
  </w:abstractNum>
  <w:abstractNum w:abstractNumId="68">
    <w:nsid w:val="488AC1A"/>
    <w:multiLevelType w:val="hybridMultilevel"/>
    <w:lvl w:ilvl="0">
      <w:lvlJc w:val="left"/>
      <w:lvlText w:val="•"/>
      <w:numFmt w:val="bullet"/>
      <w:start w:val="1"/>
    </w:lvl>
  </w:abstractNum>
  <w:abstractNum w:abstractNumId="69">
    <w:nsid w:val="5FB8011C"/>
    <w:multiLevelType w:val="hybridMultilevel"/>
    <w:lvl w:ilvl="0">
      <w:lvlJc w:val="left"/>
      <w:lvlText w:val="•"/>
      <w:numFmt w:val="bullet"/>
      <w:start w:val="1"/>
    </w:lvl>
  </w:abstractNum>
  <w:abstractNum w:abstractNumId="70">
    <w:nsid w:val="6AA78F7F"/>
    <w:multiLevelType w:val="hybridMultilevel"/>
    <w:lvl w:ilvl="0">
      <w:lvlJc w:val="left"/>
      <w:lvlText w:val="(%1)"/>
      <w:numFmt w:val="lowerLetter"/>
      <w:start w:val="1"/>
    </w:lvl>
  </w:abstractNum>
  <w:abstractNum w:abstractNumId="71">
    <w:nsid w:val="7672BD23"/>
    <w:multiLevelType w:val="hybridMultilevel"/>
    <w:lvl w:ilvl="0">
      <w:lvlJc w:val="left"/>
      <w:lvlText w:val="(%1)"/>
      <w:numFmt w:val="lowerLetter"/>
      <w:start w:val="1"/>
    </w:lvl>
  </w:abstractNum>
  <w:abstractNum w:abstractNumId="72">
    <w:nsid w:val="6FC75AF8"/>
    <w:multiLevelType w:val="hybridMultilevel"/>
    <w:lvl w:ilvl="0">
      <w:lvlJc w:val="left"/>
      <w:lvlText w:val="(%1)"/>
      <w:numFmt w:val="lowerLetter"/>
      <w:start w:val="8"/>
    </w:lvl>
  </w:abstractNum>
  <w:abstractNum w:abstractNumId="73">
    <w:nsid w:val="6A5F7029"/>
    <w:multiLevelType w:val="hybridMultilevel"/>
    <w:lvl w:ilvl="0">
      <w:lvlJc w:val="left"/>
      <w:lvlText w:val="(%1)"/>
      <w:numFmt w:val="lowerLetter"/>
      <w:start w:val="1"/>
    </w:lvl>
  </w:abstractNum>
  <w:abstractNum w:abstractNumId="74">
    <w:nsid w:val="7D5E18F8"/>
    <w:multiLevelType w:val="hybridMultilevel"/>
    <w:lvl w:ilvl="0">
      <w:lvlJc w:val="left"/>
      <w:lvlText w:val="(%1)"/>
      <w:numFmt w:val="decimal"/>
      <w:start w:val="2"/>
    </w:lvl>
  </w:abstractNum>
  <w:abstractNum w:abstractNumId="75">
    <w:nsid w:val="5F3534A4"/>
    <w:multiLevelType w:val="hybridMultilevel"/>
    <w:lvl w:ilvl="0">
      <w:lvlJc w:val="left"/>
      <w:lvlText w:val="(%1)"/>
      <w:numFmt w:val="decimal"/>
      <w:start w:val="2"/>
    </w:lvl>
  </w:abstractNum>
  <w:abstractNum w:abstractNumId="76">
    <w:nsid w:val="73A1821B"/>
    <w:multiLevelType w:val="hybridMultilevel"/>
    <w:lvl w:ilvl="0">
      <w:lvlJc w:val="left"/>
      <w:lvlText w:val="(%1)"/>
      <w:numFmt w:val="decimal"/>
      <w:start w:val="2"/>
    </w:lvl>
  </w:abstractNum>
  <w:abstractNum w:abstractNumId="77">
    <w:nsid w:val="7DE67713"/>
    <w:multiLevelType w:val="hybridMultilevel"/>
    <w:lvl w:ilvl="0">
      <w:lvlJc w:val="left"/>
      <w:lvlText w:val="(%1)"/>
      <w:numFmt w:val="decimal"/>
      <w:start w:val="6"/>
    </w:lvl>
  </w:abstractNum>
  <w:abstractNum w:abstractNumId="78">
    <w:nsid w:val="555C55B5"/>
    <w:multiLevelType w:val="hybridMultilevel"/>
    <w:lvl w:ilvl="0">
      <w:lvlJc w:val="left"/>
      <w:lvlText w:val="(%1)"/>
      <w:numFmt w:val="lowerLetter"/>
      <w:start w:val="1"/>
    </w:lvl>
  </w:abstractNum>
  <w:abstractNum w:abstractNumId="79">
    <w:nsid w:val="3FA62ACA"/>
    <w:multiLevelType w:val="hybridMultilevel"/>
    <w:lvl w:ilvl="0">
      <w:lvlJc w:val="left"/>
      <w:lvlText w:val="(%1)"/>
      <w:numFmt w:val="lowerLetter"/>
      <w:start w:val="1"/>
    </w:lvl>
  </w:abstractNum>
  <w:abstractNum w:abstractNumId="80">
    <w:nsid w:val="14FCE74E"/>
    <w:multiLevelType w:val="hybridMultilevel"/>
    <w:lvl w:ilvl="0">
      <w:lvlJc w:val="left"/>
      <w:lvlText w:val="(%1)"/>
      <w:numFmt w:val="lowerLetter"/>
      <w:start w:val="2"/>
    </w:lvl>
  </w:abstractNum>
  <w:abstractNum w:abstractNumId="81">
    <w:nsid w:val="6A3DD3E8"/>
    <w:multiLevelType w:val="hybridMultilevel"/>
    <w:lvl w:ilvl="0">
      <w:lvlJc w:val="left"/>
      <w:lvlText w:val="(%1)"/>
      <w:numFmt w:val="decimal"/>
      <w:start w:val="6"/>
    </w:lvl>
  </w:abstractNum>
  <w:abstractNum w:abstractNumId="82">
    <w:nsid w:val="71C91298"/>
    <w:multiLevelType w:val="hybridMultilevel"/>
    <w:lvl w:ilvl="0">
      <w:lvlJc w:val="left"/>
      <w:lvlText w:val="(%1)"/>
      <w:numFmt w:val="lowerLetter"/>
      <w:start w:val="1"/>
    </w:lvl>
  </w:abstractNum>
  <w:abstractNum w:abstractNumId="83">
    <w:nsid w:val="9DAF632"/>
    <w:multiLevelType w:val="hybridMultilevel"/>
    <w:lvl w:ilvl="0">
      <w:lvlJc w:val="left"/>
      <w:lvlText w:val="(%1)"/>
      <w:numFmt w:val="lowerLetter"/>
      <w:start w:val="3"/>
    </w:lvl>
  </w:abstractNum>
  <w:abstractNum w:abstractNumId="84">
    <w:nsid w:val="53299938"/>
    <w:multiLevelType w:val="hybridMultilevel"/>
    <w:lvl w:ilvl="0">
      <w:lvlJc w:val="left"/>
      <w:lvlText w:val="(%1)"/>
      <w:numFmt w:val="lowerLetter"/>
      <w:start w:val="1"/>
    </w:lvl>
  </w:abstractNum>
  <w:abstractNum w:abstractNumId="85">
    <w:nsid w:val="1FBFE8E0"/>
    <w:multiLevelType w:val="hybridMultilevel"/>
    <w:lvl w:ilvl="0">
      <w:lvlJc w:val="left"/>
      <w:lvlText w:val="(%1)"/>
      <w:numFmt w:val="decimal"/>
      <w:start w:val="4"/>
    </w:lvl>
  </w:abstractNum>
  <w:abstractNum w:abstractNumId="86">
    <w:nsid w:val="5092CA79"/>
    <w:multiLevelType w:val="hybridMultilevel"/>
    <w:lvl w:ilvl="0">
      <w:lvlJc w:val="left"/>
      <w:lvlText w:val="(%1)"/>
      <w:numFmt w:val="decimal"/>
      <w:start w:val="1"/>
    </w:lvl>
  </w:abstractNum>
  <w:abstractNum w:abstractNumId="87">
    <w:nsid w:val="1D545C4D"/>
    <w:multiLevelType w:val="hybridMultilevel"/>
    <w:lvl w:ilvl="0">
      <w:lvlJc w:val="left"/>
      <w:lvlText w:val="(%1)"/>
      <w:numFmt w:val="decimal"/>
      <w:start w:val="3"/>
    </w:lvl>
  </w:abstractNum>
  <w:abstractNum w:abstractNumId="88">
    <w:nsid w:val="59ADEA3D"/>
    <w:multiLevelType w:val="hybridMultilevel"/>
    <w:lvl w:ilvl="0">
      <w:lvlJc w:val="left"/>
      <w:lvlText w:val="(%1)"/>
      <w:numFmt w:val="lowerLetter"/>
      <w:start w:val="1"/>
    </w:lvl>
  </w:abstractNum>
  <w:abstractNum w:abstractNumId="89">
    <w:nsid w:val="288F1A34"/>
    <w:multiLevelType w:val="hybridMultilevel"/>
    <w:lvl w:ilvl="0">
      <w:lvlJc w:val="left"/>
      <w:lvlText w:val="(%1)"/>
      <w:numFmt w:val="lowerLetter"/>
      <w:start w:val="1"/>
    </w:lvl>
  </w:abstractNum>
  <w:abstractNum w:abstractNumId="90">
    <w:nsid w:val="2A155DBC"/>
    <w:multiLevelType w:val="hybridMultilevel"/>
    <w:lvl w:ilvl="0">
      <w:lvlJc w:val="left"/>
      <w:lvlText w:val="(%1)"/>
      <w:numFmt w:val="decimal"/>
      <w:start w:val="1"/>
    </w:lvl>
  </w:abstractNum>
  <w:abstractNum w:abstractNumId="91">
    <w:nsid w:val="1D9F6E5F"/>
    <w:multiLevelType w:val="hybridMultilevel"/>
    <w:lvl w:ilvl="0">
      <w:lvlJc w:val="left"/>
      <w:lvlText w:val="(%1)"/>
      <w:numFmt w:val="decimal"/>
      <w:start w:val="4"/>
    </w:lvl>
  </w:abstractNum>
  <w:abstractNum w:abstractNumId="92">
    <w:nsid w:val="97E1B4E"/>
    <w:multiLevelType w:val="hybridMultilevel"/>
    <w:lvl w:ilvl="0">
      <w:lvlJc w:val="left"/>
      <w:lvlText w:val="•"/>
      <w:numFmt w:val="bullet"/>
      <w:start w:val="1"/>
    </w:lvl>
  </w:abstractNum>
  <w:abstractNum w:abstractNumId="93">
    <w:nsid w:val="51088277"/>
    <w:multiLevelType w:val="hybridMultilevel"/>
    <w:lvl w:ilvl="0">
      <w:lvlJc w:val="left"/>
      <w:lvlText w:val="(%1)"/>
      <w:numFmt w:val="lowerLetter"/>
      <w:start w:val="1"/>
    </w:lvl>
  </w:abstractNum>
  <w:abstractNum w:abstractNumId="94">
    <w:nsid w:val="1CA0C5FA"/>
    <w:multiLevelType w:val="hybridMultilevel"/>
    <w:lvl w:ilvl="0">
      <w:lvlJc w:val="left"/>
      <w:lvlText w:val="•"/>
      <w:numFmt w:val="bullet"/>
      <w:start w:val="1"/>
    </w:lvl>
  </w:abstractNum>
  <w:abstractNum w:abstractNumId="95">
    <w:nsid w:val="53584BCB"/>
    <w:multiLevelType w:val="hybridMultilevel"/>
    <w:lvl w:ilvl="0">
      <w:lvlJc w:val="left"/>
      <w:lvlText w:val="(%1)"/>
      <w:numFmt w:val="lowerLetter"/>
      <w:start w:val="1"/>
    </w:lvl>
  </w:abstractNum>
  <w:abstractNum w:abstractNumId="96">
    <w:nsid w:val="415E286C"/>
    <w:multiLevelType w:val="hybridMultilevel"/>
    <w:lvl w:ilvl="0">
      <w:lvlJc w:val="left"/>
      <w:lvlText w:val="(%1)"/>
      <w:numFmt w:val="decimal"/>
      <w:start w:val="1"/>
    </w:lvl>
  </w:abstractNum>
  <w:abstractNum w:abstractNumId="97">
    <w:nsid w:val="7C58FD05"/>
    <w:multiLevelType w:val="hybridMultilevel"/>
    <w:lvl w:ilvl="0">
      <w:lvlJc w:val="left"/>
      <w:lvlText w:val="(%1)"/>
      <w:numFmt w:val="decimal"/>
      <w:start w:val="1"/>
    </w:lvl>
  </w:abstractNum>
  <w:abstractNum w:abstractNumId="98">
    <w:nsid w:val="23D86AAC"/>
    <w:multiLevelType w:val="hybridMultilevel"/>
    <w:lvl w:ilvl="0">
      <w:lvlJc w:val="left"/>
      <w:lvlText w:val="(%1)"/>
      <w:numFmt w:val="decimal"/>
      <w:start w:val="1"/>
    </w:lvl>
  </w:abstractNum>
  <w:abstractNum w:abstractNumId="99">
    <w:nsid w:val="45E6D486"/>
    <w:multiLevelType w:val="hybridMultilevel"/>
    <w:lvl w:ilvl="0">
      <w:lvlJc w:val="left"/>
      <w:lvlText w:val="(%1)"/>
      <w:numFmt w:val="decimal"/>
      <w:start w:val="1"/>
    </w:lvl>
  </w:abstractNum>
  <w:abstractNum w:abstractNumId="100">
    <w:nsid w:val="5C10FE21"/>
    <w:multiLevelType w:val="hybridMultilevel"/>
    <w:lvl w:ilvl="0">
      <w:lvlJc w:val="left"/>
      <w:lvlText w:val="(%1)"/>
      <w:numFmt w:val="decimal"/>
      <w:start w:val="1"/>
    </w:lvl>
  </w:abstractNum>
  <w:abstractNum w:abstractNumId="101">
    <w:nsid w:val="E7FFA2B"/>
    <w:multiLevelType w:val="hybridMultilevel"/>
    <w:lvl w:ilvl="0">
      <w:lvlJc w:val="left"/>
      <w:lvlText w:val="(%1)"/>
      <w:numFmt w:val="decimal"/>
      <w:start w:val="9"/>
    </w:lvl>
  </w:abstractNum>
  <w:abstractNum w:abstractNumId="102">
    <w:nsid w:val="3C5991AA"/>
    <w:multiLevelType w:val="hybridMultilevel"/>
    <w:lvl w:ilvl="0">
      <w:lvlJc w:val="left"/>
      <w:lvlText w:val="(%1)"/>
      <w:numFmt w:val="lowerLetter"/>
      <w:start w:val="1"/>
    </w:lvl>
  </w:abstractNum>
  <w:abstractNum w:abstractNumId="103">
    <w:nsid w:val="4BD8591A"/>
    <w:multiLevelType w:val="hybridMultilevel"/>
    <w:lvl w:ilvl="0">
      <w:lvlJc w:val="left"/>
      <w:lvlText w:val="•"/>
      <w:numFmt w:val="bullet"/>
      <w:start w:val="1"/>
    </w:lvl>
  </w:abstractNum>
  <w:abstractNum w:abstractNumId="104">
    <w:nsid w:val="78DF6A55"/>
    <w:multiLevelType w:val="hybridMultilevel"/>
    <w:lvl w:ilvl="0">
      <w:lvlJc w:val="left"/>
      <w:lvlText w:val="(%1)"/>
      <w:numFmt w:val="lowerLetter"/>
      <w:start w:val="1"/>
    </w:lvl>
  </w:abstractNum>
  <w:abstractNum w:abstractNumId="105">
    <w:nsid w:val="39B7AAA2"/>
    <w:multiLevelType w:val="hybridMultilevel"/>
    <w:lvl w:ilvl="0">
      <w:lvlJc w:val="left"/>
      <w:lvlText w:val="(%1)"/>
      <w:numFmt w:val="lowerLetter"/>
      <w:start w:val="1"/>
    </w:lvl>
  </w:abstractNum>
  <w:abstractNum w:abstractNumId="106">
    <w:nsid w:val="2B0D8DBE"/>
    <w:multiLevelType w:val="hybridMultilevel"/>
    <w:lvl w:ilvl="0">
      <w:lvlJc w:val="left"/>
      <w:lvlText w:val="(%1)"/>
      <w:numFmt w:val="lowerLetter"/>
      <w:start w:val="1"/>
    </w:lvl>
  </w:abstractNum>
  <w:abstractNum w:abstractNumId="107">
    <w:nsid w:val="6C80EC70"/>
    <w:multiLevelType w:val="hybridMultilevel"/>
    <w:lvl w:ilvl="0">
      <w:lvlJc w:val="left"/>
      <w:lvlText w:val="(%1)"/>
      <w:numFmt w:val="lowerLetter"/>
      <w:start w:val="1"/>
    </w:lvl>
  </w:abstractNum>
  <w:abstractNum w:abstractNumId="108">
    <w:nsid w:val="379E21B5"/>
    <w:multiLevelType w:val="hybridMultilevel"/>
    <w:lvl w:ilvl="0">
      <w:lvlJc w:val="left"/>
      <w:lvlText w:val="(%1)"/>
      <w:numFmt w:val="lowerLetter"/>
      <w:start w:val="1"/>
    </w:lvl>
  </w:abstractNum>
  <w:abstractNum w:abstractNumId="109">
    <w:nsid w:val="69E373"/>
    <w:multiLevelType w:val="hybridMultilevel"/>
    <w:lvl w:ilvl="0">
      <w:lvlJc w:val="left"/>
      <w:lvlText w:val="•"/>
      <w:numFmt w:val="bullet"/>
      <w:start w:val="1"/>
    </w:lvl>
  </w:abstractNum>
  <w:abstractNum w:abstractNumId="110">
    <w:nsid w:val="2C27173B"/>
    <w:multiLevelType w:val="hybridMultilevel"/>
    <w:lvl w:ilvl="0">
      <w:lvlJc w:val="left"/>
      <w:lvlText w:val="(%1)"/>
      <w:numFmt w:val="lowerLetter"/>
      <w:start w:val="1"/>
    </w:lvl>
  </w:abstractNum>
  <w:abstractNum w:abstractNumId="111">
    <w:nsid w:val="4C9B0904"/>
    <w:multiLevelType w:val="hybridMultilevel"/>
    <w:lvl w:ilvl="0">
      <w:lvlJc w:val="left"/>
      <w:lvlText w:val="(%1)"/>
      <w:numFmt w:val="lowerLetter"/>
      <w:start w:val="1"/>
    </w:lvl>
  </w:abstractNum>
  <w:abstractNum w:abstractNumId="112">
    <w:nsid w:val="6AA7B75C"/>
    <w:multiLevelType w:val="hybridMultilevel"/>
    <w:lvl w:ilvl="0">
      <w:lvlJc w:val="left"/>
      <w:lvlText w:val="•"/>
      <w:numFmt w:val="bullet"/>
      <w:start w:val="1"/>
    </w:lvl>
  </w:abstractNum>
  <w:abstractNum w:abstractNumId="113">
    <w:nsid w:val="1DF029D3"/>
    <w:multiLevelType w:val="hybridMultilevel"/>
    <w:lvl w:ilvl="0">
      <w:lvlJc w:val="left"/>
      <w:lvlText w:val="•"/>
      <w:numFmt w:val="bullet"/>
      <w:start w:val="1"/>
    </w:lvl>
  </w:abstractNum>
  <w:abstractNum w:abstractNumId="114">
    <w:nsid w:val="5675FF36"/>
    <w:multiLevelType w:val="hybridMultilevel"/>
    <w:lvl w:ilvl="0">
      <w:lvlJc w:val="left"/>
      <w:lvlText w:val="•"/>
      <w:numFmt w:val="bullet"/>
      <w:start w:val="1"/>
    </w:lvl>
  </w:abstractNum>
  <w:abstractNum w:abstractNumId="115">
    <w:nsid w:val="3DD15094"/>
    <w:multiLevelType w:val="hybridMultilevel"/>
    <w:lvl w:ilvl="0">
      <w:lvlJc w:val="left"/>
      <w:lvlText w:val="•"/>
      <w:numFmt w:val="bullet"/>
      <w:start w:val="1"/>
    </w:lvl>
  </w:abstractNum>
  <w:abstractNum w:abstractNumId="116">
    <w:nsid w:val="3DB012B3"/>
    <w:multiLevelType w:val="hybridMultilevel"/>
    <w:lvl w:ilvl="0">
      <w:lvlJc w:val="left"/>
      <w:lvlText w:val="•"/>
      <w:numFmt w:val="bullet"/>
      <w:start w:val="1"/>
    </w:lvl>
  </w:abstractNum>
  <w:abstractNum w:abstractNumId="117">
    <w:nsid w:val="2708C9AF"/>
    <w:multiLevelType w:val="hybridMultilevel"/>
    <w:lvl w:ilvl="0">
      <w:lvlJc w:val="left"/>
      <w:lvlText w:val="•"/>
      <w:numFmt w:val="bullet"/>
      <w:start w:val="1"/>
    </w:lvl>
  </w:abstractNum>
  <w:abstractNum w:abstractNumId="118">
    <w:nsid w:val="5B25ACE2"/>
    <w:multiLevelType w:val="hybridMultilevel"/>
    <w:lvl w:ilvl="0">
      <w:lvlJc w:val="left"/>
      <w:lvlText w:val="•"/>
      <w:numFmt w:val="bullet"/>
      <w:start w:val="1"/>
    </w:lvl>
  </w:abstractNum>
  <w:abstractNum w:abstractNumId="119">
    <w:nsid w:val="175DFCF0"/>
    <w:multiLevelType w:val="hybridMultilevel"/>
    <w:lvl w:ilvl="0">
      <w:lvlJc w:val="left"/>
      <w:lvlText w:val="•"/>
      <w:numFmt w:val="bullet"/>
      <w:start w:val="1"/>
    </w:lvl>
  </w:abstractNum>
  <w:abstractNum w:abstractNumId="120">
    <w:nsid w:val="4F97E3E4"/>
    <w:multiLevelType w:val="hybridMultilevel"/>
    <w:lvl w:ilvl="0">
      <w:lvlJc w:val="left"/>
      <w:lvlText w:val="•"/>
      <w:numFmt w:val="bullet"/>
      <w:start w:val="1"/>
    </w:lvl>
  </w:abstractNum>
  <w:abstractNum w:abstractNumId="121">
    <w:nsid w:val="53B0A9E"/>
    <w:multiLevelType w:val="hybridMultilevel"/>
    <w:lvl w:ilvl="0">
      <w:lvlJc w:val="left"/>
      <w:lvlText w:val="•"/>
      <w:numFmt w:val="bullet"/>
      <w:start w:val="1"/>
    </w:lvl>
  </w:abstractNum>
  <w:abstractNum w:abstractNumId="122">
    <w:nsid w:val="34FD6B4F"/>
    <w:multiLevelType w:val="hybridMultilevel"/>
    <w:lvl w:ilvl="0">
      <w:lvlJc w:val="left"/>
      <w:lvlText w:val="%1."/>
      <w:numFmt w:val="decimal"/>
      <w:start w:val="1"/>
    </w:lvl>
    <w:lvl w:ilvl="1">
      <w:lvlJc w:val="left"/>
      <w:lvlText w:val="%2)"/>
      <w:numFmt w:val="lowerLetter"/>
      <w:start w:val="1"/>
    </w:lvl>
  </w:abstractNum>
  <w:abstractNum w:abstractNumId="123">
    <w:nsid w:val="5915FF32"/>
    <w:multiLevelType w:val="hybridMultilevel"/>
    <w:lvl w:ilvl="0">
      <w:lvlJc w:val="left"/>
      <w:lvlText w:val="%1."/>
      <w:numFmt w:val="decimal"/>
      <w:start w:val="1"/>
    </w:lvl>
    <w:lvl w:ilvl="1">
      <w:lvlJc w:val="left"/>
      <w:lvlText w:val="%2)"/>
      <w:numFmt w:val="lowerLetter"/>
      <w:start w:val="1"/>
    </w:lvl>
  </w:abstractNum>
  <w:abstractNum w:abstractNumId="124">
    <w:nsid w:val="56438D15"/>
    <w:multiLevelType w:val="hybridMultilevel"/>
    <w:lvl w:ilvl="0">
      <w:lvlJc w:val="left"/>
      <w:lvlText w:val="%1."/>
      <w:numFmt w:val="decimal"/>
      <w:start w:val="1"/>
    </w:lvl>
  </w:abstractNum>
  <w:abstractNum w:abstractNumId="125">
    <w:nsid w:val="519E3149"/>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2019-12-11T07:55:14Z</dcterms:created>
  <dcterms:modified xsi:type="dcterms:W3CDTF">2019-12-11T07:55:14Z</dcterms:modified>
</cp:coreProperties>
</file>