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484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844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Glidden Craig B.</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00"/>
        <w:spacing w:after="0" w:line="317" w:lineRule="auto"/>
        <w:rPr>
          <w:sz w:val="20"/>
          <w:szCs w:val="20"/>
          <w:color w:val="auto"/>
        </w:rPr>
      </w:pPr>
      <w:r>
        <w:rPr>
          <w:rFonts w:ascii="Arial" w:cs="Arial" w:eastAsia="Arial" w:hAnsi="Arial"/>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02/14/2020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26"/>
        <w:spacing w:after="0"/>
        <w:rPr>
          <w:sz w:val="20"/>
          <w:szCs w:val="20"/>
          <w:color w:val="auto"/>
        </w:rPr>
      </w:pPr>
      <w:r>
        <w:rPr>
          <w:rFonts w:ascii="Arial" w:cs="Arial" w:eastAsia="Arial" w:hAnsi="Arial"/>
          <w:sz w:val="17"/>
          <w:szCs w:val="17"/>
          <w:color w:val="0000FF"/>
        </w:rPr>
        <w:t>Executive Vice President &amp; GC</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8"/>
          </w:tcPr>
          <w:p>
            <w:pPr>
              <w:jc w:val="center"/>
              <w:ind w:right="34"/>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6"/>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0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w w:val="99"/>
              </w:rPr>
              <w:t>Disposed Of (D) (Instr. 3, 4 and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restart"/>
          </w:tcPr>
          <w:p>
            <w:pPr>
              <w:jc w:val="right"/>
              <w:ind w:right="154"/>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02/14/2020</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157"/>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8"/>
              </w:rPr>
              <w:t>83,520</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224,198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940" w:type="dxa"/>
            <w:vAlign w:val="bottom"/>
            <w:gridSpan w:val="3"/>
          </w:tcPr>
          <w:p>
            <w:pPr>
              <w:ind w:left="920"/>
              <w:spacing w:after="0"/>
              <w:rPr>
                <w:sz w:val="20"/>
                <w:szCs w:val="20"/>
                <w:color w:val="auto"/>
              </w:rPr>
            </w:pPr>
            <w:r>
              <w:rPr>
                <w:rFonts w:ascii="Arial" w:cs="Arial" w:eastAsia="Arial" w:hAnsi="Arial"/>
                <w:sz w:val="17"/>
                <w:szCs w:val="17"/>
                <w:color w:val="0000FF"/>
              </w:rPr>
              <w:t>02/14/2020</w:t>
            </w: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7"/>
              <w:spacing w:after="0"/>
              <w:rPr>
                <w:sz w:val="20"/>
                <w:szCs w:val="20"/>
                <w:color w:val="auto"/>
              </w:rPr>
            </w:pPr>
            <w:r>
              <w:rPr>
                <w:rFonts w:ascii="Arial" w:cs="Arial" w:eastAsia="Arial" w:hAnsi="Arial"/>
                <w:sz w:val="13"/>
                <w:szCs w:val="13"/>
                <w:color w:val="0000FF"/>
              </w:rPr>
              <w:t>F</w:t>
            </w:r>
          </w:p>
        </w:tc>
        <w:tc>
          <w:tcPr>
            <w:tcW w:w="16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Arial" w:cs="Arial" w:eastAsia="Arial" w:hAnsi="Arial"/>
                <w:sz w:val="17"/>
                <w:szCs w:val="17"/>
                <w:color w:val="0000FF"/>
                <w:w w:val="88"/>
              </w:rPr>
              <w:t>33,054</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34.76</w:t>
            </w:r>
          </w:p>
        </w:tc>
        <w:tc>
          <w:tcPr>
            <w:tcW w:w="1240" w:type="dxa"/>
            <w:vAlign w:val="bottom"/>
            <w:gridSpan w:val="2"/>
          </w:tcPr>
          <w:p>
            <w:pPr>
              <w:ind w:left="320"/>
              <w:spacing w:after="0"/>
              <w:rPr>
                <w:sz w:val="20"/>
                <w:szCs w:val="20"/>
                <w:color w:val="auto"/>
              </w:rPr>
            </w:pPr>
            <w:r>
              <w:rPr>
                <w:rFonts w:ascii="Arial" w:cs="Arial" w:eastAsia="Arial" w:hAnsi="Arial"/>
                <w:sz w:val="17"/>
                <w:szCs w:val="17"/>
                <w:color w:val="0000FF"/>
              </w:rPr>
              <w:t>191,144</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6"/>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40" w:type="dxa"/>
            <w:vAlign w:val="bottom"/>
            <w:gridSpan w:val="11"/>
          </w:tcPr>
          <w:p>
            <w:pPr>
              <w:jc w:val="center"/>
              <w:ind w:left="58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rPr>
                <w:sz w:val="11"/>
                <w:szCs w:val="11"/>
                <w:color w:val="auto"/>
              </w:rPr>
            </w:pPr>
          </w:p>
        </w:tc>
        <w:tc>
          <w:tcPr>
            <w:tcW w:w="11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83,514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02/15/2020</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6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83,514</w:t>
            </w:r>
          </w:p>
        </w:tc>
        <w:tc>
          <w:tcPr>
            <w:tcW w:w="340" w:type="dxa"/>
            <w:vAlign w:val="bottom"/>
          </w:tcPr>
          <w:p>
            <w:pPr>
              <w:spacing w:after="0"/>
              <w:rPr>
                <w:sz w:val="12"/>
                <w:szCs w:val="12"/>
                <w:color w:val="auto"/>
              </w:rPr>
            </w:pPr>
          </w:p>
        </w:tc>
        <w:tc>
          <w:tcPr>
            <w:tcW w:w="800" w:type="dxa"/>
            <w:vAlign w:val="bottom"/>
            <w:gridSpan w:val="2"/>
          </w:tcPr>
          <w:p>
            <w:pPr>
              <w:jc w:val="center"/>
              <w:spacing w:after="0" w:line="145" w:lineRule="exact"/>
              <w:rPr>
                <w:sz w:val="20"/>
                <w:szCs w:val="20"/>
                <w:color w:val="auto"/>
              </w:rPr>
            </w:pPr>
            <w:r>
              <w:rPr>
                <w:rFonts w:ascii="Arial" w:cs="Arial" w:eastAsia="Arial" w:hAnsi="Arial"/>
                <w:sz w:val="13"/>
                <w:szCs w:val="13"/>
                <w:color w:val="0000FF"/>
                <w:w w:val="95"/>
              </w:rPr>
              <w:t>02/15/2020</w:t>
            </w:r>
          </w:p>
        </w:tc>
        <w:tc>
          <w:tcPr>
            <w:tcW w:w="8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07/28/2025</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ind w:left="1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00"/>
              <w:spacing w:after="0" w:line="145" w:lineRule="exact"/>
              <w:rPr>
                <w:sz w:val="20"/>
                <w:szCs w:val="20"/>
                <w:color w:val="auto"/>
              </w:rPr>
            </w:pPr>
            <w:r>
              <w:rPr>
                <w:rFonts w:ascii="Arial" w:cs="Arial" w:eastAsia="Arial" w:hAnsi="Arial"/>
                <w:sz w:val="13"/>
                <w:szCs w:val="13"/>
                <w:color w:val="0000FF"/>
              </w:rPr>
              <w:t>250,542</w:t>
            </w: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jc w:val="right"/>
              <w:ind w:right="174"/>
              <w:spacing w:after="0" w:line="134"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14, 2017, the Reporting Person received a grant of Performance Stock Units ("PSUs") under the Company's 2014 Long-Term Incentive Plan. Under the grant, the PSUs could be earned based on the achievement of certain financial targets. The PSUs vested on February 14, 2020, and were awarded in shares of common stock.</w:t>
      </w:r>
    </w:p>
    <w:p>
      <w:pPr>
        <w:spacing w:after="0" w:line="9" w:lineRule="exact"/>
        <w:rPr>
          <w:rFonts w:ascii="Arial" w:cs="Arial" w:eastAsia="Arial" w:hAnsi="Arial"/>
          <w:sz w:val="13"/>
          <w:szCs w:val="13"/>
          <w:color w:val="008000"/>
        </w:rPr>
      </w:pPr>
    </w:p>
    <w:p>
      <w:pPr>
        <w:ind w:left="40" w:right="1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15, 2020, the remaining 20% of the July 28, 2015, Driving Stockholder Value Stock Option Grant vested upon meeting or exceeding the median Total Shareholder Return of the peer group for the period July 28, 2015, through December 31, 2019.</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Tia Y. Turk, Attorney-In-</w:t>
            </w:r>
          </w:p>
        </w:tc>
        <w:tc>
          <w:tcPr>
            <w:tcW w:w="3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02/19/2020</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 for Mr. Glidden</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030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2020-02-19T17:12:51Z</dcterms:created>
  <dcterms:modified xsi:type="dcterms:W3CDTF">2020-02-19T17:12:51Z</dcterms:modified>
</cp:coreProperties>
</file>