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23,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On July 23, 2015 a news release was issued on the subject of 2015 second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attached as Exhibit 99.1.</w:t>
      </w:r>
    </w:p>
    <w:p>
      <w:pPr>
        <w:spacing w:after="0" w:line="16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2015 second quarter consolidated earnings release are available on GM's website at www.gm.com/company/investors/earning-releases.html.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3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3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7300" w:type="dxa"/>
            <w:vAlign w:val="bottom"/>
            <w:gridSpan w:val="4"/>
            <w:vMerge w:val="restart"/>
          </w:tcPr>
          <w:p>
            <w:pPr>
              <w:spacing w:after="0"/>
              <w:rPr>
                <w:sz w:val="20"/>
                <w:szCs w:val="20"/>
                <w:color w:val="auto"/>
              </w:rPr>
            </w:pPr>
            <w:r>
              <w:rPr>
                <w:rFonts w:ascii="Arial" w:cs="Arial" w:eastAsia="Arial" w:hAnsi="Arial"/>
                <w:sz w:val="18"/>
                <w:szCs w:val="18"/>
                <w:color w:val="auto"/>
              </w:rPr>
              <w:t>News Release Dated July 23, 2015 and Financial Highlights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30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July 23, 2015</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Posts Strong Second Quarter Earnings Growth with</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Net Income of $1.1 Billion and EBIT-Adjusted of $2.9 Billion</w:t>
      </w:r>
    </w:p>
    <w:p>
      <w:pPr>
        <w:spacing w:after="0" w:line="20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EPS of $0.67; EPS adjusted for special items of $1.29 up 122 percent</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North America achieves quarterly records for EBIT-adjusted of $2.8 billion and EBIT-adjusted margin of 10.5 percent</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Company reaffirms 2015 outlook for improved EBIT-adjusted and EBIT-adjusted margin, compared to 2014</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strong earnings growth for the second quarter with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stockholders of $1.1 billion, or $0.67 per diluted share, which included a $1.1 billion loss from special items before tax, or $(0.62) per diluted share. Earnings before interest and taxes (EBIT)-adjusted increased to $2.9 billion and EBIT-adjusted margin grew to 7.5 percent.</w:t>
      </w:r>
    </w:p>
    <w:p>
      <w:pPr>
        <w:spacing w:after="0" w:line="15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first two quarters of the year were strong as we fully capitalized on a robust North American industry and maintained our strength in China, despite the challenging conditions in that market," said GM CEO Mary Barra. "We said our goal was to improve our earnings and margins this year, and we are on-plan. Consistent with that, we believe our results in the second half of the year will be even better than the first half, and we're confident we will meet our 2016 targets.”</w:t>
      </w:r>
    </w:p>
    <w:p>
      <w:pPr>
        <w:spacing w:after="0" w:line="205"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Special items before tax in the quarter included $0.6 billion related to a previously announced currency devaluation in Venezuela, $0.4 billion for asset impairments primarily for GM Thailand, and $0.1 billion for an adjustment to the estimated cost of the ignition switch compensation program.</w:t>
      </w:r>
    </w:p>
    <w:p>
      <w:pPr>
        <w:spacing w:after="0" w:line="186"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Net revenue in the second quarter of 2015 was $38.2 billion, compared to $39.6 billion in the second quarter of 2014. The change in revenue is more than attributed to a negative net foreign currency exchange impact. Holding exchange rates constant, net revenue was $0.9 billion higher than the second quarter of 2014.</w:t>
      </w:r>
    </w:p>
    <w:p>
      <w:pPr>
        <w:spacing w:after="0" w:line="186"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“Our plan is generating results and giving us momentum,” said Chuck Stevens, executive vice president and chief financial officer. “Record margins in North America and strong margins in China produced a second quarter that demonstrates the earnings power of this company. We expect continued strong performance in these key markets.”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20"/>
          <w:szCs w:val="20"/>
          <w:color w:val="auto"/>
        </w:rPr>
        <w:t>(in billions except for per share amounts and percentages)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25" w:right="239" w:bottom="1440" w:gutter="0" w:footer="0" w:header="0"/>
        </w:sectPr>
      </w:pPr>
    </w:p>
    <w:bookmarkStart w:id="4" w:name="page5"/>
    <w:bookmarkEnd w:id="4"/>
    <w:tbl>
      <w:tblPr>
        <w:tblLayout w:type="fixed"/>
        <w:tblInd w:w="780" w:type="dxa"/>
        <w:tblCellMar>
          <w:top w:w="0" w:type="dxa"/>
          <w:left w:w="0" w:type="dxa"/>
          <w:bottom w:w="0" w:type="dxa"/>
          <w:right w:w="0" w:type="dxa"/>
        </w:tblCellMar>
      </w:tblPr>
      <w:tr>
        <w:trPr>
          <w:trHeight w:val="256"/>
        </w:trPr>
        <w:tc>
          <w:tcPr>
            <w:tcW w:w="5920" w:type="dxa"/>
            <w:vAlign w:val="bottom"/>
          </w:tcPr>
          <w:p>
            <w:pPr>
              <w:spacing w:after="0"/>
              <w:rPr>
                <w:sz w:val="22"/>
                <w:szCs w:val="22"/>
                <w:color w:val="auto"/>
              </w:rPr>
            </w:pPr>
          </w:p>
        </w:tc>
        <w:tc>
          <w:tcPr>
            <w:tcW w:w="2660" w:type="dxa"/>
            <w:vAlign w:val="bottom"/>
          </w:tcPr>
          <w:p>
            <w:pPr>
              <w:jc w:val="center"/>
              <w:ind w:left="1221"/>
              <w:spacing w:after="0"/>
              <w:rPr>
                <w:sz w:val="20"/>
                <w:szCs w:val="20"/>
                <w:color w:val="auto"/>
              </w:rPr>
            </w:pPr>
            <w:r>
              <w:rPr>
                <w:rFonts w:ascii="Arial" w:cs="Arial" w:eastAsia="Arial" w:hAnsi="Arial"/>
                <w:sz w:val="20"/>
                <w:szCs w:val="20"/>
                <w:b w:val="1"/>
                <w:bCs w:val="1"/>
                <w:color w:val="auto"/>
                <w:w w:val="91"/>
              </w:rPr>
              <w:t>Q2 2015</w:t>
            </w:r>
          </w:p>
        </w:tc>
        <w:tc>
          <w:tcPr>
            <w:tcW w:w="1020" w:type="dxa"/>
            <w:vAlign w:val="bottom"/>
          </w:tcPr>
          <w:p>
            <w:pPr>
              <w:jc w:val="center"/>
              <w:ind w:left="221"/>
              <w:spacing w:after="0"/>
              <w:rPr>
                <w:sz w:val="20"/>
                <w:szCs w:val="20"/>
                <w:color w:val="auto"/>
              </w:rPr>
            </w:pPr>
            <w:r>
              <w:rPr>
                <w:rFonts w:ascii="Arial" w:cs="Arial" w:eastAsia="Arial" w:hAnsi="Arial"/>
                <w:sz w:val="20"/>
                <w:szCs w:val="20"/>
                <w:b w:val="1"/>
                <w:bCs w:val="1"/>
                <w:color w:val="auto"/>
                <w:w w:val="91"/>
              </w:rPr>
              <w:t>Q2 2014</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Revenue</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91"/>
              </w:rPr>
              <w:t>$38.2</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91"/>
              </w:rPr>
              <w:t>$39.6</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Net income attributable to common stockholders</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87"/>
              </w:rPr>
              <w:t>$1.1</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87"/>
              </w:rPr>
              <w:t>$0.2</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Earnings per share (EPS) diluted</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91"/>
              </w:rPr>
              <w:t>$0.67</w:t>
            </w:r>
          </w:p>
        </w:tc>
        <w:tc>
          <w:tcPr>
            <w:tcW w:w="1020" w:type="dxa"/>
            <w:vAlign w:val="bottom"/>
          </w:tcPr>
          <w:p>
            <w:pPr>
              <w:jc w:val="center"/>
              <w:ind w:left="201"/>
              <w:spacing w:after="0"/>
              <w:rPr>
                <w:sz w:val="20"/>
                <w:szCs w:val="20"/>
                <w:color w:val="auto"/>
              </w:rPr>
            </w:pPr>
            <w:r>
              <w:rPr>
                <w:rFonts w:ascii="Arial" w:cs="Arial" w:eastAsia="Arial" w:hAnsi="Arial"/>
                <w:sz w:val="20"/>
                <w:szCs w:val="20"/>
                <w:color w:val="auto"/>
                <w:w w:val="87"/>
              </w:rPr>
              <w:t>$0.11</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Impact of special items on EPS diluted</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91"/>
              </w:rPr>
              <w:t>$(0.62)</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91"/>
              </w:rPr>
              <w:t>$(0.47)</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EPS diluted - adjusted</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91"/>
              </w:rPr>
              <w:t>$1.29</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91"/>
              </w:rPr>
              <w:t>$0.58</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EBIT-adjusted</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87"/>
              </w:rPr>
              <w:t>$2.9</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87"/>
              </w:rPr>
              <w:t>$1.4</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 EBIT-adjusted margin</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93"/>
              </w:rPr>
              <w:t>7.5</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93"/>
              </w:rPr>
              <w:t>3.4</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Automotive net cash flow from operating activities</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87"/>
              </w:rPr>
              <w:t>$5.1</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87"/>
              </w:rPr>
              <w:t>$3.6</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Adjusted automotive free cash flow</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87"/>
              </w:rPr>
              <w:t>$3.3</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87"/>
              </w:rPr>
              <w:t>$1.9</w:t>
            </w:r>
          </w:p>
        </w:tc>
      </w:tr>
      <w:tr>
        <w:trPr>
          <w:trHeight w:val="284"/>
        </w:trPr>
        <w:tc>
          <w:tcPr>
            <w:tcW w:w="5920" w:type="dxa"/>
            <w:vAlign w:val="bottom"/>
          </w:tcPr>
          <w:p>
            <w:pPr>
              <w:spacing w:after="0"/>
              <w:rPr>
                <w:sz w:val="20"/>
                <w:szCs w:val="20"/>
                <w:color w:val="auto"/>
              </w:rPr>
            </w:pPr>
            <w:r>
              <w:rPr>
                <w:rFonts w:ascii="Arial" w:cs="Arial" w:eastAsia="Arial" w:hAnsi="Arial"/>
                <w:sz w:val="20"/>
                <w:szCs w:val="20"/>
                <w:b w:val="1"/>
                <w:bCs w:val="1"/>
                <w:color w:val="auto"/>
              </w:rPr>
              <w:t>% Return on Invested Capital (ROIC)</w:t>
            </w:r>
          </w:p>
        </w:tc>
        <w:tc>
          <w:tcPr>
            <w:tcW w:w="2660" w:type="dxa"/>
            <w:vAlign w:val="bottom"/>
          </w:tcPr>
          <w:p>
            <w:pPr>
              <w:jc w:val="center"/>
              <w:ind w:left="1221"/>
              <w:spacing w:after="0"/>
              <w:rPr>
                <w:sz w:val="20"/>
                <w:szCs w:val="20"/>
                <w:color w:val="auto"/>
              </w:rPr>
            </w:pPr>
            <w:r>
              <w:rPr>
                <w:rFonts w:ascii="Arial" w:cs="Arial" w:eastAsia="Arial" w:hAnsi="Arial"/>
                <w:sz w:val="20"/>
                <w:szCs w:val="20"/>
                <w:color w:val="auto"/>
                <w:w w:val="87"/>
              </w:rPr>
              <w:t>23.4</w:t>
            </w:r>
          </w:p>
        </w:tc>
        <w:tc>
          <w:tcPr>
            <w:tcW w:w="1020" w:type="dxa"/>
            <w:vAlign w:val="bottom"/>
          </w:tcPr>
          <w:p>
            <w:pPr>
              <w:jc w:val="center"/>
              <w:ind w:left="221"/>
              <w:spacing w:after="0"/>
              <w:rPr>
                <w:sz w:val="20"/>
                <w:szCs w:val="20"/>
                <w:color w:val="auto"/>
              </w:rPr>
            </w:pPr>
            <w:r>
              <w:rPr>
                <w:rFonts w:ascii="Arial" w:cs="Arial" w:eastAsia="Arial" w:hAnsi="Arial"/>
                <w:sz w:val="20"/>
                <w:szCs w:val="20"/>
                <w:color w:val="auto"/>
                <w:w w:val="87"/>
              </w:rPr>
              <w:t>14.7</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EBIT-adjusted Results</w:t>
      </w:r>
    </w:p>
    <w:p>
      <w:pPr>
        <w:spacing w:after="0" w:line="222" w:lineRule="exact"/>
        <w:rPr>
          <w:sz w:val="20"/>
          <w:szCs w:val="20"/>
          <w:color w:val="auto"/>
        </w:rPr>
      </w:pPr>
    </w:p>
    <w:p>
      <w:pPr>
        <w:jc w:val="both"/>
        <w:ind w:left="660" w:right="220" w:hanging="328"/>
        <w:spacing w:after="0" w:line="245"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North America reported EBIT-adjusted of $2.8 billion with an EBIT-adjusted margin of 10.5 percent. These results included the impact of $0.2 billion for restructuring costs. This compared with EBIT-adjusted of $1.4 billion in the second quarter of 2014, which included the impact of recall-related costs of $1.0 billion.</w:t>
      </w:r>
    </w:p>
    <w:p>
      <w:pPr>
        <w:ind w:left="66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Europe reported EBIT-adjusted of $(0.0) billion. This compares with EBIT-adjusted of $(0.3) billion in the second quarter of 2014, which included $0.2 billion for restructuring costs.</w:t>
      </w:r>
    </w:p>
    <w:p>
      <w:pPr>
        <w:spacing w:after="0" w:line="1" w:lineRule="exact"/>
        <w:rPr>
          <w:rFonts w:ascii="Arial" w:cs="Arial" w:eastAsia="Arial" w:hAnsi="Arial"/>
          <w:sz w:val="20"/>
          <w:szCs w:val="20"/>
          <w:color w:val="auto"/>
        </w:rPr>
      </w:pPr>
    </w:p>
    <w:p>
      <w:pPr>
        <w:ind w:left="660" w:right="26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International Operations reported EBIT-adjusted of $0.3 billion, compared to $0.3 billion in the second quarter of 2014. Results included China equity income of $0.5 billion, which generated a 10.2 percent net income margin.</w:t>
      </w:r>
    </w:p>
    <w:p>
      <w:pPr>
        <w:spacing w:after="0" w:line="1" w:lineRule="exact"/>
        <w:rPr>
          <w:rFonts w:ascii="Arial" w:cs="Arial" w:eastAsia="Arial" w:hAnsi="Arial"/>
          <w:sz w:val="20"/>
          <w:szCs w:val="20"/>
          <w:color w:val="auto"/>
        </w:rPr>
      </w:pPr>
    </w:p>
    <w:p>
      <w:pPr>
        <w:ind w:left="660" w:right="24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South America reported EBIT-adjusted of $(0.1) billion, compared with EBIT-adjusted of $(0.1) billion in the second quarter of 2014.</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GM Financial earnings before tax was $0.2 billion for the quarter, compared to $0.3 billion in the second quarter of 2014.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Capital Return, Liquidity</w:t>
      </w:r>
    </w:p>
    <w:p>
      <w:pPr>
        <w:spacing w:after="0" w:line="2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Second quarter automotive cash flow from operating activities of $5.1 billion and adjusted automotive free cash flow of $3.3 billion, were up from $3.6 billion and $1.9 billion a year ago, respectively.</w:t>
      </w:r>
    </w:p>
    <w:p>
      <w:pPr>
        <w:spacing w:after="0" w:line="177"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Year-to-date through July 21, GM has returned more than $3.1 billion of cash to shareholders through share repurchases of $2.1 billion and dividends of $1.1 billion.</w:t>
      </w:r>
    </w:p>
    <w:p>
      <w:pPr>
        <w:spacing w:after="0" w:line="177"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GM ended the quarter with strong total automotive liquidity of $34.9 billion. Automotive cash and marketable securities was $22.8 billion compared with $25.2 billion at year-end 2014.</w:t>
      </w:r>
    </w:p>
    <w:p>
      <w:pPr>
        <w:spacing w:after="0" w:line="180"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760" w:type="dxa"/>
            <w:vAlign w:val="bottom"/>
          </w:tcPr>
          <w:p>
            <w:pPr>
              <w:ind w:left="200"/>
              <w:spacing w:after="0"/>
              <w:rPr>
                <w:sz w:val="20"/>
                <w:szCs w:val="20"/>
                <w:color w:val="auto"/>
              </w:rPr>
            </w:pPr>
            <w:r>
              <w:rPr>
                <w:rFonts w:ascii="Arial" w:cs="Arial" w:eastAsia="Arial" w:hAnsi="Arial"/>
                <w:sz w:val="16"/>
                <w:szCs w:val="16"/>
                <w:color w:val="auto"/>
              </w:rPr>
              <w:t># # #</w:t>
            </w:r>
          </w:p>
        </w:tc>
      </w:tr>
      <w:tr>
        <w:trPr>
          <w:trHeight w:val="372"/>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CONTACTS:</w:t>
            </w:r>
          </w:p>
        </w:tc>
        <w:tc>
          <w:tcPr>
            <w:tcW w:w="1760" w:type="dxa"/>
            <w:vAlign w:val="bottom"/>
          </w:tcPr>
          <w:p>
            <w:pPr>
              <w:spacing w:after="0"/>
              <w:rPr>
                <w:sz w:val="24"/>
                <w:szCs w:val="24"/>
                <w:color w:val="auto"/>
              </w:rPr>
            </w:pPr>
          </w:p>
        </w:tc>
      </w:tr>
      <w:tr>
        <w:trPr>
          <w:trHeight w:val="362"/>
        </w:trPr>
        <w:tc>
          <w:tcPr>
            <w:tcW w:w="4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1760" w:type="dxa"/>
            <w:vAlign w:val="bottom"/>
          </w:tcPr>
          <w:p>
            <w:pPr>
              <w:spacing w:after="0"/>
              <w:rPr>
                <w:sz w:val="20"/>
                <w:szCs w:val="20"/>
                <w:color w:val="auto"/>
              </w:rPr>
            </w:pPr>
            <w:r>
              <w:rPr>
                <w:rFonts w:ascii="Arial" w:cs="Arial" w:eastAsia="Arial" w:hAnsi="Arial"/>
                <w:sz w:val="18"/>
                <w:szCs w:val="18"/>
                <w:color w:val="auto"/>
              </w:rPr>
              <w:t>Randy Arickx</w:t>
            </w:r>
          </w:p>
        </w:tc>
      </w:tr>
      <w:tr>
        <w:trPr>
          <w:trHeight w:val="216"/>
        </w:trPr>
        <w:tc>
          <w:tcPr>
            <w:tcW w:w="1980" w:type="dxa"/>
            <w:vAlign w:val="bottom"/>
            <w:gridSpan w:val="2"/>
          </w:tcPr>
          <w:p>
            <w:pPr>
              <w:ind w:left="40"/>
              <w:spacing w:after="0"/>
              <w:rPr>
                <w:sz w:val="20"/>
                <w:szCs w:val="20"/>
                <w:color w:val="auto"/>
              </w:rPr>
            </w:pPr>
            <w:r>
              <w:rPr>
                <w:rFonts w:ascii="Arial" w:cs="Arial" w:eastAsia="Arial" w:hAnsi="Arial"/>
                <w:sz w:val="18"/>
                <w:szCs w:val="18"/>
                <w:color w:val="auto"/>
              </w:rPr>
              <w:t>313-410-2704</w:t>
            </w:r>
          </w:p>
        </w:tc>
        <w:tc>
          <w:tcPr>
            <w:tcW w:w="33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313-268-7070</w:t>
            </w:r>
          </w:p>
        </w:tc>
      </w:tr>
      <w:tr>
        <w:trPr>
          <w:trHeight w:val="216"/>
        </w:trPr>
        <w:tc>
          <w:tcPr>
            <w:tcW w:w="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Global Financial Communications</w:t>
            </w:r>
          </w:p>
        </w:tc>
        <w:tc>
          <w:tcPr>
            <w:tcW w:w="1760" w:type="dxa"/>
            <w:vAlign w:val="bottom"/>
          </w:tcPr>
          <w:p>
            <w:pPr>
              <w:spacing w:after="0"/>
              <w:rPr>
                <w:sz w:val="20"/>
                <w:szCs w:val="20"/>
                <w:color w:val="auto"/>
              </w:rPr>
            </w:pPr>
            <w:r>
              <w:rPr>
                <w:rFonts w:ascii="Arial" w:cs="Arial" w:eastAsia="Arial" w:hAnsi="Arial"/>
                <w:sz w:val="18"/>
                <w:szCs w:val="18"/>
                <w:color w:val="auto"/>
                <w:w w:val="97"/>
              </w:rPr>
              <w:t>GM Investor Relations</w:t>
            </w:r>
          </w:p>
        </w:tc>
      </w:tr>
      <w:tr>
        <w:trPr>
          <w:trHeight w:val="190"/>
        </w:trPr>
        <w:tc>
          <w:tcPr>
            <w:tcW w:w="40" w:type="dxa"/>
            <w:vAlign w:val="bottom"/>
          </w:tcPr>
          <w:p>
            <w:pPr>
              <w:spacing w:after="0"/>
              <w:rPr>
                <w:sz w:val="16"/>
                <w:szCs w:val="16"/>
                <w:color w:val="auto"/>
              </w:rPr>
            </w:pPr>
          </w:p>
        </w:tc>
        <w:tc>
          <w:tcPr>
            <w:tcW w:w="194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tom.e.henderson@gm.com</w:t>
            </w:r>
          </w:p>
        </w:tc>
        <w:tc>
          <w:tcPr>
            <w:tcW w:w="3380" w:type="dxa"/>
            <w:vAlign w:val="bottom"/>
          </w:tcPr>
          <w:p>
            <w:pPr>
              <w:spacing w:after="0"/>
              <w:rPr>
                <w:sz w:val="16"/>
                <w:szCs w:val="16"/>
                <w:color w:val="auto"/>
              </w:rPr>
            </w:pPr>
          </w:p>
        </w:tc>
        <w:tc>
          <w:tcPr>
            <w:tcW w:w="176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9"/>
              </w:rPr>
              <w:t>randy.c.arickx@gm.com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9"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this press release and in related comments by our management, our use of the words “expect,” “plan,”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costs and risks associated with litigation and government investigations including those related to various recalls; our ability to negotiate a successful new collective bargaining agreement with the UAW and avoid any costly work stoppage.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6"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accompanying tables and charts include earnings before interest and taxes adjusted for special items, presented net of noncontrolling interests (EBIT-adjusted), return on invested capital (ROIC) and Automotive adjusted free cash flow. These metrics are not prepared in accordance with Accounting Principles Generally Accepted in the United States of America (U.S. GAAP) and have not been audited or reviewed by GM's independent auditors. EBIT-adjusted, ROIC and Automotive adjusted free cash flow are considered non-GAAP financial measures.</w:t>
      </w:r>
    </w:p>
    <w:p>
      <w:pPr>
        <w:spacing w:after="0" w:line="17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Management uses EBIT-adjusted to review the operating results of its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w:t>
      </w:r>
    </w:p>
    <w:p>
      <w:pPr>
        <w:spacing w:after="0" w:line="14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Management uses ROIC to review investment and capital allocation decisions. GM defines ROIC as EBIT-adjusted for the trailing four quarters divided by average net assets, which is considered to be the average equity balances adjusted for certain assets and liabilities during the same period.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adjusted free cash flow to review the liquidity of its automotive operations. GM measures adjusted free cash flow as cash flow from operations less capital expenditures adjusted for management actions, primarily related to strengthening its balance sheet, such as accrued interest on prepayments of debt and voluntary contributions to employee benefit plans.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GM's core operations. These measures allow management to view operating trends, perform analytical comparisons and benchmark performance between periods and among geographic regions.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GM's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related U.S. GAAP measures.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Net income attributable to stockholders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30, 2014</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segments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Europe (GME)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 International Operations (GMIO)</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South America (GMSA)</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Financial)(a)</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segments(b)</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1,117</w:t>
            </w:r>
          </w:p>
        </w:tc>
        <w:tc>
          <w:tcPr>
            <w:tcW w:w="120" w:type="dxa"/>
            <w:vAlign w:val="bottom"/>
          </w:tcPr>
          <w:p>
            <w:pPr>
              <w:spacing w:after="0"/>
              <w:rPr>
                <w:sz w:val="19"/>
                <w:szCs w:val="1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9"/>
                <w:szCs w:val="1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2,062</w:t>
            </w:r>
          </w:p>
        </w:tc>
        <w:tc>
          <w:tcPr>
            <w:tcW w:w="120" w:type="dxa"/>
            <w:vAlign w:val="bottom"/>
          </w:tcPr>
          <w:p>
            <w:pPr>
              <w:spacing w:after="0"/>
              <w:rPr>
                <w:sz w:val="19"/>
                <w:szCs w:val="1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491</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interest expense and income tax benefit (expense) are recorded centrally in Corporate.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2015 special items consisted of costs related to the change in business model in Russia of $17 million in GME; asset impairment charges of $297 million related to Thailand subsidiaries in GMIO; Venezuela currency devaluation of $604 million and asset impairment charges of $116 million related to Venezuela subsidiaries in GMSA; a charge related to the ignition switch recall compensation program of $75 million in Corporate; and other of $1 million.</w:t>
      </w:r>
    </w:p>
    <w:p>
      <w:pPr>
        <w:spacing w:after="0" w:line="18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color w:val="auto"/>
        </w:rPr>
        <w:t>In the six months ended June 30, 2015 special items consisted of net insurance recoveries related to flood damage of $29 million in GMNA; costs related to the change in business model in Russia of $354 million in GME and $89 million in GMIO, which is net of non-controlling interests; asset impairment charges of $297 million related to Thailand subsidiaries in GMIO; Venezuela currency devaluation of $604 million and asset impairment charges of $116 million related to Venezuela subsidiaries in GMSA; charges related to the ignition switch recall compensation program of $225 million in Corporate; and other of $1 million.</w:t>
      </w:r>
    </w:p>
    <w:p>
      <w:pPr>
        <w:spacing w:after="0" w:line="18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June 30, 2014 special items consisted of a catch-up adjustment related to the change in estimate for recall campaigns of $874 million in GMNA; a charge related to the ignition switch recall compensation program of $400 million in Corporate; and other of $5 million.</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2014 special items consisted of a catch-up adjustment related to the change in estimate for recall campaigns of $874 million in GMNA; Venezuela currency devaluation of $419 million in GMSA; a charge related to the ignition switch recall compensation program of $400 million in Corporate; and other of $13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Four Quarters Ended</w:t>
            </w:r>
          </w:p>
        </w:tc>
        <w:tc>
          <w:tcPr>
            <w:tcW w:w="0" w:type="dxa"/>
            <w:vAlign w:val="bottom"/>
          </w:tcPr>
          <w:p>
            <w:pPr>
              <w:spacing w:after="0"/>
              <w:rPr>
                <w:sz w:val="1"/>
                <w:szCs w:val="1"/>
                <w:color w:val="auto"/>
              </w:rPr>
            </w:pPr>
          </w:p>
        </w:tc>
      </w:tr>
      <w:tr>
        <w:trPr>
          <w:trHeight w:val="264"/>
        </w:trPr>
        <w:tc>
          <w:tcPr>
            <w:tcW w:w="8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2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ROIC</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adjusted free cash flow</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3,410</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net 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5,114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5,602</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shd w:val="clear" w:color="auto" w:fill="CCEEFF"/>
              </w:rPr>
              <w:t>Three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6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shd w:val="clear" w:color="auto" w:fill="CCEEFF"/>
              </w:rPr>
              <w:t>June 30, 2015</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26,481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4,987</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2,109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36,670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38,180</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1,805</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1,033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118</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2,170</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524</w:t>
            </w: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49"/>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shd w:val="clear" w:color="auto" w:fill="CCEEFF"/>
              </w:rPr>
              <w:t>Three Months Ended</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42"/>
        </w:trPr>
        <w:tc>
          <w:tcPr>
            <w:tcW w:w="2180" w:type="dxa"/>
            <w:vAlign w:val="bottom"/>
            <w:tcBorders>
              <w:bottom w:val="single" w:sz="8" w:color="CCEEFF"/>
            </w:tcBorders>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shd w:val="clear" w:color="auto" w:fill="CCEEFF"/>
              </w:rPr>
              <w:t>June 30, 2014</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25,671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5,974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3,177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38,462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39,649</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1,666</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1,620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1,819</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523</w:t>
            </w: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 2015</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51,157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9,436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6,165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4,201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71,034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73,892</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3,489</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2,134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239</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526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3,088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3,927</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1,077</w:t>
            </w: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 2014</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50,075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11,594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6,202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74,777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77,057</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3,425</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224</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3,051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3,426</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GM's worldwide and U.S. employment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2015</w:t>
            </w:r>
          </w:p>
        </w:tc>
        <w:tc>
          <w:tcPr>
            <w:tcW w:w="170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5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8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GMSA</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8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Worldwide</w:t>
            </w: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216</w:t>
            </w:r>
          </w:p>
        </w:tc>
      </w:tr>
      <w:tr>
        <w:trPr>
          <w:trHeight w:val="257"/>
        </w:trPr>
        <w:tc>
          <w:tcPr>
            <w:tcW w:w="8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U.S. - Salaried</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8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8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in the tables below and corresponding calculations of its market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GM's revenue from the sale of vehicles, which is the largest component of automotive Net sales and revenue. Wholesale vehicle sales exclude vehicles produced by joint ventures. In the six months ended June 30, 2015, 49.5% of GM's wholesale vehicle sales volume was generated outside the U.S. The following table summarizes total wholesale vehicle sales of new vehicles by automotive segment (vehicles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2015</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GME</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596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GMSA</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419</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1,503</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vehicles sales on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retail sales volume, or estimated sales volume where retail sales volume is not available, of new vehicles by geographic region (vehicles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2015</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2014</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Chevrolet - Cars</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 - Trucks</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Chevrolet - Crossovers</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Cadillac</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Buick</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GMC</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Total United States</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806</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1,506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Mexico and Other</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Total North America</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965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930</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1,674</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Opel/Vauxhall</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Europe</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336</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Asia/Pacific, Middle East and Africa</w:t>
            </w: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Wuling</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Buick</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Holden</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GMC</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Cadillac</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Total Asia/Pacific, Middle East and Africa</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1,022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1,026</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2,149</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Chevrolet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Total South America</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214</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425</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Worldwide</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2,462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2,506</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4,861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4,922</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wholesale vehicle sales at GM's China joint ventures presented in the following table are included in GM's retail vehicle sales on the preceding page (vehicles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Pr>
          <w:p>
            <w:pPr>
              <w:spacing w:after="0"/>
              <w:rPr>
                <w:sz w:val="22"/>
                <w:szCs w:val="22"/>
                <w:color w:val="auto"/>
              </w:rPr>
            </w:pPr>
          </w:p>
        </w:tc>
        <w:tc>
          <w:tcPr>
            <w:tcW w:w="128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 2015</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1140" w:type="dxa"/>
            <w:vAlign w:val="bottom"/>
          </w:tcPr>
          <w:p>
            <w:pPr>
              <w:jc w:val="right"/>
              <w:ind w:right="52"/>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w:t>
            </w: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w w:val="96"/>
              </w:rPr>
              <w:t>SAIC-GM-Wuling Automobile Co., Ltd. and FAW-GM Light Duty Commercial Vehicle</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Co., Ltd.</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911</w:t>
            </w:r>
          </w:p>
        </w:tc>
      </w:tr>
      <w:tr>
        <w:trPr>
          <w:trHeight w:val="426"/>
        </w:trPr>
        <w:tc>
          <w:tcPr>
            <w:tcW w:w="652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Pr>
          <w:p>
            <w:pPr>
              <w:spacing w:after="0"/>
              <w:rPr>
                <w:sz w:val="22"/>
                <w:szCs w:val="22"/>
                <w:color w:val="auto"/>
              </w:rPr>
            </w:pPr>
          </w:p>
        </w:tc>
        <w:tc>
          <w:tcPr>
            <w:tcW w:w="128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 2015</w:t>
            </w: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1140" w:type="dxa"/>
            <w:vAlign w:val="bottom"/>
          </w:tcPr>
          <w:p>
            <w:pPr>
              <w:jc w:val="right"/>
              <w:ind w:right="52"/>
              <w:spacing w:after="0"/>
              <w:rPr>
                <w:sz w:val="20"/>
                <w:szCs w:val="20"/>
                <w:color w:val="auto"/>
              </w:rPr>
            </w:pPr>
            <w:r>
              <w:rPr>
                <w:rFonts w:ascii="Arial" w:cs="Arial" w:eastAsia="Arial" w:hAnsi="Arial"/>
                <w:sz w:val="14"/>
                <w:szCs w:val="14"/>
                <w:b w:val="1"/>
                <w:bCs w:val="1"/>
                <w:color w:val="auto"/>
              </w:rPr>
              <w:t>June 30, 2014</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 Share</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14.9%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14.9%</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Trucks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22.1%</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17.3%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17.3%</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17.2%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16.9%</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Europe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7.0%</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9.9%</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South America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16.5%</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11.1%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11.3%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11.0%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11.2%</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U.S. Retail/Fleet Mix</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Fleet Sales - Cars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 Fleet Sales - Trucks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26.0%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Fleet Sales - Crossovers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b w:val="1"/>
                <w:bCs w:val="1"/>
                <w:color w:val="auto"/>
              </w:rPr>
              <w:t>Total Vehicles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24.4%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27.6%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25.4%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26.2%</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North America Capacity Utilization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110.3%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7"/>
          </w:tcPr>
          <w:p>
            <w:pPr>
              <w:jc w:val="right"/>
              <w:ind w:right="100"/>
              <w:spacing w:after="0"/>
              <w:rPr>
                <w:sz w:val="20"/>
                <w:szCs w:val="20"/>
                <w:color w:val="auto"/>
              </w:rPr>
            </w:pPr>
            <w:r>
              <w:rPr>
                <w:rFonts w:ascii="Arial" w:cs="Arial" w:eastAsia="Arial" w:hAnsi="Arial"/>
                <w:sz w:val="11"/>
                <w:szCs w:val="11"/>
                <w:b w:val="1"/>
                <w:bCs w:val="1"/>
                <w:color w:val="auto"/>
                <w:w w:val="89"/>
              </w:rPr>
              <w:t>Three Months Ended June 30, 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6"/>
          </w:tcPr>
          <w:p>
            <w:pPr>
              <w:ind w:left="80"/>
              <w:spacing w:after="0"/>
              <w:rPr>
                <w:sz w:val="20"/>
                <w:szCs w:val="20"/>
                <w:color w:val="auto"/>
              </w:rPr>
            </w:pPr>
            <w:r>
              <w:rPr>
                <w:rFonts w:ascii="Arial" w:cs="Arial" w:eastAsia="Arial" w:hAnsi="Arial"/>
                <w:sz w:val="11"/>
                <w:szCs w:val="11"/>
                <w:b w:val="1"/>
                <w:bCs w:val="1"/>
                <w:color w:val="auto"/>
                <w:w w:val="97"/>
              </w:rPr>
              <w:t>Three Months Ended June 30,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2"/>
              </w:rPr>
              <w:t>Automotive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GM Financial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1"/>
              </w:rPr>
              <w:t>Eliminations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8"/>
              </w:rPr>
              <w:t>Consolidated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21"/>
                <w:szCs w:val="2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Automotive</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36,670</w:t>
            </w:r>
          </w:p>
        </w:tc>
        <w:tc>
          <w:tcPr>
            <w:tcW w:w="100" w:type="dxa"/>
            <w:vAlign w:val="bottom"/>
          </w:tcPr>
          <w:p>
            <w:pPr>
              <w:spacing w:after="0"/>
              <w:rPr>
                <w:sz w:val="16"/>
                <w:szCs w:val="16"/>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36,670</w:t>
            </w:r>
          </w:p>
        </w:tc>
        <w:tc>
          <w:tcPr>
            <w:tcW w:w="120" w:type="dxa"/>
            <w:vAlign w:val="bottom"/>
          </w:tcPr>
          <w:p>
            <w:pPr>
              <w:spacing w:after="0"/>
              <w:rPr>
                <w:sz w:val="16"/>
                <w:szCs w:val="16"/>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38,462</w:t>
            </w:r>
          </w:p>
        </w:tc>
        <w:tc>
          <w:tcPr>
            <w:tcW w:w="120" w:type="dxa"/>
            <w:vAlign w:val="bottom"/>
          </w:tcPr>
          <w:p>
            <w:pPr>
              <w:spacing w:after="0"/>
              <w:rPr>
                <w:sz w:val="16"/>
                <w:szCs w:val="16"/>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38,462</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180"/>
              <w:spacing w:after="0"/>
              <w:rPr>
                <w:sz w:val="20"/>
                <w:szCs w:val="20"/>
                <w:color w:val="auto"/>
              </w:rPr>
            </w:pPr>
            <w:r>
              <w:rPr>
                <w:rFonts w:ascii="Arial" w:cs="Arial" w:eastAsia="Arial" w:hAnsi="Arial"/>
                <w:sz w:val="14"/>
                <w:szCs w:val="14"/>
                <w:color w:val="auto"/>
              </w:rPr>
              <w:t>Total net sales and revenue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36,670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38,180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38,462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39,649</w:t>
            </w:r>
          </w:p>
        </w:tc>
        <w:tc>
          <w:tcPr>
            <w:tcW w:w="0" w:type="dxa"/>
            <w:vAlign w:val="bottom"/>
          </w:tcPr>
          <w:p>
            <w:pPr>
              <w:spacing w:after="0"/>
              <w:rPr>
                <w:sz w:val="1"/>
                <w:szCs w:val="1"/>
                <w:color w:val="auto"/>
              </w:rPr>
            </w:pPr>
          </w:p>
        </w:tc>
      </w:tr>
      <w:tr>
        <w:trPr>
          <w:trHeight w:val="75"/>
        </w:trPr>
        <w:tc>
          <w:tcPr>
            <w:tcW w:w="34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Automotive cost of sales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32,600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32,597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35,854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35,851</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GM Financial interest, operating and other expenses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w w:val="94"/>
              </w:rPr>
              <w:t>Automotive selling, general and administrative expense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75"/>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35,577</w:t>
            </w: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36,892</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39,197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926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40,120</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380"/>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40"/>
              <w:spacing w:after="0"/>
              <w:rPr>
                <w:sz w:val="20"/>
                <w:szCs w:val="20"/>
                <w:color w:val="auto"/>
              </w:rPr>
            </w:pPr>
            <w:r>
              <w:rPr>
                <w:rFonts w:ascii="Arial" w:cs="Arial" w:eastAsia="Arial" w:hAnsi="Arial"/>
                <w:sz w:val="14"/>
                <w:szCs w:val="14"/>
                <w:color w:val="auto"/>
              </w:rPr>
              <w:t>Interest income and other non-operating income, 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9"/>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stockholders</w:t>
            </w:r>
          </w:p>
        </w:tc>
        <w:tc>
          <w:tcPr>
            <w:tcW w:w="1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62"/>
        </w:trPr>
        <w:tc>
          <w:tcPr>
            <w:tcW w:w="3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8"/>
          </w:tcPr>
          <w:p>
            <w:pPr>
              <w:jc w:val="right"/>
              <w:ind w:right="280"/>
              <w:spacing w:after="0"/>
              <w:rPr>
                <w:sz w:val="20"/>
                <w:szCs w:val="20"/>
                <w:color w:val="auto"/>
              </w:rPr>
            </w:pPr>
            <w:r>
              <w:rPr>
                <w:rFonts w:ascii="Arial" w:cs="Arial" w:eastAsia="Arial" w:hAnsi="Arial"/>
                <w:sz w:val="11"/>
                <w:szCs w:val="11"/>
                <w:b w:val="1"/>
                <w:bCs w:val="1"/>
                <w:color w:val="auto"/>
                <w:w w:val="92"/>
              </w:rPr>
              <w:t>Six Months Ended June 30,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Six Months Ended June 30, 2014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Automotive</w:t>
            </w:r>
          </w:p>
        </w:tc>
        <w:tc>
          <w:tcPr>
            <w:tcW w:w="20" w:type="dxa"/>
            <w:vAlign w:val="bottom"/>
          </w:tcPr>
          <w:p>
            <w:pPr>
              <w:spacing w:after="0"/>
              <w:rPr>
                <w:sz w:val="21"/>
                <w:szCs w:val="21"/>
                <w:color w:val="auto"/>
              </w:rPr>
            </w:pP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GM Financial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97"/>
              </w:rPr>
              <w:t>Eliminations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91"/>
              </w:rPr>
              <w:t>Consolidated</w:t>
            </w:r>
          </w:p>
        </w:tc>
        <w:tc>
          <w:tcPr>
            <w:tcW w:w="10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Automotive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71,034</w:t>
            </w:r>
          </w:p>
        </w:tc>
        <w:tc>
          <w:tcPr>
            <w:tcW w:w="10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71,034</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6"/>
                <w:szCs w:val="16"/>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color w:val="auto"/>
              </w:rPr>
              <w:t>74,777</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74,777</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2,869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2,858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2,288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180"/>
              <w:spacing w:after="0"/>
              <w:rPr>
                <w:sz w:val="20"/>
                <w:szCs w:val="20"/>
                <w:color w:val="auto"/>
              </w:rPr>
            </w:pPr>
            <w:r>
              <w:rPr>
                <w:rFonts w:ascii="Arial" w:cs="Arial" w:eastAsia="Arial" w:hAnsi="Arial"/>
                <w:sz w:val="14"/>
                <w:szCs w:val="14"/>
                <w:color w:val="auto"/>
              </w:rPr>
              <w:t>Total net sales and revenue</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color w:val="auto"/>
              </w:rPr>
              <w:t>71,034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color w:val="auto"/>
              </w:rPr>
              <w:t>73,892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74,777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2,288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77,057</w:t>
            </w:r>
          </w:p>
        </w:tc>
        <w:tc>
          <w:tcPr>
            <w:tcW w:w="0" w:type="dxa"/>
            <w:vAlign w:val="bottom"/>
          </w:tcPr>
          <w:p>
            <w:pPr>
              <w:spacing w:after="0"/>
              <w:rPr>
                <w:sz w:val="1"/>
                <w:szCs w:val="1"/>
                <w:color w:val="auto"/>
              </w:rPr>
            </w:pPr>
          </w:p>
        </w:tc>
      </w:tr>
      <w:tr>
        <w:trPr>
          <w:trHeight w:val="75"/>
        </w:trPr>
        <w:tc>
          <w:tcPr>
            <w:tcW w:w="34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180"/>
              <w:spacing w:after="0"/>
              <w:rPr>
                <w:sz w:val="20"/>
                <w:szCs w:val="20"/>
                <w:color w:val="auto"/>
              </w:rPr>
            </w:pPr>
            <w:r>
              <w:rPr>
                <w:rFonts w:ascii="Arial" w:cs="Arial" w:eastAsia="Arial" w:hAnsi="Arial"/>
                <w:sz w:val="14"/>
                <w:szCs w:val="14"/>
                <w:color w:val="auto"/>
              </w:rPr>
              <w:t>Automotive cost of sales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63,277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63,271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color w:val="auto"/>
              </w:rPr>
              <w:t>69,984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69,978</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GM Financial interest, operating and other expenses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w w:val="94"/>
              </w:rPr>
              <w:t>Automotive selling, general and administrative expense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6,094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6,094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6,284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6,284</w:t>
            </w:r>
          </w:p>
        </w:tc>
        <w:tc>
          <w:tcPr>
            <w:tcW w:w="0" w:type="dxa"/>
            <w:vAlign w:val="bottom"/>
          </w:tcPr>
          <w:p>
            <w:pPr>
              <w:spacing w:after="0"/>
              <w:rPr>
                <w:sz w:val="1"/>
                <w:szCs w:val="1"/>
                <w:color w:val="auto"/>
              </w:rPr>
            </w:pPr>
          </w:p>
        </w:tc>
      </w:tr>
      <w:tr>
        <w:trPr>
          <w:trHeight w:val="175"/>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69,371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2,486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71,851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76,268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1,801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78,063</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380"/>
              <w:spacing w:after="0"/>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2,041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40"/>
              <w:spacing w:after="0"/>
              <w:rPr>
                <w:sz w:val="20"/>
                <w:szCs w:val="20"/>
                <w:color w:val="auto"/>
              </w:rPr>
            </w:pPr>
            <w:r>
              <w:rPr>
                <w:rFonts w:ascii="Arial" w:cs="Arial" w:eastAsia="Arial" w:hAnsi="Arial"/>
                <w:sz w:val="14"/>
                <w:szCs w:val="14"/>
                <w:color w:val="auto"/>
              </w:rPr>
              <w:t>Interest income and other non-operating income, 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1,077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3,154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1,106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82"/>
        </w:trPr>
        <w:tc>
          <w:tcPr>
            <w:tcW w:w="344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1,723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2,048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Net (income) loss attributable to noncontrolling interests</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9"/>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stockholders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color w:val="auto"/>
              </w:rPr>
              <w:t>2,062</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4"/>
                <w:szCs w:val="14"/>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62"/>
        </w:trPr>
        <w:tc>
          <w:tcPr>
            <w:tcW w:w="3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June 30, 2014</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cumulative dividends on Series A preferred stock(a)</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301</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Dilutive effect of warrants and restricted stock units</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1,689</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0.18</w:t>
            </w:r>
          </w:p>
        </w:tc>
      </w:tr>
      <w:tr>
        <w:trPr>
          <w:trHeight w:val="220"/>
        </w:trPr>
        <w:tc>
          <w:tcPr>
            <w:tcW w:w="6520" w:type="dxa"/>
            <w:vAlign w:val="bottom"/>
          </w:tcPr>
          <w:p>
            <w:pPr>
              <w:spacing w:after="0"/>
              <w:rPr>
                <w:sz w:val="20"/>
                <w:szCs w:val="20"/>
                <w:color w:val="auto"/>
              </w:rPr>
            </w:pPr>
            <w:r>
              <w:rPr>
                <w:rFonts w:ascii="Arial" w:cs="Arial" w:eastAsia="Arial" w:hAnsi="Arial"/>
                <w:sz w:val="16"/>
                <w:szCs w:val="16"/>
                <w:color w:val="auto"/>
              </w:rPr>
              <w:t>________</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earned but undeclared dividends of $15 million on GM's Series A preferred stock in the three and six months ended June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77" w:lineRule="exact"/>
        <w:rPr>
          <w:sz w:val="20"/>
          <w:szCs w:val="20"/>
          <w:color w:val="auto"/>
        </w:rPr>
      </w:pPr>
    </w:p>
    <w:p>
      <w:pPr>
        <w:ind w:left="140" w:right="1020"/>
        <w:spacing w:after="0" w:line="411" w:lineRule="auto"/>
        <w:rPr>
          <w:sz w:val="20"/>
          <w:szCs w:val="20"/>
          <w:color w:val="auto"/>
        </w:rPr>
      </w:pPr>
      <w:r>
        <w:rPr>
          <w:rFonts w:ascii="Arial" w:cs="Arial" w:eastAsia="Arial" w:hAnsi="Arial"/>
          <w:sz w:val="12"/>
          <w:szCs w:val="12"/>
          <w:color w:val="auto"/>
        </w:rPr>
        <w:t>Accounts and notes receivable, net GM Financial receivables, net</w:t>
      </w:r>
    </w:p>
    <w:p>
      <w:pPr>
        <w:ind w:left="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Equipment on operating leases,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receivables,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Property,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Goodwill and intangible assets,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(principally trade)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Short-term debt and current portion of long-term debt</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Postretirement benefits other than pensions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Pensions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Common stock</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Additional paid-in capital</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stockholders’ equity</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Noncontrolling interests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ind w:left="580"/>
              <w:spacing w:after="0"/>
              <w:rPr>
                <w:sz w:val="20"/>
                <w:szCs w:val="20"/>
                <w:color w:val="auto"/>
              </w:rPr>
            </w:pPr>
            <w:r>
              <w:rPr>
                <w:rFonts w:ascii="Arial" w:cs="Arial" w:eastAsia="Arial" w:hAnsi="Arial"/>
                <w:sz w:val="11"/>
                <w:szCs w:val="11"/>
                <w:b w:val="1"/>
                <w:bCs w:val="1"/>
                <w:color w:val="auto"/>
              </w:rPr>
              <w:t>June 30, 2015</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ind w:left="420"/>
              <w:spacing w:after="0"/>
              <w:rPr>
                <w:sz w:val="20"/>
                <w:szCs w:val="20"/>
                <w:color w:val="auto"/>
              </w:rPr>
            </w:pPr>
            <w:r>
              <w:rPr>
                <w:rFonts w:ascii="Arial" w:cs="Arial" w:eastAsia="Arial" w:hAnsi="Arial"/>
                <w:sz w:val="11"/>
                <w:szCs w:val="11"/>
                <w:b w:val="1"/>
                <w:bCs w:val="1"/>
                <w:color w:val="auto"/>
              </w:rPr>
              <w:t>December 31,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9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15,557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2,070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17,627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15,980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18,954</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7,200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7,200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9,222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9,222</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1,338</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11,086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10,604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9,396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9,078</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17,108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16,932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16,705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16,528</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14,218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14,218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13,642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13,642</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5,722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5,722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3,564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3,564</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8,997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9,289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9,440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9,760</w:t>
            </w:r>
          </w:p>
        </w:tc>
      </w:tr>
      <w:tr>
        <w:trPr>
          <w:trHeight w:val="278"/>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1,584</w:t>
            </w:r>
          </w:p>
        </w:tc>
      </w:tr>
      <w:tr>
        <w:trPr>
          <w:trHeight w:val="243"/>
        </w:trPr>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64,156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21,720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84,554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62,790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22,163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83,670</w:t>
            </w:r>
          </w:p>
        </w:tc>
      </w:tr>
      <w:tr>
        <w:trPr>
          <w:trHeight w:val="54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935</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17,277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17,277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16,006</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7,425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8,403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8,350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8,350</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28,229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28,431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27,570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27,743</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4,727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4,945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6,410</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12,904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12,904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7,060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7,060</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25,078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24,998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25,439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25,414</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2,525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2,441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2,089</w:t>
            </w:r>
          </w:p>
        </w:tc>
      </w:tr>
      <w:tr>
        <w:trPr>
          <w:trHeight w:val="250"/>
        </w:trPr>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68,042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33,722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101,258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68,944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25,698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94,007</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132,198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55,442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185,812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131,734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177,677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3"/>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24,276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(979)</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24,247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22,463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22,529</w:t>
            </w:r>
          </w:p>
        </w:tc>
      </w:tr>
      <w:tr>
        <w:trPr>
          <w:trHeight w:val="54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500</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13,941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13,941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14,488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14,488</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29,926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30,878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27,444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28,184</w:t>
            </w:r>
          </w:p>
        </w:tc>
      </w:tr>
      <w:tr>
        <w:trPr>
          <w:trHeight w:val="243"/>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55,006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15,844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69,528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51,038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65,701</w:t>
            </w:r>
          </w:p>
        </w:tc>
      </w:tr>
      <w:tr>
        <w:trPr>
          <w:trHeight w:val="81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8,725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8,725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8,910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8,910</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30,389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30,389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22,943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22,943</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6,075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6,075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6,229</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22,074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22,177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23,676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23,788</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12,288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13,248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13,396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14,082</w:t>
            </w:r>
          </w:p>
        </w:tc>
      </w:tr>
      <w:tr>
        <w:trPr>
          <w:trHeight w:val="250"/>
        </w:trPr>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49,162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31,958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80,614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52,211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24,377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75,952</w:t>
            </w:r>
          </w:p>
        </w:tc>
      </w:tr>
      <w:tr>
        <w:trPr>
          <w:trHeight w:val="243"/>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104,168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47,802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150,142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103,249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40,322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141,653</w:t>
            </w:r>
          </w:p>
        </w:tc>
      </w:tr>
      <w:tr>
        <w:trPr>
          <w:trHeight w:val="54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28,161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28,161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28,937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28,937</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6,198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8,314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14,512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6,604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14,577</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(6,869)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(7,543)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(8,073)</w:t>
            </w:r>
          </w:p>
        </w:tc>
      </w:tr>
      <w:tr>
        <w:trPr>
          <w:trHeight w:val="243"/>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27,506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7,640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35,146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27,918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35,457</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r>
      <w:tr>
        <w:trPr>
          <w:trHeight w:val="250"/>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28,030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7,640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35,670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28,485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36,024</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132,198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55,442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185,812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131,734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177,677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-8446770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-8094980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-7752080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-7409180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-7065645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-6722745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-6379845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-6036945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-5693410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-5350510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-5007610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-4664710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-4304665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-3961130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-3618230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-3275330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-2932430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-2589530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-2245995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-1903095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-1560195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-1217295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-874395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-530860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-187960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280"/>
            <w:col w:w="8080"/>
          </w:cols>
          <w:pgMar w:left="280" w:top="580" w:right="239" w:bottom="395"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80" w:top="580" w:right="239" w:bottom="395"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Six Months Ended June 30, 2015</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6"/>
              </w:rPr>
              <w:t>Six Months Ended June 30, 2014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1040" w:type="dxa"/>
            <w:vAlign w:val="bottom"/>
            <w:gridSpan w:val="3"/>
          </w:tcPr>
          <w:p>
            <w:pPr>
              <w:ind w:left="80"/>
              <w:spacing w:after="0"/>
              <w:rPr>
                <w:sz w:val="20"/>
                <w:szCs w:val="20"/>
                <w:color w:val="auto"/>
              </w:rPr>
            </w:pPr>
            <w:r>
              <w:rPr>
                <w:rFonts w:ascii="Arial" w:cs="Arial" w:eastAsia="Arial" w:hAnsi="Arial"/>
                <w:sz w:val="13"/>
                <w:szCs w:val="13"/>
                <w:b w:val="1"/>
                <w:bCs w:val="1"/>
                <w:color w:val="auto"/>
              </w:rPr>
              <w:t>GM Financial</w:t>
            </w:r>
          </w:p>
        </w:tc>
        <w:tc>
          <w:tcPr>
            <w:tcW w:w="1300" w:type="dxa"/>
            <w:vAlign w:val="bottom"/>
            <w:gridSpan w:val="3"/>
          </w:tcPr>
          <w:p>
            <w:pPr>
              <w:ind w:left="100"/>
              <w:spacing w:after="0"/>
              <w:rPr>
                <w:sz w:val="20"/>
                <w:szCs w:val="20"/>
                <w:color w:val="auto"/>
              </w:rPr>
            </w:pPr>
            <w:r>
              <w:rPr>
                <w:rFonts w:ascii="Arial" w:cs="Arial" w:eastAsia="Arial" w:hAnsi="Arial"/>
                <w:sz w:val="13"/>
                <w:szCs w:val="13"/>
                <w:b w:val="1"/>
                <w:bCs w:val="1"/>
                <w:color w:val="auto"/>
              </w:rPr>
              <w:t>Reclassification(a)</w:t>
            </w:r>
          </w:p>
        </w:tc>
        <w:tc>
          <w:tcPr>
            <w:tcW w:w="12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9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w w:val="98"/>
              </w:rPr>
              <w:t>GM Financial</w:t>
            </w:r>
          </w:p>
        </w:tc>
        <w:tc>
          <w:tcPr>
            <w:tcW w:w="1300" w:type="dxa"/>
            <w:vAlign w:val="bottom"/>
            <w:gridSpan w:val="3"/>
          </w:tcPr>
          <w:p>
            <w:pPr>
              <w:ind w:left="140"/>
              <w:spacing w:after="0"/>
              <w:rPr>
                <w:sz w:val="20"/>
                <w:szCs w:val="20"/>
                <w:color w:val="auto"/>
              </w:rPr>
            </w:pPr>
            <w:r>
              <w:rPr>
                <w:rFonts w:ascii="Arial" w:cs="Arial" w:eastAsia="Arial" w:hAnsi="Arial"/>
                <w:sz w:val="13"/>
                <w:szCs w:val="13"/>
                <w:b w:val="1"/>
                <w:bCs w:val="1"/>
                <w:color w:val="auto"/>
                <w:w w:val="99"/>
              </w:rPr>
              <w:t>Reclassification(a)</w:t>
            </w:r>
          </w:p>
        </w:tc>
        <w:tc>
          <w:tcPr>
            <w:tcW w:w="140" w:type="dxa"/>
            <w:vAlign w:val="bottom"/>
          </w:tcPr>
          <w:p>
            <w:pPr>
              <w:spacing w:after="0"/>
              <w:rPr>
                <w:sz w:val="22"/>
                <w:szCs w:val="22"/>
                <w:color w:val="auto"/>
              </w:rPr>
            </w:pPr>
          </w:p>
        </w:tc>
        <w:tc>
          <w:tcPr>
            <w:tcW w:w="880" w:type="dxa"/>
            <w:vAlign w:val="bottom"/>
          </w:tcPr>
          <w:p>
            <w:pPr>
              <w:jc w:val="right"/>
              <w:ind w:right="88"/>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4"/>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5,117</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1,269</w:t>
            </w: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6,161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5,602</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842</w:t>
            </w:r>
          </w:p>
        </w:tc>
        <w:tc>
          <w:tcPr>
            <w:tcW w:w="50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5,806</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w w:val="98"/>
              </w:rPr>
              <w:t>Available-for-sale marketable securities,</w:t>
            </w:r>
          </w:p>
        </w:tc>
        <w:tc>
          <w:tcPr>
            <w:tcW w:w="12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(4,836)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(4,836)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(3,714)</w:t>
            </w:r>
          </w:p>
        </w:tc>
        <w:tc>
          <w:tcPr>
            <w:tcW w:w="0" w:type="dxa"/>
            <w:vAlign w:val="bottom"/>
          </w:tcPr>
          <w:p>
            <w:pPr>
              <w:spacing w:after="0"/>
              <w:rPr>
                <w:sz w:val="1"/>
                <w:szCs w:val="1"/>
                <w:color w:val="auto"/>
              </w:rPr>
            </w:pPr>
          </w:p>
        </w:tc>
      </w:tr>
      <w:tr>
        <w:trPr>
          <w:trHeight w:val="180"/>
        </w:trPr>
        <w:tc>
          <w:tcPr>
            <w:tcW w:w="264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Trading marketable securities, acquisitions</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w w:val="98"/>
              </w:rPr>
              <w:t>Available-for-sale marketable securities,</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6,689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6,689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2,723</w:t>
            </w:r>
          </w:p>
        </w:tc>
        <w:tc>
          <w:tcPr>
            <w:tcW w:w="0" w:type="dxa"/>
            <w:vAlign w:val="bottom"/>
          </w:tcPr>
          <w:p>
            <w:pPr>
              <w:spacing w:after="0"/>
              <w:rPr>
                <w:sz w:val="1"/>
                <w:szCs w:val="1"/>
                <w:color w:val="auto"/>
              </w:rPr>
            </w:pPr>
          </w:p>
        </w:tc>
      </w:tr>
      <w:tr>
        <w:trPr>
          <w:trHeight w:val="180"/>
        </w:trPr>
        <w:tc>
          <w:tcPr>
            <w:tcW w:w="2640" w:type="dxa"/>
            <w:vAlign w:val="bottom"/>
          </w:tcPr>
          <w:p>
            <w:pPr>
              <w:ind w:left="340"/>
              <w:spacing w:after="0"/>
              <w:rPr>
                <w:sz w:val="20"/>
                <w:szCs w:val="20"/>
                <w:color w:val="auto"/>
              </w:rPr>
            </w:pPr>
            <w:r>
              <w:rPr>
                <w:rFonts w:ascii="Arial" w:cs="Arial" w:eastAsia="Arial" w:hAnsi="Arial"/>
                <w:sz w:val="14"/>
                <w:szCs w:val="14"/>
                <w:color w:val="auto"/>
              </w:rPr>
              <w:t>liquidations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Trading marketable securities, liquidations</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w w:val="93"/>
              </w:rPr>
              <w:t>Acquisition of companies/investments, net</w:t>
            </w:r>
          </w:p>
        </w:tc>
        <w:tc>
          <w:tcPr>
            <w:tcW w:w="12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(46)</w:t>
            </w:r>
          </w:p>
        </w:tc>
        <w:tc>
          <w:tcPr>
            <w:tcW w:w="5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2640" w:type="dxa"/>
            <w:vAlign w:val="bottom"/>
          </w:tcPr>
          <w:p>
            <w:pPr>
              <w:ind w:left="340"/>
              <w:spacing w:after="0"/>
              <w:rPr>
                <w:sz w:val="20"/>
                <w:szCs w:val="20"/>
                <w:color w:val="auto"/>
              </w:rPr>
            </w:pPr>
            <w:r>
              <w:rPr>
                <w:rFonts w:ascii="Arial" w:cs="Arial" w:eastAsia="Arial" w:hAnsi="Arial"/>
                <w:sz w:val="14"/>
                <w:szCs w:val="14"/>
                <w:color w:val="auto"/>
              </w:rPr>
              <w:t>of cash acquired</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Increase in restricted cash and marketable</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5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w w:val="90"/>
              </w:rPr>
              <w:t>Decrease in restricted cash and marketable</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146</w:t>
            </w:r>
          </w:p>
        </w:tc>
        <w:tc>
          <w:tcPr>
            <w:tcW w:w="5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0"/>
        </w:trPr>
        <w:tc>
          <w:tcPr>
            <w:tcW w:w="2640" w:type="dxa"/>
            <w:vAlign w:val="bottom"/>
          </w:tcPr>
          <w:p>
            <w:pPr>
              <w:ind w:left="34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finance receivables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(7,456)</w:t>
            </w: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(6,818)</w:t>
            </w: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w:t>
            </w:r>
          </w:p>
        </w:tc>
        <w:tc>
          <w:tcPr>
            <w:tcW w:w="12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5,716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5,299</w:t>
            </w:r>
          </w:p>
        </w:tc>
        <w:tc>
          <w:tcPr>
            <w:tcW w:w="5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5,299</w:t>
            </w:r>
          </w:p>
        </w:tc>
        <w:tc>
          <w:tcPr>
            <w:tcW w:w="0" w:type="dxa"/>
            <w:vAlign w:val="bottom"/>
          </w:tcPr>
          <w:p>
            <w:pPr>
              <w:spacing w:after="0"/>
              <w:rPr>
                <w:sz w:val="1"/>
                <w:szCs w:val="1"/>
                <w:color w:val="auto"/>
              </w:rPr>
            </w:pPr>
          </w:p>
        </w:tc>
      </w:tr>
      <w:tr>
        <w:trPr>
          <w:trHeight w:val="180"/>
        </w:trPr>
        <w:tc>
          <w:tcPr>
            <w:tcW w:w="2640" w:type="dxa"/>
            <w:vAlign w:val="bottom"/>
          </w:tcPr>
          <w:p>
            <w:pPr>
              <w:ind w:left="340"/>
              <w:spacing w:after="0"/>
              <w:rPr>
                <w:sz w:val="20"/>
                <w:szCs w:val="20"/>
                <w:color w:val="auto"/>
              </w:rPr>
            </w:pPr>
            <w:r>
              <w:rPr>
                <w:rFonts w:ascii="Arial" w:cs="Arial" w:eastAsia="Arial" w:hAnsi="Arial"/>
                <w:sz w:val="14"/>
                <w:szCs w:val="14"/>
                <w:color w:val="auto"/>
              </w:rPr>
              <w:t>finance receivables</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(1,802)</w:t>
            </w:r>
          </w:p>
        </w:tc>
        <w:tc>
          <w:tcPr>
            <w:tcW w:w="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w w:val="87"/>
              </w:rPr>
              <w:t>Proceeds from termination of leased vehicles</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5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(10,012)</w:t>
            </w: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(11,323)</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(4,245)</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(3,993)</w:t>
            </w:r>
          </w:p>
        </w:tc>
        <w:tc>
          <w:tcPr>
            <w:tcW w:w="5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w w:val="92"/>
              </w:rPr>
              <w:t>Net increase (decrease) in short-term debt</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5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Proceeds from issuance of debt (original</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12,194</w:t>
            </w:r>
          </w:p>
        </w:tc>
        <w:tc>
          <w:tcPr>
            <w:tcW w:w="5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12,697</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8"/>
              </w:rPr>
              <w:t>maturities greater than three months)</w:t>
            </w: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w w:val="87"/>
              </w:rPr>
              <w:t>Payments on debt (original maturities greater</w:t>
            </w:r>
          </w:p>
        </w:tc>
        <w:tc>
          <w:tcPr>
            <w:tcW w:w="12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(8,277)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(8,417)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(9,282)</w:t>
            </w:r>
          </w:p>
        </w:tc>
        <w:tc>
          <w:tcPr>
            <w:tcW w:w="50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(9,724)</w:t>
            </w:r>
          </w:p>
        </w:tc>
        <w:tc>
          <w:tcPr>
            <w:tcW w:w="0" w:type="dxa"/>
            <w:vAlign w:val="bottom"/>
          </w:tcPr>
          <w:p>
            <w:pPr>
              <w:spacing w:after="0"/>
              <w:rPr>
                <w:sz w:val="1"/>
                <w:szCs w:val="1"/>
                <w:color w:val="auto"/>
              </w:rPr>
            </w:pPr>
          </w:p>
        </w:tc>
      </w:tr>
      <w:tr>
        <w:trPr>
          <w:trHeight w:val="180"/>
        </w:trPr>
        <w:tc>
          <w:tcPr>
            <w:tcW w:w="2640" w:type="dxa"/>
            <w:vAlign w:val="bottom"/>
          </w:tcPr>
          <w:p>
            <w:pPr>
              <w:ind w:left="340"/>
              <w:spacing w:after="0"/>
              <w:rPr>
                <w:sz w:val="20"/>
                <w:szCs w:val="20"/>
                <w:color w:val="auto"/>
              </w:rPr>
            </w:pPr>
            <w:r>
              <w:rPr>
                <w:rFonts w:ascii="Arial" w:cs="Arial" w:eastAsia="Arial" w:hAnsi="Arial"/>
                <w:sz w:val="14"/>
                <w:szCs w:val="14"/>
                <w:color w:val="auto"/>
              </w:rPr>
              <w:t>than three months)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purchase stock</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5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3"/>
        </w:trPr>
        <w:tc>
          <w:tcPr>
            <w:tcW w:w="2640" w:type="dxa"/>
            <w:vAlign w:val="bottom"/>
          </w:tcPr>
          <w:p>
            <w:pPr>
              <w:ind w:left="40"/>
              <w:spacing w:after="0" w:line="143" w:lineRule="exact"/>
              <w:rPr>
                <w:sz w:val="20"/>
                <w:szCs w:val="20"/>
                <w:color w:val="auto"/>
              </w:rPr>
            </w:pPr>
            <w:r>
              <w:rPr>
                <w:rFonts w:ascii="Arial" w:cs="Arial" w:eastAsia="Arial" w:hAnsi="Arial"/>
                <w:sz w:val="14"/>
                <w:szCs w:val="14"/>
                <w:b w:val="1"/>
                <w:bCs w:val="1"/>
                <w:color w:val="auto"/>
                <w:w w:val="95"/>
              </w:rPr>
              <w:t>Net cash provided by (used in) financing</w:t>
            </w: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(3,206)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7,960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4,754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3,140</w:t>
            </w:r>
          </w:p>
        </w:tc>
        <w:tc>
          <w:tcPr>
            <w:tcW w:w="5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2"/>
        </w:trPr>
        <w:tc>
          <w:tcPr>
            <w:tcW w:w="2640" w:type="dxa"/>
            <w:vAlign w:val="bottom"/>
          </w:tcPr>
          <w:p>
            <w:pPr>
              <w:ind w:left="20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86"/>
              </w:rPr>
              <w:t>Effect of exchange rate changes on cash and</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5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180"/>
              <w:spacing w:after="0"/>
              <w:rPr>
                <w:sz w:val="20"/>
                <w:szCs w:val="20"/>
                <w:color w:val="auto"/>
              </w:rPr>
            </w:pPr>
            <w:r>
              <w:rPr>
                <w:rFonts w:ascii="Arial" w:cs="Arial" w:eastAsia="Arial" w:hAnsi="Arial"/>
                <w:sz w:val="14"/>
                <w:szCs w:val="14"/>
                <w:color w:val="auto"/>
              </w:rPr>
              <w:t>Net transactions with Automotive/GM</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339</w:t>
            </w:r>
          </w:p>
        </w:tc>
        <w:tc>
          <w:tcPr>
            <w:tcW w:w="5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Financial</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64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w w:val="94"/>
              </w:rPr>
              <w:t>Net increase (decrease) in cash and cash</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338</w:t>
            </w:r>
          </w:p>
        </w:tc>
        <w:tc>
          <w:tcPr>
            <w:tcW w:w="5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equivalents</w:t>
            </w: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40"/>
              <w:spacing w:after="0"/>
              <w:rPr>
                <w:sz w:val="20"/>
                <w:szCs w:val="20"/>
                <w:color w:val="auto"/>
              </w:rPr>
            </w:pPr>
            <w:r>
              <w:rPr>
                <w:rFonts w:ascii="Arial" w:cs="Arial" w:eastAsia="Arial" w:hAnsi="Arial"/>
                <w:sz w:val="14"/>
                <w:szCs w:val="14"/>
                <w:color w:val="auto"/>
                <w:w w:val="97"/>
              </w:rPr>
              <w:t>Cash and cash equivalents at beginning of</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15,980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18,954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18,947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1,074</w:t>
            </w:r>
          </w:p>
        </w:tc>
        <w:tc>
          <w:tcPr>
            <w:tcW w:w="5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89"/>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1,412</w:t>
            </w:r>
          </w:p>
        </w:tc>
        <w:tc>
          <w:tcPr>
            <w:tcW w:w="5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19,864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Reclassification of purchases/collections of wholesale finance receivables resulting from vehicles sold by GM to dealers that have arranged their inventory floor plan financing through GM Financial.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2019-12-08T22:28:00Z</dcterms:created>
  <dcterms:modified xsi:type="dcterms:W3CDTF">2019-12-08T22:28:00Z</dcterms:modified>
</cp:coreProperties>
</file>