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November 1, 2012</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November 1, 2012, General Motors Company issued a news release announcing October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November 1,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840"/>
          </w:cols>
          <w:pgMar w:left="240" w:top="1013" w:right="8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Date: November 2, 2012</w:t>
            </w:r>
          </w:p>
        </w:tc>
        <w:tc>
          <w:tcPr>
            <w:tcW w:w="2100" w:type="dxa"/>
            <w:vAlign w:val="bottom"/>
            <w:vMerge w:val="restart"/>
          </w:tcPr>
          <w:p>
            <w:pPr>
              <w:ind w:left="15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0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58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17145</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Nov. 1,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U.S. Sales Increase 5 percent in October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Retail sales up 7 percent, fleet down 2 percent</w:t>
      </w:r>
    </w:p>
    <w:p>
      <w:pPr>
        <w:spacing w:after="0" w:line="192"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its highest October sales in the United States since 2007, with</w:t>
      </w:r>
      <w:r>
        <w:rPr>
          <w:rFonts w:ascii="Arial" w:cs="Arial" w:eastAsia="Arial" w:hAnsi="Arial"/>
          <w:sz w:val="20"/>
          <w:szCs w:val="20"/>
          <w:b w:val="1"/>
          <w:bCs w:val="1"/>
          <w:color w:val="auto"/>
        </w:rPr>
        <w:t xml:space="preserve"> </w:t>
      </w:r>
      <w:r>
        <w:rPr>
          <w:rFonts w:ascii="Arial" w:cs="Arial" w:eastAsia="Arial" w:hAnsi="Arial"/>
          <w:sz w:val="20"/>
          <w:szCs w:val="20"/>
          <w:color w:val="auto"/>
        </w:rPr>
        <w:t>deliveries up 5 percent versus a year ago to 195,764 vehicles. Year-over-year sales to retail customers were up 7 percent and sales to fleet customers were down 2 percent.</w:t>
      </w:r>
    </w:p>
    <w:p>
      <w:pPr>
        <w:spacing w:after="0" w:line="196" w:lineRule="exact"/>
        <w:rPr>
          <w:sz w:val="20"/>
          <w:szCs w:val="20"/>
          <w:color w:val="auto"/>
        </w:rPr>
      </w:pPr>
    </w:p>
    <w:p>
      <w:pPr>
        <w:jc w:val="both"/>
        <w:ind w:right="360"/>
        <w:spacing w:after="0" w:line="243" w:lineRule="auto"/>
        <w:rPr>
          <w:sz w:val="20"/>
          <w:szCs w:val="20"/>
          <w:color w:val="auto"/>
        </w:rPr>
      </w:pPr>
      <w:r>
        <w:rPr>
          <w:rFonts w:ascii="Arial" w:cs="Arial" w:eastAsia="Arial" w:hAnsi="Arial"/>
          <w:sz w:val="20"/>
          <w:szCs w:val="20"/>
          <w:color w:val="auto"/>
        </w:rPr>
        <w:t>“GM had a solid October in a month that was marked by a devastating national tragedy,” said Kurt McNeil, vice president, U.S. sales operations. “All of us at GM are deeply saddened by the loss of life and the extensive damage caused by the storms, but we're really encouraged by the national and local response, which will speed the recovery.”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GM's new cars had a standout performance in October.</w:t>
      </w:r>
    </w:p>
    <w:p>
      <w:pPr>
        <w:spacing w:after="0" w:line="216"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“With new designs like the Chevrolet Spark, Buick Verano and Cadillac ATS, and a growing reputation for quality and good resale value, we are becoming an even more formidable competitor in every segment - not just traditional GM strongholds like trucks,” McNeil said.</w:t>
      </w:r>
    </w:p>
    <w:p>
      <w:pPr>
        <w:spacing w:after="0" w:line="20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Sales of GM passenger cars increased 15 percent in October compared with a year ago. Crossovers were up 3 percent and sales of full-size pickup trucks were up 8 percent.</w:t>
      </w:r>
    </w:p>
    <w:p>
      <w:pPr>
        <w:spacing w:after="0" w:line="202" w:lineRule="exact"/>
        <w:rPr>
          <w:sz w:val="20"/>
          <w:szCs w:val="20"/>
          <w:color w:val="auto"/>
        </w:rPr>
      </w:pPr>
    </w:p>
    <w:p>
      <w:pPr>
        <w:ind w:left="500" w:right="20" w:hanging="330"/>
        <w:spacing w:after="0" w:line="23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color w:val="auto"/>
        </w:rPr>
        <w:t>Passenger car sales were driven by a 37 percent increase in Cadillac car sales, a 27 percent increase in Buick car sales and a 12 percent increase in Chevrolet car sales.</w:t>
      </w:r>
    </w:p>
    <w:p>
      <w:pPr>
        <w:spacing w:after="0" w:line="1" w:lineRule="exact"/>
        <w:rPr>
          <w:rFonts w:ascii="Arial" w:cs="Arial" w:eastAsia="Arial" w:hAnsi="Arial"/>
          <w:sz w:val="18"/>
          <w:szCs w:val="18"/>
          <w:color w:val="auto"/>
        </w:rPr>
      </w:pPr>
    </w:p>
    <w:p>
      <w:pPr>
        <w:ind w:left="500" w:right="120" w:hanging="330"/>
        <w:spacing w:after="0" w:line="23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Combined sales of mini, small and compact cars were up 72 percent compared with a year ago, driven by strong Spark and Sonic sales and a 34 percent increase in Cruze sales. Chevrolet dealers also delivered a record 2,961 Volts.</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color w:val="auto"/>
        </w:rPr>
        <w:t>Crossover sales were driven by double-digit increases for the Cadillac SRX, GMC Acadia and GMC Terrain.</w:t>
      </w:r>
    </w:p>
    <w:p>
      <w:pPr>
        <w:ind w:left="500" w:right="480" w:hanging="330"/>
        <w:spacing w:after="0" w:line="24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color w:val="auto"/>
        </w:rPr>
        <w:t>Overall truck sales were down 2 percent, reflecting lower sales of the GMC and Chevrolet mid-size pickups, which have been discontinued, and large SUVs.</w:t>
      </w:r>
    </w:p>
    <w:p>
      <w:pPr>
        <w:spacing w:after="0" w:line="202"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auto"/>
        </w:rPr>
        <w:t>“Year over year, the light vehicle selling rate has increased for eight consecutive quarters without a tailwind from the residential housing sector but that is starting to change,” said McNeil. “If these trends continue, housing may be the final piece of the puzzle that lifts sales above 15 million units on an annual basis just as GM prepares to launch even more new cars, crossovers and trucks.”</w:t>
      </w:r>
    </w:p>
    <w:p>
      <w:pPr>
        <w:spacing w:after="0" w:line="207"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GM will replace 70 percent of its U.S. nameplates with redesigned or all-new vehicles over the course of 2012 - 2013. In anticipation of robust demand, GM has increased its year-end inventory target from the 650,000-unit range to 660,000 to 670,000 units. This change reflects higher planned stocks of new passenger cars. The truck inventory target is unchanged.</w:t>
      </w:r>
    </w:p>
    <w:p>
      <w:pPr>
        <w:sectPr>
          <w:pgSz w:w="11900" w:h="16838" w:orient="portrait"/>
          <w:cols w:equalWidth="0" w:num="1">
            <w:col w:w="11420"/>
          </w:cols>
          <w:pgMar w:left="240" w:top="814" w:right="239" w:bottom="1440" w:gutter="0" w:footer="0" w:header="0"/>
        </w:sectPr>
      </w:pPr>
    </w:p>
    <w:bookmarkStart w:id="5" w:name="page6"/>
    <w:bookmarkEnd w:id="5"/>
    <w:tbl>
      <w:tblPr>
        <w:tblLayout w:type="fixed"/>
        <w:tblInd w:w="390" w:type="dxa"/>
        <w:tblCellMar>
          <w:top w:w="0" w:type="dxa"/>
          <w:left w:w="0" w:type="dxa"/>
          <w:bottom w:w="0" w:type="dxa"/>
          <w:right w:w="0" w:type="dxa"/>
        </w:tblCellMar>
      </w:tblPr>
      <w:tr>
        <w:trPr>
          <w:trHeight w:val="180"/>
        </w:trPr>
        <w:tc>
          <w:tcPr>
            <w:tcW w:w="1400" w:type="dxa"/>
            <w:vAlign w:val="bottom"/>
            <w:tcBorders>
              <w:top w:val="single" w:sz="8" w:color="auto"/>
              <w:lef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Total Change vs.</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right w:val="single" w:sz="8" w:color="auto"/>
            </w:tcBorders>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Oct. Retail</w:t>
            </w:r>
          </w:p>
        </w:tc>
        <w:tc>
          <w:tcPr>
            <w:tcW w:w="1180" w:type="dxa"/>
            <w:vAlign w:val="bottom"/>
            <w:tcBorders>
              <w:top w:val="single" w:sz="8" w:color="auto"/>
              <w:right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Retail Change vs.</w:t>
            </w: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CYTD</w:t>
            </w:r>
          </w:p>
        </w:tc>
        <w:tc>
          <w:tcPr>
            <w:tcW w:w="30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tcBorders>
            <w:gridSpan w:val="2"/>
            <w:vMerge w:val="restart"/>
          </w:tcPr>
          <w:p>
            <w:pPr>
              <w:jc w:val="center"/>
              <w:ind w:left="28"/>
              <w:spacing w:after="0"/>
              <w:rPr>
                <w:sz w:val="20"/>
                <w:szCs w:val="20"/>
                <w:color w:val="auto"/>
              </w:rPr>
            </w:pPr>
            <w:r>
              <w:rPr>
                <w:rFonts w:ascii="Arial" w:cs="Arial" w:eastAsia="Arial" w:hAnsi="Arial"/>
                <w:sz w:val="14"/>
                <w:szCs w:val="14"/>
                <w:b w:val="1"/>
                <w:bCs w:val="1"/>
                <w:color w:val="auto"/>
              </w:rPr>
              <w:t>CYTD Retail</w:t>
            </w: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CYTD</w:t>
            </w:r>
          </w:p>
        </w:tc>
        <w:tc>
          <w:tcPr>
            <w:tcW w:w="0" w:type="dxa"/>
            <w:vAlign w:val="bottom"/>
          </w:tcPr>
          <w:p>
            <w:pPr>
              <w:spacing w:after="0"/>
              <w:rPr>
                <w:sz w:val="1"/>
                <w:szCs w:val="1"/>
                <w:color w:val="auto"/>
              </w:rPr>
            </w:pPr>
          </w:p>
        </w:tc>
      </w:tr>
      <w:tr>
        <w:trPr>
          <w:trHeight w:val="81"/>
        </w:trPr>
        <w:tc>
          <w:tcPr>
            <w:tcW w:w="1620" w:type="dxa"/>
            <w:vAlign w:val="bottom"/>
            <w:tcBorders>
              <w:left w:val="single" w:sz="8" w:color="auto"/>
              <w:right w:val="single" w:sz="8" w:color="auto"/>
            </w:tcBorders>
            <w:gridSpan w:val="3"/>
            <w:vMerge w:val="restart"/>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2012 Highlights</w:t>
            </w:r>
          </w:p>
        </w:tc>
        <w:tc>
          <w:tcPr>
            <w:tcW w:w="1180" w:type="dxa"/>
            <w:vAlign w:val="bottom"/>
            <w:tcBorders>
              <w:right w:val="single" w:sz="8" w:color="auto"/>
            </w:tcBorders>
            <w:vMerge w:val="restart"/>
          </w:tcPr>
          <w:p>
            <w:pPr>
              <w:ind w:left="100"/>
              <w:spacing w:after="0" w:line="158" w:lineRule="exact"/>
              <w:rPr>
                <w:sz w:val="20"/>
                <w:szCs w:val="20"/>
                <w:color w:val="auto"/>
              </w:rPr>
            </w:pPr>
            <w:r>
              <w:rPr>
                <w:rFonts w:ascii="Arial" w:cs="Arial" w:eastAsia="Arial" w:hAnsi="Arial"/>
                <w:sz w:val="14"/>
                <w:szCs w:val="14"/>
                <w:b w:val="1"/>
                <w:bCs w:val="1"/>
                <w:color w:val="auto"/>
                <w:w w:val="98"/>
              </w:rPr>
              <w:t>Oct. Total Sales</w:t>
            </w:r>
          </w:p>
        </w:tc>
        <w:tc>
          <w:tcPr>
            <w:tcW w:w="120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right w:val="single" w:sz="8" w:color="auto"/>
            </w:tcBorders>
            <w:gridSpan w:val="4"/>
            <w:vMerge w:val="continue"/>
          </w:tcPr>
          <w:p>
            <w:pPr>
              <w:spacing w:after="0"/>
              <w:rPr>
                <w:sz w:val="7"/>
                <w:szCs w:val="7"/>
                <w:color w:val="auto"/>
              </w:rPr>
            </w:pPr>
          </w:p>
        </w:tc>
        <w:tc>
          <w:tcPr>
            <w:tcW w:w="1180" w:type="dxa"/>
            <w:vAlign w:val="bottom"/>
            <w:tcBorders>
              <w:right w:val="single" w:sz="8" w:color="auto"/>
            </w:tcBorders>
            <w:gridSpan w:val="2"/>
            <w:vMerge w:val="continue"/>
          </w:tcPr>
          <w:p>
            <w:pPr>
              <w:spacing w:after="0"/>
              <w:rPr>
                <w:sz w:val="7"/>
                <w:szCs w:val="7"/>
                <w:color w:val="auto"/>
              </w:rPr>
            </w:pPr>
          </w:p>
        </w:tc>
        <w:tc>
          <w:tcPr>
            <w:tcW w:w="1060" w:type="dxa"/>
            <w:vAlign w:val="bottom"/>
            <w:tcBorders>
              <w:right w:val="single" w:sz="8" w:color="auto"/>
            </w:tcBorders>
            <w:gridSpan w:val="2"/>
            <w:vMerge w:val="restart"/>
          </w:tcPr>
          <w:p>
            <w:pPr>
              <w:ind w:left="300"/>
              <w:spacing w:after="0" w:line="158" w:lineRule="exact"/>
              <w:rPr>
                <w:sz w:val="20"/>
                <w:szCs w:val="20"/>
                <w:color w:val="auto"/>
              </w:rPr>
            </w:pPr>
            <w:r>
              <w:rPr>
                <w:rFonts w:ascii="Arial" w:cs="Arial" w:eastAsia="Arial" w:hAnsi="Arial"/>
                <w:sz w:val="14"/>
                <w:szCs w:val="14"/>
                <w:b w:val="1"/>
                <w:bCs w:val="1"/>
                <w:color w:val="auto"/>
              </w:rPr>
              <w:t>CYTD</w:t>
            </w:r>
          </w:p>
        </w:tc>
        <w:tc>
          <w:tcPr>
            <w:tcW w:w="100" w:type="dxa"/>
            <w:vAlign w:val="bottom"/>
          </w:tcPr>
          <w:p>
            <w:pPr>
              <w:spacing w:after="0"/>
              <w:rPr>
                <w:sz w:val="7"/>
                <w:szCs w:val="7"/>
                <w:color w:val="auto"/>
              </w:rPr>
            </w:pPr>
          </w:p>
        </w:tc>
        <w:tc>
          <w:tcPr>
            <w:tcW w:w="860" w:type="dxa"/>
            <w:vAlign w:val="bottom"/>
            <w:tcBorders>
              <w:right w:val="single" w:sz="8" w:color="auto"/>
            </w:tcBorders>
            <w:gridSpan w:val="2"/>
            <w:vMerge w:val="restart"/>
          </w:tcPr>
          <w:p>
            <w:pPr>
              <w:ind w:left="20"/>
              <w:spacing w:after="0" w:line="158" w:lineRule="exact"/>
              <w:rPr>
                <w:sz w:val="20"/>
                <w:szCs w:val="20"/>
                <w:color w:val="auto"/>
              </w:rPr>
            </w:pPr>
            <w:r>
              <w:rPr>
                <w:rFonts w:ascii="Arial" w:cs="Arial" w:eastAsia="Arial" w:hAnsi="Arial"/>
                <w:sz w:val="14"/>
                <w:szCs w:val="14"/>
                <w:b w:val="1"/>
                <w:bCs w:val="1"/>
                <w:color w:val="auto"/>
              </w:rPr>
              <w:t>Change vs.</w:t>
            </w: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rPr>
              <w:t>Retail Change vs.</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Borders>
              <w:right w:val="single" w:sz="8" w:color="auto"/>
            </w:tcBorders>
            <w:vMerge w:val="restart"/>
          </w:tcPr>
          <w:p>
            <w:pPr>
              <w:jc w:val="center"/>
              <w:ind w:right="228"/>
              <w:spacing w:after="0"/>
              <w:rPr>
                <w:sz w:val="20"/>
                <w:szCs w:val="20"/>
                <w:color w:val="auto"/>
              </w:rPr>
            </w:pPr>
            <w:r>
              <w:rPr>
                <w:rFonts w:ascii="Arial" w:cs="Arial" w:eastAsia="Arial" w:hAnsi="Arial"/>
                <w:sz w:val="14"/>
                <w:szCs w:val="14"/>
                <w:b w:val="1"/>
                <w:bCs w:val="1"/>
                <w:color w:val="auto"/>
                <w:w w:val="93"/>
              </w:rPr>
              <w:t>Oct. 2011</w:t>
            </w:r>
          </w:p>
        </w:tc>
        <w:tc>
          <w:tcPr>
            <w:tcW w:w="80" w:type="dxa"/>
            <w:vAlign w:val="bottom"/>
          </w:tcPr>
          <w:p>
            <w:pPr>
              <w:spacing w:after="0"/>
              <w:rPr>
                <w:sz w:val="6"/>
                <w:szCs w:val="6"/>
                <w:color w:val="auto"/>
              </w:rPr>
            </w:pPr>
          </w:p>
        </w:tc>
        <w:tc>
          <w:tcPr>
            <w:tcW w:w="64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87"/>
              </w:rPr>
              <w:t>Sales</w:t>
            </w:r>
          </w:p>
        </w:tc>
        <w:tc>
          <w:tcPr>
            <w:tcW w:w="20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Oct. 2011</w:t>
            </w:r>
          </w:p>
        </w:tc>
        <w:tc>
          <w:tcPr>
            <w:tcW w:w="106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right w:val="single" w:sz="8" w:color="auto"/>
            </w:tcBorders>
            <w:gridSpan w:val="2"/>
            <w:vMerge w:val="continue"/>
          </w:tcPr>
          <w:p>
            <w:pPr>
              <w:spacing w:after="0"/>
              <w:rPr>
                <w:sz w:val="6"/>
                <w:szCs w:val="6"/>
                <w:color w:val="auto"/>
              </w:rPr>
            </w:pPr>
          </w:p>
        </w:tc>
        <w:tc>
          <w:tcPr>
            <w:tcW w:w="920" w:type="dxa"/>
            <w:vAlign w:val="bottom"/>
            <w:gridSpan w:val="2"/>
            <w:vMerge w:val="restart"/>
          </w:tcPr>
          <w:p>
            <w:pPr>
              <w:jc w:val="center"/>
              <w:ind w:left="28"/>
              <w:spacing w:after="0"/>
              <w:rPr>
                <w:sz w:val="20"/>
                <w:szCs w:val="20"/>
                <w:color w:val="auto"/>
              </w:rPr>
            </w:pPr>
            <w:r>
              <w:rPr>
                <w:rFonts w:ascii="Arial" w:cs="Arial" w:eastAsia="Arial" w:hAnsi="Arial"/>
                <w:sz w:val="14"/>
                <w:szCs w:val="14"/>
                <w:b w:val="1"/>
                <w:bCs w:val="1"/>
                <w:color w:val="auto"/>
                <w:w w:val="81"/>
              </w:rPr>
              <w:t>Sales</w:t>
            </w:r>
          </w:p>
        </w:tc>
        <w:tc>
          <w:tcPr>
            <w:tcW w:w="8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40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2"/>
            <w:vMerge w:val="continue"/>
          </w:tcPr>
          <w:p>
            <w:pPr>
              <w:spacing w:after="0"/>
              <w:rPr>
                <w:sz w:val="9"/>
                <w:szCs w:val="9"/>
                <w:color w:val="auto"/>
              </w:rPr>
            </w:pPr>
          </w:p>
        </w:tc>
        <w:tc>
          <w:tcPr>
            <w:tcW w:w="106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4"/>
                <w:szCs w:val="14"/>
                <w:b w:val="1"/>
                <w:bCs w:val="1"/>
                <w:color w:val="auto"/>
              </w:rPr>
              <w:t>Sales</w:t>
            </w:r>
          </w:p>
        </w:tc>
        <w:tc>
          <w:tcPr>
            <w:tcW w:w="66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Borders>
              <w:right w:val="single" w:sz="8" w:color="auto"/>
            </w:tcBorders>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01"/>
        </w:trPr>
        <w:tc>
          <w:tcPr>
            <w:tcW w:w="140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right w:val="single" w:sz="8" w:color="auto"/>
            </w:tcBorders>
            <w:gridSpan w:val="2"/>
            <w:vMerge w:val="continue"/>
          </w:tcPr>
          <w:p>
            <w:pPr>
              <w:spacing w:after="0"/>
              <w:rPr>
                <w:sz w:val="8"/>
                <w:szCs w:val="8"/>
                <w:color w:val="auto"/>
              </w:rPr>
            </w:pPr>
          </w:p>
        </w:tc>
        <w:tc>
          <w:tcPr>
            <w:tcW w:w="660" w:type="dxa"/>
            <w:vAlign w:val="bottom"/>
            <w:tcBorders>
              <w:bottom w:val="single" w:sz="8" w:color="auto"/>
            </w:tcBorders>
            <w:gridSpan w:val="2"/>
            <w:vMerge w:val="continue"/>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3"/>
              </w:rPr>
              <w:t>Chevrolet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135,305</w:t>
            </w:r>
          </w:p>
        </w:tc>
        <w:tc>
          <w:tcPr>
            <w:tcW w:w="12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3"/>
              </w:rPr>
              <w:t>2.7%</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98,248</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3"/>
              </w:rPr>
              <w:t>4.6%</w:t>
            </w:r>
          </w:p>
        </w:tc>
        <w:tc>
          <w:tcPr>
            <w:tcW w:w="2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1,555,688</w:t>
            </w:r>
          </w:p>
        </w:tc>
        <w:tc>
          <w:tcPr>
            <w:tcW w:w="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3"/>
              </w:rPr>
              <w:t>4.7%</w:t>
            </w:r>
          </w:p>
        </w:tc>
        <w:tc>
          <w:tcPr>
            <w:tcW w:w="3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w w:val="93"/>
              </w:rPr>
              <w:t>1,058,018</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4%</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7"/>
              </w:rPr>
              <w:t>GMC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33,570</w:t>
            </w:r>
          </w:p>
        </w:tc>
        <w:tc>
          <w:tcPr>
            <w:tcW w:w="12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3"/>
              </w:rPr>
              <w:t>6.2%</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29,642</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3"/>
              </w:rPr>
              <w:t>7.5%</w:t>
            </w:r>
          </w:p>
        </w:tc>
        <w:tc>
          <w:tcPr>
            <w:tcW w:w="2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340,128</w:t>
            </w:r>
          </w:p>
        </w:tc>
        <w:tc>
          <w:tcPr>
            <w:tcW w:w="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3"/>
              </w:rPr>
              <w:t>4.2%</w:t>
            </w:r>
          </w:p>
        </w:tc>
        <w:tc>
          <w:tcPr>
            <w:tcW w:w="3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w w:val="90"/>
              </w:rPr>
              <w:t>286,441</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9"/>
              </w:rPr>
              <w:t>Buick</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13,384</w:t>
            </w:r>
          </w:p>
        </w:tc>
        <w:tc>
          <w:tcPr>
            <w:tcW w:w="12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0"/>
              </w:rPr>
              <w:t>14.5%</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12,605</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0"/>
              </w:rPr>
              <w:t>15.4%</w:t>
            </w:r>
          </w:p>
        </w:tc>
        <w:tc>
          <w:tcPr>
            <w:tcW w:w="2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150,646</w:t>
            </w:r>
          </w:p>
        </w:tc>
        <w:tc>
          <w:tcPr>
            <w:tcW w:w="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6"/>
              </w:rPr>
              <w:t>(0.7)%</w:t>
            </w:r>
          </w:p>
        </w:tc>
        <w:tc>
          <w:tcPr>
            <w:tcW w:w="3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w w:val="90"/>
              </w:rPr>
              <w:t>135,095</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4.3%</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6"/>
              </w:rPr>
              <w:t>Cadillac</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13,505</w:t>
            </w:r>
          </w:p>
        </w:tc>
        <w:tc>
          <w:tcPr>
            <w:tcW w:w="12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0"/>
              </w:rPr>
              <w:t>14.5%</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3"/>
              </w:rPr>
              <w:t>12,510</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2"/>
              </w:rPr>
              <w:t>16%</w:t>
            </w:r>
          </w:p>
        </w:tc>
        <w:tc>
          <w:tcPr>
            <w:tcW w:w="2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117,017</w:t>
            </w:r>
          </w:p>
        </w:tc>
        <w:tc>
          <w:tcPr>
            <w:tcW w:w="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6"/>
              </w:rPr>
              <w:t>(6.4)%</w:t>
            </w:r>
          </w:p>
        </w:tc>
        <w:tc>
          <w:tcPr>
            <w:tcW w:w="3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w w:val="90"/>
              </w:rPr>
              <w:t>110,303</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(0.2)%</w:t>
            </w: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w w:val="97"/>
              </w:rPr>
              <w:t>Total GM</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195,764</w:t>
            </w:r>
          </w:p>
        </w:tc>
        <w:tc>
          <w:tcPr>
            <w:tcW w:w="12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3"/>
              </w:rPr>
              <w:t>4.7%</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color w:val="auto"/>
                <w:w w:val="94"/>
              </w:rPr>
              <w:t>153,005</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3"/>
              </w:rPr>
              <w:t>6.8%</w:t>
            </w:r>
          </w:p>
        </w:tc>
        <w:tc>
          <w:tcPr>
            <w:tcW w:w="24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2,163,479</w:t>
            </w:r>
          </w:p>
        </w:tc>
        <w:tc>
          <w:tcPr>
            <w:tcW w:w="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3"/>
              </w:rPr>
              <w:t>3.6%</w:t>
            </w:r>
          </w:p>
        </w:tc>
        <w:tc>
          <w:tcPr>
            <w:tcW w:w="30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w w:val="93"/>
              </w:rPr>
              <w:t>1,589,857</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783"/>
        </w:trPr>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1"/>
              </w:rPr>
              <w:t>Days Supply (selling</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Days Supply</w:t>
            </w:r>
          </w:p>
        </w:tc>
        <w:tc>
          <w:tcPr>
            <w:tcW w:w="10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gridSpan w:val="3"/>
            <w:vMerge w:val="restart"/>
          </w:tcPr>
          <w:p>
            <w:pPr>
              <w:ind w:left="180"/>
              <w:spacing w:after="0"/>
              <w:rPr>
                <w:sz w:val="20"/>
                <w:szCs w:val="20"/>
                <w:color w:val="auto"/>
              </w:rPr>
            </w:pPr>
            <w:r>
              <w:rPr>
                <w:rFonts w:ascii="Arial" w:cs="Arial" w:eastAsia="Arial" w:hAnsi="Arial"/>
                <w:sz w:val="14"/>
                <w:szCs w:val="14"/>
                <w:b w:val="1"/>
                <w:bCs w:val="1"/>
                <w:color w:val="auto"/>
              </w:rPr>
              <w:t>Year-end Inventory</w:t>
            </w:r>
          </w:p>
        </w:tc>
        <w:tc>
          <w:tcPr>
            <w:tcW w:w="180" w:type="dxa"/>
            <w:vAlign w:val="bottom"/>
          </w:tcPr>
          <w:p>
            <w:pPr>
              <w:spacing w:after="0"/>
              <w:rPr>
                <w:sz w:val="13"/>
                <w:szCs w:val="13"/>
                <w:color w:val="auto"/>
              </w:rPr>
            </w:pPr>
          </w:p>
        </w:tc>
        <w:tc>
          <w:tcPr>
            <w:tcW w:w="1620" w:type="dxa"/>
            <w:vAlign w:val="bottom"/>
            <w:tcBorders>
              <w:right w:val="single" w:sz="8" w:color="auto"/>
            </w:tcBorders>
            <w:gridSpan w:val="3"/>
          </w:tcPr>
          <w:p>
            <w:pPr>
              <w:jc w:val="center"/>
              <w:ind w:right="148"/>
              <w:spacing w:after="0" w:line="160" w:lineRule="exact"/>
              <w:rPr>
                <w:sz w:val="20"/>
                <w:szCs w:val="20"/>
                <w:color w:val="auto"/>
              </w:rPr>
            </w:pPr>
            <w:r>
              <w:rPr>
                <w:rFonts w:ascii="Arial" w:cs="Arial" w:eastAsia="Arial" w:hAnsi="Arial"/>
                <w:sz w:val="14"/>
                <w:szCs w:val="14"/>
                <w:b w:val="1"/>
                <w:bCs w:val="1"/>
                <w:color w:val="auto"/>
                <w:w w:val="91"/>
              </w:rPr>
              <w:t>Year-end Days Supply</w:t>
            </w: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vMerge w:val="restart"/>
          </w:tcPr>
          <w:p>
            <w:pPr>
              <w:jc w:val="center"/>
              <w:spacing w:after="0" w:line="158" w:lineRule="exact"/>
              <w:rPr>
                <w:sz w:val="20"/>
                <w:szCs w:val="20"/>
                <w:color w:val="auto"/>
              </w:rPr>
            </w:pPr>
            <w:r>
              <w:rPr>
                <w:rFonts w:ascii="Arial" w:cs="Arial" w:eastAsia="Arial" w:hAnsi="Arial"/>
                <w:sz w:val="14"/>
                <w:szCs w:val="14"/>
                <w:b w:val="1"/>
                <w:bCs w:val="1"/>
                <w:color w:val="auto"/>
                <w:w w:val="98"/>
              </w:rPr>
              <w:t>Inventory</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restart"/>
          </w:tcPr>
          <w:p>
            <w:pPr>
              <w:jc w:val="center"/>
              <w:ind w:right="88"/>
              <w:spacing w:after="0" w:line="158" w:lineRule="exact"/>
              <w:rPr>
                <w:sz w:val="20"/>
                <w:szCs w:val="20"/>
                <w:color w:val="auto"/>
              </w:rPr>
            </w:pPr>
            <w:r>
              <w:rPr>
                <w:rFonts w:ascii="Arial" w:cs="Arial" w:eastAsia="Arial" w:hAnsi="Arial"/>
                <w:sz w:val="14"/>
                <w:szCs w:val="14"/>
                <w:b w:val="1"/>
                <w:bCs w:val="1"/>
                <w:color w:val="auto"/>
              </w:rPr>
              <w:t>Units @</w:t>
            </w:r>
          </w:p>
        </w:tc>
        <w:tc>
          <w:tcPr>
            <w:tcW w:w="1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Borders>
              <w:right w:val="single" w:sz="8" w:color="auto"/>
            </w:tcBorders>
            <w:gridSpan w:val="3"/>
            <w:vMerge w:val="restart"/>
          </w:tcPr>
          <w:p>
            <w:pPr>
              <w:jc w:val="center"/>
              <w:ind w:right="288"/>
              <w:spacing w:after="0" w:line="158" w:lineRule="exact"/>
              <w:rPr>
                <w:sz w:val="20"/>
                <w:szCs w:val="20"/>
                <w:color w:val="auto"/>
              </w:rPr>
            </w:pPr>
            <w:r>
              <w:rPr>
                <w:rFonts w:ascii="Arial" w:cs="Arial" w:eastAsia="Arial" w:hAnsi="Arial"/>
                <w:sz w:val="14"/>
                <w:szCs w:val="14"/>
                <w:b w:val="1"/>
                <w:bCs w:val="1"/>
                <w:color w:val="auto"/>
              </w:rPr>
              <w:t>Units @</w:t>
            </w:r>
          </w:p>
        </w:tc>
        <w:tc>
          <w:tcPr>
            <w:tcW w:w="240" w:type="dxa"/>
            <w:vAlign w:val="bottom"/>
          </w:tcPr>
          <w:p>
            <w:pPr>
              <w:spacing w:after="0"/>
              <w:rPr>
                <w:sz w:val="7"/>
                <w:szCs w:val="7"/>
                <w:color w:val="auto"/>
              </w:rPr>
            </w:pPr>
          </w:p>
        </w:tc>
        <w:tc>
          <w:tcPr>
            <w:tcW w:w="1060" w:type="dxa"/>
            <w:vAlign w:val="bottom"/>
            <w:gridSpan w:val="2"/>
            <w:vMerge w:val="restart"/>
          </w:tcPr>
          <w:p>
            <w:pPr>
              <w:jc w:val="center"/>
              <w:ind w:right="180"/>
              <w:spacing w:after="0" w:line="158" w:lineRule="exact"/>
              <w:rPr>
                <w:sz w:val="20"/>
                <w:szCs w:val="20"/>
                <w:color w:val="auto"/>
              </w:rPr>
            </w:pPr>
            <w:r>
              <w:rPr>
                <w:rFonts w:ascii="Arial" w:cs="Arial" w:eastAsia="Arial" w:hAnsi="Arial"/>
                <w:sz w:val="14"/>
                <w:szCs w:val="14"/>
                <w:b w:val="1"/>
                <w:bCs w:val="1"/>
                <w:color w:val="auto"/>
              </w:rPr>
              <w:t>(selling day</w:t>
            </w:r>
          </w:p>
        </w:tc>
        <w:tc>
          <w:tcPr>
            <w:tcW w:w="100" w:type="dxa"/>
            <w:vAlign w:val="bottom"/>
            <w:tcBorders>
              <w:right w:val="single" w:sz="8" w:color="auto"/>
            </w:tcBorders>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tcBorders>
              <w:right w:val="single" w:sz="8" w:color="auto"/>
            </w:tcBorders>
            <w:vMerge w:val="restart"/>
          </w:tcPr>
          <w:p>
            <w:pPr>
              <w:jc w:val="center"/>
              <w:ind w:right="268"/>
              <w:spacing w:after="0" w:line="158" w:lineRule="exact"/>
              <w:rPr>
                <w:sz w:val="20"/>
                <w:szCs w:val="20"/>
                <w:color w:val="auto"/>
              </w:rPr>
            </w:pPr>
            <w:r>
              <w:rPr>
                <w:rFonts w:ascii="Arial" w:cs="Arial" w:eastAsia="Arial" w:hAnsi="Arial"/>
                <w:sz w:val="14"/>
                <w:szCs w:val="14"/>
                <w:b w:val="1"/>
                <w:bCs w:val="1"/>
                <w:color w:val="auto"/>
                <w:w w:val="92"/>
              </w:rPr>
              <w:t>Target (selling day</w:t>
            </w:r>
          </w:p>
        </w:tc>
        <w:tc>
          <w:tcPr>
            <w:tcW w:w="0" w:type="dxa"/>
            <w:vAlign w:val="bottom"/>
          </w:tcPr>
          <w:p>
            <w:pPr>
              <w:spacing w:after="0"/>
              <w:rPr>
                <w:sz w:val="1"/>
                <w:szCs w:val="1"/>
                <w:color w:val="auto"/>
              </w:rPr>
            </w:pPr>
          </w:p>
        </w:tc>
      </w:tr>
      <w:tr>
        <w:trPr>
          <w:trHeight w:val="77"/>
        </w:trPr>
        <w:tc>
          <w:tcPr>
            <w:tcW w:w="1400" w:type="dxa"/>
            <w:vAlign w:val="bottom"/>
            <w:tcBorders>
              <w:left w:val="single" w:sz="8" w:color="auto"/>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93"/>
              </w:rPr>
              <w:t>day adjusted)</w:t>
            </w:r>
          </w:p>
        </w:tc>
        <w:tc>
          <w:tcPr>
            <w:tcW w:w="32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Borders>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400" w:type="dxa"/>
            <w:vAlign w:val="bottom"/>
            <w:tcBorders>
              <w:left w:val="single" w:sz="8" w:color="auto"/>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Oct. 31, 2012</w:t>
            </w: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Borders>
              <w:right w:val="single" w:sz="8" w:color="auto"/>
            </w:tcBorders>
            <w:gridSpan w:val="3"/>
            <w:vMerge w:val="restart"/>
          </w:tcPr>
          <w:p>
            <w:pPr>
              <w:jc w:val="center"/>
              <w:ind w:right="268"/>
              <w:spacing w:after="0"/>
              <w:rPr>
                <w:sz w:val="20"/>
                <w:szCs w:val="20"/>
                <w:color w:val="auto"/>
              </w:rPr>
            </w:pPr>
            <w:r>
              <w:rPr>
                <w:rFonts w:ascii="Arial" w:cs="Arial" w:eastAsia="Arial" w:hAnsi="Arial"/>
                <w:sz w:val="14"/>
                <w:szCs w:val="14"/>
                <w:b w:val="1"/>
                <w:bCs w:val="1"/>
                <w:color w:val="auto"/>
              </w:rPr>
              <w:t>Oct. 1, 2012</w:t>
            </w:r>
          </w:p>
        </w:tc>
        <w:tc>
          <w:tcPr>
            <w:tcW w:w="240" w:type="dxa"/>
            <w:vAlign w:val="bottom"/>
          </w:tcPr>
          <w:p>
            <w:pPr>
              <w:spacing w:after="0"/>
              <w:rPr>
                <w:sz w:val="9"/>
                <w:szCs w:val="9"/>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10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tcBorders>
              <w:right w:val="single" w:sz="8" w:color="auto"/>
            </w:tcBorders>
            <w:vMerge w:val="restart"/>
          </w:tcPr>
          <w:p>
            <w:pPr>
              <w:jc w:val="center"/>
              <w:ind w:right="268"/>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01"/>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All Vehicles</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0"/>
              </w:rPr>
              <w:t>739,034</w:t>
            </w:r>
          </w:p>
        </w:tc>
        <w:tc>
          <w:tcPr>
            <w:tcW w:w="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gridSpan w:val="3"/>
          </w:tcPr>
          <w:p>
            <w:pPr>
              <w:jc w:val="center"/>
              <w:ind w:right="288"/>
              <w:spacing w:after="0"/>
              <w:rPr>
                <w:sz w:val="20"/>
                <w:szCs w:val="20"/>
                <w:color w:val="auto"/>
              </w:rPr>
            </w:pPr>
            <w:r>
              <w:rPr>
                <w:rFonts w:ascii="Arial" w:cs="Arial" w:eastAsia="Arial" w:hAnsi="Arial"/>
                <w:sz w:val="14"/>
                <w:szCs w:val="14"/>
                <w:color w:val="auto"/>
                <w:w w:val="90"/>
              </w:rPr>
              <w:t>689,334</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660,000</w:t>
            </w:r>
          </w:p>
        </w:tc>
        <w:tc>
          <w:tcPr>
            <w:tcW w:w="10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- 670,000 units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gridSpan w:val="3"/>
          </w:tcPr>
          <w:p>
            <w:pPr>
              <w:jc w:val="center"/>
              <w:ind w:right="148"/>
              <w:spacing w:after="0"/>
              <w:rPr>
                <w:sz w:val="20"/>
                <w:szCs w:val="20"/>
                <w:color w:val="auto"/>
              </w:rPr>
            </w:pPr>
            <w:r>
              <w:rPr>
                <w:rFonts w:ascii="Arial" w:cs="Arial" w:eastAsia="Arial" w:hAnsi="Arial"/>
                <w:sz w:val="14"/>
                <w:szCs w:val="14"/>
                <w:color w:val="auto"/>
                <w:w w:val="91"/>
              </w:rPr>
              <w:t>65 - 70</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Full-size Pickups</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0"/>
              </w:rPr>
              <w:t>235,585</w:t>
            </w:r>
          </w:p>
        </w:tc>
        <w:tc>
          <w:tcPr>
            <w:tcW w:w="1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110</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gridSpan w:val="3"/>
          </w:tcPr>
          <w:p>
            <w:pPr>
              <w:jc w:val="center"/>
              <w:ind w:right="288"/>
              <w:spacing w:after="0"/>
              <w:rPr>
                <w:sz w:val="20"/>
                <w:szCs w:val="20"/>
                <w:color w:val="auto"/>
              </w:rPr>
            </w:pPr>
            <w:r>
              <w:rPr>
                <w:rFonts w:ascii="Arial" w:cs="Arial" w:eastAsia="Arial" w:hAnsi="Arial"/>
                <w:sz w:val="14"/>
                <w:szCs w:val="14"/>
                <w:color w:val="auto"/>
                <w:w w:val="90"/>
              </w:rPr>
              <w:t>240,810</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116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- 220,000 units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gridSpan w:val="3"/>
          </w:tcPr>
          <w:p>
            <w:pPr>
              <w:jc w:val="center"/>
              <w:ind w:right="108"/>
              <w:spacing w:after="0"/>
              <w:rPr>
                <w:sz w:val="20"/>
                <w:szCs w:val="20"/>
                <w:color w:val="auto"/>
              </w:rPr>
            </w:pPr>
            <w:r>
              <w:rPr>
                <w:rFonts w:ascii="Arial" w:cs="Arial" w:eastAsia="Arial" w:hAnsi="Arial"/>
                <w:sz w:val="14"/>
                <w:szCs w:val="14"/>
                <w:color w:val="auto"/>
                <w:w w:val="91"/>
              </w:rPr>
              <w:t>80 - 85</w:t>
            </w:r>
          </w:p>
        </w:tc>
        <w:tc>
          <w:tcPr>
            <w:tcW w:w="0" w:type="dxa"/>
            <w:vAlign w:val="bottom"/>
          </w:tcPr>
          <w:p>
            <w:pPr>
              <w:spacing w:after="0"/>
              <w:rPr>
                <w:sz w:val="1"/>
                <w:szCs w:val="1"/>
                <w:color w:val="auto"/>
              </w:rPr>
            </w:pPr>
          </w:p>
        </w:tc>
      </w:tr>
      <w:tr>
        <w:trPr>
          <w:trHeight w:val="567"/>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1"/>
              </w:rPr>
              <w:t>Industry Sales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Oct. SAAR (est.)</w:t>
            </w: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w w:val="97"/>
              </w:rPr>
              <w:t>CYTD SAAR (est.)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4"/>
              </w:rPr>
              <w:t>Full Year 2012 (est.)</w:t>
            </w:r>
          </w:p>
        </w:tc>
        <w:tc>
          <w:tcPr>
            <w:tcW w:w="80" w:type="dxa"/>
            <w:vAlign w:val="bottom"/>
            <w:tcBorders>
              <w:bottom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6"/>
              </w:rPr>
              <w:t>Light Vehicles</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14.4 million range</w:t>
            </w:r>
          </w:p>
        </w:tc>
        <w:tc>
          <w:tcPr>
            <w:tcW w:w="20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160" w:type="dxa"/>
            <w:vAlign w:val="bottom"/>
            <w:tcBorders>
              <w:bottom w:val="single" w:sz="8" w:color="auto"/>
              <w:right w:val="single" w:sz="8" w:color="auto"/>
            </w:tcBorders>
            <w:gridSpan w:val="3"/>
          </w:tcPr>
          <w:p>
            <w:pPr>
              <w:jc w:val="center"/>
              <w:ind w:right="28"/>
              <w:spacing w:after="0"/>
              <w:rPr>
                <w:sz w:val="20"/>
                <w:szCs w:val="20"/>
                <w:color w:val="auto"/>
              </w:rPr>
            </w:pPr>
            <w:r>
              <w:rPr>
                <w:rFonts w:ascii="Arial" w:cs="Arial" w:eastAsia="Arial" w:hAnsi="Arial"/>
                <w:sz w:val="14"/>
                <w:szCs w:val="14"/>
                <w:color w:val="auto"/>
                <w:w w:val="95"/>
              </w:rPr>
              <w:t>14.3 million range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color w:val="auto"/>
                <w:w w:val="98"/>
              </w:rPr>
              <w:t>14.0 million - 14.5 million</w:t>
            </w:r>
          </w:p>
        </w:tc>
        <w:tc>
          <w:tcPr>
            <w:tcW w:w="80" w:type="dxa"/>
            <w:vAlign w:val="bottom"/>
            <w:tcBorders>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5"/>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October</w:t>
            </w:r>
          </w:p>
        </w:tc>
        <w:tc>
          <w:tcPr>
            <w:tcW w:w="10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24"/>
                <w:szCs w:val="24"/>
                <w:color w:val="auto"/>
              </w:rPr>
            </w:pPr>
          </w:p>
        </w:tc>
      </w:tr>
      <w:tr>
        <w:trPr>
          <w:trHeight w:val="289"/>
        </w:trPr>
        <w:tc>
          <w:tcPr>
            <w:tcW w:w="2480" w:type="dxa"/>
            <w:vAlign w:val="bottom"/>
            <w:tcBorders>
              <w:left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96"/>
              </w:rPr>
              <w:t>January - October</w:t>
            </w:r>
          </w:p>
        </w:tc>
        <w:tc>
          <w:tcPr>
            <w:tcW w:w="94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4,273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4,509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c>
          <w:tcPr>
            <w:tcW w:w="1040" w:type="dxa"/>
            <w:vAlign w:val="bottom"/>
          </w:tcPr>
          <w:p>
            <w:pPr>
              <w:jc w:val="right"/>
              <w:spacing w:after="0"/>
              <w:rPr>
                <w:sz w:val="20"/>
                <w:szCs w:val="20"/>
                <w:color w:val="auto"/>
              </w:rPr>
            </w:pPr>
            <w:r>
              <w:rPr>
                <w:rFonts w:ascii="Arial" w:cs="Arial" w:eastAsia="Arial" w:hAnsi="Arial"/>
                <w:sz w:val="14"/>
                <w:szCs w:val="14"/>
                <w:color w:val="auto"/>
              </w:rPr>
              <w:t>45,834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48,913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4,139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4,048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w:t>
            </w:r>
          </w:p>
        </w:tc>
        <w:tc>
          <w:tcPr>
            <w:tcW w:w="1040" w:type="dxa"/>
            <w:vAlign w:val="bottom"/>
          </w:tcPr>
          <w:p>
            <w:pPr>
              <w:jc w:val="right"/>
              <w:spacing w:after="0"/>
              <w:rPr>
                <w:sz w:val="20"/>
                <w:szCs w:val="20"/>
                <w:color w:val="auto"/>
              </w:rPr>
            </w:pPr>
            <w:r>
              <w:rPr>
                <w:rFonts w:ascii="Arial" w:cs="Arial" w:eastAsia="Arial" w:hAnsi="Arial"/>
                <w:sz w:val="14"/>
                <w:szCs w:val="14"/>
                <w:color w:val="auto"/>
              </w:rPr>
              <w:t>49,205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49,106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849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(99.5)</w:t>
            </w:r>
          </w:p>
        </w:tc>
        <w:tc>
          <w:tcPr>
            <w:tcW w:w="1040" w:type="dxa"/>
            <w:vAlign w:val="bottom"/>
          </w:tcPr>
          <w:p>
            <w:pPr>
              <w:jc w:val="right"/>
              <w:spacing w:after="0"/>
              <w:rPr>
                <w:sz w:val="20"/>
                <w:szCs w:val="20"/>
                <w:color w:val="auto"/>
              </w:rPr>
            </w:pPr>
            <w:r>
              <w:rPr>
                <w:rFonts w:ascii="Arial" w:cs="Arial" w:eastAsia="Arial" w:hAnsi="Arial"/>
                <w:sz w:val="14"/>
                <w:szCs w:val="14"/>
                <w:color w:val="auto"/>
              </w:rPr>
              <w:t>970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18,822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1,466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2,281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(35.7)</w:t>
            </w:r>
          </w:p>
        </w:tc>
        <w:tc>
          <w:tcPr>
            <w:tcW w:w="1040" w:type="dxa"/>
            <w:vAlign w:val="bottom"/>
          </w:tcPr>
          <w:p>
            <w:pPr>
              <w:jc w:val="right"/>
              <w:spacing w:after="0"/>
              <w:rPr>
                <w:sz w:val="20"/>
                <w:szCs w:val="20"/>
                <w:color w:val="auto"/>
              </w:rPr>
            </w:pPr>
            <w:r>
              <w:rPr>
                <w:rFonts w:ascii="Arial" w:cs="Arial" w:eastAsia="Arial" w:hAnsi="Arial"/>
                <w:sz w:val="14"/>
                <w:szCs w:val="14"/>
                <w:color w:val="auto"/>
              </w:rPr>
              <w:t>21,989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34,938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(37.1)</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3,502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13,384</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11,687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150,646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151,779</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(0.7)</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1,266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1,877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2,344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3,918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(40.2)</w:t>
            </w:r>
          </w:p>
        </w:tc>
        <w:tc>
          <w:tcPr>
            <w:tcW w:w="1040" w:type="dxa"/>
            <w:vAlign w:val="bottom"/>
          </w:tcPr>
          <w:p>
            <w:pPr>
              <w:jc w:val="right"/>
              <w:spacing w:after="0"/>
              <w:rPr>
                <w:sz w:val="20"/>
                <w:szCs w:val="20"/>
                <w:color w:val="auto"/>
              </w:rPr>
            </w:pPr>
            <w:r>
              <w:rPr>
                <w:rFonts w:ascii="Arial" w:cs="Arial" w:eastAsia="Arial" w:hAnsi="Arial"/>
                <w:sz w:val="14"/>
                <w:szCs w:val="14"/>
                <w:color w:val="auto"/>
              </w:rPr>
              <w:t>40,809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45,818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404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(99.8)</w:t>
            </w:r>
          </w:p>
        </w:tc>
        <w:tc>
          <w:tcPr>
            <w:tcW w:w="1040" w:type="dxa"/>
            <w:vAlign w:val="bottom"/>
          </w:tcPr>
          <w:p>
            <w:pPr>
              <w:jc w:val="right"/>
              <w:spacing w:after="0"/>
              <w:rPr>
                <w:sz w:val="20"/>
                <w:szCs w:val="20"/>
                <w:color w:val="auto"/>
              </w:rPr>
            </w:pPr>
            <w:r>
              <w:rPr>
                <w:rFonts w:ascii="Arial" w:cs="Arial" w:eastAsia="Arial" w:hAnsi="Arial"/>
                <w:sz w:val="14"/>
                <w:szCs w:val="14"/>
                <w:color w:val="auto"/>
              </w:rPr>
              <w:t>463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11,159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990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(30.5)</w:t>
            </w:r>
          </w:p>
        </w:tc>
        <w:tc>
          <w:tcPr>
            <w:tcW w:w="1040" w:type="dxa"/>
            <w:vAlign w:val="bottom"/>
          </w:tcPr>
          <w:p>
            <w:pPr>
              <w:jc w:val="right"/>
              <w:spacing w:after="0"/>
              <w:rPr>
                <w:sz w:val="20"/>
                <w:szCs w:val="20"/>
                <w:color w:val="auto"/>
              </w:rPr>
            </w:pPr>
            <w:r>
              <w:rPr>
                <w:rFonts w:ascii="Arial" w:cs="Arial" w:eastAsia="Arial" w:hAnsi="Arial"/>
                <w:sz w:val="14"/>
                <w:szCs w:val="14"/>
                <w:color w:val="auto"/>
              </w:rPr>
              <w:t>10,284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11,915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668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722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(7.5)</w:t>
            </w:r>
          </w:p>
        </w:tc>
        <w:tc>
          <w:tcPr>
            <w:tcW w:w="1040" w:type="dxa"/>
            <w:vAlign w:val="bottom"/>
          </w:tcPr>
          <w:p>
            <w:pPr>
              <w:jc w:val="right"/>
              <w:spacing w:after="0"/>
              <w:rPr>
                <w:sz w:val="20"/>
                <w:szCs w:val="20"/>
                <w:color w:val="auto"/>
              </w:rPr>
            </w:pPr>
            <w:r>
              <w:rPr>
                <w:rFonts w:ascii="Arial" w:cs="Arial" w:eastAsia="Arial" w:hAnsi="Arial"/>
                <w:sz w:val="14"/>
                <w:szCs w:val="14"/>
                <w:color w:val="auto"/>
              </w:rPr>
              <w:t>6,463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6,492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163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6.7</w:t>
            </w:r>
          </w:p>
        </w:tc>
        <w:tc>
          <w:tcPr>
            <w:tcW w:w="1040" w:type="dxa"/>
            <w:vAlign w:val="bottom"/>
          </w:tcPr>
          <w:p>
            <w:pPr>
              <w:jc w:val="right"/>
              <w:spacing w:after="0"/>
              <w:rPr>
                <w:sz w:val="20"/>
                <w:szCs w:val="20"/>
                <w:color w:val="auto"/>
              </w:rPr>
            </w:pPr>
            <w:r>
              <w:rPr>
                <w:rFonts w:ascii="Arial" w:cs="Arial" w:eastAsia="Arial" w:hAnsi="Arial"/>
                <w:sz w:val="14"/>
                <w:szCs w:val="14"/>
                <w:color w:val="auto"/>
              </w:rPr>
              <w:t>1,522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1,578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5,521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4,984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10.8</w:t>
            </w:r>
          </w:p>
        </w:tc>
        <w:tc>
          <w:tcPr>
            <w:tcW w:w="1040" w:type="dxa"/>
            <w:vAlign w:val="bottom"/>
          </w:tcPr>
          <w:p>
            <w:pPr>
              <w:jc w:val="right"/>
              <w:spacing w:after="0"/>
              <w:rPr>
                <w:sz w:val="20"/>
                <w:szCs w:val="20"/>
                <w:color w:val="auto"/>
              </w:rPr>
            </w:pPr>
            <w:r>
              <w:rPr>
                <w:rFonts w:ascii="Arial" w:cs="Arial" w:eastAsia="Arial" w:hAnsi="Arial"/>
                <w:sz w:val="14"/>
                <w:szCs w:val="14"/>
                <w:color w:val="auto"/>
              </w:rPr>
              <w:t>45,745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44,845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180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(99.4)</w:t>
            </w:r>
          </w:p>
        </w:tc>
        <w:tc>
          <w:tcPr>
            <w:tcW w:w="1040" w:type="dxa"/>
            <w:vAlign w:val="bottom"/>
          </w:tcPr>
          <w:p>
            <w:pPr>
              <w:jc w:val="right"/>
              <w:spacing w:after="0"/>
              <w:rPr>
                <w:sz w:val="20"/>
                <w:szCs w:val="20"/>
                <w:color w:val="auto"/>
              </w:rPr>
            </w:pPr>
            <w:r>
              <w:rPr>
                <w:rFonts w:ascii="Arial" w:cs="Arial" w:eastAsia="Arial" w:hAnsi="Arial"/>
                <w:sz w:val="14"/>
                <w:szCs w:val="14"/>
                <w:color w:val="auto"/>
              </w:rPr>
              <w:t>158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3,166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XTS</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2,540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13,505</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11,795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117,017</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124,985</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(6.4)</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2,331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1,696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37.4</w:t>
            </w:r>
          </w:p>
        </w:tc>
        <w:tc>
          <w:tcPr>
            <w:tcW w:w="1040" w:type="dxa"/>
            <w:vAlign w:val="bottom"/>
          </w:tcPr>
          <w:p>
            <w:pPr>
              <w:jc w:val="right"/>
              <w:spacing w:after="0"/>
              <w:rPr>
                <w:sz w:val="20"/>
                <w:szCs w:val="20"/>
                <w:color w:val="auto"/>
              </w:rPr>
            </w:pPr>
            <w:r>
              <w:rPr>
                <w:rFonts w:ascii="Arial" w:cs="Arial" w:eastAsia="Arial" w:hAnsi="Arial"/>
                <w:sz w:val="14"/>
                <w:szCs w:val="14"/>
                <w:color w:val="auto"/>
              </w:rPr>
              <w:t>19,480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15,685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(96.9)</w:t>
            </w:r>
          </w:p>
        </w:tc>
        <w:tc>
          <w:tcPr>
            <w:tcW w:w="1040" w:type="dxa"/>
            <w:vAlign w:val="bottom"/>
          </w:tcPr>
          <w:p>
            <w:pPr>
              <w:jc w:val="right"/>
              <w:spacing w:after="0"/>
              <w:rPr>
                <w:sz w:val="20"/>
                <w:szCs w:val="20"/>
                <w:color w:val="auto"/>
              </w:rPr>
            </w:pPr>
            <w:r>
              <w:rPr>
                <w:rFonts w:ascii="Arial" w:cs="Arial" w:eastAsia="Arial" w:hAnsi="Arial"/>
                <w:sz w:val="14"/>
                <w:szCs w:val="14"/>
                <w:color w:val="auto"/>
              </w:rPr>
              <w:t>63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28,547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5,122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6,119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(16.3)</w:t>
            </w:r>
          </w:p>
        </w:tc>
        <w:tc>
          <w:tcPr>
            <w:tcW w:w="1040" w:type="dxa"/>
            <w:vAlign w:val="bottom"/>
          </w:tcPr>
          <w:p>
            <w:pPr>
              <w:jc w:val="right"/>
              <w:spacing w:after="0"/>
              <w:rPr>
                <w:sz w:val="20"/>
                <w:szCs w:val="20"/>
                <w:color w:val="auto"/>
              </w:rPr>
            </w:pPr>
            <w:r>
              <w:rPr>
                <w:rFonts w:ascii="Arial" w:cs="Arial" w:eastAsia="Arial" w:hAnsi="Arial"/>
                <w:sz w:val="14"/>
                <w:szCs w:val="14"/>
                <w:color w:val="auto"/>
              </w:rPr>
              <w:t>74,090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76,368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343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195.7</w:t>
            </w:r>
          </w:p>
        </w:tc>
        <w:tc>
          <w:tcPr>
            <w:tcW w:w="1040" w:type="dxa"/>
            <w:vAlign w:val="bottom"/>
          </w:tcPr>
          <w:p>
            <w:pPr>
              <w:jc w:val="right"/>
              <w:spacing w:after="0"/>
              <w:rPr>
                <w:sz w:val="20"/>
                <w:szCs w:val="20"/>
                <w:color w:val="auto"/>
              </w:rPr>
            </w:pPr>
            <w:r>
              <w:rPr>
                <w:rFonts w:ascii="Arial" w:cs="Arial" w:eastAsia="Arial" w:hAnsi="Arial"/>
                <w:sz w:val="14"/>
                <w:szCs w:val="14"/>
                <w:color w:val="auto"/>
              </w:rPr>
              <w:t>3,208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614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422.5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3,408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2,140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59.3</w:t>
            </w:r>
          </w:p>
        </w:tc>
        <w:tc>
          <w:tcPr>
            <w:tcW w:w="1040" w:type="dxa"/>
            <w:vAlign w:val="bottom"/>
          </w:tcPr>
          <w:p>
            <w:pPr>
              <w:jc w:val="right"/>
              <w:spacing w:after="0"/>
              <w:rPr>
                <w:sz w:val="20"/>
                <w:szCs w:val="20"/>
                <w:color w:val="auto"/>
              </w:rPr>
            </w:pPr>
            <w:r>
              <w:rPr>
                <w:rFonts w:ascii="Arial" w:cs="Arial" w:eastAsia="Arial" w:hAnsi="Arial"/>
                <w:sz w:val="14"/>
                <w:szCs w:val="14"/>
                <w:color w:val="auto"/>
              </w:rPr>
              <w:t>30,556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2,140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850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1,612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2,093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(23.0)</w:t>
            </w:r>
          </w:p>
        </w:tc>
        <w:tc>
          <w:tcPr>
            <w:tcW w:w="1040" w:type="dxa"/>
            <w:vAlign w:val="bottom"/>
          </w:tcPr>
          <w:p>
            <w:pPr>
              <w:jc w:val="right"/>
              <w:spacing w:after="0"/>
              <w:rPr>
                <w:sz w:val="20"/>
                <w:szCs w:val="20"/>
                <w:color w:val="auto"/>
              </w:rPr>
            </w:pPr>
            <w:r>
              <w:rPr>
                <w:rFonts w:ascii="Arial" w:cs="Arial" w:eastAsia="Arial" w:hAnsi="Arial"/>
                <w:sz w:val="14"/>
                <w:szCs w:val="14"/>
                <w:color w:val="auto"/>
              </w:rPr>
              <w:t>34,220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26,078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1,167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946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23.4</w:t>
            </w:r>
          </w:p>
        </w:tc>
        <w:tc>
          <w:tcPr>
            <w:tcW w:w="1040" w:type="dxa"/>
            <w:vAlign w:val="bottom"/>
          </w:tcPr>
          <w:p>
            <w:pPr>
              <w:jc w:val="right"/>
              <w:spacing w:after="0"/>
              <w:rPr>
                <w:sz w:val="20"/>
                <w:szCs w:val="20"/>
                <w:color w:val="auto"/>
              </w:rPr>
            </w:pPr>
            <w:r>
              <w:rPr>
                <w:rFonts w:ascii="Arial" w:cs="Arial" w:eastAsia="Arial" w:hAnsi="Arial"/>
                <w:sz w:val="14"/>
                <w:szCs w:val="14"/>
                <w:color w:val="auto"/>
              </w:rPr>
              <w:t>11,737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11,216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19,121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14,295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33.8</w:t>
            </w:r>
          </w:p>
        </w:tc>
        <w:tc>
          <w:tcPr>
            <w:tcW w:w="1040" w:type="dxa"/>
            <w:vAlign w:val="bottom"/>
          </w:tcPr>
          <w:p>
            <w:pPr>
              <w:jc w:val="right"/>
              <w:spacing w:after="0"/>
              <w:rPr>
                <w:sz w:val="20"/>
                <w:szCs w:val="20"/>
                <w:color w:val="auto"/>
              </w:rPr>
            </w:pPr>
            <w:r>
              <w:rPr>
                <w:rFonts w:ascii="Arial" w:cs="Arial" w:eastAsia="Arial" w:hAnsi="Arial"/>
                <w:sz w:val="14"/>
                <w:szCs w:val="14"/>
                <w:color w:val="auto"/>
              </w:rPr>
              <w:t>199,721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201,819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15,387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15,108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w:t>
            </w:r>
          </w:p>
        </w:tc>
        <w:tc>
          <w:tcPr>
            <w:tcW w:w="1040" w:type="dxa"/>
            <w:vAlign w:val="bottom"/>
          </w:tcPr>
          <w:p>
            <w:pPr>
              <w:jc w:val="right"/>
              <w:spacing w:after="0"/>
              <w:rPr>
                <w:sz w:val="20"/>
                <w:szCs w:val="20"/>
                <w:color w:val="auto"/>
              </w:rPr>
            </w:pPr>
            <w:r>
              <w:rPr>
                <w:rFonts w:ascii="Arial" w:cs="Arial" w:eastAsia="Arial" w:hAnsi="Arial"/>
                <w:sz w:val="14"/>
                <w:szCs w:val="14"/>
                <w:color w:val="auto"/>
              </w:rPr>
              <w:t>182,249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160,143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5,528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6,421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(13.9)</w:t>
            </w:r>
          </w:p>
        </w:tc>
        <w:tc>
          <w:tcPr>
            <w:tcW w:w="1040" w:type="dxa"/>
            <w:vAlign w:val="bottom"/>
          </w:tcPr>
          <w:p>
            <w:pPr>
              <w:jc w:val="right"/>
              <w:spacing w:after="0"/>
              <w:rPr>
                <w:sz w:val="20"/>
                <w:szCs w:val="20"/>
                <w:color w:val="auto"/>
              </w:rPr>
            </w:pPr>
            <w:r>
              <w:rPr>
                <w:rFonts w:ascii="Arial" w:cs="Arial" w:eastAsia="Arial" w:hAnsi="Arial"/>
                <w:sz w:val="14"/>
                <w:szCs w:val="14"/>
                <w:color w:val="auto"/>
              </w:rPr>
              <w:t>63,414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58,095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36,839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8,368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11,982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(30.2)</w:t>
            </w:r>
          </w:p>
        </w:tc>
        <w:tc>
          <w:tcPr>
            <w:tcW w:w="1040" w:type="dxa"/>
            <w:vAlign w:val="bottom"/>
          </w:tcPr>
          <w:p>
            <w:pPr>
              <w:jc w:val="right"/>
              <w:spacing w:after="0"/>
              <w:rPr>
                <w:sz w:val="20"/>
                <w:szCs w:val="20"/>
                <w:color w:val="auto"/>
              </w:rPr>
            </w:pPr>
            <w:r>
              <w:rPr>
                <w:rFonts w:ascii="Arial" w:cs="Arial" w:eastAsia="Arial" w:hAnsi="Arial"/>
                <w:sz w:val="14"/>
                <w:szCs w:val="14"/>
                <w:color w:val="auto"/>
              </w:rPr>
              <w:t>148,547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150,104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9,629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10,239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1040" w:type="dxa"/>
            <w:vAlign w:val="bottom"/>
          </w:tcPr>
          <w:p>
            <w:pPr>
              <w:jc w:val="right"/>
              <w:spacing w:after="0"/>
              <w:rPr>
                <w:sz w:val="20"/>
                <w:szCs w:val="20"/>
                <w:color w:val="auto"/>
              </w:rPr>
            </w:pPr>
            <w:r>
              <w:rPr>
                <w:rFonts w:ascii="Arial" w:cs="Arial" w:eastAsia="Arial" w:hAnsi="Arial"/>
                <w:sz w:val="14"/>
                <w:szCs w:val="14"/>
                <w:color w:val="auto"/>
              </w:rPr>
              <w:t>189,094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181,505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38,739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36,656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5.7</w:t>
            </w:r>
          </w:p>
        </w:tc>
        <w:tc>
          <w:tcPr>
            <w:tcW w:w="1040" w:type="dxa"/>
            <w:vAlign w:val="bottom"/>
          </w:tcPr>
          <w:p>
            <w:pPr>
              <w:jc w:val="right"/>
              <w:spacing w:after="0"/>
              <w:rPr>
                <w:sz w:val="20"/>
                <w:szCs w:val="20"/>
                <w:color w:val="auto"/>
              </w:rPr>
            </w:pPr>
            <w:r>
              <w:rPr>
                <w:rFonts w:ascii="Arial" w:cs="Arial" w:eastAsia="Arial" w:hAnsi="Arial"/>
                <w:sz w:val="14"/>
                <w:szCs w:val="14"/>
                <w:color w:val="auto"/>
              </w:rPr>
              <w:t>336,939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333,092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5,495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3,833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43.4</w:t>
            </w:r>
          </w:p>
        </w:tc>
        <w:tc>
          <w:tcPr>
            <w:tcW w:w="1040" w:type="dxa"/>
            <w:vAlign w:val="bottom"/>
          </w:tcPr>
          <w:p>
            <w:pPr>
              <w:jc w:val="right"/>
              <w:spacing w:after="0"/>
              <w:rPr>
                <w:sz w:val="20"/>
                <w:szCs w:val="20"/>
                <w:color w:val="auto"/>
              </w:rPr>
            </w:pPr>
            <w:r>
              <w:rPr>
                <w:rFonts w:ascii="Arial" w:cs="Arial" w:eastAsia="Arial" w:hAnsi="Arial"/>
                <w:sz w:val="14"/>
                <w:szCs w:val="14"/>
                <w:color w:val="auto"/>
              </w:rPr>
              <w:t>70,241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5,539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Spark</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2,134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8,447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3,595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4,655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(22.8)</w:t>
            </w:r>
          </w:p>
        </w:tc>
        <w:tc>
          <w:tcPr>
            <w:tcW w:w="1040" w:type="dxa"/>
            <w:vAlign w:val="bottom"/>
          </w:tcPr>
          <w:p>
            <w:pPr>
              <w:jc w:val="right"/>
              <w:spacing w:after="0"/>
              <w:rPr>
                <w:sz w:val="20"/>
                <w:szCs w:val="20"/>
                <w:color w:val="auto"/>
              </w:rPr>
            </w:pPr>
            <w:r>
              <w:rPr>
                <w:rFonts w:ascii="Arial" w:cs="Arial" w:eastAsia="Arial" w:hAnsi="Arial"/>
                <w:sz w:val="14"/>
                <w:szCs w:val="14"/>
                <w:color w:val="auto"/>
              </w:rPr>
              <w:t>37,455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37,710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4,926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7,060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(30.2)</w:t>
            </w:r>
          </w:p>
        </w:tc>
        <w:tc>
          <w:tcPr>
            <w:tcW w:w="1040" w:type="dxa"/>
            <w:vAlign w:val="bottom"/>
          </w:tcPr>
          <w:p>
            <w:pPr>
              <w:jc w:val="right"/>
              <w:spacing w:after="0"/>
              <w:rPr>
                <w:sz w:val="20"/>
                <w:szCs w:val="20"/>
                <w:color w:val="auto"/>
              </w:rPr>
            </w:pPr>
            <w:r>
              <w:rPr>
                <w:rFonts w:ascii="Arial" w:cs="Arial" w:eastAsia="Arial" w:hAnsi="Arial"/>
                <w:sz w:val="14"/>
                <w:szCs w:val="14"/>
                <w:color w:val="auto"/>
              </w:rPr>
              <w:t>54,407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63,696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5,437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7,197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(24.5)</w:t>
            </w:r>
          </w:p>
        </w:tc>
        <w:tc>
          <w:tcPr>
            <w:tcW w:w="1040" w:type="dxa"/>
            <w:vAlign w:val="bottom"/>
          </w:tcPr>
          <w:p>
            <w:pPr>
              <w:jc w:val="right"/>
              <w:spacing w:after="0"/>
              <w:rPr>
                <w:sz w:val="20"/>
                <w:szCs w:val="20"/>
                <w:color w:val="auto"/>
              </w:rPr>
            </w:pPr>
            <w:r>
              <w:rPr>
                <w:rFonts w:ascii="Arial" w:cs="Arial" w:eastAsia="Arial" w:hAnsi="Arial"/>
                <w:sz w:val="14"/>
                <w:szCs w:val="14"/>
                <w:color w:val="auto"/>
              </w:rPr>
              <w:t>72,479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90,661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2,961</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1,108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167.2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19,309</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5,003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285.9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135,305</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131,804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1,555,688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1,485,747</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4.7</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5,613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5,034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11.5</w:t>
            </w:r>
          </w:p>
        </w:tc>
        <w:tc>
          <w:tcPr>
            <w:tcW w:w="1040" w:type="dxa"/>
            <w:vAlign w:val="bottom"/>
          </w:tcPr>
          <w:p>
            <w:pPr>
              <w:jc w:val="right"/>
              <w:spacing w:after="0"/>
              <w:rPr>
                <w:sz w:val="20"/>
                <w:szCs w:val="20"/>
                <w:color w:val="auto"/>
              </w:rPr>
            </w:pPr>
            <w:r>
              <w:rPr>
                <w:rFonts w:ascii="Arial" w:cs="Arial" w:eastAsia="Arial" w:hAnsi="Arial"/>
                <w:sz w:val="14"/>
                <w:szCs w:val="14"/>
                <w:color w:val="auto"/>
              </w:rPr>
              <w:t>69,470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67,047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472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778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(39.3)</w:t>
            </w:r>
          </w:p>
        </w:tc>
        <w:tc>
          <w:tcPr>
            <w:tcW w:w="1040" w:type="dxa"/>
            <w:vAlign w:val="bottom"/>
          </w:tcPr>
          <w:p>
            <w:pPr>
              <w:jc w:val="right"/>
              <w:spacing w:after="0"/>
              <w:rPr>
                <w:sz w:val="20"/>
                <w:szCs w:val="20"/>
                <w:color w:val="auto"/>
              </w:rPr>
            </w:pPr>
            <w:r>
              <w:rPr>
                <w:rFonts w:ascii="Arial" w:cs="Arial" w:eastAsia="Arial" w:hAnsi="Arial"/>
                <w:sz w:val="14"/>
                <w:szCs w:val="14"/>
                <w:color w:val="auto"/>
              </w:rPr>
              <w:t>8,090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8,412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1,047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910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15.1</w:t>
            </w:r>
          </w:p>
        </w:tc>
        <w:tc>
          <w:tcPr>
            <w:tcW w:w="1040" w:type="dxa"/>
            <w:vAlign w:val="bottom"/>
          </w:tcPr>
          <w:p>
            <w:pPr>
              <w:jc w:val="right"/>
              <w:spacing w:after="0"/>
              <w:rPr>
                <w:sz w:val="20"/>
                <w:szCs w:val="20"/>
                <w:color w:val="auto"/>
              </w:rPr>
            </w:pPr>
            <w:r>
              <w:rPr>
                <w:rFonts w:ascii="Arial" w:cs="Arial" w:eastAsia="Arial" w:hAnsi="Arial"/>
                <w:sz w:val="14"/>
                <w:szCs w:val="14"/>
                <w:color w:val="auto"/>
              </w:rPr>
              <w:t>18,306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14,006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30.7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14,568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13,362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9.0</w:t>
            </w:r>
          </w:p>
        </w:tc>
        <w:tc>
          <w:tcPr>
            <w:tcW w:w="1040" w:type="dxa"/>
            <w:vAlign w:val="bottom"/>
          </w:tcPr>
          <w:p>
            <w:pPr>
              <w:jc w:val="right"/>
              <w:spacing w:after="0"/>
              <w:rPr>
                <w:sz w:val="20"/>
                <w:szCs w:val="20"/>
                <w:color w:val="auto"/>
              </w:rPr>
            </w:pPr>
            <w:r>
              <w:rPr>
                <w:rFonts w:ascii="Arial" w:cs="Arial" w:eastAsia="Arial" w:hAnsi="Arial"/>
                <w:sz w:val="14"/>
                <w:szCs w:val="14"/>
                <w:color w:val="auto"/>
              </w:rPr>
              <w:t>126,749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120,704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7,286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6,350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14.7</w:t>
            </w:r>
          </w:p>
        </w:tc>
        <w:tc>
          <w:tcPr>
            <w:tcW w:w="1040" w:type="dxa"/>
            <w:vAlign w:val="bottom"/>
          </w:tcPr>
          <w:p>
            <w:pPr>
              <w:jc w:val="right"/>
              <w:spacing w:after="0"/>
              <w:rPr>
                <w:sz w:val="20"/>
                <w:szCs w:val="20"/>
                <w:color w:val="auto"/>
              </w:rPr>
            </w:pPr>
            <w:r>
              <w:rPr>
                <w:rFonts w:ascii="Arial" w:cs="Arial" w:eastAsia="Arial" w:hAnsi="Arial"/>
                <w:sz w:val="14"/>
                <w:szCs w:val="14"/>
                <w:color w:val="auto"/>
              </w:rPr>
              <w:t>78,112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69,801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2,289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2,958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(22.6)</w:t>
            </w:r>
          </w:p>
        </w:tc>
        <w:tc>
          <w:tcPr>
            <w:tcW w:w="1040" w:type="dxa"/>
            <w:vAlign w:val="bottom"/>
          </w:tcPr>
          <w:p>
            <w:pPr>
              <w:jc w:val="right"/>
              <w:spacing w:after="0"/>
              <w:rPr>
                <w:sz w:val="20"/>
                <w:szCs w:val="20"/>
                <w:color w:val="auto"/>
              </w:rPr>
            </w:pPr>
            <w:r>
              <w:rPr>
                <w:rFonts w:ascii="Arial" w:cs="Arial" w:eastAsia="Arial" w:hAnsi="Arial"/>
                <w:sz w:val="14"/>
                <w:szCs w:val="14"/>
                <w:color w:val="auto"/>
              </w:rPr>
              <w:t>21,438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27,295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(21.5)</w:t>
            </w:r>
          </w:p>
        </w:tc>
      </w:tr>
      <w:tr>
        <w:trPr>
          <w:trHeight w:val="289"/>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2,295</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2,217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17,963</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19,273</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33,570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31,609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340,128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326,556</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4.2</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195,764</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186,895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2,163,479</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2,089,067</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3.6</w:t>
            </w:r>
          </w:p>
        </w:tc>
      </w:tr>
    </w:tbl>
    <w:p>
      <w:pPr>
        <w:spacing w:after="0" w:line="76" w:lineRule="exact"/>
        <w:rPr>
          <w:sz w:val="20"/>
          <w:szCs w:val="20"/>
          <w:color w:val="auto"/>
        </w:rPr>
      </w:pPr>
    </w:p>
    <w:p>
      <w:pPr>
        <w:sectPr>
          <w:pgSz w:w="11900" w:h="16838" w:orient="portrait"/>
          <w:cols w:equalWidth="0" w:num="1">
            <w:col w:w="9440"/>
          </w:cols>
          <w:pgMar w:left="1240" w:top="714" w:right="1219" w:bottom="0" w:gutter="0" w:footer="0" w:header="0"/>
        </w:sectPr>
      </w:pPr>
    </w:p>
    <w:p>
      <w:pPr>
        <w:ind w:left="80"/>
        <w:spacing w:after="0"/>
        <w:rPr>
          <w:sz w:val="20"/>
          <w:szCs w:val="20"/>
          <w:color w:val="auto"/>
        </w:rPr>
      </w:pPr>
      <w:r>
        <w:rPr>
          <w:rFonts w:ascii="Arial" w:cs="Arial" w:eastAsia="Arial" w:hAnsi="Arial"/>
          <w:sz w:val="13"/>
          <w:szCs w:val="13"/>
          <w:color w:val="auto"/>
        </w:rPr>
        <w:t>* 26 selling days for the October period this year and 26 for last year.</w:t>
      </w:r>
    </w:p>
    <w:p>
      <w:pPr>
        <w:sectPr>
          <w:pgSz w:w="11900" w:h="16838" w:orient="portrait"/>
          <w:cols w:equalWidth="0" w:num="1">
            <w:col w:w="9440"/>
          </w:cols>
          <w:pgMar w:left="1240" w:top="714" w:right="1219" w:bottom="0" w:gutter="0" w:footer="0" w:header="0"/>
          <w:type w:val="continuous"/>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2019-12-09T19:11:28Z</dcterms:created>
  <dcterms:modified xsi:type="dcterms:W3CDTF">2019-12-09T19:11:28Z</dcterms:modified>
</cp:coreProperties>
</file>