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20549-1004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1" w:lineRule="exact"/>
        <w:rPr>
          <w:sz w:val="24"/>
          <w:szCs w:val="24"/>
          <w:color w:val="auto"/>
        </w:rPr>
      </w:pPr>
    </w:p>
    <w:p>
      <w:pPr>
        <w:ind w:left="440" w:right="1540" w:hanging="405"/>
        <w:spacing w:after="0" w:line="378" w:lineRule="auto"/>
        <w:tabs>
          <w:tab w:leader="none" w:pos="7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2017</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6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19685</wp:posOffset>
            </wp:positionV>
            <wp:extent cx="9779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77900" cy="977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GENERAL MOTORS COMPANY</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47" w:lineRule="exact"/>
        <w:rPr>
          <w:sz w:val="24"/>
          <w:szCs w:val="24"/>
          <w:color w:val="auto"/>
        </w:rPr>
      </w:pPr>
    </w:p>
    <w:tbl>
      <w:tblPr>
        <w:tblLayout w:type="fixed"/>
        <w:tblInd w:w="1220" w:type="dxa"/>
        <w:tblCellMar>
          <w:top w:w="0" w:type="dxa"/>
          <w:left w:w="0" w:type="dxa"/>
          <w:bottom w:w="0" w:type="dxa"/>
          <w:right w:w="0" w:type="dxa"/>
        </w:tblCellMar>
      </w:tblPr>
      <w:tr>
        <w:trPr>
          <w:trHeight w:val="238"/>
        </w:trPr>
        <w:tc>
          <w:tcPr>
            <w:tcW w:w="6540" w:type="dxa"/>
            <w:vAlign w:val="bottom"/>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6"/>
              </w:rPr>
              <w:t>STATE OF DELAWARE</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27-0756180</w:t>
            </w:r>
          </w:p>
        </w:tc>
      </w:tr>
      <w:tr>
        <w:trPr>
          <w:trHeight w:val="250"/>
        </w:trPr>
        <w:tc>
          <w:tcPr>
            <w:tcW w:w="6540" w:type="dxa"/>
            <w:vAlign w:val="bottom"/>
          </w:tcPr>
          <w:p>
            <w:pPr>
              <w:jc w:val="center"/>
              <w:ind w:right="317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1480" w:type="dxa"/>
            <w:vAlign w:val="bottom"/>
          </w:tcPr>
          <w:p>
            <w:pPr>
              <w:jc w:val="center"/>
              <w:ind w:left="7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6540" w:type="dxa"/>
            <w:vAlign w:val="bottom"/>
          </w:tcPr>
          <w:p>
            <w:pPr>
              <w:jc w:val="center"/>
              <w:ind w:right="315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405"/>
        </w:trPr>
        <w:tc>
          <w:tcPr>
            <w:tcW w:w="6540" w:type="dxa"/>
            <w:vAlign w:val="bottom"/>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300 Renaissance Center, Detroit, Michigan</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48265-3000</w:t>
            </w:r>
          </w:p>
        </w:tc>
      </w:tr>
      <w:tr>
        <w:trPr>
          <w:trHeight w:val="270"/>
        </w:trPr>
        <w:tc>
          <w:tcPr>
            <w:tcW w:w="6540" w:type="dxa"/>
            <w:vAlign w:val="bottom"/>
          </w:tcPr>
          <w:p>
            <w:pPr>
              <w:jc w:val="center"/>
              <w:ind w:right="31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223"/>
        </w:trPr>
        <w:tc>
          <w:tcPr>
            <w:tcW w:w="654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(313) 556-5000</w:t>
            </w:r>
          </w:p>
        </w:tc>
        <w:tc>
          <w:tcPr>
            <w:tcW w:w="1480" w:type="dxa"/>
            <w:vAlign w:val="bottom"/>
          </w:tcPr>
          <w:p>
            <w:pPr>
              <w:spacing w:after="0"/>
              <w:rPr>
                <w:sz w:val="19"/>
                <w:szCs w:val="19"/>
                <w:color w:val="auto"/>
              </w:rPr>
            </w:pPr>
          </w:p>
        </w:tc>
      </w:tr>
      <w:tr>
        <w:trPr>
          <w:trHeight w:val="236"/>
        </w:trPr>
        <w:tc>
          <w:tcPr>
            <w:tcW w:w="6540" w:type="dxa"/>
            <w:vAlign w:val="bottom"/>
          </w:tcPr>
          <w:p>
            <w:pPr>
              <w:jc w:val="center"/>
              <w:ind w:left="235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14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213" w:lineRule="exact"/>
        <w:rPr>
          <w:sz w:val="24"/>
          <w:szCs w:val="24"/>
          <w:color w:val="auto"/>
        </w:rPr>
      </w:pPr>
    </w:p>
    <w:p>
      <w:pPr>
        <w:jc w:val="both"/>
        <w:ind w:firstLine="108"/>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8" w:lineRule="exact"/>
        <w:rPr>
          <w:sz w:val="24"/>
          <w:szCs w:val="24"/>
          <w:color w:val="auto"/>
        </w:rPr>
      </w:pPr>
    </w:p>
    <w:p>
      <w:pPr>
        <w:jc w:val="both"/>
        <w:ind w:firstLine="108"/>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8" w:lineRule="exact"/>
        <w:rPr>
          <w:sz w:val="24"/>
          <w:szCs w:val="24"/>
          <w:color w:val="auto"/>
        </w:rPr>
      </w:pPr>
    </w:p>
    <w:p>
      <w:pPr>
        <w:jc w:val="both"/>
        <w:ind w:firstLine="108"/>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6"/>
          <w:szCs w:val="16"/>
          <w:color w:val="auto"/>
        </w:rPr>
        <w:t>☐</w:t>
      </w:r>
    </w:p>
    <w:p>
      <w:pPr>
        <w:spacing w:after="0" w:line="127" w:lineRule="exact"/>
        <w:rPr>
          <w:sz w:val="24"/>
          <w:szCs w:val="24"/>
          <w:color w:val="auto"/>
        </w:rPr>
      </w:pPr>
    </w:p>
    <w:p>
      <w:pPr>
        <w:jc w:val="both"/>
        <w:ind w:firstLine="81"/>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4"/>
          <w:szCs w:val="24"/>
          <w:color w:val="auto"/>
        </w:rPr>
      </w:pPr>
    </w:p>
    <w:p>
      <w:pPr>
        <w:ind w:left="1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July 17, 2017 the number of shares outstanding of common stock was 1,457,208,264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0" w:type="dxa"/>
            <w:vAlign w:val="bottom"/>
            <w:gridSpan w:val="6"/>
          </w:tcPr>
          <w:p>
            <w:pPr>
              <w:ind w:left="16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1"/>
        </w:trPr>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6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Condensed Consolidated Income Statements (Unaudited)</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Equity (Unaudited)</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4</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5</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2.</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Discontinued Operations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3.</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Marketable Securities</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8</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4.</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GM Financial Receivables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10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5.</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Inventories</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6.</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Equipment on Operating Leases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7.</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12</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8.</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Variable Interest Entities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12</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9.</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Automotive and GM Financial Debt</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13</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10.</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14</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11.</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Product Warranty and Related Liabilities</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15</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12.</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13.</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16</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14.</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Income Taxes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15.</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Restructuring and Other Initiatives</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16.</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Stockholders' Equity</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22</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17.</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Earnings Per Share</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23</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18.</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Acquisition of Business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19.</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Segment Reporting</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23</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32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83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46</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832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Controls and Procedures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46</w:t>
              </w:r>
            </w:hyperlink>
          </w:p>
        </w:tc>
      </w:tr>
      <w:tr>
        <w:trPr>
          <w:trHeight w:val="243"/>
        </w:trPr>
        <w:tc>
          <w:tcPr>
            <w:tcW w:w="9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7180" w:type="dxa"/>
            <w:vAlign w:val="bottom"/>
            <w:tcBorders>
              <w:top w:val="single" w:sz="8" w:color="CCEEFF"/>
            </w:tcBorders>
          </w:tcPr>
          <w:p>
            <w:pPr>
              <w:ind w:left="33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68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32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Legal Proceedings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47</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11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Risk Factors</w:t>
            </w:r>
          </w:p>
        </w:tc>
        <w:tc>
          <w:tcPr>
            <w:tcW w:w="7180" w:type="dxa"/>
            <w:vAlign w:val="bottom"/>
          </w:tcPr>
          <w:p>
            <w:pPr>
              <w:spacing w:after="0"/>
              <w:rPr>
                <w:sz w:val="17"/>
                <w:szCs w:val="17"/>
                <w:color w:val="auto"/>
              </w:rPr>
            </w:pP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47</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32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47</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11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Exhibits</w:t>
            </w:r>
          </w:p>
        </w:tc>
        <w:tc>
          <w:tcPr>
            <w:tcW w:w="7180" w:type="dxa"/>
            <w:vAlign w:val="bottom"/>
          </w:tcPr>
          <w:p>
            <w:pPr>
              <w:spacing w:after="0"/>
              <w:rPr>
                <w:sz w:val="17"/>
                <w:szCs w:val="17"/>
                <w:color w:val="auto"/>
              </w:rPr>
            </w:pP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48</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Signature</w:t>
            </w:r>
          </w:p>
        </w:tc>
        <w:tc>
          <w:tcPr>
            <w:tcW w:w="114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49</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Opel and Vauxhall businesses and certain other assets in Europe (the Opel/Vauxhall Business) and our European financing subsidiaries and branches (the Fincos, and together with the Opel/Vauxhall Business, the European Business) are presented as discontinued operations, and the assets and liabilities of the European Business are presented as held for sale, in our condensed consolidated financial statements for all periods presented.</w:t>
      </w:r>
    </w:p>
    <w:p>
      <w:pPr>
        <w:sectPr>
          <w:pgSz w:w="11900" w:h="16838" w:orient="portrait"/>
          <w:cols w:equalWidth="0" w:num="1">
            <w:col w:w="11420"/>
          </w:cols>
          <w:pgMar w:left="240" w:top="360"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2"/>
        </w:trPr>
        <w:tc>
          <w:tcPr>
            <w:tcW w:w="6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June 30, 2017</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June 30, 2016</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June 30, 2017</w:t>
            </w:r>
          </w:p>
        </w:tc>
        <w:tc>
          <w:tcPr>
            <w:tcW w:w="180" w:type="dxa"/>
            <w:vAlign w:val="bottom"/>
          </w:tcPr>
          <w:p>
            <w:pPr>
              <w:spacing w:after="0"/>
              <w:rPr>
                <w:sz w:val="22"/>
                <w:szCs w:val="22"/>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June 30, 2016</w:t>
            </w:r>
          </w:p>
        </w:tc>
      </w:tr>
      <w:tr>
        <w:trPr>
          <w:trHeight w:val="210"/>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 and revenue</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60"/>
        </w:trPr>
        <w:tc>
          <w:tcPr>
            <w:tcW w:w="6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Automotive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68,517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66,332</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GM Financial</w:t>
            </w:r>
          </w:p>
        </w:tc>
        <w:tc>
          <w:tcPr>
            <w:tcW w:w="2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4,067</w:t>
            </w: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36,984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37,383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70,399</w:t>
            </w:r>
          </w:p>
        </w:tc>
      </w:tr>
      <w:tr>
        <w:trPr>
          <w:trHeight w:val="20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60"/>
        </w:trPr>
        <w:tc>
          <w:tcPr>
            <w:tcW w:w="6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Automotive cost of sales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29,212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29,941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56,622</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2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3,736</w:t>
            </w: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Automotive selling, general and administrative expense</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4,978</w:t>
            </w:r>
          </w:p>
        </w:tc>
      </w:tr>
      <w:tr>
        <w:trPr>
          <w:trHeight w:val="21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34,366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34,411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68,728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65,336</w:t>
            </w: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5,063</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2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268</w:t>
            </w: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income and other non-operating income (loss),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186</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income (Note 7)</w:t>
            </w:r>
          </w:p>
        </w:tc>
        <w:tc>
          <w:tcPr>
            <w:tcW w:w="2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1,220</w:t>
            </w: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6,201</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 (Note 14)</w:t>
            </w:r>
          </w:p>
        </w:tc>
        <w:tc>
          <w:tcPr>
            <w:tcW w:w="2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1,534</w:t>
            </w: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4,667</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 net of tax (Note 2)</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114</w:t>
            </w: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4,781</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common stockholders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4,819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6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share (Note 17)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Basic earnings per common share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continuing operations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3.05</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earnings (loss) per common share – discontinued operations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0.07</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3.12</w:t>
            </w: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1,547</w:t>
            </w:r>
          </w:p>
        </w:tc>
      </w:tr>
      <w:tr>
        <w:trPr>
          <w:trHeight w:val="122"/>
        </w:trPr>
        <w:tc>
          <w:tcPr>
            <w:tcW w:w="6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Diluted earnings per common share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continuing operations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2.98</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 earnings (loss) per common share – discontinued operations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0.07</w:t>
            </w: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3.05</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2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1,580</w:t>
            </w: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2"/>
        </w:trPr>
        <w:tc>
          <w:tcPr>
            <w:tcW w:w="6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Dividends declared per common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0.38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0.76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0.76</w:t>
            </w:r>
          </w:p>
        </w:tc>
      </w:tr>
    </w:tbl>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Pr>
          <w:p>
            <w:pPr>
              <w:spacing w:after="0"/>
              <w:rPr>
                <w:sz w:val="22"/>
                <w:szCs w:val="22"/>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35"/>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4,280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4,781</w:t>
            </w:r>
          </w:p>
        </w:tc>
      </w:tr>
      <w:tr>
        <w:trPr>
          <w:trHeight w:val="22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 (Note 16)</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Defined benefit plans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r>
      <w:tr>
        <w:trPr>
          <w:trHeight w:val="33"/>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w:t>
            </w: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1,545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3,002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4,241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4,895</w:t>
            </w: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common stockholders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1,541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3,015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4,229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4,950</w:t>
            </w: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ectPr>
          <w:pgSz w:w="11900" w:h="16838" w:orient="portrait"/>
          <w:cols w:equalWidth="0" w:num="1">
            <w:col w:w="11420"/>
          </w:cols>
          <w:pgMar w:left="240" w:top="337"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37" w:right="239" w:bottom="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14" w:lineRule="exact"/>
        <w:rPr>
          <w:sz w:val="20"/>
          <w:szCs w:val="20"/>
          <w:color w:val="auto"/>
        </w:rPr>
      </w:pPr>
    </w:p>
    <w:p>
      <w:pPr>
        <w:jc w:val="right"/>
        <w:ind w:right="26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June 30, 2017</w:t>
      </w:r>
      <w:r>
        <w:rPr>
          <w:sz w:val="20"/>
          <w:szCs w:val="20"/>
          <w:color w:val="auto"/>
        </w:rPr>
        <w:tab/>
      </w:r>
      <w:r>
        <w:rPr>
          <w:rFonts w:ascii="Times New Roman" w:cs="Times New Roman" w:eastAsia="Times New Roman" w:hAnsi="Times New Roman"/>
          <w:sz w:val="14"/>
          <w:szCs w:val="14"/>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24765</wp:posOffset>
            </wp:positionV>
            <wp:extent cx="2084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8629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ectPr>
          <w:pgSz w:w="11900" w:h="16838" w:orient="portrait"/>
          <w:cols w:equalWidth="0" w:num="1">
            <w:col w:w="11320"/>
          </w:cols>
          <w:pgMar w:left="240" w:top="337" w:right="339" w:bottom="238" w:gutter="0" w:footer="0" w:header="0"/>
        </w:sectPr>
      </w:pPr>
    </w:p>
    <w:p>
      <w:pPr>
        <w:spacing w:after="0" w:line="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Marketable securities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Accounts and notes receivable, net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GM Financial receivables, net (Note 4; Note 8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Inventories (Note 5)</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Equipment on operating leases, net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Other current assets (Note 8 at VIEs)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Current assets held for sale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8629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16,598</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12,574</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9,133</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11,841</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9,796</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8,700</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19,296</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16,127</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11,289</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11,040</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1,883</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1,110</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4,324</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3,633</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12,762</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11,178</w:t>
            </w:r>
          </w:p>
        </w:tc>
      </w:tr>
      <w:tr>
        <w:trPr>
          <w:trHeight w:val="33"/>
        </w:trPr>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85,081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76,203</w:t>
            </w:r>
          </w:p>
        </w:tc>
      </w:tr>
    </w:tbl>
    <w:p>
      <w:pPr>
        <w:spacing w:after="0" w:line="316" w:lineRule="exact"/>
        <w:rPr>
          <w:sz w:val="20"/>
          <w:szCs w:val="20"/>
          <w:color w:val="auto"/>
        </w:rPr>
      </w:pPr>
    </w:p>
    <w:p>
      <w:pPr>
        <w:sectPr>
          <w:pgSz w:w="11900" w:h="16838" w:orient="portrait"/>
          <w:cols w:equalWidth="0" w:num="2">
            <w:col w:w="7320" w:space="720"/>
            <w:col w:w="3280"/>
          </w:cols>
          <w:pgMar w:left="240" w:top="337" w:right="339" w:bottom="238" w:gutter="0" w:footer="0" w:header="0"/>
          <w:type w:val="continuous"/>
        </w:sectPr>
      </w:pPr>
    </w:p>
    <w:p>
      <w:pPr>
        <w:ind w:left="180"/>
        <w:spacing w:after="0"/>
        <w:rPr>
          <w:sz w:val="20"/>
          <w:szCs w:val="20"/>
          <w:color w:val="auto"/>
        </w:rPr>
      </w:pPr>
      <w:r>
        <w:rPr>
          <w:rFonts w:ascii="Times New Roman" w:cs="Times New Roman" w:eastAsia="Times New Roman" w:hAnsi="Times New Roman"/>
          <w:sz w:val="16"/>
          <w:szCs w:val="16"/>
          <w:color w:val="auto"/>
        </w:rPr>
        <w:t>GM Financial receivables, net (Note 4; Note 8 at VIEs)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Equity in net assets of nonconsolidated affiliates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Property, net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GM Financial equipment on operating leases, net (Note 6; Note 8 at VIEs)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Other assets (Note 8 at VIEs)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Non-current assets held for sale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Total non-current assets</w:t>
      </w: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8629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295" cy="188595"/>
                    </a:xfrm>
                    <a:prstGeom prst="rect">
                      <a:avLst/>
                    </a:prstGeom>
                    <a:noFill/>
                  </pic:spPr>
                </pic:pic>
              </a:graphicData>
            </a:graphic>
          </wp:anchor>
        </w:drawing>
      </w:r>
    </w:p>
    <w:p>
      <w:pPr>
        <w:spacing w:after="0" w:line="80"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6"/>
          <w:szCs w:val="16"/>
          <w:b w:val="1"/>
          <w:bCs w:val="1"/>
          <w:color w:val="auto"/>
        </w:rPr>
        <w:t>LIABILITIES AND EQUITY</w:t>
      </w:r>
    </w:p>
    <w:p>
      <w:pPr>
        <w:spacing w:after="0" w:line="1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862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20,137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17,001</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8,248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8,996</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34,301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32,603</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5,989</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6,149</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39,725</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34,342</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32,425</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33,172</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3,994</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3,849</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10,400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9,375</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155,219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145,487</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240,300</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221,690</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53" w:lineRule="exact"/>
        <w:rPr>
          <w:sz w:val="20"/>
          <w:szCs w:val="20"/>
          <w:color w:val="auto"/>
        </w:rPr>
      </w:pPr>
    </w:p>
    <w:p>
      <w:pPr>
        <w:sectPr>
          <w:pgSz w:w="11900" w:h="16838" w:orient="portrait"/>
          <w:cols w:equalWidth="0" w:num="2">
            <w:col w:w="7320" w:space="720"/>
            <w:col w:w="3280"/>
          </w:cols>
          <w:pgMar w:left="240" w:top="337" w:right="339" w:bottom="238" w:gutter="0" w:footer="0" w:header="0"/>
          <w:type w:val="continuous"/>
        </w:sectPr>
      </w:pPr>
    </w:p>
    <w:p>
      <w:pPr>
        <w:ind w:left="180"/>
        <w:spacing w:after="0"/>
        <w:rPr>
          <w:sz w:val="20"/>
          <w:szCs w:val="20"/>
          <w:color w:val="auto"/>
        </w:rPr>
      </w:pPr>
      <w:r>
        <w:rPr>
          <w:rFonts w:ascii="Times New Roman" w:cs="Times New Roman" w:eastAsia="Times New Roman" w:hAnsi="Times New Roman"/>
          <w:sz w:val="16"/>
          <w:szCs w:val="16"/>
          <w:color w:val="auto"/>
        </w:rPr>
        <w:t>Accounts payable (principally trade)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Short-term debt and current portion of long-term debt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GM Financial (Note 8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Accrued liabilities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Current liabilities held for sale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8629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Long-term debt (Note 9)</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GM Financial (Note 8 at VIEs)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Postretirement benefits other than pensions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Pensions (Note 12)</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Non-current liabilities held for sale (Note 2)</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p>
      <w:pPr>
        <w:spacing w:after="0" w:line="1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8629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Equity (Note 16)</w:t>
      </w:r>
    </w:p>
    <w:p>
      <w:pPr>
        <w:spacing w:after="0" w:line="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Common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p>
      <w:pPr>
        <w:spacing w:after="0" w:line="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8629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23,404</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23,333</w:t>
            </w:r>
          </w:p>
        </w:tc>
      </w:tr>
      <w:tr>
        <w:trPr>
          <w:trHeight w:val="540"/>
        </w:trPr>
        <w:tc>
          <w:tcPr>
            <w:tcW w:w="4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1,060</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28,942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22,737</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26,601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25,893</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14,293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12,158</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94,306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85,181</w:t>
            </w:r>
          </w:p>
        </w:tc>
      </w:tr>
      <w:tr>
        <w:trPr>
          <w:trHeight w:val="810"/>
        </w:trPr>
        <w:tc>
          <w:tcPr>
            <w:tcW w:w="4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9,544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9,500</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49,537</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41,826</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5,750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5,803</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14,777</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15,264</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12,438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12,415</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8,223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7,626</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100,269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92,434</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194,575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177,615</w:t>
            </w:r>
          </w:p>
        </w:tc>
      </w:tr>
      <w:tr>
        <w:trPr>
          <w:trHeight w:val="810"/>
        </w:trPr>
        <w:tc>
          <w:tcPr>
            <w:tcW w:w="4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26,328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26,983</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28,547</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26,168</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(9,369)</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(9,330)</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45,521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43,836</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239</w:t>
            </w:r>
          </w:p>
        </w:tc>
      </w:tr>
    </w:tbl>
    <w:p>
      <w:pPr>
        <w:spacing w:after="0" w:line="13" w:lineRule="exact"/>
        <w:rPr>
          <w:sz w:val="20"/>
          <w:szCs w:val="20"/>
          <w:color w:val="auto"/>
        </w:rPr>
      </w:pPr>
    </w:p>
    <w:p>
      <w:pPr>
        <w:sectPr>
          <w:pgSz w:w="11900" w:h="16838" w:orient="portrait"/>
          <w:cols w:equalWidth="0" w:num="2">
            <w:col w:w="7320" w:space="720"/>
            <w:col w:w="3280"/>
          </w:cols>
          <w:pgMar w:left="240" w:top="337" w:right="339" w:bottom="238"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0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45,725</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44,075</w:t>
            </w:r>
          </w:p>
        </w:tc>
      </w:tr>
      <w:tr>
        <w:trPr>
          <w:trHeight w:val="33"/>
        </w:trPr>
        <w:tc>
          <w:tcPr>
            <w:tcW w:w="8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240,300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221,690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320"/>
          </w:cols>
          <w:pgMar w:left="240" w:top="337" w:right="339" w:bottom="238" w:gutter="0" w:footer="0" w:header="0"/>
          <w:type w:val="continuous"/>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7"/>
          <w:szCs w:val="17"/>
          <w:color w:val="auto"/>
        </w:rPr>
        <w:t>Reference should be made to the notes to condensed consolidated financial statements.</w:t>
      </w:r>
    </w:p>
    <w:p>
      <w:pPr>
        <w:sectPr>
          <w:pgSz w:w="11900" w:h="16838" w:orient="portrait"/>
          <w:cols w:equalWidth="0" w:num="1">
            <w:col w:w="9019"/>
          </w:cols>
          <w:pgMar w:left="1440" w:top="580" w:right="1440"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019"/>
          </w:cols>
          <w:pgMar w:left="1440" w:top="580" w:right="1440"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9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2"/>
        </w:trPr>
        <w:tc>
          <w:tcPr>
            <w:tcW w:w="8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20" w:type="dxa"/>
            <w:vAlign w:val="bottom"/>
          </w:tcPr>
          <w:p>
            <w:pPr>
              <w:spacing w:after="0"/>
              <w:rPr>
                <w:sz w:val="22"/>
                <w:szCs w:val="22"/>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9"/>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from continuing operations</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4,667</w:t>
            </w:r>
          </w:p>
        </w:tc>
      </w:tr>
      <w:tr>
        <w:trPr>
          <w:trHeight w:val="24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amortization and impairment charges</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5,937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4,591</w:t>
            </w:r>
          </w:p>
        </w:tc>
      </w:tr>
      <w:tr>
        <w:trPr>
          <w:trHeight w:val="29"/>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remeasurement and transaction losses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142</w:t>
            </w:r>
          </w:p>
        </w:tc>
      </w:tr>
      <w:tr>
        <w:trPr>
          <w:trHeight w:val="24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Undistributed earnings of nonconsolidated affiliates, net</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893</w:t>
            </w:r>
          </w:p>
        </w:tc>
      </w:tr>
      <w:tr>
        <w:trPr>
          <w:trHeight w:val="29"/>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Pension contributions and OPEB payments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(2,778)</w:t>
            </w:r>
          </w:p>
        </w:tc>
      </w:tr>
      <w:tr>
        <w:trPr>
          <w:trHeight w:val="24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Pension and OPEB income, net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r>
      <w:tr>
        <w:trPr>
          <w:trHeight w:val="29"/>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Provision for deferred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1,437</w:t>
            </w:r>
          </w:p>
        </w:tc>
      </w:tr>
      <w:tr>
        <w:trPr>
          <w:trHeight w:val="24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other operating assets and liabilities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(3,046)</w:t>
            </w:r>
          </w:p>
        </w:tc>
      </w:tr>
      <w:tr>
        <w:trPr>
          <w:trHeight w:val="29"/>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 xml:space="preserve">Net cash provided by operating activities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continuing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7,428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5,500</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 xml:space="preserve">Net cash provided by operating activities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discontinued operations</w:t>
            </w:r>
          </w:p>
        </w:tc>
        <w:tc>
          <w:tcPr>
            <w:tcW w:w="2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519</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7,559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6,019</w:t>
            </w:r>
          </w:p>
        </w:tc>
      </w:tr>
      <w:tr>
        <w:trPr>
          <w:trHeight w:val="228"/>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
        </w:trPr>
        <w:tc>
          <w:tcPr>
            <w:tcW w:w="8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Expenditures for property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(4,032)</w:t>
            </w:r>
          </w:p>
        </w:tc>
      </w:tr>
      <w:tr>
        <w:trPr>
          <w:trHeight w:val="24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Available-for-sale marketable securities, acquisitions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(2,278)</w:t>
            </w:r>
          </w:p>
        </w:tc>
      </w:tr>
      <w:tr>
        <w:trPr>
          <w:trHeight w:val="29"/>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Trading marketable securities,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r>
      <w:tr>
        <w:trPr>
          <w:trHeight w:val="24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Available-for-sale marketable securities, liquidations</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4,872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5,337</w:t>
            </w:r>
          </w:p>
        </w:tc>
      </w:tr>
      <w:tr>
        <w:trPr>
          <w:trHeight w:val="29"/>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Trading marketable securities, liquidations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813</w:t>
            </w:r>
          </w:p>
        </w:tc>
      </w:tr>
      <w:tr>
        <w:trPr>
          <w:trHeight w:val="24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Acquisition of companies/investments, net of cash acquired</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w:t>
            </w:r>
          </w:p>
        </w:tc>
      </w:tr>
      <w:tr>
        <w:trPr>
          <w:trHeight w:val="29"/>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of finance 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(6,417)</w:t>
            </w:r>
          </w:p>
        </w:tc>
      </w:tr>
      <w:tr>
        <w:trPr>
          <w:trHeight w:val="24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Principal collections and recoveries on finance receivables</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6,003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4,938</w:t>
            </w:r>
          </w:p>
        </w:tc>
      </w:tr>
      <w:tr>
        <w:trPr>
          <w:trHeight w:val="29"/>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of leased vehicles,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(10,145)</w:t>
            </w:r>
          </w:p>
        </w:tc>
      </w:tr>
      <w:tr>
        <w:trPr>
          <w:trHeight w:val="24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termination of leased vehicles</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2,724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1,089</w:t>
            </w:r>
          </w:p>
        </w:tc>
      </w:tr>
      <w:tr>
        <w:trPr>
          <w:trHeight w:val="29"/>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213</w:t>
            </w:r>
          </w:p>
        </w:tc>
      </w:tr>
      <w:tr>
        <w:trPr>
          <w:trHeight w:val="223"/>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continuing operations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(13,135)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(11,484)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w:t>
            </w:r>
          </w:p>
        </w:tc>
      </w:tr>
      <w:tr>
        <w:trPr>
          <w:trHeight w:val="22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(13,923)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(12,339)</w:t>
            </w:r>
          </w:p>
        </w:tc>
      </w:tr>
      <w:tr>
        <w:trPr>
          <w:trHeight w:val="29"/>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decrease in short-term debt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29"/>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issuance of debt (original maturities greater than three months)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21,500</w:t>
            </w:r>
          </w:p>
        </w:tc>
      </w:tr>
      <w:tr>
        <w:trPr>
          <w:trHeight w:val="24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Payments on debt (original maturities greater than three months)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(10,373)</w:t>
            </w:r>
          </w:p>
        </w:tc>
      </w:tr>
      <w:tr>
        <w:trPr>
          <w:trHeight w:val="29"/>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Payments to purchase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4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Dividends paid</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w:t>
            </w:r>
          </w:p>
        </w:tc>
      </w:tr>
      <w:tr>
        <w:trPr>
          <w:trHeight w:val="29"/>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23"/>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 xml:space="preserve">Net cash provided by financing activities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continuing operations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10,509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9,177</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 xml:space="preserve">Net cash provided by financing activities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850</w:t>
            </w:r>
          </w:p>
        </w:tc>
      </w:tr>
      <w:tr>
        <w:trPr>
          <w:trHeight w:val="22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10,540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10,027</w:t>
            </w:r>
          </w:p>
        </w:tc>
      </w:tr>
      <w:tr>
        <w:trPr>
          <w:trHeight w:val="29"/>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55</w:t>
            </w:r>
          </w:p>
        </w:tc>
      </w:tr>
      <w:tr>
        <w:trPr>
          <w:trHeight w:val="22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4,385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3,762</w:t>
            </w:r>
          </w:p>
        </w:tc>
      </w:tr>
      <w:tr>
        <w:trPr>
          <w:trHeight w:val="29"/>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15,160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17,332</w:t>
            </w:r>
          </w:p>
        </w:tc>
      </w:tr>
      <w:tr>
        <w:trPr>
          <w:trHeight w:val="22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end of period</w:t>
            </w:r>
          </w:p>
        </w:tc>
        <w:tc>
          <w:tcPr>
            <w:tcW w:w="2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19,545</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21,094</w:t>
            </w:r>
          </w:p>
        </w:tc>
      </w:tr>
      <w:tr>
        <w:trPr>
          <w:trHeight w:val="69"/>
        </w:trPr>
        <w:tc>
          <w:tcPr>
            <w:tcW w:w="83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1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cash equivalents and restricted cash – continuing operations at end of period (Note 3)</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18,920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20,365</w:t>
            </w: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xml:space="preserve">Cash, cash equivalents and restricted cash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discontinued operations at end of period</w:t>
            </w: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729</w:t>
            </w:r>
          </w:p>
        </w:tc>
      </w:tr>
      <w:tr>
        <w:trPr>
          <w:trHeight w:val="29"/>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Significant Non-cash Investing and Financing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xml:space="preserve">Non-cash property additions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continuing operations</w:t>
            </w: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4,086</w:t>
            </w:r>
          </w:p>
        </w:tc>
        <w:tc>
          <w:tcPr>
            <w:tcW w:w="100" w:type="dxa"/>
            <w:vAlign w:val="bottom"/>
          </w:tcPr>
          <w:p>
            <w:pPr>
              <w:spacing w:after="0"/>
              <w:rPr>
                <w:sz w:val="21"/>
                <w:szCs w:val="21"/>
                <w:color w:val="auto"/>
              </w:rPr>
            </w:pP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4,029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xml:space="preserve">Non-cash property additions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discontinued operations</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553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xml:space="preserve">Non-cash business acquisition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continuing operations (Note 18)</w:t>
            </w: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290</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ectPr>
          <w:pgSz w:w="11900" w:h="16838" w:orient="portrait"/>
          <w:cols w:equalWidth="0" w:num="1">
            <w:col w:w="11420"/>
          </w:cols>
          <w:pgMar w:left="240" w:top="337" w:right="239" w:bottom="306"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37" w:right="239" w:bottom="306"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9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Stockholders’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January 1, 2016</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27,607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40,323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June 30,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27,734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23,785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44,003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January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26,168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44,075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to noncontrolling interests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June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26,328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28,547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45,725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ectPr>
          <w:pgSz w:w="11900" w:h="16838" w:orient="portrait"/>
          <w:cols w:equalWidth="0" w:num="1">
            <w:col w:w="11420"/>
          </w:cols>
          <w:pgMar w:left="240" w:top="33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37"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General Motors Company (sometimes referred to in this Quarterly Report on Form 10-Q as we, our, us, ourselves, the Company, General Motors or GM) designs, builds and sells cars, trucks, crossovers and automobile parts worldwide. We also provide automotive financing services through General Motors Financial Company, Inc. (GM Financial). We analyze the results of our continuing operations through the following segments: GM North America (GMNA), GM International Operations (GMIO), GM South America (GMSA) and GM Financial. Nonsegment operations and Maven, our ride- and car-sharing business, are classified as Corporate. Corporate includes certain centrally recorded income and costs such as interest, income taxes, corporate expenditures including autonomous vehicle-related engineering costs and certain nonsegment specific revenues and expenses.</w:t>
      </w:r>
    </w:p>
    <w:p>
      <w:pPr>
        <w:spacing w:after="0" w:line="18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The European Business is presented as discontinued operations, and the assets and liabilities of the European Business are presented as held for sale in our condensed consolidated financial statements for all periods presented. Unless otherwise indicated, information in these notes to the condensed consolidated financial statements relates to continuing operations. Refer to Note 2 for additional details regarding our planned disposal of these operations.</w:t>
      </w:r>
    </w:p>
    <w:p>
      <w:pPr>
        <w:spacing w:after="0" w:line="176"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2016 Form 10-K. Except for per share amounts or as otherwise specified, dollar amounts presented within tables are stated in millions.</w:t>
      </w:r>
    </w:p>
    <w:p>
      <w:pPr>
        <w:spacing w:after="0" w:line="185"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2014-09, “Revenue from Contracts with Customers” (ASU 2014-09), which requires us to recognize revenue when a customer obtains control rather than when we have transferred substantially all risks and rewards of a good or service and requires expanded disclosures. ASU 2014-09, as amended, is effective for us beginning January 1, 2018. ASU 2014-09 will affect the amount and timing of certain revenue related transactions primarily resulting from the earlier recognition of certain sales incentives and fixed fee license arrangements. Upon adoption of ASU 2014-09 sales incentives will be recorded at the time of sale rather than at the later of sale or announcement and fixed fee license arrangements will be recognized when the customer is granted access to intellectual property instead of over the contract period. Certain transactions with daily rental car companies may also qualify to be accounted for as a sale as opposed to the current accounting as an operating lease. We expect to adopt the provisions of ASU 2014-09 on a modified retrospective basis through a cumulative adjustment to equity. Upon adoption of ASU 2014-09 we estimate a reduction to Equity of approximately $500 million to $1.0 billion. This estimate is subject to change as a result of future changes in market conditions, incentive program offerings, and dealer inventory levels. We continue to assess the overall impact the adoption of ASU 2014-09 will have on our consolidated financial statements and are continuing to test our processes designed to comply with ASU 2014-09 to permit adoption by January 1, 2018.</w:t>
      </w:r>
    </w:p>
    <w:p>
      <w:pPr>
        <w:spacing w:after="0" w:line="191"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ASU 2016-01, “Recognition and Measurement of Financial Assets and Financial Liabilities” (ASU 2016-01), which requires equity investments that are not accounted for under the equity method of accounting to be measured at fair value with changes recognized in net income and which updates certain presentation and disclosure requirements. ASU 2016-01 is effective for us beginning January 1, 2018. At June 30, 2017 the carrying value of equity investments that are not accounted for under the equity method of accounting totaled approximately $500 million and unrealized gains or losses were insignificant. Currently we do not believe the adoption of ASU 2016-01 will be material to our consolidated financial statements, however changes in future market conditions and equity investment balances prior to the implementation date will affect the impact the adoption may have on our consolidated financial statements.</w:t>
      </w:r>
    </w:p>
    <w:p>
      <w:pPr>
        <w:spacing w:after="0" w:line="189"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In March 2017 the FASB issued ASU 2017-07, "Compensation – Retirement Benefits (Topic 715), Improving the Presentation of Net Periodic Pension Cost and Net Periodic Postretirement Benefit Cost" (ASU 2017-07), which requires that the service cost component of net periodic pension and other postretirement benefits (OPEB) (income) expense be presented in the same income statement line item as other employee compensation costs, while the remaining components of net periodic pension and OPEB (income) expense are to be presented outside operating income. ASU 2017-07 is effective for us on a retrospective basis beginning January 1, 2018 and will result in the reclassification of non-service cost components from primarily Automotive cost of sales to Interest income and other non-operating income (loss), net. Assuming the sale of the European Business as described in Note 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37"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closes prior to adoption, we expect a resulting decrease to Operating income and an increase to Interest income and other non-operating income (loss), net of approximately $1.3 billion for the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21"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On March 5, 2017 we entered into a Master Agreement (the Agreement) to sell our European Business, consisting of the Opel/Vauxhall Business and the Fincos, to Peugeot, S.A. (PSA Group) for net consideration with an estimated value of approximately $2.2 billion based upon exchange rates as of June 30, 2017, subject to foreign currency fluctuations. The net consideration to be paid for the Opel/Vauxhall Business under the Agreement has an estimated value of approximately $1.2 billion, consisting of (1) approximately $1.0 billion in cash; and (2) $700 million in warrants in PSA Group; partially offset by (3) the approximate $500 million de-risking premium payment to be made to PSA Group for assuming certain underfunded pension liabilities. The warrants are not exercisable for five years and do not include any governance or voting rights with respect to PSA Group. In addition, we have agreed to sell the shares of PSA Group received upon exercise of the warrants within 35 days after exercise. The net consideration to be paid for the Fincos will be 0.8 times their book value at closing, which we estimate will be approximately $1 billion. The purchase price is subject to certain working capital adjustments as provided in the Agreement.</w:t>
      </w:r>
    </w:p>
    <w:p>
      <w:pPr>
        <w:spacing w:after="0" w:line="18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2017, the assets and liabilities of the European Business have been presented as being held for sale and its operations and cash flows have been presented as discontinued operations. The transfer of the Opel/Vauxhall Business is expected to close in the second half of 2017 subject to the receipt of necessary regulatory approvals and satisfaction of other closing conditions, and the transfer of the Fincos is expected to close as soon as practicable after the receipt of the necessary antitrust, financial and other regulatory approvals and satisfaction of other closing conditions, which may be after the transfer of the Opel/Vauxhall Business. The transfer of the Fincos will not occur unless the transfer of the Opel/Vauxhall Business occurs.</w:t>
      </w:r>
    </w:p>
    <w:p>
      <w:pPr>
        <w:spacing w:after="0" w:line="184"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The Company expects to recognize a charge resulting from the sale of the European Business of approximately $5.5 to $6.0 billion. The expected charge principally relates to: (1) approximately $3.9 billion of deferred tax assets that will no longer be realizable or that will transfer to PSA Group upon sale; (2) approximately $1.6 billion related to previously deferred pension losses and payment of a de-risking premium to PSA Group for its assumption of certain underfunded pension liabilities; (3) a disposal loss on the Fincos of up to $700 million; and (4) other net charges primarily related to contract cancellations, working capital adjustments and certain transitional services and other costs to support the separation of operations to be provided for a period of time following closing. Proceeds will partially offset certain of these charges. Of these amounts, in the three months ended June 30, 2017 we recognized a disposal loss of $324 million as a result of the Fincos being classified as held for sale, charges of $421 million for the cancellation of product programs resulting from the convergence of vehicle platforms between our European Business and PSA Group and other insignificant charges. These charges were recorded in Income (loss) from discontinued operations, net of tax. The remainder of the expected charge will be recognized upon closing.</w:t>
      </w:r>
    </w:p>
    <w:p>
      <w:pPr>
        <w:spacing w:after="0" w:line="203"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Our wholly-owned subsidiary (the Seller) has agreed to indemnify PSA Group for certain losses resulting from any inaccuracy of the representations and warranties or breaches of our covenants included in the Agreement and for certain other liabilities, including emissions and product liabilities. The Company has entered into a guarantee for the benefit of PSA Group and pursuant to which the Company has agreed to guarantee the Seller's obligation to indemnify PSA Group for certain losses resulting from any inaccuracy of certain representations and warranties or breaches of our covenants in the Agreement and for certain other liabilities. Certain of these indemnification obligations are subject to time limitations, thresholds and/or caps as to the amount of required payments.</w:t>
      </w:r>
    </w:p>
    <w:p>
      <w:pPr>
        <w:spacing w:after="0" w:line="188"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We will retain net underfunded pension liabilities of approximately $7.0 billion primarily to current pensioners and former employees of the European Business with vested pension rights. PSA Group will assume approximately $2.9 billion of net underfunded pension liabilities primarily with respect to active employees of the European Business, and at closing, the Seller will make payments to PSA Group, or one or more pension funding vehicles, of approximately $3.4 billion, subject to foreign currency and discount rate fluctuations, in respect of these assumed liabilities, which includes pension funding payments for active employees and the de-risking premium payment of approximately $500 million discussed above. The pension liabilities described herein are calculated as of December 31, 2016 and have been updated to reflect foreign exchange rates at June 30, 2017. The actual pension liabilities retained by the Seller and assumed by PSA Group will be determined at the closing date and, as a result, may differ from the amounts reported herein. We have entered into interest rate swaps and foreign exchange forwards to hedge market risk associated with funding pension liabilities assumed by PSA Group. At closing we expect to draw upon our three year revolving credit facility to fund the payments made to PSA Group for the transferred pension liabilities. We plan to issue debt securities thereafter to repay the draw on our credit facility subject to market conditions.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37"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As part of the retained pension liabilities described above, we will retain the United Kingdom defined benefit pension plans in existence at signing related to the European Business, including responsibility for service cost accruals through the closing date. Those plans with active participants will close to future accrual as of the day before closing. Any future service cost accruals on and from the closing date will be the responsibility of PSA Group.</w:t>
      </w:r>
    </w:p>
    <w:p>
      <w:pPr>
        <w:spacing w:after="0" w:line="176"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have agreed to purchase from and supply to PSA Group certain vehicles for a period of time following closing. As a result, Total net sales and revenue from continuing operations include $760 million and $570 million related to transactions with the European Business for the three months ended June 30, 2017 and 2016, and $1.5 billion and $1.2 billion for the six months ended June 30, 2017 and 2016 and Total costs and expenses from continuing operations include $713 million and $512 million related to transactions with the European Business for the three months ended June 30, 2017 and 2016 and $1.4 billion and $1.0 billion for the six months ended June 30, 2017 and 2016. Intercompany profit on these transactions was eliminated in consolidation.</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results of the discontinued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8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0" w:type="dxa"/>
            <w:vAlign w:val="bottom"/>
          </w:tcPr>
          <w:p>
            <w:pPr>
              <w:spacing w:after="0"/>
              <w:rPr>
                <w:sz w:val="22"/>
                <w:szCs w:val="22"/>
                <w:color w:val="auto"/>
              </w:rPr>
            </w:pPr>
          </w:p>
        </w:tc>
        <w:tc>
          <w:tcPr>
            <w:tcW w:w="11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235"/>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10,567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10,853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Automotive cost of sales</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10,008</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Automotive selling, general, and administrative expense</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and (expense) items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 before taxes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on sale of discontinued operations before taxes(a)</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income (loss) from discontinued operations before taxes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benefit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44"/>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  Includes contract cancellation charges associated with the disposal.</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37"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of the European Business: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8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37"/>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386</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and notes receivable, net</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938</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GM Financial receivables, net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5,938</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2,748</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on operating leases, net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786</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382</w:t>
            </w: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assets held for sale</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11,178</w:t>
            </w:r>
          </w:p>
        </w:tc>
      </w:tr>
      <w:tr>
        <w:trPr>
          <w:trHeight w:val="237"/>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GM Financial receivables, net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3,723</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net</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3,217</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1,920</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515</w:t>
            </w: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non-current assets held for sale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9,375</w:t>
            </w:r>
          </w:p>
        </w:tc>
      </w:tr>
      <w:tr>
        <w:trPr>
          <w:trHeight w:val="284"/>
        </w:trPr>
        <w:tc>
          <w:tcPr>
            <w:tcW w:w="7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 Held for Sale</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23,162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20,553</w:t>
            </w:r>
          </w:p>
        </w:tc>
      </w:tr>
      <w:tr>
        <w:trPr>
          <w:trHeight w:val="257"/>
        </w:trPr>
        <w:tc>
          <w:tcPr>
            <w:tcW w:w="78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37"/>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(principally trade)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3,628</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Short-term debt and current portion of long-term debt</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r>
      <w:tr>
        <w:trPr>
          <w:trHeight w:val="237"/>
        </w:trPr>
        <w:tc>
          <w:tcPr>
            <w:tcW w:w="7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GM Financial</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5,124</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3,299</w:t>
            </w:r>
          </w:p>
        </w:tc>
      </w:tr>
      <w:tr>
        <w:trPr>
          <w:trHeight w:val="21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liabilities held for sale</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14,293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12,158</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r>
      <w:tr>
        <w:trPr>
          <w:trHeight w:val="237"/>
        </w:trPr>
        <w:tc>
          <w:tcPr>
            <w:tcW w:w="7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GM Financial</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4,189</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Pensions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2,687</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665</w:t>
            </w: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non-current liabilities held for sale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7,626</w:t>
            </w:r>
          </w:p>
        </w:tc>
      </w:tr>
      <w:tr>
        <w:trPr>
          <w:trHeight w:val="244"/>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Held for Sale</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22,516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19,784</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Securities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fair value of cash equivalents and marketable securities which approximates cost:</w:t>
      </w:r>
    </w:p>
    <w:p>
      <w:pPr>
        <w:spacing w:after="0" w:line="2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240" w:top="337" w:right="4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60" w:type="dxa"/>
            <w:vAlign w:val="bottom"/>
          </w:tcPr>
          <w:p>
            <w:pPr>
              <w:spacing w:after="0"/>
              <w:rPr>
                <w:sz w:val="13"/>
                <w:szCs w:val="13"/>
                <w:color w:val="auto"/>
              </w:rPr>
            </w:pPr>
          </w:p>
        </w:tc>
        <w:tc>
          <w:tcPr>
            <w:tcW w:w="13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94"/>
        </w:trPr>
        <w:tc>
          <w:tcPr>
            <w:tcW w:w="70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time deposits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Sovereign debt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 – cash equivalents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6,882</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16,598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12,574</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5,886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Mortgage and asset-backed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 – marketable securities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9,133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11,841</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time deposits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 primarily 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restricted cash</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109"/>
        </w:trPr>
        <w:tc>
          <w:tcPr>
            <w:tcW w:w="70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Available-for-sale securities included above with contractual maturities(a)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 with contractual maturities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0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(a)  Excludes mortgage and asset-backed securities.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Sales proceeds from investments classified as available-for-sale and sold prior to maturity were $750 million and $1.6 billion in the three months ended June 30, 2017 and 2016 and $1.4 billion and $4.2 billion in the six months ended June 30, 2017 and 2016. Net unrealized gains and losses on available-for-sale securities and realized gains and losses on trading securities were insignificant in the three and six months ended June 30, 2017 and 2016. Cumulative unrealized gains and losses on available-for-sale securities were insignificant at June 30, 2017 and December 31, 2016.</w:t>
      </w:r>
    </w:p>
    <w:p>
      <w:pPr>
        <w:spacing w:after="0" w:line="180"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6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0" w:type="dxa"/>
            <w:vAlign w:val="bottom"/>
          </w:tcPr>
          <w:p>
            <w:pPr>
              <w:spacing w:after="0"/>
              <w:rPr>
                <w:sz w:val="1"/>
                <w:szCs w:val="1"/>
                <w:color w:val="auto"/>
              </w:rPr>
            </w:pPr>
          </w:p>
        </w:tc>
      </w:tr>
      <w:tr>
        <w:trPr>
          <w:trHeight w:val="249"/>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5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16,598</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5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57"/>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2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18,920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260" w:type="dxa"/>
            <w:vAlign w:val="bottom"/>
            <w:vMerge w:val="restart"/>
          </w:tcPr>
          <w:p>
            <w:pPr>
              <w:jc w:val="right"/>
              <w:ind w:right="397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6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GM Financial Receivables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1"/>
        </w:trPr>
        <w:tc>
          <w:tcPr>
            <w:tcW w:w="47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13"/>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51"/>
        </w:trPr>
        <w:tc>
          <w:tcPr>
            <w:tcW w:w="47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Finance receivables, collectively evaluated for impairment, net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41"/>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fees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28,971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38,279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24,480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31,986</w:t>
            </w: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receivables, individually evaluated for impairment, net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4"/>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fees</w:t>
            </w:r>
          </w:p>
        </w:tc>
        <w:tc>
          <w:tcPr>
            <w:tcW w:w="22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1,947</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30,983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33,933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30,139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9,294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39,433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25,635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7,493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33,128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GM Financial receivables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39,477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33,181</w:t>
            </w:r>
          </w:p>
        </w:tc>
      </w:tr>
      <w:tr>
        <w:trPr>
          <w:trHeight w:val="27"/>
        </w:trPr>
        <w:tc>
          <w:tcPr>
            <w:tcW w:w="4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We estimate the fair value of retail finance receivables using observable and unobservable Level 3 inputs within a cash flow model. The inputs reflect assumptions regarding expected prepayments, deferrals, delinquencies, recoveries and charge-offs of the loans within the portfolio. The cash flow model produces an estimated amortization schedule of the finance receivables. The projected cash flows are then discounted to derive the fair value of the portfolio. Macroeconomic factors could affect the credit performance of the portfolio and therefore could potentially affect the assumptions used in our cash flow model. A substantial majority of our commercial finance receivables have variable interest rates. The carrying amount, a Level 2 input, is considered to be a reasonable estimate of fair value.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334</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275</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828</w:t>
            </w: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allowance for loan losses on retail and commercial finance receivables included a collective allowance of $583 million and $525 million and a specific allowance of $310 million and $280 million at June 30, 2017 and December 31, 2016.</w:t>
      </w:r>
    </w:p>
    <w:p>
      <w:pPr>
        <w:spacing w:after="0" w:line="158"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Retail Finance Receivables </w:t>
      </w:r>
      <w:r>
        <w:rPr>
          <w:rFonts w:ascii="Times New Roman" w:cs="Times New Roman" w:eastAsia="Times New Roman" w:hAnsi="Times New Roman"/>
          <w:sz w:val="18"/>
          <w:szCs w:val="18"/>
          <w:color w:val="auto"/>
        </w:rPr>
        <w:t>We use proprietary scoring systems in the underwriting process that measure the credit quality of retail finance receivables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several factors, such as credit bureau information, consumer credit risk scores (e.g. FICO scores or its equivalent) and contract characteristics. We also consider other factors such as employment history, financial stability and capacity to pay. Subsequent to origination we review the credit quality of retail finance receivables based on customer payment activity. In North America, while we historically focused on consumers with lower than prime credit scores, we have expanded our prime lending programs. At June 30, 2017 and December 31, 2016, 41% and 48% of the retail finance receivables in North America were from consumers with sub-prime credit scores, which are defined as FICO scores or its equivalent of less than 620 at the time of loan origination.</w:t>
      </w:r>
    </w:p>
    <w:p>
      <w:pPr>
        <w:spacing w:after="0" w:line="187"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An account is considered delinquent if a substantial portion of a scheduled payment has not been received by the date such payment was contractually due. At June 30, 2017 and December 31, 2016 the accrual of finance charge income had been suspended on delinquent retail finance receivables with contractual amounts due of $772 million and $798 million. The following table summarizes the contractual amount of delinquent retail finance receivables, which is not significantly different than the recorded investment of the retail finance receivables: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37"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0" w:type="dxa"/>
            <w:vAlign w:val="bottom"/>
          </w:tcPr>
          <w:p>
            <w:pPr>
              <w:spacing w:after="0"/>
              <w:rPr>
                <w:sz w:val="1"/>
                <w:szCs w:val="1"/>
                <w:color w:val="auto"/>
              </w:rPr>
            </w:pPr>
          </w:p>
        </w:tc>
      </w:tr>
      <w:tr>
        <w:trPr>
          <w:trHeight w:val="24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31-to-60 days delinquent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Greater-than-60 days delinquent</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finance receivables more than 30 days delinquent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repossession</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finance receivables more than 30 days delinquent or in repossession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1,583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1,556</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At June 30, 2017 and December 31, 2016 retail finance receivables classified as troubled debt restructurings and individually evaluated for impairment were $2.0 billion and $1.9 billion and the allowance for loan losses included $306 million and $276 million of specific allowances on these receivables.</w:t>
      </w:r>
    </w:p>
    <w:p>
      <w:pPr>
        <w:spacing w:after="0" w:line="158"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Finance Receivables </w:t>
      </w:r>
      <w:r>
        <w:rPr>
          <w:rFonts w:ascii="Times New Roman" w:cs="Times New Roman" w:eastAsia="Times New Roman" w:hAnsi="Times New Roman"/>
          <w:sz w:val="18"/>
          <w:szCs w:val="18"/>
          <w:color w:val="auto"/>
        </w:rPr>
        <w:t>Our commercial finance receivables consist of dealer financings, primarily for inventory purchases. A proprietary model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used to assign a risk rating to each dealer. We perform periodic credit reviews of each dealership and adjust the dealership's risk rating, if necessary. Dealers in Group VI are subject to additional restrictions on funding, including suspension of lines of credit and liquidation of assets. At June 30, 2017 and December 31, 2016 the commercial finance receivables on non-accrual status were insignificant. The following table summarizes the credit risk profile by dealer risk rating of commercial finance receivables: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51"/>
        </w:trPr>
        <w:tc>
          <w:tcPr>
            <w:tcW w:w="900" w:type="dxa"/>
            <w:vAlign w:val="bottom"/>
            <w:tcBorders>
              <w:bottom w:val="single" w:sz="8" w:color="CCEEFF"/>
            </w:tcBorders>
          </w:tcPr>
          <w:p>
            <w:pPr>
              <w:spacing w:after="0"/>
              <w:rPr>
                <w:sz w:val="4"/>
                <w:szCs w:val="4"/>
                <w:color w:val="auto"/>
              </w:rPr>
            </w:pPr>
          </w:p>
        </w:tc>
        <w:tc>
          <w:tcPr>
            <w:tcW w:w="56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 I</w:t>
            </w:r>
          </w:p>
        </w:tc>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Dealers with superior financial metrics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54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II</w:t>
            </w:r>
          </w:p>
        </w:tc>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Dealers with strong financial metrics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 III</w:t>
            </w:r>
          </w:p>
        </w:tc>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Dealers with fair financial metrics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IV</w:t>
            </w:r>
          </w:p>
        </w:tc>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Dealers with weak financial metrics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 V</w:t>
            </w:r>
          </w:p>
        </w:tc>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Dealers warranting special mention due to elevated risks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VI</w:t>
            </w:r>
          </w:p>
        </w:tc>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Dealers with loans classified as substandard, doubtful or impaired</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90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0" w:type="dxa"/>
            <w:vAlign w:val="bottom"/>
            <w:tcBorders>
              <w:bottom w:val="single" w:sz="8" w:color="CCEEFF"/>
            </w:tcBorders>
            <w:shd w:val="clear" w:color="auto" w:fill="CCEEFF"/>
          </w:tcPr>
          <w:p>
            <w:pPr>
              <w:spacing w:after="0"/>
              <w:rPr>
                <w:sz w:val="22"/>
                <w:szCs w:val="22"/>
                <w:color w:val="auto"/>
              </w:rPr>
            </w:pPr>
          </w:p>
        </w:tc>
        <w:tc>
          <w:tcPr>
            <w:tcW w:w="5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54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7,533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GMNA</w:t>
            </w:r>
          </w:p>
        </w:tc>
        <w:tc>
          <w:tcPr>
            <w:tcW w:w="32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GMIO</w:t>
            </w:r>
          </w:p>
        </w:tc>
        <w:tc>
          <w:tcPr>
            <w:tcW w:w="140" w:type="dxa"/>
            <w:vAlign w:val="bottom"/>
          </w:tcPr>
          <w:p>
            <w:pPr>
              <w:spacing w:after="0"/>
              <w:rPr>
                <w:sz w:val="22"/>
                <w:szCs w:val="22"/>
                <w:color w:val="auto"/>
              </w:rPr>
            </w:pPr>
          </w:p>
        </w:tc>
        <w:tc>
          <w:tcPr>
            <w:tcW w:w="11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GMSA</w:t>
            </w:r>
          </w:p>
        </w:tc>
        <w:tc>
          <w:tcPr>
            <w:tcW w:w="260" w:type="dxa"/>
            <w:vAlign w:val="bottom"/>
          </w:tcPr>
          <w:p>
            <w:pPr>
              <w:spacing w:after="0"/>
              <w:rPr>
                <w:sz w:val="22"/>
                <w:szCs w:val="22"/>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65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5,107</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6,182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98"/>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11,289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9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GMNA</w:t>
            </w:r>
          </w:p>
        </w:tc>
        <w:tc>
          <w:tcPr>
            <w:tcW w:w="32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GMIO</w:t>
            </w:r>
          </w:p>
        </w:tc>
        <w:tc>
          <w:tcPr>
            <w:tcW w:w="140" w:type="dxa"/>
            <w:vAlign w:val="bottom"/>
          </w:tcPr>
          <w:p>
            <w:pPr>
              <w:spacing w:after="0"/>
              <w:rPr>
                <w:sz w:val="22"/>
                <w:szCs w:val="22"/>
                <w:color w:val="auto"/>
              </w:rPr>
            </w:pPr>
          </w:p>
        </w:tc>
        <w:tc>
          <w:tcPr>
            <w:tcW w:w="11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GMSA</w:t>
            </w:r>
          </w:p>
        </w:tc>
        <w:tc>
          <w:tcPr>
            <w:tcW w:w="260" w:type="dxa"/>
            <w:vAlign w:val="bottom"/>
          </w:tcPr>
          <w:p>
            <w:pPr>
              <w:spacing w:after="0"/>
              <w:rPr>
                <w:sz w:val="22"/>
                <w:szCs w:val="22"/>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65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5,008</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6,032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98"/>
              </w:rPr>
              <w:t>1,466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11,040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Equipment on Operating Leases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Equipment on operating leases in our automotive operations consists of vehicle sales to daily rental car companies with a guaranteed repurchase obligation.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37"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Pr>
          <w:p>
            <w:pPr>
              <w:spacing w:after="0"/>
              <w:rPr>
                <w:sz w:val="16"/>
                <w:szCs w:val="16"/>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49"/>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 net</w:t>
            </w:r>
          </w:p>
        </w:tc>
        <w:tc>
          <w:tcPr>
            <w:tcW w:w="1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980" w:type="dxa"/>
            <w:vAlign w:val="bottom"/>
            <w:tcBorders>
              <w:bottom w:val="single" w:sz="8" w:color="auto"/>
            </w:tcBorders>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Pr>
          <w:p>
            <w:pPr>
              <w:spacing w:after="0"/>
              <w:rPr>
                <w:sz w:val="22"/>
                <w:szCs w:val="22"/>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9"/>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80" w:type="dxa"/>
            <w:vAlign w:val="bottom"/>
            <w:tcBorders>
              <w:top w:val="single" w:sz="8" w:color="auto"/>
              <w:bottom w:val="single" w:sz="8" w:color="CCEEFF"/>
            </w:tcBorders>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28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26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76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GM Financial originates leases to retail customers that are recorded as operating leases.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Pr>
          <w:p>
            <w:pPr>
              <w:spacing w:after="0"/>
              <w:rPr>
                <w:sz w:val="24"/>
                <w:szCs w:val="2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49"/>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equipment on operating leases</w:t>
            </w:r>
          </w:p>
        </w:tc>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47,905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40,654</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1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39,725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34,342</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162"/>
        <w:spacing w:after="0" w:line="282" w:lineRule="auto"/>
        <w:rPr>
          <w:sz w:val="20"/>
          <w:szCs w:val="20"/>
          <w:color w:val="auto"/>
        </w:rPr>
      </w:pPr>
      <w:r>
        <w:rPr>
          <w:rFonts w:ascii="Times New Roman" w:cs="Times New Roman" w:eastAsia="Times New Roman" w:hAnsi="Times New Roman"/>
          <w:sz w:val="18"/>
          <w:szCs w:val="18"/>
          <w:color w:val="auto"/>
        </w:rPr>
        <w:t>Depreciation expense related to GM Financial equipment on operating leases, net was $1.6 billion and $1.1 billion in the three months ended June 30, 2017 and 2016 and $3.0 billion and $2.0 billion in the six months ended June 30, 2017 and 2016.</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minimum rental payments due to GM Financial on leases to retail customers: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9"/>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rental receipts under operating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3,191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1"/>
                <w:szCs w:val="21"/>
                <w:color w:val="auto"/>
              </w:rPr>
            </w:pPr>
          </w:p>
        </w:tc>
      </w:tr>
      <w:tr>
        <w:trPr>
          <w:trHeight w:val="43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Equity in Net Assets of Nonconsolidated Affiliates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46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gridSpan w:val="4"/>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0" w:type="dxa"/>
            <w:vAlign w:val="bottom"/>
            <w:tcBorders>
              <w:bottom w:val="single" w:sz="8" w:color="auto"/>
            </w:tcBorders>
          </w:tcPr>
          <w:p>
            <w:pPr>
              <w:spacing w:after="0"/>
              <w:rPr>
                <w:sz w:val="22"/>
                <w:szCs w:val="22"/>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equity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471</w:t>
            </w:r>
          </w:p>
        </w:tc>
        <w:tc>
          <w:tcPr>
            <w:tcW w:w="780" w:type="dxa"/>
            <w:vAlign w:val="bottom"/>
            <w:tcBorders>
              <w:bottom w:val="single" w:sz="8" w:color="CCEEFF"/>
            </w:tcBorders>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joint ventures equity income</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530</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660</w:t>
            </w:r>
          </w:p>
        </w:tc>
        <w:tc>
          <w:tcPr>
            <w:tcW w:w="780" w:type="dxa"/>
            <w:vAlign w:val="bottom"/>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0" w:type="dxa"/>
            <w:vAlign w:val="bottom"/>
            <w:shd w:val="clear" w:color="auto" w:fill="CCEEFF"/>
          </w:tcPr>
          <w:p>
            <w:pPr>
              <w:spacing w:after="0"/>
              <w:rPr>
                <w:sz w:val="22"/>
                <w:szCs w:val="22"/>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There have been no significant ownership changes in our Automotive China joint ventures (Automotive China JVs) since December 31,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2"/>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80" w:type="dxa"/>
            <w:vAlign w:val="bottom"/>
          </w:tcPr>
          <w:p>
            <w:pPr>
              <w:spacing w:after="0"/>
              <w:rPr>
                <w:sz w:val="22"/>
                <w:szCs w:val="22"/>
                <w:color w:val="auto"/>
              </w:rPr>
            </w:pPr>
          </w:p>
        </w:tc>
        <w:tc>
          <w:tcPr>
            <w:tcW w:w="11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Summarized Operating Data of Automotive China JVs</w:t>
            </w: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 China JVs' 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10,815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21,472</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 China JVs' 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2,065</w:t>
            </w:r>
          </w:p>
        </w:tc>
      </w:tr>
    </w:tbl>
    <w:p>
      <w:pPr>
        <w:spacing w:after="0" w:line="225"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Dividends received from our nonconsolidated affiliates were $1.6 billion in the three and six months ended June 30, 2017 and $1.9 billion and $2.0 billion in the three and six months ended June 30, 2016. At June 30, 2017 and December 31, 2016 we had undistributed earnings of $1.7 billion and $2.2 billion related to our nonconsolidated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Variable Interest Entities</w:t>
      </w:r>
    </w:p>
    <w:p>
      <w:pPr>
        <w:spacing w:after="0" w:line="121"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variable interest entities (VIEs) to issue variable funding notes to third party bank-sponsored warehouse facilities or asset-backed securities to investors in securitization transactions. The</w:t>
      </w:r>
    </w:p>
    <w:p>
      <w:pPr>
        <w:sectPr>
          <w:pgSz w:w="11900" w:h="16838" w:orient="portrait"/>
          <w:cols w:equalWidth="0" w:num="1">
            <w:col w:w="11420"/>
          </w:cols>
          <w:pgMar w:left="240" w:top="337"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37"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debt issued by these VIEs is backed by finance receivables and leasing 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condensed consolidated financial statements, they are separate legal entities and their assets are legally owned by them and are not available to GM Financial's creditors. The following table summarizes the assets and liabilities related to GM Financial's consolidated VIEs: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 – current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receivables, net of fees – current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12,437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 Financial receivables, net of fees – non-current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11,917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19,341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 Financial short-term debt and current portion of long-term 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17,526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long-term debt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16,659</w:t>
            </w:r>
          </w:p>
        </w:tc>
      </w:tr>
      <w:tr>
        <w:trPr>
          <w:trHeight w:val="27"/>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Automotive and GM Financial Debt</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automotive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10,610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10,560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11,399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utilizing Level 1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9,679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9,515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162"/>
        <w:spacing w:after="0" w:line="272" w:lineRule="auto"/>
        <w:rPr>
          <w:sz w:val="20"/>
          <w:szCs w:val="20"/>
          <w:color w:val="auto"/>
        </w:rPr>
      </w:pPr>
      <w:r>
        <w:rPr>
          <w:rFonts w:ascii="Times New Roman" w:cs="Times New Roman" w:eastAsia="Times New Roman" w:hAnsi="Times New Roman"/>
          <w:sz w:val="18"/>
          <w:szCs w:val="18"/>
          <w:color w:val="auto"/>
        </w:rPr>
        <w:t>The fair value of automotive debt measured utilizing Level 1 inputs was based on quoted prices in active markets for identical instruments that a market participant can access at the measurement date. The fair value of automotive debt measured utilizing Level 2 inputs was based on a discounted cash flow model using observable inputs. This model utilizes observable inputs such as contractual repayment terms and benchmark yield curves, plus a spread based on our senior unsecured notes that is intended to represent our nonperformance risk. We obtain the benchmark yield curves and yields on unsecured notes from independent sources that are widely used in the financial industry. At June 30, 2017 and December 31, 2016 the fair value of automotive debt exceeded its carrying amount due primarily to a decrease in bond yields compared to yields at the time of issuance.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06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Secured debt</w:t>
            </w:r>
          </w:p>
        </w:tc>
        <w:tc>
          <w:tcPr>
            <w:tcW w:w="2800" w:type="dxa"/>
            <w:vAlign w:val="bottom"/>
            <w:tcBorders>
              <w:bottom w:val="single" w:sz="8" w:color="CCEEFF"/>
            </w:tcBorders>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38,926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35,087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35,162</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Unsecured debt</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39,651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40,645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29,476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30,045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GM Financial debt</w:t>
            </w:r>
          </w:p>
        </w:tc>
        <w:tc>
          <w:tcPr>
            <w:tcW w:w="280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78,479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79,571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64,563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65,207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77,695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62,951</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utilizing Level 3 inputs</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2,256</w:t>
            </w:r>
          </w:p>
        </w:tc>
        <w:tc>
          <w:tcPr>
            <w:tcW w:w="0" w:type="dxa"/>
            <w:vAlign w:val="bottom"/>
          </w:tcPr>
          <w:p>
            <w:pPr>
              <w:spacing w:after="0"/>
              <w:rPr>
                <w:sz w:val="1"/>
                <w:szCs w:val="1"/>
                <w:color w:val="auto"/>
              </w:rPr>
            </w:pPr>
          </w:p>
        </w:tc>
      </w:tr>
      <w:tr>
        <w:trPr>
          <w:trHeight w:val="702"/>
        </w:trPr>
        <w:tc>
          <w:tcPr>
            <w:tcW w:w="4060" w:type="dxa"/>
            <w:vAlign w:val="bottom"/>
          </w:tcPr>
          <w:p>
            <w:pPr>
              <w:spacing w:after="0"/>
              <w:rPr>
                <w:sz w:val="24"/>
                <w:szCs w:val="24"/>
                <w:color w:val="auto"/>
              </w:rPr>
            </w:pPr>
          </w:p>
        </w:tc>
        <w:tc>
          <w:tcPr>
            <w:tcW w:w="24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fair value of GM Financial debt measured utilizing Level 2 inputs was based on quoted market prices for identical instruments and if unavailable, quoted market prices of similar instruments. For debt with original maturity or revolving period of eighteen months or less par value is considered to be a reasonable estimate of fair value. The fair value of GM Financial debt measured utilizing Level 3 inputs was based on the discounted future net cash flows expected to be settled using current risk-adjusted rates.</w:t>
      </w:r>
    </w:p>
    <w:p>
      <w:pPr>
        <w:spacing w:after="0" w:line="180"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Secured debt consists of revolving credit facilities and securitization notes payable. Most of the secured debt was issued by VIEs and is repayable only from proceeds related to the underlying pledged Securitized Assets. Refer to Note 8 for additional information on GM Financial's involvement with VIEs. In the six months ended June 30, 2017 we entered into new or renewed credit facilities with a total net additional borrowing capacity of $1.9 billion, which had substantially the same terms as existing debt and we issued $9.3 billion in aggregate principal amount of securitization notes payable with an initial weighted average interest rate of 2.04% and maturity dates ranging from 2020 to 2025.</w:t>
      </w:r>
    </w:p>
    <w:p>
      <w:pPr>
        <w:spacing w:after="0" w:line="184"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Unsecured debt consists of senior notes, credit facilities and other unsecured debt. In the six months ended June 30, 2017 we issued $10.0 billion in aggregate principal amount of senior notes with an initial weighted average interest rate of 2.90% and maturity dates ranging from 2019 to 2027.</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Each of these notes contain terms and covenants including limitations on GM Financial's ability to incur certain liens.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117"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The following table presents the notional amounts based on fair value asset or liability positions of derivative financial instruments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automotive operations: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60" w:type="dxa"/>
            <w:vAlign w:val="bottom"/>
          </w:tcPr>
          <w:p>
            <w:pPr>
              <w:spacing w:after="0"/>
              <w:rPr>
                <w:sz w:val="13"/>
                <w:szCs w:val="13"/>
                <w:color w:val="auto"/>
              </w:rPr>
            </w:pP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80" w:type="dxa"/>
            <w:vAlign w:val="bottom"/>
          </w:tcPr>
          <w:p>
            <w:pPr>
              <w:spacing w:after="0"/>
              <w:rPr>
                <w:sz w:val="13"/>
                <w:szCs w:val="13"/>
                <w:color w:val="auto"/>
              </w:rPr>
            </w:pPr>
          </w:p>
        </w:tc>
        <w:tc>
          <w:tcPr>
            <w:tcW w:w="142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94"/>
        </w:trPr>
        <w:tc>
          <w:tcPr>
            <w:tcW w:w="70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investment hedges – 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Commodity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cash flow hedges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4,483</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Commodity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5,544</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Commodity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8,673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57"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these derivative instruments at June 30, 2017 and December 31, 2016 as well as the gains/losses included in our condensed consolidated income statements and statements of comprehensive income for the three and six months ended June 30, 2017 and 2016 were insignificant.</w:t>
      </w:r>
    </w:p>
    <w:p>
      <w:pPr>
        <w:spacing w:after="0" w:line="147" w:lineRule="exact"/>
        <w:rPr>
          <w:sz w:val="20"/>
          <w:szCs w:val="20"/>
          <w:color w:val="auto"/>
        </w:rPr>
      </w:pPr>
    </w:p>
    <w:p>
      <w:pPr>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The following table presents the notional amounts based on fair value asset or liability positions of GM Financial's derivative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37"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3"/>
                <w:szCs w:val="13"/>
                <w:color w:val="auto"/>
              </w:rPr>
            </w:pP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0" w:type="dxa"/>
            <w:vAlign w:val="bottom"/>
          </w:tcPr>
          <w:p>
            <w:pPr>
              <w:spacing w:after="0"/>
              <w:rPr>
                <w:sz w:val="13"/>
                <w:szCs w:val="13"/>
                <w:color w:val="auto"/>
              </w:rPr>
            </w:pPr>
          </w:p>
        </w:tc>
        <w:tc>
          <w:tcPr>
            <w:tcW w:w="14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Fair value hedges – interest rate swaps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cash flow hedges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5,821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Fair value hedges – interest rate swaps(b)</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flow hedges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70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24,881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 caps and floors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41,369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70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 caps and floors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35,791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18,316</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jc w:val="right"/>
              <w:ind w:right="6170"/>
              <w:spacing w:after="0"/>
              <w:rPr>
                <w:sz w:val="20"/>
                <w:szCs w:val="20"/>
                <w:color w:val="auto"/>
              </w:rPr>
            </w:pPr>
            <w:r>
              <w:rPr>
                <w:rFonts w:ascii="Times New Roman" w:cs="Times New Roman" w:eastAsia="Times New Roman" w:hAnsi="Times New Roman"/>
                <w:sz w:val="16"/>
                <w:szCs w:val="16"/>
                <w:color w:val="auto"/>
                <w:w w:val="99"/>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these derivative instruments at June 30, 2017 and December 31, 2016 as well as the gains/losses included in our condensed consolidated income statements and statements of comprehensive income for the three and six months ended June 30, 2017 and 2016 were insignificant.</w:t>
      </w: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these derivative instruments was $238 million and $276 million at June 30, 2017 and December 31, 2016.</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Product Warranty and Related Liabilities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Pr>
          <w:p>
            <w:pPr>
              <w:spacing w:after="0"/>
              <w:rPr>
                <w:sz w:val="22"/>
                <w:szCs w:val="22"/>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9"/>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 balance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8,550</w:t>
            </w:r>
          </w:p>
        </w:tc>
      </w:tr>
      <w:tr>
        <w:trPr>
          <w:trHeight w:val="290"/>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Warranties issued and assumed in period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recall campaigns</w:t>
            </w:r>
          </w:p>
        </w:tc>
        <w:tc>
          <w:tcPr>
            <w:tcW w:w="160" w:type="dxa"/>
            <w:vAlign w:val="bottom"/>
          </w:tcPr>
          <w:p>
            <w:pPr>
              <w:spacing w:after="0"/>
              <w:rPr>
                <w:sz w:val="24"/>
                <w:szCs w:val="24"/>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321</w:t>
            </w:r>
          </w:p>
        </w:tc>
      </w:tr>
      <w:tr>
        <w:trPr>
          <w:trHeight w:val="304"/>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Warranties issued and assumed in period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product warranty</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1,086</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289</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 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8,639</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37"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We estimate our reasonably possible loss in excess of amounts accrued for recall campaigns to be an insignificant amount at June 30, 2017. Refer to Note 13 for reasonably possible losses on Takata Corporation (Takata)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Pensions and Other Postretirement Benefits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Three Months Ended June 30, 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Three Months Ended June 30, 2016</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22"/>
                <w:szCs w:val="22"/>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22"/>
                <w:szCs w:val="2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5"/>
                <w:szCs w:val="5"/>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5"/>
                <w:szCs w:val="5"/>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249"/>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5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Six Months Ended June 30, 2017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Six Months Ended June 30, 2016</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22"/>
                <w:szCs w:val="22"/>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22"/>
                <w:szCs w:val="2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5"/>
                <w:szCs w:val="5"/>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5"/>
                <w:szCs w:val="5"/>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249"/>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We made discretionary contributions to our U.S. hourly pension plan of $2.0 billion in the six months ended June 30, 2016. These discretionary contributions were funded with the net proceeds from the issuance of senior unsecured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Litigation-Related Liability and Tax Administrative Matters </w:t>
      </w:r>
      <w:r>
        <w:rPr>
          <w:rFonts w:ascii="Times New Roman" w:cs="Times New Roman" w:eastAsia="Times New Roman" w:hAnsi="Times New Roman"/>
          <w:sz w:val="18"/>
          <w:szCs w:val="18"/>
          <w:color w:val="auto"/>
        </w:rPr>
        <w:t>In the normal course of business, we are named from time to time as a defendant in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actions, including arbitrations, class actions and other litigation, that arise in connection with our business as a global company. We identify below the material individual proceedings and investigations in connection with which we believe a material loss is reasonably possible or probable. We accrue for matters when we believe that losses are probable and can be reasonably estimated. At June 30, 2017 and December 31, 2016 total accruals of $1.2 billion were recorded in Accrued liabilities and Other liabilities. In many proceedings, it is inherently difficult to determine whether any loss is probable or even reasonably possible or to estimate the size or range of the possible loss. Accordingly an adverse outcome from such proceedings could exceed the amounts accrued by an amount that could be material to our results of operations or cash flows in any particular reporting period.</w:t>
      </w:r>
    </w:p>
    <w:p>
      <w:pPr>
        <w:spacing w:after="0" w:line="183"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Proceedings Related to Ignition Switch Recall and Other Recalls </w:t>
      </w:r>
      <w:r>
        <w:rPr>
          <w:rFonts w:ascii="Times New Roman" w:cs="Times New Roman" w:eastAsia="Times New Roman" w:hAnsi="Times New Roman"/>
          <w:sz w:val="18"/>
          <w:szCs w:val="18"/>
          <w:color w:val="auto"/>
        </w:rPr>
        <w:t>In 2014 we announced various recalls relating to safety and other matters. Those recalls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75"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Through July 17, 2017 we were aware of over 100 putative class actions pending against GM in various courts in the U.S. and Canada alleging that consumers who purchased or leased vehicles manufactured by GM or General Motors Corporation had been economically harmed by one or more of the recalls announced in 2014 and/or the underlying vehicle conditions associated with those recalls (economic-loss cases). In general, these economic-loss cases seek recovery for purported compensatory damages, such as alleged benefit-of-the-bargain damages or damages related to alleged diminution in value of the vehicles, as well as punitive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37"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damages, injunctive relief and other relief. There are also two civil actions brought by state governmental entities relating to the recalls that seek civil penalties and injunctive relief for alleged violations of state laws.</w:t>
      </w:r>
    </w:p>
    <w:p>
      <w:pPr>
        <w:spacing w:after="0" w:line="162"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We also were aware of several hundred actions pending in various courts in the U.S. and Canada alleging injury or death as a result of defects that may be the subject of recalls announced in 2014 (personal injury cases). In general, these personal injury cases seek recovery for purported compensatory damages, punitive damages and other relief. During 2016, several bellwether trials took place in the personal injury cases in the U.S. District Court for the Southern District of New York (Southern District), which is administering a federal multi-district litigation, and in a Texas state court, which is administering a Texas state multi-district litigation (MDL). None of these trials resulted in a finding of liability against GM. Another bellwether trial occurred in the Southern District in July 2017. On July 19, 2017 a jury returned a verdict in favor of GM in the trial. Additional personal injury bellwether trials are scheduled later in 2017 and in 2018.</w:t>
      </w:r>
    </w:p>
    <w:p>
      <w:pPr>
        <w:spacing w:after="0" w:line="189"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color w:val="auto"/>
        </w:rPr>
        <w:t>On July 15, 2016 the Southern District granted in part and denied in part GM's motion to dismiss plaintiffs' complaint in the federal multi-district litigation seeking damages for alleged economic loss relating to the ignition switch and other recalls by GM in 2014. Among other things, the Southern District dismissed plaintiffs' claims brought under the Racketeer Influenced and Corrupt Organization Act (RICO) and rejected plaintiffs' broadest theory of damages</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that plaintiffs could seek recovery for alleged reduction in the value of their vehicles due to damage to GM's reputation and brand as a result of the ignition switch matter. The Southern District granted GM's motion to dismiss with respect to certain state law claims but denied it as to other state law claims.</w:t>
      </w:r>
    </w:p>
    <w:p>
      <w:pPr>
        <w:spacing w:after="0" w:line="180"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On September 15, 2016, plaintiffs filed a Fourth Amended Consolidated Complaint amending their economic-loss claims, and GM moved to dismiss certain claims in that Complaint as well. On June 30, 2017, the Southern District issued an order granting in part and denying in part GM’s motion. In its order, among other things, the Southern District reaffirmed its dismissal of plaintiffs’ brand devaluation claim and theory of damages, dismissed the claims of any plaintiff who purchased a vehicle before GM came into existence in July 2009, and dismissed the claims of any plaintiff who disposed of their vehicle before announcement of the ignition switch recalls in February 2014. With respect to plaintiffs’ claims under the laws of certain states that were at issue in the motion, the Court granted GM’s motion to dismiss with respect to certain state law claims but denied it as to other state law claims.</w:t>
      </w:r>
    </w:p>
    <w:p>
      <w:pPr>
        <w:spacing w:after="0" w:line="188"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April 2015 the United States Bankruptcy Court for the Southern District of New York (Bankruptcy Court) issued a decision precluding claims against us based upon pre-sale accidents, claims based upon the acts or conduct by General Motors Corporation and claims asserting successor liability for obligations owed by General Motors Corporation (successor liability claims), except for claims asserting liabilities that had been expressly assumed by us in the July 2009 Sale Agreement, and claims that could be asserted against us only if they were otherwise viable and arose solely out of our own independent post-closing acts and did not in any way rely on acts or conduct by General Motors Corporation.</w:t>
      </w:r>
    </w:p>
    <w:p>
      <w:pPr>
        <w:spacing w:after="0" w:line="184"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On July 13, 2016 the United States Court of Appeals for the Second Circuit (Second Circuit) issued a decision and judgment affirming in part, reversing in part, and vacating portions of the Bankruptcy Court's decision and subsequent judgment. Among other things, the Second Circuit held that the 2009 Sale Order could not be enforced to bar claims against GM asserted by either plaintiffs who purchased used vehicles after the sale closing or against purchasers who asserted claims relating to the ignition switch defect, including pre-closing personal injury claims and economic-loss claims. The Second Circuit also vacated that portion of the Bankruptcy Court judgment enforcing the 2009 Sale Order against plaintiffs with pre-sale claims based on defects other than the ignition switch and remanded that issue to the Bankruptcy Court for further proceedings. In April 2017, the United States Supreme Court denied our petition for certiorari. Plaintiffs asserting claims relating to the ignition switch defect in the MDL and other courts must still establish their right to assert successor liability claims and demonstrate that their claims have merit. Certain of these claims were resolved through GM's Ignition Switch Recall Compensation Program and should not be the subject of additional litigation.</w:t>
      </w:r>
    </w:p>
    <w:p>
      <w:pPr>
        <w:spacing w:after="0" w:line="18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putative shareholder class action filed in the United States District Court for the Eastern District of Michigan (Eastern District) on behalf of purchasers of our common stock from November 17, 2010 to July 24, 2014 (Shareholder Class Action), the lead plaintiff, the New York State Teachers' Retirement System, alleged that GM and several current and former officers and employees made material misstatements and omissions relating to problems with the ignition switch and other matters in SEC filings and other public statements. On May 23, 2016 the Eastern District entered a judgment approving a class-wide settlement of the Shareholder Class Action for $300 million. One shareholder has filed an appeal of the decision approving the settlement.</w:t>
      </w:r>
    </w:p>
    <w:p>
      <w:pPr>
        <w:spacing w:after="0" w:line="184"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Three shareholder derivative actions against certain current and former GM directors and officers are pending in the Eastern District. The court is considering our motions to dismiss those actions. Two derivative actions filed in the Circuit Court of Wayne County, Michigan, which have been consolidated, are stayed pending disposition of the federal derivative actions.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37"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 connection with the 2014 recalls, we have from time to time received subpoenas and other requests for information related to investigations by agencies or other representatives of U.S. federal, state and the Canadian governments, including the United States Attorney’s Office for the Southern District of New York (the U.S. Attorney's Office). Ongoing matters or investigations as of June 30, 2017, include an inquiry from the U.S. General Services Administration in respect of the effect of the DPA under U.S. government contracting regulations, litigation initiated by the Arizona Attorney General, litigation initiated by the Orange County District Attorney, and investigations by 49 state attorneys general which may result in litigation. We believe we are cooperating fully with all reasonable pending requests for information. Such matters could in the future result in the imposition of material damages, fines, civil consent orders, civil and criminal penalties or other remedies.</w:t>
      </w:r>
    </w:p>
    <w:p>
      <w:pPr>
        <w:spacing w:after="0" w:line="189"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With regard to the investigation by the U.S. Attorney's Office, on September 16, 2015, we entered into a Deferred Prosecution Agreement (the DPA) with the U.S. Attorney's Office regarding its investigation of the events leading up to certain recalls regarding faulty ignition switches. Pursuant to the DPA we have paid the United States $900 million as a financial penalty, and we agreed to retain an independent monitor to review and assess our policies, practices or procedures related to statements about motor vehicle safety, the provision of information to those responsible for recall decisions, recall processes and addressing known defects in certified pre-owned vehicles. In addition, the U.S. Attorney's Office agreed to recommend to the Southern District that prosecution of GM on a two-count information filed in the Southern District be deferred for three years. The U.S. Attorney's Office also agreed that if we are in compliance with all of our obligations under the DPA, the U.S. Attorney's Office will, within 30 days after the expiration of the period of deferral (including any extensions thereto), seek dismissal with prejudice of the two-count information filed against GM. For a further description of the terms and conditions of the DPA refer to Note 15 of our 2016 Form 10-K.</w:t>
      </w:r>
    </w:p>
    <w:p>
      <w:pPr>
        <w:spacing w:after="0" w:line="189"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The total amount accrued for ignition switch and the various other related recalls at June 30, 2017 reflects amounts for a combination of settled but unpaid matters, and for the remaining unsettled investigations, claims and/or lawsuits relating to the ignition switch recalls and other related recalls. The amounts accrued for those unsettled investigations, claims, and/or lawsuits represent a combination of our best single point estimates where determinable and, where no such single point estimate is determinable, our estimate of the low end of the range of probable loss with regard to such matters, if that is determinable. We believe it is probable that we will incur additional liabilities beyond what has already been accrued for at least a portion of the remaining matters, whether through settlement or judgment; however, we are currently unable to estimate an overall amount or range of loss because these matters involve significant uncertainties, including the legal theory or the nature of the investigations, claims and/or lawsuits, the complexity of the facts, the lack of documentation available to us with respect to particular cases or groups of cases, the results of any investigation or litigation and the timing of resolution of the investigation or litigations, including any appeals, further proceedings regarding interpretation and application of the Second Circuit's July 13, 2016 decision and certain common law doctrines, and further proceedings following the Southern District's July 15, 2016 decision and its June 30, 2017 decision on GM's motion to dismiss the Fourth Amended and Consolidated Complaint. We will continue to consider resolution of pending matters involving ignition switch recalls and other recalls where it makes sense to do so.</w:t>
      </w:r>
    </w:p>
    <w:p>
      <w:pPr>
        <w:spacing w:after="0" w:line="187"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Canada Dealers' Claim </w:t>
      </w:r>
      <w:r>
        <w:rPr>
          <w:rFonts w:ascii="Times New Roman" w:cs="Times New Roman" w:eastAsia="Times New Roman" w:hAnsi="Times New Roman"/>
          <w:sz w:val="18"/>
          <w:szCs w:val="18"/>
          <w:color w:val="auto"/>
        </w:rPr>
        <w:t>On February 12, 2010 a claim was filed in the Ontario Superior Court of Justice against GM Canada on behalf of a purported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of over 200 former GM Canada dealers (the Plaintiff Dealers) which had entered into wind-down agreements with GM Canada. In May 2009 in the context of the global restructuring of GM's business and the possibility that GM Canada might be required to initiate insolvency proceedings, GM Canada offered the Plaintiff Dealers the wind-down agreements to assist with their exit from the GM Canada dealer network and to facilitate winding down their operations in an orderly fashion. The Plaintiff Dealers allege that their Dealer Sales and Service Agreements were wrongly terminated by GM Canada and that GM Canada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750 million Canadian Dollars, without explanation of any specific measure of damages. On March 1, 2011 the court approved certification of a class for the purpose of deciding a number of specifically defined issues. A number of former dealers opted out of participation in the litigation, leaving 181 dealers in the certified class. On July 8, 2015 the Ontario Superior Court dismissed the Plaintiff Dealers’ claim against GM Canada. The court also dismissed GM Canada’s counterclaim against the Plaintiff Dealers for repayment of the wind-down payments made to them by GM Canada as well as for other relief. On July 4, 2017, the Court of Appeals for Ontario affirmed the Superior Court's judgment with regard to GM Canada. It is possible that the Plaintiff Dealers may seek leave to appeal to the Supreme Court of Canada. We cannot estimate the range of reasonably possible loss in the event of liability as the case presents a variety of different legal theories, none of which GM Canada believes are valid.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337"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2"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Korea Wage Litigation </w:t>
      </w:r>
      <w:r>
        <w:rPr>
          <w:rFonts w:ascii="Times New Roman" w:cs="Times New Roman" w:eastAsia="Times New Roman" w:hAnsi="Times New Roman"/>
          <w:sz w:val="18"/>
          <w:szCs w:val="18"/>
          <w:color w:val="auto"/>
        </w:rPr>
        <w:t>Commencing on or about September 29, 2010 current and former hourly employees of GM Korea Company (GM Korea) filed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On November 23, 2012 the Seoul High Court (an intermediate level appellate court) affirmed a decision of the Incheon District Court in a case involving five GM Korea employees which was contrary to GM Korea's position. GM Korea appealed to the Supreme Court of the Republic of Korea (Supreme Court). On May 29, 2014 the Supreme Court remanded the case to the Seoul High Court for consideration consistent with earlier Supreme Court precedent holding that while fixed bonuses should be included in the calculation of Ordinary Wages, claims for retroactive application of this rule would be barred under certain circumstances. On reconsideration, the Seoul High Court held in GM Korea’s favor on October 30, 2015, after which the plaintiffs appealed to the Supreme Court. In July 2014 GM Korea and its labor union also agreed to include bonuses and certain allowances in Ordinary Wages retroactive to March 1, 2014. Therefore our accrual related to these cases was reclassified from a contingent liability to the Pensions liability. We estimate our reasonably possible loss in excess of amounts accrued to be approximately $547 million at June 30, 2017, which relates to periods before March 1, 2014. We are also party to litigation with current and former salaried employees over allegations relating to Ordinary Wages regulation. On November 26 and 27, 2015 the Supreme Court remanded two salary cases to the Seoul High Court for a review of the merits. At June 30, 2017 the reasonably possible loss for salary cases in excess of amounts accrued was approximately $167 million. Both the scope of claims asserted and GM Korea's assessment of any or all of the individual claim elements may change if new information becomes available. These cases are currently pending before various courts in Korea.</w:t>
      </w:r>
    </w:p>
    <w:p>
      <w:pPr>
        <w:spacing w:after="0" w:line="184"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Brazil Indirect Tax Claim </w:t>
      </w:r>
      <w:r>
        <w:rPr>
          <w:rFonts w:ascii="Times New Roman" w:cs="Times New Roman" w:eastAsia="Times New Roman" w:hAnsi="Times New Roman"/>
          <w:sz w:val="18"/>
          <w:szCs w:val="18"/>
          <w:color w:val="auto"/>
        </w:rPr>
        <w:t>In March 2017 the Supreme Court of Brazil issued a decision concluding that a certain state value added tax should not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in the calculation of federal gross receipts taxes. The decision reduces GM Brazil’s gross receipts tax prospectively and, potentially, retrospectively. The retrospective right to recover is under judicial review and we do not expect resolution during 2017. If the Supreme Court of Brazil grants retrospective recovery we estimate potential recoveries of up to $1.4 billion. However, given the remaining uncertainty regarding the ultimate judicial resolution of this matter we are unable to assess the likelihood of any favorable outcome at this time. We have not recorded any amounts relating to the retrospective nature of this matter.</w:t>
      </w:r>
    </w:p>
    <w:p>
      <w:pPr>
        <w:spacing w:after="0" w:line="183"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Litigation-Related Liability and Tax Administrative Matters </w:t>
      </w:r>
      <w:r>
        <w:rPr>
          <w:rFonts w:ascii="Times New Roman" w:cs="Times New Roman" w:eastAsia="Times New Roman" w:hAnsi="Times New Roman"/>
          <w:sz w:val="18"/>
          <w:szCs w:val="18"/>
          <w:color w:val="auto"/>
        </w:rPr>
        <w:t>Various other legal actions, governmental investigations, claims and proceedings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pending against us or our related companies or joint ventures, including matters arising out of alleged product defects; employment-related matters; product and workplace safety, vehicle emissions, including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and nitrogen oxide, fuel economy, and related government regulations; product warranties; financial services; dealer, supplier and other contractual relationships; government regulations relating to payments to foreign companies; government regulations relating to competition issues; tax-related matters not subject to the provision of Accounting Standards Codification (ASC) 740, Income Taxes (indirect tax-related matters); product design, manufacture and performance; consumer protection laws; and environmental protection laws, including laws regulating air emissions, water discharges, waste management and environmental remediation.</w:t>
      </w:r>
    </w:p>
    <w:p>
      <w:pPr>
        <w:spacing w:after="0" w:line="187"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and state emission standards. GM also faces a series of additional lawsuits based primarily on allegations in the Duramax suit, including putative shareholder class actions claiming violations of federal securities law. At this early stage of these proceedings, we are unable to provide an evaluation of the likelihood that a loss will be incurred or an estimate of the amounts or range of possible loss.</w:t>
      </w:r>
    </w:p>
    <w:p>
      <w:pPr>
        <w:spacing w:after="0" w:line="184"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180"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or provide an alternative form of security which may range from $200 million to $600 million at June 30, 2017. Some of the matters may involve compensatory, punitive or other treble damage claims, environmental remediation programs or sanctions that, if granted, could require us to pay damages or make other expenditures in amounts that could not be reasonably estimated at June 30, 2017. We believe that appropriate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37"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accruals have been established for losses that are probable and can be reasonably estimated. For indirect tax-related matters we estimate our reasonably possible loss in excess of amounts accrued to be up to approximately $900 million at June 30, 2017.</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Takata Matters </w:t>
      </w:r>
      <w:r>
        <w:rPr>
          <w:rFonts w:ascii="Times New Roman" w:cs="Times New Roman" w:eastAsia="Times New Roman" w:hAnsi="Times New Roman"/>
          <w:sz w:val="18"/>
          <w:szCs w:val="18"/>
          <w:color w:val="auto"/>
        </w:rPr>
        <w:t>On May 4, 2016 the National Highway Transportation Safety Administration (NHTSA) issued an amended consent order requiring Takata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 defect information reports (DIRs) for previously unrecalled front airbag inflators that contain phase-stabilized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 On May 16, 2016 Takata issued its first DIR in connection with the amended consent order, and on January 3, 2017, Takata issued its second set of DIRs.</w:t>
      </w:r>
    </w:p>
    <w:p>
      <w:pPr>
        <w:spacing w:after="0" w:line="187"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Although we do not believe there is a safety defect at this time in any GM vehicles within the scope of the Takata DIRs, in cooperation with NHTSA we filed Preliminary DIRs on May 27, 2016, updated as of June 13, 2016, covering 2.5 million of certain of our GMT900 vehicles, which are full-size pick-up trucks and sport utility vehicles (SUVs). On November 15, 2016 we filed a petition for inconsequentiality and request for deferral of determination regarding those GMT900 vehicles. On November 28, 2016 NHTSA granted GM's deferral request in connection with this petition. The deferral provides GM until August 31, 2017 to present evidence and analysis that our vehicles do not pose an unreasonable risk to motor vehicle safety. We believe that further evidence, analysis, and testing will prove to NHTSA that the non-desiccated Takata inflators in GMT900 vehicles do not present an unreasonable risk to safety and that no repair should ultimately be required.</w:t>
      </w:r>
    </w:p>
    <w:p>
      <w:pPr>
        <w:spacing w:after="0" w:line="18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Takata filed a second set of equipment DIRs on January 3, 2017 and we filed a second set of Preliminary DIRs for certain GMT900 vehicles on January 10, 2017. These January 2017 DIRs, covering additional GMT900 vehicles, are consistent with GM’s May 2016 DIRs. On the same day, we also filed a second petition for inconsequentiality and deferral of decision with respect to the vehicles subject to our January 2017 DIRs. On January 18, 2017, NHTSA consolidated our first and second petitions for inconsequentiality and will rule on both at the same time.</w:t>
      </w:r>
    </w:p>
    <w:p>
      <w:pPr>
        <w:spacing w:after="0" w:line="180"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We believe these vehicles are currently performing as designed and ongoing testing continues to support the belief that the vehicles' unique design and integration mitigates against inflator propellant degradation. We believe that the results of further testing and analysis will demonstrate that the vehicles do not present an unreasonable risk to safety and that no repair will ultimately be required. 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up to $900 million.</w:t>
      </w:r>
    </w:p>
    <w:p>
      <w:pPr>
        <w:spacing w:after="0" w:line="188"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Through July 17, 2017 we were aware of one putative class action pending against GM in federal court in the U.S., one putative class action in Mexico and four putative class actions pending in various Provincial Courts in Canada arising out of allegations that airbag inflators manufactured by Takata are defective. At this early stage of these proceedings, we are unable to provide an evaluation of the likelihood that a loss will be incurred or an estimate of the amounts or range of possible loss. In addition, the New Mexico Attorney General initiated litigation against Takata and numerous automotive manufacturers, including GM. However, on June 13, 2017 the parties filed a stipulation of dismissal without prejudice as to all claims against GM brought by the New Mexico Attorney General.</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Product Liability </w:t>
      </w:r>
      <w:r>
        <w:rPr>
          <w:rFonts w:ascii="Times New Roman" w:cs="Times New Roman" w:eastAsia="Times New Roman" w:hAnsi="Times New Roman"/>
          <w:sz w:val="18"/>
          <w:szCs w:val="18"/>
          <w:color w:val="auto"/>
        </w:rPr>
        <w:t>With respect to product liability claims (other than claims relating to the ignition switch recalls discussed above) involving GM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Motors Corporation products, we believe that any judgment against us for actual damages will be adequately covered by our recorded accruals and, where applicable, excess liability insurance coverage. In addition we indemnify dealers for certain product liability related claims, including claims related to products sold by General Motors Corporation's dealers. At June 30, 2017 and December 31, 2016 liabilities of $627 million and $656 million were recorded in Accrued liabilities and Other liabilities for the expected cost of all known product liability claims plus an estimate of the expected cost for product liability claims that have already been incurred and are expected to be filed in the future for which we are self-insured. In light of vehicle recalls in recent years it is reasonably possible that our accruals for product liability claims may increase in future periods in material amounts, although we cannot estimate a reasonable range of incremental loss based on currently available information.</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We enter into indemnification agreements for liability claims involving products manufactured primarily by certain joint ventures. We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vehicle repurchase guarantees and payment guarantees on commercial loans outstanding with third parties such as dealers. These guarantees terminate in years ranging from 2017 to 2032 or upon the occurrence of specific events or are ongoing. We believe that the related potential costs incurred are adequately covered and our recorded accruals are insignificant.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37"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maximum liability, calculated as future undiscounted payments, was $4.9 billion and $4.4 billion for these guarantees at June 30, 2017 and December 31, 2016, the majority of which relate to the indemnification agreements.</w:t>
      </w:r>
    </w:p>
    <w:p>
      <w:pPr>
        <w:spacing w:after="0" w:line="16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some instances certain assets of the party whose debt or performance we have guaranteed may offset, to some degree, the amount of certain guarantees. Our payables to the party whose debt or performance we have guaranteed may also reduce the amount of certain guarantees. If vehicles are required to be repurchased under vehicle repurchase obligations, the total exposure would be reduced to the extent vehicles are able to be resold to another dealer.</w:t>
      </w:r>
    </w:p>
    <w:p>
      <w:pPr>
        <w:spacing w:after="0" w:line="17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21"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For interim income tax reporting we estimate our annual effective tax rate and apply it to our year to date ordinary income (loss). Tax jurisdictions with a projected or year to 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 We have open tax years from 2007 to 2016 with various significant tax jurisdictions.</w:t>
      </w:r>
    </w:p>
    <w:p>
      <w:pPr>
        <w:spacing w:after="0" w:line="180"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three months ended June 30, 2017 income tax expense of $534 million primarily resulted from tax expense attributable to entities included in our effective tax rate calculation of $621 million including tax benefits from foreign dividends. In the three months ended June 30, 2016 income tax expense of $877 million primarily resulted from tax expense attributable to entities included in our effective tax rate calculation of $1.2 billion, partially offset by tax benefits related to foreign currency losses.</w:t>
      </w:r>
    </w:p>
    <w:p>
      <w:pPr>
        <w:spacing w:after="0" w:line="180"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six months ended June 30, 2017 income tax expense of $1.3 billion primarily resulted from tax expense attributable to entities included in our effective tax rate calculation of $1.5 billion including tax benefits from foreign dividends, partially offset by tax benefits related to tax settlements. In the six months ended June 30, 2016 income tax expense of $1.5 billion primarily resulted from tax expense attributable to entities included in our effective tax rate calculation of $2.0 billion, partially offset by tax benefits related to foreign currency losses, tax settlements and deduction taken for stock investments in non-U.S. affiliates.</w:t>
      </w:r>
    </w:p>
    <w:p>
      <w:pPr>
        <w:spacing w:after="0" w:line="184"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At June 30, 2017 we had $31.8 billion of net deferred tax assets consisting of net operating losses and income tax credits, capitalized research expenditures and other timing differences that are available to offset future income tax liabilities, partially offset by valuation allowances. The net operating losses and income tax credits include U.S. operating loss and tax credit carryforward deferred tax assets of $8.7 billion that expire by 2037 if not utilized; and Non-U.S operating loss and tax credit carryforward deferred tax assets of $4.9 billion of which $1.3 billion expire by 2037 if not utilized and $3.6 billion can be carried forward indefinitely. Refer to Note 2 for the effect the sale of the European Business will have on our net deferred tax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Restructuring and Other Initiatives</w:t>
      </w:r>
    </w:p>
    <w:p>
      <w:pPr>
        <w:spacing w:after="0" w:line="121"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have executed various restructuring and other initiatives and we plan to execute additional initiatives in the future, if necessary, to streamline manufacturing capacity and other costs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 The following table summarizes the reserves and charges related to restructuring and other initiatives, including postemployment benefit reserves and charges: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37"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5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0" w:type="dxa"/>
            <w:vAlign w:val="bottom"/>
          </w:tcPr>
          <w:p>
            <w:pPr>
              <w:spacing w:after="0"/>
              <w:rPr>
                <w:sz w:val="22"/>
                <w:szCs w:val="22"/>
                <w:color w:val="auto"/>
              </w:rPr>
            </w:pPr>
          </w:p>
        </w:tc>
        <w:tc>
          <w:tcPr>
            <w:tcW w:w="11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9"/>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383</w:t>
            </w: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340</w:t>
            </w:r>
          </w:p>
        </w:tc>
      </w:tr>
      <w:tr>
        <w:trPr>
          <w:trHeight w:val="27"/>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333</w:t>
            </w:r>
          </w:p>
        </w:tc>
      </w:tr>
      <w:tr>
        <w:trPr>
          <w:trHeight w:val="20"/>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In the three months ended June 30, 2017 we announced several restructuring actions in GMIO, primarily related to the withdrawal of Chevrolet in the Indian and South African markets by the end of 2017 and the transition of our South Africa manufacturing operations to Isuzu Motors. We intend to continue manufacturing vehicles in India for sale to certain export markets. In the three months ended June 30, 2017 we recorded charges of $460 million in GMIO primarily consisting of $297 million of asset impairments, sales incentives, inventory provisions and other charges, not reflected in the table above, and $163 million of dealer restructurings, employee separations and other contract cancellation costs, which are reflected in the table above and insignificant costs for separation and other programs in GMNA and GMSA. We expect to complete these programs in 2017.</w:t>
      </w:r>
    </w:p>
    <w:p>
      <w:pPr>
        <w:spacing w:after="0" w:line="18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Other GMIO restructuring programs include separation and other programs in Australia, Korea and India and the withdrawal of the Chevrolet brand from Europe. Collectively these programs had a total cost since inception in 2013 of $866 million and affected a total of approximately 4,690 employees through June 30, 2017. We expect to complete these programs in 2017 and incur insignificant additional restructuring and other charges.</w:t>
      </w:r>
    </w:p>
    <w:p>
      <w:pPr>
        <w:spacing w:after="0" w:line="17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three and six months ended June 30, 2016 restructuring and other initiatives related primarily to charges of $240 million in the three months ended March 31, 2016 in GMNA related to the cash severance incentive program to qualified U.S. hourly employees under our 2015 labor agreement with the International Union, United Automobile, Aerospace and Agriculture Implement Workers of America (UAW) and insignificant costs for separation and other programs in Australia, Korea and India and the withdrawal of the Chevrolet brand from Europe.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Stockholders' Equity</w:t>
      </w:r>
    </w:p>
    <w:p>
      <w:pPr>
        <w:spacing w:after="0" w:line="121"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At June 30, 2017 and December 31, 2016 we had 2.0 billion shares of preferred stock and 5.0 billion shares of common stock authorized for issuance. At June 30, 2017 and December 31, 2016 we had 1.5 billion shares of common stock issued and outstanding. In the six months ended June 30, 2017 and 2016 we purchased 44 million and 10 million shares of our outstanding common stock for $1.5 billion and $300 million as part of the common stock repurchase program announced in March 2015, which our Board of Directors increased and extended in January 2016 and January 2017. Our total dividends paid on common stock were $564 million and $591 million in the three months ended June 30, 2017 and 2016 and $1.1 billion and $1.2 billion in the six months ended June 30, 2017 and 2016. The following table summarizes the significant components of Accumulated other comprehensive loss: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62"/>
        </w:trPr>
        <w:tc>
          <w:tcPr>
            <w:tcW w:w="5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Pr>
          <w:p>
            <w:pPr>
              <w:spacing w:after="0"/>
              <w:rPr>
                <w:sz w:val="22"/>
                <w:szCs w:val="22"/>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4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5"/>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reclassification adjustment,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 and tax(a)(b)</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0" w:type="dxa"/>
            <w:vAlign w:val="bottom"/>
          </w:tcPr>
          <w:p>
            <w:pPr>
              <w:spacing w:after="0"/>
              <w:rPr>
                <w:sz w:val="1"/>
                <w:szCs w:val="1"/>
                <w:color w:val="auto"/>
              </w:rPr>
            </w:pPr>
          </w:p>
        </w:tc>
      </w:tr>
      <w:tr>
        <w:trPr>
          <w:trHeight w:val="225"/>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Other comprehensive income (loss) before reclassification adjustment, net of</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tax(a)</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adjustment, net of tax(a)(c)</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tax(a)</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period(d)</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460" w:type="dxa"/>
            <w:vAlign w:val="bottom"/>
            <w:tcBorders>
              <w:top w:val="single" w:sz="8" w:color="CCEEFF"/>
              <w:bottom w:val="single" w:sz="8" w:color="CCEEFF"/>
            </w:tcBorders>
            <w:vMerge w:val="restart"/>
          </w:tcPr>
          <w:p>
            <w:pPr>
              <w:jc w:val="right"/>
              <w:ind w:right="171"/>
              <w:spacing w:after="0"/>
              <w:rPr>
                <w:sz w:val="20"/>
                <w:szCs w:val="20"/>
                <w:color w:val="auto"/>
              </w:rPr>
            </w:pPr>
            <w:r>
              <w:rPr>
                <w:rFonts w:ascii="Times New Roman" w:cs="Times New Roman" w:eastAsia="Times New Roman" w:hAnsi="Times New Roman"/>
                <w:sz w:val="18"/>
                <w:szCs w:val="18"/>
                <w:color w:val="auto"/>
                <w:w w:val="99"/>
              </w:rPr>
              <w:t>22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560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61"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was insignificant in the three and six months ended June 30, 2017 and 2016.</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reclassification adjustments and noncontrolling interests were insignificant in the three and six months ended June 30, 2017 and 2016.</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computation of net periodic pension and OPEB (income) expense. Refer to Note 12 for additional information.</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2 for deferred pension costs to be recognized upon closing of the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2"/>
        </w:trPr>
        <w:tc>
          <w:tcPr>
            <w:tcW w:w="2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4,705</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20" w:type="dxa"/>
            <w:vAlign w:val="bottom"/>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4,819</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1,547</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 –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 – discontinued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3.12</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 diluted(a)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4,703</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 – diluted</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w:t>
            </w:r>
          </w:p>
        </w:tc>
      </w:tr>
      <w:tr>
        <w:trPr>
          <w:trHeight w:val="297"/>
        </w:trPr>
        <w:tc>
          <w:tcPr>
            <w:tcW w:w="20" w:type="dxa"/>
            <w:vAlign w:val="bottom"/>
          </w:tcPr>
          <w:p>
            <w:pPr>
              <w:spacing w:after="0"/>
              <w:rPr>
                <w:sz w:val="24"/>
                <w:szCs w:val="24"/>
                <w:color w:val="auto"/>
              </w:rPr>
            </w:pPr>
          </w:p>
        </w:tc>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 – diluted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4,817</w:t>
            </w:r>
          </w:p>
        </w:tc>
      </w:tr>
      <w:tr>
        <w:trPr>
          <w:trHeight w:val="109"/>
        </w:trPr>
        <w:tc>
          <w:tcPr>
            <w:tcW w:w="20" w:type="dxa"/>
            <w:vAlign w:val="bottom"/>
          </w:tcPr>
          <w:p>
            <w:pPr>
              <w:spacing w:after="0"/>
              <w:rPr>
                <w:sz w:val="9"/>
                <w:szCs w:val="9"/>
                <w:color w:val="auto"/>
              </w:rPr>
            </w:pPr>
          </w:p>
        </w:tc>
        <w:tc>
          <w:tcPr>
            <w:tcW w:w="6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1,547</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warrants and awards under stock incentive plans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r>
      <w:tr>
        <w:trPr>
          <w:trHeight w:val="297"/>
        </w:trPr>
        <w:tc>
          <w:tcPr>
            <w:tcW w:w="20" w:type="dxa"/>
            <w:vAlign w:val="bottom"/>
          </w:tcPr>
          <w:p>
            <w:pPr>
              <w:spacing w:after="0"/>
              <w:rPr>
                <w:sz w:val="24"/>
                <w:szCs w:val="24"/>
                <w:color w:val="auto"/>
              </w:rPr>
            </w:pPr>
          </w:p>
        </w:tc>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1,580</w:t>
            </w:r>
          </w:p>
        </w:tc>
      </w:tr>
      <w:tr>
        <w:trPr>
          <w:trHeight w:val="109"/>
        </w:trPr>
        <w:tc>
          <w:tcPr>
            <w:tcW w:w="20" w:type="dxa"/>
            <w:vAlign w:val="bottom"/>
          </w:tcPr>
          <w:p>
            <w:pPr>
              <w:spacing w:after="0"/>
              <w:rPr>
                <w:sz w:val="9"/>
                <w:szCs w:val="9"/>
                <w:color w:val="auto"/>
              </w:rPr>
            </w:pPr>
          </w:p>
        </w:tc>
        <w:tc>
          <w:tcPr>
            <w:tcW w:w="6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 –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 – discontinued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Potentially dilutive securities(b)</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r>
      <w:tr>
        <w:trPr>
          <w:trHeight w:val="193"/>
        </w:trPr>
        <w:tc>
          <w:tcPr>
            <w:tcW w:w="20" w:type="dxa"/>
            <w:vAlign w:val="bottom"/>
          </w:tcPr>
          <w:p>
            <w:pPr>
              <w:spacing w:after="0"/>
              <w:rPr>
                <w:sz w:val="16"/>
                <w:szCs w:val="16"/>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Net (income) loss attributable to noncontrolling interests.</w:t>
      </w:r>
    </w:p>
    <w:p>
      <w:pPr>
        <w:spacing w:after="0" w:line="5" w:lineRule="exact"/>
        <w:rPr>
          <w:rFonts w:ascii="Times New Roman" w:cs="Times New Roman" w:eastAsia="Times New Roman" w:hAnsi="Times New Roman"/>
          <w:sz w:val="16"/>
          <w:szCs w:val="16"/>
          <w:color w:val="auto"/>
        </w:rPr>
      </w:pPr>
    </w:p>
    <w:p>
      <w:pPr>
        <w:ind w:left="340" w:hanging="332"/>
        <w:spacing w:after="0" w:line="257"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attributable to outstanding stock options were excluded from the computation of diluted earnings per share because the securities would have had an antidilutive effect.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Acquisition of Business</w:t>
      </w:r>
    </w:p>
    <w:p>
      <w:pPr>
        <w:spacing w:after="0" w:line="229"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On May 12, 2016 we acquired all of the outstanding capital stock of Cruise Automation Inc., an autonomous vehicle technology company, to further accelerate our development of autonomous vehicles. The deal consideration at closing was $581 million, of which $291 million was paid in cash and approximately $290 million was paid through the issuance of new common stock. The fair value of the common stock issued was determined based on the closing price of our common stock on May 12, 2016. In conjunction with the acquisition, we entered into other agreements that will result in future costs contingent upon the continued employment of key individuals and additional performance-based awards contingent upon the achievement of specific technology and commercialization milestones.</w:t>
      </w:r>
    </w:p>
    <w:p>
      <w:pPr>
        <w:spacing w:after="0" w:line="18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Of the total consideration, $130 million was allocated to intangible assets, primarily in-process research and development with an indefinite life until fully developed and commercialized, $39 million was allocated to deferred tax liabilities, net of other assets, and $490 million was allocated to non-tax-deductible goodwill in Corporate primarily related to the synergies expected to arise as a result of the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37"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We analyze the results of our business through the following segments: GMNA, GMIO, GMSA and GM Financial. As discussed in Note 2, the European Business is presented as discontinued operations and is excluded from our segment results for all periods presented. The European Business was previously reported as our GM Europe (GME) segment and part of GM Financial. The chief operating decision maker evaluates the operating results and performance of our automotive segments through earnings before interest and income taxes-adjusted, which is presented net of noncontrolling interests. The chief operating decision maker evaluates GM Financial through earnings before income taxes-adjusted because interest income and interest expense are part of operating results when assessing and measuring the operational and financial performance of the segment. Each segment has a manager responsible for executing our strategic initiatives. Our automotive manufacturing operations are integrated within the segments, benefit from broad-based trade agreements and are subject to regulatory requirements.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186"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Substantially all of the cars, trucks, crossovers and automobile parts produced are marketed through retail dealers in North America and through distributors and dealers outside of North America, the substantial majority of which are independently owned. In addition to the products sold to dealers for consumer retail sales, cars, trucks and crossovers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88"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GMNA primarily meets the demands of customers in North America with vehicles developed, manufactured and/or marketed under the Buick, Cadillac, Chevrolet and GMC brands. The demands of customers outside North America are primarily met with vehicles developed, manufactured and/or marketed under the Buick, Cadillac, Chevrolet, GMC, Holden, and until the closing of the sale of the European Business, Opel and Vauxhall brands. We also have equity ownership stakes directly or indirectly in entities through various regional subsidiaries, primarily in Asia. These companies design, manufacture and/or market vehicles under the Baojun, Buick, Cadillac, Chevrolet, Jiefang and Wuling brands.</w:t>
      </w:r>
    </w:p>
    <w:p>
      <w:pPr>
        <w:spacing w:after="0" w:line="184"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Our automotive operations' interest income and interest expense, Maven, corporate expenditures including autonomous vehicle-related engineering and other costs and certain nonsegment specific revenues and expenses are recorded centrally in Corporate. Corporate assets consist primarily of cash and cash equivalents, marketable securities, our investment in Lyft, goodwill, intangibles, Maven vehicles, intercompany balances and the assets of the Opel/Vauxhall Business classified as held for sale. Retained net underfunded pension liabilities related to the European Business are also recorded in Corporate. All intersegment balances and transactions have been eliminated in consolidation.</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337"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3"/>
                <w:szCs w:val="13"/>
                <w:b w:val="1"/>
                <w:bCs w:val="1"/>
                <w:color w:val="auto"/>
                <w:w w:val="97"/>
              </w:rPr>
              <w:t>At and For the Three Months Ended June 30, 2017</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2"/>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6"/>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GMSA</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3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28,437</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3,215</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2,297</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34,001</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2,990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36,984</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3,475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340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3,328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357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3,682</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68</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r>
      <w:tr>
        <w:trPr>
          <w:trHeight w:val="257"/>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2,967</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w:t>
            </w:r>
          </w:p>
        </w:tc>
      </w:tr>
      <w:tr>
        <w:trPr>
          <w:trHeight w:val="257"/>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from continuing operations</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2,433</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(Loss) from discontinued operations, net of tax</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w:t>
            </w:r>
          </w:p>
        </w:tc>
      </w:tr>
      <w:tr>
        <w:trPr>
          <w:trHeight w:val="272"/>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82"/>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Net income attributable to common stockholders</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1,660</w:t>
            </w:r>
          </w:p>
        </w:tc>
      </w:tr>
      <w:tr>
        <w:trPr>
          <w:trHeight w:val="103"/>
        </w:trPr>
        <w:tc>
          <w:tcPr>
            <w:tcW w:w="3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Equity in net assets of nonconsolidated affiliates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7,112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7,192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1,056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8,248</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assets(b)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109,312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20,436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7,141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41,890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138,194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103,588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9"/>
              </w:rPr>
              <w:t>240,300</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1,375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1,586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2,961</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233</w:t>
            </w:r>
          </w:p>
        </w:tc>
      </w:tr>
      <w:tr>
        <w:trPr>
          <w:trHeight w:val="254"/>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Equity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488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530</w:t>
            </w:r>
          </w:p>
        </w:tc>
      </w:tr>
      <w:tr>
        <w:trPr>
          <w:trHeight w:val="201"/>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ind w:left="340" w:hanging="332"/>
        <w:spacing w:after="0" w:line="238" w:lineRule="auto"/>
        <w:tabs>
          <w:tab w:leader="none" w:pos="3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of $460 million related to restructuring actions in India and South Africa in GMIO; charges of $80 million associated with the deconsolidation of Venezuela in GMSA and charges of $114 million for legal related matters related to the ignition switch recall in Corporate.</w:t>
      </w:r>
    </w:p>
    <w:p>
      <w:pPr>
        <w:ind w:left="340" w:hanging="332"/>
        <w:spacing w:after="0"/>
        <w:tabs>
          <w:tab w:leader="none" w:pos="3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Assets in Corporate and GM Financial include assets classified as held for sale.</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3"/>
                <w:szCs w:val="13"/>
                <w:b w:val="1"/>
                <w:bCs w:val="1"/>
                <w:color w:val="auto"/>
                <w:w w:val="97"/>
              </w:rPr>
              <w:t>At and For the Three Months Ended June 30, 2016</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2"/>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6"/>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GMSA</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3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30,222</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3,342</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1,639</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35,246</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2,138</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37,383</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3,745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3,632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3,846</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50</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257"/>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3,621</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(877)</w:t>
            </w:r>
          </w:p>
        </w:tc>
      </w:tr>
      <w:tr>
        <w:trPr>
          <w:trHeight w:val="257"/>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from continuing operations</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2,744</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Income from discontinued operations, net of tax</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106</w:t>
            </w:r>
          </w:p>
        </w:tc>
      </w:tr>
      <w:tr>
        <w:trPr>
          <w:trHeight w:val="272"/>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w:t>
            </w:r>
          </w:p>
        </w:tc>
      </w:tr>
      <w:tr>
        <w:trPr>
          <w:trHeight w:val="282"/>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Net income attributable to common stockholders</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2,866</w:t>
            </w:r>
          </w:p>
        </w:tc>
      </w:tr>
      <w:tr>
        <w:trPr>
          <w:trHeight w:val="103"/>
        </w:trPr>
        <w:tc>
          <w:tcPr>
            <w:tcW w:w="3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Equity in net assets of nonconsolidated affiliates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7,244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7,319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879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8,198</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assets(b)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98,173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21,562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7,676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34,928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134,476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77,724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9"/>
              </w:rPr>
              <w:t>210,449</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1,073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1,254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1,117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2,371</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61</w:t>
            </w:r>
          </w:p>
        </w:tc>
      </w:tr>
      <w:tr>
        <w:trPr>
          <w:trHeight w:val="254"/>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Equity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469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622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660</w:t>
            </w:r>
          </w:p>
        </w:tc>
      </w:tr>
      <w:tr>
        <w:trPr>
          <w:trHeight w:val="201"/>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ind w:left="340" w:hanging="332"/>
        <w:spacing w:after="0"/>
        <w:tabs>
          <w:tab w:leader="none" w:pos="3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Charges of $115 million for legal related matters related to the ignition switch recall.</w:t>
      </w:r>
    </w:p>
    <w:p>
      <w:pPr>
        <w:ind w:left="340" w:hanging="332"/>
        <w:spacing w:after="0"/>
        <w:tabs>
          <w:tab w:leader="none" w:pos="3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Assets in Corporate and GM Financial include assets classified as held for sale.</w:t>
      </w:r>
    </w:p>
    <w:p>
      <w:pPr>
        <w:sectPr>
          <w:pgSz w:w="11900" w:h="16838" w:orient="portrait"/>
          <w:cols w:equalWidth="0" w:num="1">
            <w:col w:w="11420"/>
          </w:cols>
          <w:pgMar w:left="240" w:top="337"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37"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3"/>
                <w:szCs w:val="13"/>
                <w:b w:val="1"/>
                <w:bCs w:val="1"/>
                <w:color w:val="auto"/>
              </w:rPr>
              <w:t>At and For the Six Months Ended June 30, 2017</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142"/>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6"/>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GMSA</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3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57,775</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6,393</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4,257</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68,651</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5,738</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74,250</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6,946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637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6,654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585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7,236</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125</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12</w:t>
            </w:r>
          </w:p>
        </w:tc>
      </w:tr>
      <w:tr>
        <w:trPr>
          <w:trHeight w:val="257"/>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6,440</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(1,321)</w:t>
            </w:r>
          </w:p>
        </w:tc>
      </w:tr>
      <w:tr>
        <w:trPr>
          <w:trHeight w:val="257"/>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from continuing operations</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5,119</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(Loss) from discontinued operations, net of tax</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w:t>
            </w:r>
          </w:p>
        </w:tc>
      </w:tr>
      <w:tr>
        <w:trPr>
          <w:trHeight w:val="272"/>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282"/>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Net income attributable to common stockholders</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4,268</w:t>
            </w:r>
          </w:p>
        </w:tc>
      </w:tr>
      <w:tr>
        <w:trPr>
          <w:trHeight w:val="103"/>
        </w:trPr>
        <w:tc>
          <w:tcPr>
            <w:tcW w:w="3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2,289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2,669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3,014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5,683</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254</w:t>
            </w:r>
          </w:p>
        </w:tc>
      </w:tr>
      <w:tr>
        <w:trPr>
          <w:trHeight w:val="254"/>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Equity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991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997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1,085</w:t>
            </w:r>
          </w:p>
        </w:tc>
      </w:tr>
      <w:tr>
        <w:trPr>
          <w:trHeight w:val="201"/>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ind w:left="340" w:hanging="332"/>
        <w:spacing w:after="0" w:line="239" w:lineRule="auto"/>
        <w:tabs>
          <w:tab w:leader="none" w:pos="3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of $460 million related to restructuring actions in India and South Africa in GMIO; charges of $80 million associated with the deconsolidation of Venezuela in GMSA and charges of $114 million for legal related matters related to the ignition switch recall in Corporate.</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rPr>
              <w:t>At and For the Six Months Ended June 30, 2016</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142"/>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6"/>
        </w:trPr>
        <w:tc>
          <w:tcPr>
            <w:tcW w:w="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GMIO</w:t>
            </w:r>
          </w:p>
        </w:tc>
        <w:tc>
          <w:tcPr>
            <w:tcW w:w="14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GMSA</w:t>
            </w: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Automotive</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40" w:type="dxa"/>
            <w:vAlign w:val="bottom"/>
          </w:tcPr>
          <w:p>
            <w:pPr>
              <w:spacing w:after="0"/>
              <w:rPr>
                <w:sz w:val="23"/>
                <w:szCs w:val="23"/>
                <w:color w:val="auto"/>
              </w:rPr>
            </w:pPr>
          </w:p>
        </w:tc>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56,730</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6,547</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2,982</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66,332</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4,069</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70,399</w:t>
            </w:r>
          </w:p>
        </w:tc>
      </w:tr>
      <w:tr>
        <w:trPr>
          <w:trHeight w:val="262"/>
        </w:trPr>
        <w:tc>
          <w:tcPr>
            <w:tcW w:w="40" w:type="dxa"/>
            <w:vAlign w:val="bottom"/>
          </w:tcPr>
          <w:p>
            <w:pPr>
              <w:spacing w:after="0"/>
              <w:rPr>
                <w:sz w:val="22"/>
                <w:szCs w:val="22"/>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6,129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624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6,181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6,588</w:t>
            </w:r>
          </w:p>
        </w:tc>
      </w:tr>
      <w:tr>
        <w:trPr>
          <w:trHeight w:val="278"/>
        </w:trPr>
        <w:tc>
          <w:tcPr>
            <w:tcW w:w="40" w:type="dxa"/>
            <w:vAlign w:val="bottom"/>
          </w:tcPr>
          <w:p>
            <w:pPr>
              <w:spacing w:after="0"/>
              <w:rPr>
                <w:sz w:val="24"/>
                <w:szCs w:val="24"/>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(175)</w:t>
            </w:r>
          </w:p>
        </w:tc>
      </w:tr>
      <w:tr>
        <w:trPr>
          <w:trHeight w:val="262"/>
        </w:trPr>
        <w:tc>
          <w:tcPr>
            <w:tcW w:w="40" w:type="dxa"/>
            <w:vAlign w:val="bottom"/>
          </w:tcPr>
          <w:p>
            <w:pPr>
              <w:spacing w:after="0"/>
              <w:rPr>
                <w:sz w:val="22"/>
                <w:szCs w:val="22"/>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94</w:t>
            </w:r>
          </w:p>
        </w:tc>
      </w:tr>
      <w:tr>
        <w:trPr>
          <w:trHeight w:val="278"/>
        </w:trPr>
        <w:tc>
          <w:tcPr>
            <w:tcW w:w="40" w:type="dxa"/>
            <w:vAlign w:val="bottom"/>
          </w:tcPr>
          <w:p>
            <w:pPr>
              <w:spacing w:after="0"/>
              <w:rPr>
                <w:sz w:val="24"/>
                <w:szCs w:val="24"/>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(268)</w:t>
            </w:r>
          </w:p>
        </w:tc>
      </w:tr>
      <w:tr>
        <w:trPr>
          <w:trHeight w:val="264"/>
        </w:trPr>
        <w:tc>
          <w:tcPr>
            <w:tcW w:w="40" w:type="dxa"/>
            <w:vAlign w:val="bottom"/>
          </w:tcPr>
          <w:p>
            <w:pPr>
              <w:spacing w:after="0"/>
              <w:rPr>
                <w:sz w:val="22"/>
                <w:szCs w:val="22"/>
                <w:color w:val="auto"/>
              </w:rPr>
            </w:pPr>
          </w:p>
        </w:tc>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(38)</w:t>
            </w:r>
          </w:p>
        </w:tc>
      </w:tr>
      <w:tr>
        <w:trPr>
          <w:trHeight w:val="257"/>
        </w:trPr>
        <w:tc>
          <w:tcPr>
            <w:tcW w:w="40" w:type="dxa"/>
            <w:vAlign w:val="bottom"/>
          </w:tcPr>
          <w:p>
            <w:pPr>
              <w:spacing w:after="0"/>
              <w:rPr>
                <w:sz w:val="22"/>
                <w:szCs w:val="22"/>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6,201</w:t>
            </w:r>
          </w:p>
        </w:tc>
      </w:tr>
      <w:tr>
        <w:trPr>
          <w:trHeight w:val="264"/>
        </w:trPr>
        <w:tc>
          <w:tcPr>
            <w:tcW w:w="40" w:type="dxa"/>
            <w:vAlign w:val="bottom"/>
          </w:tcPr>
          <w:p>
            <w:pPr>
              <w:spacing w:after="0"/>
              <w:rPr>
                <w:sz w:val="22"/>
                <w:szCs w:val="22"/>
                <w:color w:val="auto"/>
              </w:rPr>
            </w:pPr>
          </w:p>
        </w:tc>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(1,534)</w:t>
            </w:r>
          </w:p>
        </w:tc>
      </w:tr>
      <w:tr>
        <w:trPr>
          <w:trHeight w:val="257"/>
        </w:trPr>
        <w:tc>
          <w:tcPr>
            <w:tcW w:w="40" w:type="dxa"/>
            <w:vAlign w:val="bottom"/>
          </w:tcPr>
          <w:p>
            <w:pPr>
              <w:spacing w:after="0"/>
              <w:rPr>
                <w:sz w:val="22"/>
                <w:szCs w:val="22"/>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from continuing operations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4,667</w:t>
            </w:r>
          </w:p>
        </w:tc>
      </w:tr>
      <w:tr>
        <w:trPr>
          <w:trHeight w:val="262"/>
        </w:trPr>
        <w:tc>
          <w:tcPr>
            <w:tcW w:w="40" w:type="dxa"/>
            <w:vAlign w:val="bottom"/>
          </w:tcPr>
          <w:p>
            <w:pPr>
              <w:spacing w:after="0"/>
              <w:rPr>
                <w:sz w:val="22"/>
                <w:szCs w:val="22"/>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from discontinued operations, net of tax</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114</w:t>
            </w:r>
          </w:p>
        </w:tc>
      </w:tr>
      <w:tr>
        <w:trPr>
          <w:trHeight w:val="272"/>
        </w:trPr>
        <w:tc>
          <w:tcPr>
            <w:tcW w:w="40" w:type="dxa"/>
            <w:vAlign w:val="bottom"/>
          </w:tcPr>
          <w:p>
            <w:pPr>
              <w:spacing w:after="0"/>
              <w:rPr>
                <w:sz w:val="23"/>
                <w:szCs w:val="23"/>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38</w:t>
            </w:r>
          </w:p>
        </w:tc>
      </w:tr>
      <w:tr>
        <w:trPr>
          <w:trHeight w:val="282"/>
        </w:trPr>
        <w:tc>
          <w:tcPr>
            <w:tcW w:w="40" w:type="dxa"/>
            <w:vAlign w:val="bottom"/>
          </w:tcPr>
          <w:p>
            <w:pPr>
              <w:spacing w:after="0"/>
              <w:rPr>
                <w:sz w:val="24"/>
                <w:szCs w:val="24"/>
                <w:color w:val="auto"/>
              </w:rPr>
            </w:pPr>
          </w:p>
        </w:tc>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attributable to common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4,819</w:t>
            </w:r>
          </w:p>
        </w:tc>
      </w:tr>
      <w:tr>
        <w:trPr>
          <w:trHeight w:val="103"/>
        </w:trPr>
        <w:tc>
          <w:tcPr>
            <w:tcW w:w="40" w:type="dxa"/>
            <w:vAlign w:val="bottom"/>
          </w:tcPr>
          <w:p>
            <w:pPr>
              <w:spacing w:after="0"/>
              <w:rPr>
                <w:sz w:val="8"/>
                <w:szCs w:val="8"/>
                <w:color w:val="auto"/>
              </w:rPr>
            </w:pPr>
          </w:p>
        </w:tc>
        <w:tc>
          <w:tcPr>
            <w:tcW w:w="3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r>
      <w:tr>
        <w:trPr>
          <w:trHeight w:val="262"/>
        </w:trPr>
        <w:tc>
          <w:tcPr>
            <w:tcW w:w="40" w:type="dxa"/>
            <w:vAlign w:val="bottom"/>
          </w:tcPr>
          <w:p>
            <w:pPr>
              <w:spacing w:after="0"/>
              <w:rPr>
                <w:sz w:val="22"/>
                <w:szCs w:val="22"/>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2,097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2,446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2,041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4,487</w:t>
            </w:r>
          </w:p>
        </w:tc>
      </w:tr>
      <w:tr>
        <w:trPr>
          <w:trHeight w:val="278"/>
        </w:trPr>
        <w:tc>
          <w:tcPr>
            <w:tcW w:w="40" w:type="dxa"/>
            <w:vAlign w:val="bottom"/>
          </w:tcPr>
          <w:p>
            <w:pPr>
              <w:spacing w:after="0"/>
              <w:rPr>
                <w:sz w:val="24"/>
                <w:szCs w:val="24"/>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104</w:t>
            </w:r>
          </w:p>
        </w:tc>
      </w:tr>
      <w:tr>
        <w:trPr>
          <w:trHeight w:val="254"/>
        </w:trPr>
        <w:tc>
          <w:tcPr>
            <w:tcW w:w="40" w:type="dxa"/>
            <w:vAlign w:val="bottom"/>
          </w:tcPr>
          <w:p>
            <w:pPr>
              <w:spacing w:after="0"/>
              <w:rPr>
                <w:sz w:val="22"/>
                <w:szCs w:val="22"/>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987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1,146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1,220</w:t>
            </w:r>
          </w:p>
        </w:tc>
      </w:tr>
      <w:tr>
        <w:trPr>
          <w:trHeight w:val="201"/>
        </w:trPr>
        <w:tc>
          <w:tcPr>
            <w:tcW w:w="3220" w:type="dxa"/>
            <w:vAlign w:val="bottom"/>
            <w:gridSpan w:val="2"/>
          </w:tcPr>
          <w:p>
            <w:pPr>
              <w:jc w:val="right"/>
              <w:ind w:right="2337"/>
              <w:spacing w:after="0"/>
              <w:rPr>
                <w:sz w:val="20"/>
                <w:szCs w:val="20"/>
                <w:color w:val="auto"/>
              </w:rPr>
            </w:pPr>
            <w:r>
              <w:rPr>
                <w:rFonts w:ascii="Times New Roman" w:cs="Times New Roman" w:eastAsia="Times New Roman" w:hAnsi="Times New Roman"/>
                <w:sz w:val="16"/>
                <w:szCs w:val="16"/>
                <w:color w:val="auto"/>
                <w:w w:val="99"/>
              </w:rPr>
              <w:t>__________</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ind w:left="340" w:hanging="332"/>
        <w:spacing w:after="0"/>
        <w:tabs>
          <w:tab w:leader="none" w:pos="3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Charges of $175 million for legal related matters related to the ignition switch recall.</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This Management's Discussion and Analysis of Financial Condition and Results of Operations (MD&amp;A) should be read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conjunction with the accompanying condensed consolidated financial statements and the audited consolidated financial statements and notes thereto included in our 2016 Form 10-K.</w:t>
      </w:r>
    </w:p>
    <w:p>
      <w:pPr>
        <w:spacing w:after="0" w:line="175"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assets and liabilities of the European Business are reported as held for sale and the results of operations and cash flows of the European Business are reported as discontinued operations for all periods presented. In previous periods, these operations were</w:t>
      </w:r>
    </w:p>
    <w:p>
      <w:pPr>
        <w:sectPr>
          <w:pgSz w:w="11900" w:h="16838" w:orient="portrait"/>
          <w:cols w:equalWidth="0" w:num="1">
            <w:col w:w="11420"/>
          </w:cols>
          <w:pgMar w:left="240" w:top="337" w:right="239" w:bottom="873"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37" w:right="239" w:bottom="873"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primarily reported in our GME segment, which is no longer a reportable segment, and GM Financial. Refer to Note 2 to our condensed consolidated financial statements for additional information on the disposition of the European Business.</w:t>
      </w:r>
    </w:p>
    <w:p>
      <w:pPr>
        <w:spacing w:after="0" w:line="16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the "Risk Factors" section of our 2016 Form 10-K for a discussion of these risks and uncertainties. Except for per share amounts or as otherwise specified, dollar amounts presented within tables are stated in millions.</w:t>
      </w:r>
    </w:p>
    <w:p>
      <w:pPr>
        <w:spacing w:after="0" w:line="176"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Non-GAAP Measures </w:t>
      </w:r>
      <w:r>
        <w:rPr>
          <w:rFonts w:ascii="Times New Roman" w:cs="Times New Roman" w:eastAsia="Times New Roman" w:hAnsi="Times New Roman"/>
          <w:sz w:val="18"/>
          <w:szCs w:val="18"/>
          <w:color w:val="auto"/>
        </w:rPr>
        <w:t>Unless otherwise indicated, our non-GAAP measures are related to our continuing operations and not our discontinued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assets and liabilities held for sale. Our non-GAAP measures include earnings before interest and taxes (EBIT)-adjusted, presented net of noncontrolling interests, earnings per share (EPS)-diluted-adjusted,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87"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these and other measures as key metrics to determine management performance under our performance-based compensation plans. For these reasons we believe these non-GAAP measures are useful for our investors.</w:t>
      </w:r>
    </w:p>
    <w:p>
      <w:pPr>
        <w:spacing w:after="0" w:line="18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EBIT-adjusted 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related to goodwill;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w:t>
      </w:r>
    </w:p>
    <w:p>
      <w:pPr>
        <w:spacing w:after="0" w:line="18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EPS-diluted-adjusted is used by management and can be used by investors to review our consolidated diluted earnings per share results on a consistent basis. EPS-diluted-adjusted is calculated as net income attributable to common stockholders-diluted less income (loss) from discontinued operations on an after-tax basis, adjustments noted above for EBIT-adjusted, gains or losses on the extinguishment of debt obligations on an after-tax basis and certain income tax adjustments divided by weighted-average common shares outstanding-diluted. Examples of income tax adjustments include the establishment or reversal of significant deferred tax asset valuation allowances.</w:t>
      </w:r>
    </w:p>
    <w:p>
      <w:pPr>
        <w:spacing w:after="0" w:line="184"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ROIC-adjusted is used by management and can be used by investors to review our 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capital leases; average automotive net pension and OPEB liabilities; and average automotive net income tax assets during the same period. Adjustments to the average equity balances exclude assets and liabilities classified as either assets held for sale or liabilities held for sale.</w:t>
      </w:r>
    </w:p>
    <w:p>
      <w:pPr>
        <w:spacing w:after="0" w:line="184"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Adjusted automotive free 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primarily related to strengthening our balance sheet, such as prepayments of debt and discretionary contributions to employee benefit plans. Refer to the "Liquidity and Capital Resources" section of this MD&amp;A for our reconciliation of Net automotive cash provided by operating activities under U.S. GAAP to this non-GAAP measure.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37"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reconciles Net income attributable to common stockholders under U.S. GAAP to EBIT-adjusted: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2"/>
                <w:szCs w:val="22"/>
                <w:color w:val="auto"/>
              </w:rPr>
            </w:pPr>
          </w:p>
        </w:tc>
        <w:tc>
          <w:tcPr>
            <w:tcW w:w="16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35"/>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1,660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2,608</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16"/>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 net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of tax</w:t>
            </w:r>
          </w:p>
        </w:tc>
        <w:tc>
          <w:tcPr>
            <w:tcW w:w="20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2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Automotive interest income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GMIO restructuring(a)</w:t>
            </w:r>
          </w:p>
        </w:tc>
        <w:tc>
          <w:tcPr>
            <w:tcW w:w="20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Venezuela deconsolidation(b)</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Ignition switch recall and related legal</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matters(c)</w:t>
            </w:r>
          </w:p>
        </w:tc>
        <w:tc>
          <w:tcPr>
            <w:tcW w:w="20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adjustments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EBIT-adjusted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3,554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3,308</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of a strategic decision to rationalize our core operations by exiting or significantly reducing our presence in various international markets to focus resources on opportunities expected to deliver higher returns. The adjustment primarily consists of asset impairments, sales incentives, inventory provisions, dealer restructuring, employee separations and other contract cancellation costs in India and South Africa.</w:t>
      </w:r>
    </w:p>
    <w:p>
      <w:pPr>
        <w:spacing w:after="0" w:line="1" w:lineRule="exact"/>
        <w:rPr>
          <w:rFonts w:ascii="Times New Roman" w:cs="Times New Roman" w:eastAsia="Times New Roman" w:hAnsi="Times New Roman"/>
          <w:sz w:val="16"/>
          <w:szCs w:val="16"/>
          <w:color w:val="auto"/>
        </w:rPr>
      </w:pPr>
    </w:p>
    <w:p>
      <w:pPr>
        <w:ind w:left="340" w:right="300" w:hanging="332"/>
        <w:spacing w:after="0" w:line="246"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we ceased operations and terminated employment relationships in Venezuela due to causes beyond our control, which included adverse political and economic conditions, including the seizure of our manufacturing facility.</w:t>
      </w:r>
    </w:p>
    <w:p>
      <w:pPr>
        <w:ind w:left="340" w:right="20" w:hanging="332"/>
        <w:spacing w:after="0" w:line="257"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of the unique events associated with the ignition switch recall. These events included the creation of the ignition switch recall compensation program, as well as various investigations, inquiries, and complaints from various constituents.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reconciles diluted earnings per common share under U.S. GAAP to EPS-diluted-adjusted: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4"/>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22"/>
                <w:szCs w:val="22"/>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2"/>
                <w:szCs w:val="22"/>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5"/>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4,268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4,817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6"/>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(earnings) loss per common share – discontinued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40" w:type="dxa"/>
            <w:vAlign w:val="bottom"/>
          </w:tcPr>
          <w:p>
            <w:pPr>
              <w:spacing w:after="0"/>
              <w:rPr>
                <w:sz w:val="18"/>
                <w:szCs w:val="18"/>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Adjustments(a)</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effect on adjustments(b)</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EPS-diluted-adjusted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5,553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4,812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common stockholders under U.S. GAAP to EBIT-adjusted within this section of MD&amp;A for the details of each individual adjustment.</w:t>
      </w:r>
    </w:p>
    <w:p>
      <w:pPr>
        <w:ind w:left="340" w:hanging="332"/>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in which the adjustment relates.</w:t>
      </w:r>
    </w:p>
    <w:p>
      <w:pPr>
        <w:spacing w:after="0" w:line="17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define return on equity (ROE) as Net income attributable to common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37"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264"/>
        </w:trPr>
        <w:tc>
          <w:tcPr>
            <w:tcW w:w="20" w:type="dxa"/>
            <w:vAlign w:val="bottom"/>
          </w:tcPr>
          <w:p>
            <w:pPr>
              <w:spacing w:after="0"/>
              <w:rPr>
                <w:sz w:val="22"/>
                <w:szCs w:val="22"/>
                <w:color w:val="auto"/>
              </w:rPr>
            </w:pPr>
          </w:p>
        </w:tc>
        <w:tc>
          <w:tcPr>
            <w:tcW w:w="7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60" w:type="dxa"/>
            <w:vAlign w:val="bottom"/>
          </w:tcPr>
          <w:p>
            <w:pPr>
              <w:spacing w:after="0"/>
              <w:rPr>
                <w:sz w:val="22"/>
                <w:szCs w:val="22"/>
                <w:color w:val="auto"/>
              </w:rPr>
            </w:pPr>
          </w:p>
        </w:tc>
        <w:tc>
          <w:tcPr>
            <w:tcW w:w="14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9"/>
        </w:trPr>
        <w:tc>
          <w:tcPr>
            <w:tcW w:w="20" w:type="dxa"/>
            <w:vAlign w:val="bottom"/>
          </w:tcPr>
          <w:p>
            <w:pPr>
              <w:spacing w:after="0"/>
              <w:rPr>
                <w:sz w:val="21"/>
                <w:szCs w:val="21"/>
                <w:color w:val="auto"/>
              </w:rPr>
            </w:pPr>
          </w:p>
        </w:tc>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40.2</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ROE</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432"/>
        </w:trPr>
        <w:tc>
          <w:tcPr>
            <w:tcW w:w="20" w:type="dxa"/>
            <w:vAlign w:val="bottom"/>
          </w:tcPr>
          <w:p>
            <w:pPr>
              <w:spacing w:after="0"/>
              <w:rPr>
                <w:sz w:val="24"/>
                <w:szCs w:val="24"/>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calculation of ROIC-adjusted (dollars in billions):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0"/>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264"/>
        </w:trPr>
        <w:tc>
          <w:tcPr>
            <w:tcW w:w="20" w:type="dxa"/>
            <w:vAlign w:val="bottom"/>
          </w:tcPr>
          <w:p>
            <w:pPr>
              <w:spacing w:after="0"/>
              <w:rPr>
                <w:sz w:val="22"/>
                <w:szCs w:val="22"/>
                <w:color w:val="auto"/>
              </w:rPr>
            </w:pPr>
          </w:p>
        </w:tc>
        <w:tc>
          <w:tcPr>
            <w:tcW w:w="7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60" w:type="dxa"/>
            <w:vAlign w:val="bottom"/>
          </w:tcPr>
          <w:p>
            <w:pPr>
              <w:spacing w:after="0"/>
              <w:rPr>
                <w:sz w:val="22"/>
                <w:szCs w:val="22"/>
                <w:color w:val="auto"/>
              </w:rPr>
            </w:pPr>
          </w:p>
        </w:tc>
        <w:tc>
          <w:tcPr>
            <w:tcW w:w="14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9"/>
        </w:trPr>
        <w:tc>
          <w:tcPr>
            <w:tcW w:w="20" w:type="dxa"/>
            <w:vAlign w:val="bottom"/>
          </w:tcPr>
          <w:p>
            <w:pPr>
              <w:spacing w:after="0"/>
              <w:rPr>
                <w:sz w:val="21"/>
                <w:szCs w:val="21"/>
                <w:color w:val="auto"/>
              </w:rPr>
            </w:pPr>
          </w:p>
        </w:tc>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EBIT-adjusted(a)</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40.2</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Average automotive debt and interest liabilities (excluding capital leases)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Average automotive net pension &amp; OPEB liability</w:t>
            </w:r>
          </w:p>
        </w:tc>
        <w:tc>
          <w:tcPr>
            <w:tcW w:w="280" w:type="dxa"/>
            <w:vAlign w:val="bottom"/>
          </w:tcPr>
          <w:p>
            <w:pPr>
              <w:spacing w:after="0"/>
              <w:rPr>
                <w:sz w:val="21"/>
                <w:szCs w:val="21"/>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23.8</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Average automotive net income tax asset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(33.2)</w:t>
            </w:r>
          </w:p>
        </w:tc>
      </w:tr>
      <w:tr>
        <w:trPr>
          <w:trHeight w:val="297"/>
        </w:trPr>
        <w:tc>
          <w:tcPr>
            <w:tcW w:w="20" w:type="dxa"/>
            <w:vAlign w:val="bottom"/>
          </w:tcPr>
          <w:p>
            <w:pPr>
              <w:spacing w:after="0"/>
              <w:rPr>
                <w:sz w:val="24"/>
                <w:szCs w:val="24"/>
                <w:color w:val="auto"/>
              </w:rPr>
            </w:pPr>
          </w:p>
        </w:tc>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ROIC-adjusted average net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39.7</w:t>
            </w:r>
          </w:p>
        </w:tc>
      </w:tr>
      <w:tr>
        <w:trPr>
          <w:trHeight w:val="237"/>
        </w:trPr>
        <w:tc>
          <w:tcPr>
            <w:tcW w:w="20" w:type="dxa"/>
            <w:vAlign w:val="bottom"/>
          </w:tcPr>
          <w:p>
            <w:pPr>
              <w:spacing w:after="0"/>
              <w:rPr>
                <w:sz w:val="20"/>
                <w:szCs w:val="20"/>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ROIC-adjusted</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193"/>
        </w:trPr>
        <w:tc>
          <w:tcPr>
            <w:tcW w:w="20" w:type="dxa"/>
            <w:vAlign w:val="bottom"/>
          </w:tcPr>
          <w:p>
            <w:pPr>
              <w:spacing w:after="0"/>
              <w:rPr>
                <w:sz w:val="16"/>
                <w:szCs w:val="16"/>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Refer to the reconciliation of Net income attributable to common stockholders under U.S GAAP to EBIT-adjusted within this section of MD&amp;A.</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Our strategic plan includes several major initiatives that we anticipate will help us achieve our goal of 9% to 10% margins on an EBIT-adjusted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(EBIT-adjusted margins, calculated as EBIT-adjusted divided by Net sales and revenue) by early next decade: earn customers for life by delivering great products to our customers; lead the industry in quality and safety and improving the customer ownership experience; lead in technology and innovation, including OnStar 4G LTE and connected car, alternative propulsion, urban mobility including ride- and car-sharing through Maven and our investment in Lyft, active safety features and autonomous vehicles; grow our brands, particularly the Cadillac brand in the U.S. and China and the Chevrolet brand globally; continue our growth in China; continue the growth of GM Financial into our full captive automotive financing company; and deliver core operating efficiencies.</w:t>
      </w:r>
    </w:p>
    <w:p>
      <w:pPr>
        <w:spacing w:after="0" w:line="187"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addition to our EBIT-adjusted margin improvement goal, our overall financial targets include expected total annual operational and functional cost savings of $6.5 billion in aggregate through 2018 compared to 2014 costs, of which approximately $5.0 billion has been realized as of June 30, 2017, and which we expect will more than offset our incremental investments in brand building, engineering and technology as we launch new products in 2017 and beyond; and execution of our capital allocation program as described in the "Liquidity and Capital Resources" section of this MD&amp;A.</w:t>
      </w:r>
    </w:p>
    <w:p>
      <w:pPr>
        <w:spacing w:after="0" w:line="180"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For the year ending December 31, 2017 we expect to continue to generate strong consolidated financial results including total net sales and revenue, EBIT-adjusted and EBIT-adjusted margins that equal or exceed the corresponding amounts in 2016, ROIC-adjusted of greater than 25%, Automotive operating cash flow from continuing operations of approximately $15 billion, adjusted automotive free cash flow from continuing operations of approximately $7 billion, EPS-diluted of between $1.60 and $2.43 and EPS-diluted-adjusted of between $6.00 and $6.50. We expect these financial results to be driven in part by favorable shifts in mix for our new or refreshed product launches, including crossovers. The following table reconciles expected diluted earnings per common share under U.S. GAAP to expected EPS-diluted-adjusted: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0" w:type="dxa"/>
            <w:vAlign w:val="bottom"/>
          </w:tcPr>
          <w:p>
            <w:pPr>
              <w:spacing w:after="0"/>
              <w:rPr>
                <w:sz w:val="1"/>
                <w:szCs w:val="1"/>
                <w:color w:val="auto"/>
              </w:rPr>
            </w:pPr>
          </w:p>
        </w:tc>
      </w:tr>
      <w:tr>
        <w:trPr>
          <w:trHeight w:val="195"/>
        </w:trPr>
        <w:tc>
          <w:tcPr>
            <w:tcW w:w="5100" w:type="dxa"/>
            <w:vAlign w:val="bottom"/>
            <w:tcBorders>
              <w:bottom w:val="single" w:sz="8" w:color="CCEEFF"/>
            </w:tcBorders>
          </w:tcPr>
          <w:p>
            <w:pPr>
              <w:spacing w:after="0"/>
              <w:rPr>
                <w:sz w:val="16"/>
                <w:szCs w:val="16"/>
                <w:color w:val="auto"/>
              </w:rPr>
            </w:pPr>
          </w:p>
        </w:tc>
        <w:tc>
          <w:tcPr>
            <w:tcW w:w="46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6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$ 1.60-2.43</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loss per common share – discontinued operations(a)(b)</w:t>
            </w:r>
          </w:p>
        </w:tc>
        <w:tc>
          <w:tcPr>
            <w:tcW w:w="6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2.46-2.79</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Adjustments(c)</w:t>
            </w:r>
          </w:p>
        </w:tc>
        <w:tc>
          <w:tcPr>
            <w:tcW w:w="6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effect on adjustments(d)</w:t>
            </w: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adjustment(b)(e)</w:t>
            </w:r>
          </w:p>
        </w:tc>
        <w:tc>
          <w:tcPr>
            <w:tcW w:w="46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57"/>
        </w:trPr>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EPS-diluted-adjusted</w:t>
            </w:r>
          </w:p>
        </w:tc>
        <w:tc>
          <w:tcPr>
            <w:tcW w:w="462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$ 6.00-6.50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620" w:type="dxa"/>
            <w:vAlign w:val="bottom"/>
            <w:vMerge w:val="restart"/>
          </w:tcPr>
          <w:p>
            <w:pPr>
              <w:jc w:val="right"/>
              <w:ind w:right="3830"/>
              <w:spacing w:after="0"/>
              <w:rPr>
                <w:sz w:val="20"/>
                <w:szCs w:val="20"/>
                <w:color w:val="auto"/>
              </w:rPr>
            </w:pPr>
            <w:r>
              <w:rPr>
                <w:rFonts w:ascii="Times New Roman" w:cs="Times New Roman" w:eastAsia="Times New Roman" w:hAnsi="Times New Roman"/>
                <w:sz w:val="18"/>
                <w:szCs w:val="18"/>
                <w:color w:val="auto"/>
              </w:rPr>
              <w:t>29</w:t>
            </w: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0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3"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Overview - PSA Group Transaction for additional details of the components of the charge expected to be recognized upon the sale of the European Business.</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estimates are subject to interest rate and foreign currency fluctuations and are based on the estimated closing dates for the Opel/Vauxhall Business and the Fincos.</w:t>
      </w:r>
    </w:p>
    <w:p>
      <w:pPr>
        <w:spacing w:after="0" w:line="5" w:lineRule="exact"/>
        <w:rPr>
          <w:rFonts w:ascii="Times New Roman" w:cs="Times New Roman" w:eastAsia="Times New Roman" w:hAnsi="Times New Roman"/>
          <w:sz w:val="16"/>
          <w:szCs w:val="16"/>
          <w:color w:val="auto"/>
        </w:rPr>
      </w:pPr>
    </w:p>
    <w:p>
      <w:pPr>
        <w:ind w:left="340" w:right="560" w:hanging="332"/>
        <w:spacing w:after="0" w:line="246"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common stockholders under U.S GAAP to EBIT-adjusted within the Non-GAAP Measures section of this MD&amp;A.</w:t>
      </w:r>
    </w:p>
    <w:p>
      <w:pPr>
        <w:ind w:left="340" w:hanging="332"/>
        <w:spacing w:after="0"/>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in which the adjustment relates.</w:t>
      </w:r>
    </w:p>
    <w:p>
      <w:pPr>
        <w:spacing w:after="0" w:line="5" w:lineRule="exact"/>
        <w:rPr>
          <w:rFonts w:ascii="Times New Roman" w:cs="Times New Roman" w:eastAsia="Times New Roman" w:hAnsi="Times New Roman"/>
          <w:sz w:val="16"/>
          <w:szCs w:val="16"/>
          <w:color w:val="auto"/>
        </w:rPr>
      </w:pPr>
    </w:p>
    <w:p>
      <w:pPr>
        <w:ind w:left="340" w:right="280" w:hanging="332"/>
        <w:spacing w:after="0" w:line="257"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primarily consists of the tax provision related to the establishment of valuation allowances, as the deferred tax assets will no longer be realizable upon sale of our European Business to PSA Group.</w:t>
      </w:r>
    </w:p>
    <w:p>
      <w:pPr>
        <w:spacing w:after="0" w:line="151"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reconciles expected net automotive cash provided by operating activities from continuing operations under U.S. GAAP to expected adjusted automotive free cash flow from continuing operations (dollars in billions):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3"/>
                <w:szCs w:val="13"/>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r>
      <w:tr>
        <w:trPr>
          <w:trHeight w:val="195"/>
        </w:trPr>
        <w:tc>
          <w:tcPr>
            <w:tcW w:w="97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automotive cash provided by operating activities – continuing operations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expected capital expenditures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9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automotive free cash flow – continuing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automotive cash provided by operating activities – discontinued operations</w:t>
            </w: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expected capital expenditures – discontinued operations</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automotive free cash flow</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We face continuing challenges from a market, operating and regulatory standpoint in a number of countries across the globe due to, among other factors, weak economic conditions, competitive pressures, our product portfolio offerings, emissions standards, foreign exchange volatility and political uncertainty. As a result of these conditions, we continue to strategically assess our performance and ability to achieve acceptable returns on our invested capital. As we continue to assess our performance, additional restructuring and rationalization actions may be required or a determination may be made that the carrying amount of our long-lived assets may not be recoverable in certain of these countries. Such a determination may give rise to future asset impairments or other charges which may have a material impact on our results of operations.</w:t>
      </w:r>
    </w:p>
    <w:p>
      <w:pPr>
        <w:spacing w:after="0" w:line="184" w:lineRule="exact"/>
        <w:rPr>
          <w:sz w:val="20"/>
          <w:szCs w:val="20"/>
          <w:color w:val="auto"/>
        </w:rPr>
      </w:pPr>
    </w:p>
    <w:p>
      <w:pPr>
        <w:jc w:val="both"/>
        <w:ind w:firstLine="16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w:t>
      </w:r>
      <w:r>
        <w:rPr>
          <w:rFonts w:ascii="Times New Roman" w:cs="Times New Roman" w:eastAsia="Times New Roman" w:hAnsi="Times New Roman"/>
          <w:sz w:val="18"/>
          <w:szCs w:val="18"/>
          <w:color w:val="auto"/>
        </w:rPr>
        <w:t>In the six months ended June 30, 2017 industry sales in North America to retail and fleet customers were 10.6 million units representing a decrease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1.3% compared to the corresponding period in 2016. U.S. industry sales were 8.6 million units in the six months ended June 30, 2017 and we expect industry unit sales to be in the low 17 millions for the full year. Consistent with 2016, U.S. industry sales in the second half of the year are projected to be stronger than in the first half of the year.</w:t>
      </w:r>
    </w:p>
    <w:p>
      <w:pPr>
        <w:spacing w:after="0" w:line="181"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six months ended June 30, 2017 our vehicle sales in the U.S., our largest market in North America, totaled 1.4 million units for market share of 16.4%, representing an increase of 0.1 percentage points compared to the corresponding period in 2016. We continue to lead the U.S. industry in market share. The increase in our U.S. market share was driven by strong performance in commercial and government fleet sales, partially offset by a reduction in daily rental sales. Our U.S. retail market share, which excludes fleet sales, was flat compared to the corresponding period in 2016.</w:t>
      </w:r>
    </w:p>
    <w:p>
      <w:pPr>
        <w:spacing w:after="0" w:line="180"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year ending December 31, 2017 we expect to sustain an EBIT-adjusted margin of greater than 10% on continued strength of U.S. industry light vehicle sales, key product launches and continued focus on overall cost savings. Based on our current cost structure, we continue to estimate GMNA’s breakeven point at the U.S. industry level to be in the range of 10.0 - 11.0 million units.</w:t>
      </w:r>
    </w:p>
    <w:p>
      <w:pPr>
        <w:spacing w:after="0" w:line="172"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GMIO </w:t>
      </w:r>
      <w:r>
        <w:rPr>
          <w:rFonts w:ascii="Times New Roman" w:cs="Times New Roman" w:eastAsia="Times New Roman" w:hAnsi="Times New Roman"/>
          <w:sz w:val="18"/>
          <w:szCs w:val="18"/>
          <w:color w:val="auto"/>
        </w:rPr>
        <w:t>In the six months ended June 30, 2017 China industry sales to retail and fleet customers were 12.3 million units and our market share was 14.4%.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continue to see strength in sales of our Cadillac and Baojun passenger vehicles and SUVs. However, residual effects from the government's partial removal of a purchase tax incentive at the end of 2016, and the rapid growth of SUVs over sedans in the market impacted Buick and Chevrolet performance, while Wuling sales were impacted by the continuing market shift away from mini commercial vehicles. In the six months ended June 30, 2017 our Automotive China JVs generated equity income of $1.0 billion. We expect industry growth in 2017 and continuation of pricing pressures which will continue to pressure margins. We continue to expect an increase in vehicle sales in 2017 driven by new launches and expect to sustain strong China</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37"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income and margins by focusing on vehicle mix improvements, cost improvements and efficiencies, and downstream performance optimization.</w:t>
      </w:r>
    </w:p>
    <w:p>
      <w:pPr>
        <w:spacing w:after="0" w:line="225"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Many markets in the rest of Asia Pacific, Africa and the Middle East continue to experience negative impacts from economic conditions such as foreign exchange volatility and low oil prices, however, strength in certain markets led to industry sales to retail and fleet customers of 10.5 million units, representing an increase of 2.4% in the six months ended June 30, 2017 compared to the corresponding period in 2016. Our vehicle sales totaled 0.3 million units leading to a market share of 3.0% in the six months ended June 30, 2017, a decrease of 0.5 percentage points compared to the corresponding period in 2016.</w:t>
      </w:r>
    </w:p>
    <w:p>
      <w:pPr>
        <w:spacing w:after="0" w:line="184"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In May 2017 we announced several restructuring actions in GMIO which were primarily related to the withdrawal of Chevrolet from the Indian and South African markets by the end of 2017 and the transition of our South African manufacturing operations to Isuzu Motors. These actions occurred as a result of a strategic decision to focus resources on opportunities expected to deliver higher returns. Refer to Note 15 to our condensed consolidated financial statements for additional information related to these restructuring actions. We expect the operating environment to remain challenging. As we strategically assess our performance and the manner in which we operate in certain countries, additional restructuring and rationalization actions may be required and may have a material impact on our results of operations.</w:t>
      </w:r>
    </w:p>
    <w:p>
      <w:pPr>
        <w:spacing w:after="0" w:line="184"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GMSA </w:t>
      </w:r>
      <w:r>
        <w:rPr>
          <w:rFonts w:ascii="Times New Roman" w:cs="Times New Roman" w:eastAsia="Times New Roman" w:hAnsi="Times New Roman"/>
          <w:sz w:val="18"/>
          <w:szCs w:val="18"/>
          <w:color w:val="auto"/>
        </w:rPr>
        <w:t>The South American automotive industry continues to be challenged by weak economic conditions and lack of consumer confidence. Despite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challenges, industry sales to retail and fleet customers were 1.9 million units in the six months ended June 30, 2017 representing an 11.5% increase compared to the corresponding period in 2016. In the six months ended June 30, 2017 our vehicle sales in Brazil, our largest market in South America, totaled 0.2 million units for market share of 17.2%, representing an increase of 1.2 percentage points compared to the corresponding period in 2016 as we continue to benefit from a refreshed portfolio.</w:t>
      </w:r>
    </w:p>
    <w:p>
      <w:pPr>
        <w:spacing w:after="0" w:line="184"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For the remainder of 2017, we expect our results to improve driven by a modest industry recovery and the strength of our portfolio and brand. We will continue to monitor conditions in South America and take actions to address challenges in the region.</w:t>
      </w:r>
    </w:p>
    <w:p>
      <w:pPr>
        <w:spacing w:after="0" w:line="160" w:lineRule="exact"/>
        <w:rPr>
          <w:sz w:val="20"/>
          <w:szCs w:val="20"/>
          <w:color w:val="auto"/>
        </w:rPr>
      </w:pPr>
    </w:p>
    <w:p>
      <w:pPr>
        <w:jc w:val="both"/>
        <w:ind w:firstLine="1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Venezuelan Operations </w:t>
      </w:r>
      <w:r>
        <w:rPr>
          <w:rFonts w:ascii="Times New Roman" w:cs="Times New Roman" w:eastAsia="Times New Roman" w:hAnsi="Times New Roman"/>
          <w:sz w:val="18"/>
          <w:szCs w:val="18"/>
          <w:color w:val="auto"/>
        </w:rPr>
        <w:t>In May 2017 we deconsolidated our business in Venezuela. The deconsolidation follows the unexpected seizure of our plant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18, 2017 by public authorities which forced us to cease operations and terminate employment relationships due to causes beyond our control, which included adverse political and economic conditions. The deconsolidation resulted in a charge of $0.1 billion during the three months ended June 30, 2017.</w:t>
      </w:r>
    </w:p>
    <w:p>
      <w:pPr>
        <w:spacing w:after="0" w:line="172"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Corporate </w:t>
      </w:r>
      <w:r>
        <w:rPr>
          <w:rFonts w:ascii="Times New Roman" w:cs="Times New Roman" w:eastAsia="Times New Roman" w:hAnsi="Times New Roman"/>
          <w:sz w:val="18"/>
          <w:szCs w:val="18"/>
          <w:color w:val="auto"/>
        </w:rPr>
        <w:t>In connection with our capital allocation program, as detailed in the "Liquidity and Capital Resources" section of this MD&amp;A, we announced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2016 that our Board of Directors had authorized a program to purchase up to $4 billion of our common stock before the end of 2017, of which we have purchased $2.5 billion through June 30, 2017. We also announced in January 2017 that our Board of Directors had authorized the purchase of up to an additional $5 billion of our common stock with no expiration date subsequent to completing the remaining portion of the previously announced program. From inception of the program in 2015 through July 17, 2017, we purchased an aggregate of 233 million shares of our outstanding common stock under our common stock repurchase program for $7.9 billion.</w:t>
      </w:r>
    </w:p>
    <w:p>
      <w:pPr>
        <w:spacing w:after="0" w:line="187"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ignition switch recall has led to various inquiries, investigations, subpoenas, requests for information and complaints from agencies or other representatives of U.S., federal, state and Canadian governments. In addition these and other recalls have resulted in a number of claims and lawsuits. Such lawsuits and investigations could in the future result in the imposition of material damages, fines, civil consent orders, civil and criminal penalties or other remedies. Refer to Note 13 to our condensed consolidated financial statements for additional information.</w:t>
      </w:r>
    </w:p>
    <w:p>
      <w:pPr>
        <w:spacing w:after="0" w:line="178"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Takata Matters </w:t>
      </w:r>
      <w:r>
        <w:rPr>
          <w:rFonts w:ascii="Times New Roman" w:cs="Times New Roman" w:eastAsia="Times New Roman" w:hAnsi="Times New Roman"/>
          <w:sz w:val="18"/>
          <w:szCs w:val="18"/>
          <w:color w:val="auto"/>
        </w:rPr>
        <w:t>On May 4, 2016 NHTSA issued an amended consent order requiring Takata to file DIRs for previously unrecalled front airbag inflators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phase-stabilized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 On May 16, 2016 Takata issued its first DIR in connection with the amended consent order, and on January 3, 2017, Takata issued its second set of DIRs.</w:t>
      </w:r>
    </w:p>
    <w:p>
      <w:pPr>
        <w:spacing w:after="0" w:line="18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Although we do not believe there is a safety defect at this time in any GM vehicles within the scope of the Takata DIRs, in cooperation with NHTSA we filed Preliminary DIRs on May 27, 2016, updated as of June 13, 2016, covering 2.5 million of certain of our GMT900 vehicles, which are full-size pick-up trucks and SUVs. On November 15, 2016, we filed a petition for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37"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inconsequentiality and request for deferral of determination regarding those GMT900 vehicles. On November 28, 2016, NHTSA granted GM’s deferral request in connection with this petition. The deferral provides GM until August 31, 2017 to present evidence and analysis that our vehicles do not pose an unreasonable risk to motor vehicle safety. We believe that this timeline will permit us to complete our testing of the relevant non-desiccated Takata inflators in GMT900 vehicles and to prove to NHTSA that the inflators in these vehicles do not present an unreasonable risk to safety and that no repair will ultimately be required.</w:t>
      </w:r>
    </w:p>
    <w:p>
      <w:pPr>
        <w:spacing w:after="0" w:line="184"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Takata filed a second set of equipment DIRs on January 3, 2017 and we filed a second set of Preliminary DIRs for certain GMT900 vehicles on January 10, 2017. These January 2017 DIRs are consistent with GM’s May 2016 DIRs. On the same day, we also filed a second petition for inconsequentiality and deferral of decision with respect to the vehicles subject to our January 2017 DIRs. On January 18, 2017, NHTSA consolidated our first and second petitions for inconsequentiality and will rule on both at the same time.</w:t>
      </w:r>
    </w:p>
    <w:p>
      <w:pPr>
        <w:spacing w:after="0" w:line="180"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We believe these vehicles are currently performing as designed and ongoing testing continues to support the belief that the vehicles' unique design and integration mitigates against inflator propellant degradation.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 We believe that the results of further testing and analysis will demonstrate that the vehicles do not present an unreasonable risk to safety and that no repair will ultimately be required. 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up to $0.9 billion.</w:t>
      </w:r>
    </w:p>
    <w:p>
      <w:pPr>
        <w:spacing w:after="0" w:line="18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GM continues to engage in discussions with regulators outside the U.S. with respect to Takata inflators. There are differences in vehicle and inflator design between the relevant vehicles sold internationally and those sold in the U.S. As a result of these discussions, we may be required to recall certain vehicles outside of the U.S. Additional recalls, if any, could be material to our results of operations and cash flows. We continue to monitor the international situation.</w:t>
      </w:r>
    </w:p>
    <w:p>
      <w:pPr>
        <w:spacing w:after="0" w:line="176"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Through July 17, 2017 we were aware of one putative class action pending against GM in federal court in the U.S., one putative class action in Mexico and four putative class actions pending in various Provincial Courts in Canada arising out of allegations that airbag inflators manufactured by Takata are defective. In addition, the New Mexico Attorney General has initiated litigation against Takata and numerous automotive manufacturers, including GM. At this early stage of these proceedings, we are unable to provide an evaluation of the likelihood that a loss will be incurred or an estimate of the amounts or range of possible loss.</w:t>
      </w:r>
    </w:p>
    <w:p>
      <w:pPr>
        <w:spacing w:after="0" w:line="184"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On June 26, 2017, Takata filed for bankruptcy protection in the United States and Japan. Over the past several months, a group of global automakers, including GM, have had discussions with Takata and Key Safety Systems, Inc. regarding a potential transaction involving the sale of Takata's business. GM has not experienced any supply interruptions arising from Takata initiating formal insolvency proceedings and anticipates that Takata will continue an uninterrupted supply of component parts to GM during the insolvency proceedings. GM continues to monitor Takata’s financial and operational performance and to develop alternative and contingent supplies to attempt to mitigate prospective threats to the supply of components.</w:t>
      </w:r>
    </w:p>
    <w:p>
      <w:pPr>
        <w:spacing w:after="0" w:line="180"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PSA Group Transaction </w:t>
      </w:r>
      <w:r>
        <w:rPr>
          <w:rFonts w:ascii="Times New Roman" w:cs="Times New Roman" w:eastAsia="Times New Roman" w:hAnsi="Times New Roman"/>
          <w:sz w:val="18"/>
          <w:szCs w:val="18"/>
          <w:color w:val="auto"/>
        </w:rPr>
        <w:t>On March 5, 2017 we entered into the Agreement to sell our European Business, consisting of the Opel/Vauxhall Business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Fincos, to PSA Group for net consideration with an estimated value of approximately $2.2 billion based upon exchange rates as of June 30, 2017, subject to foreign currency fluctuations. The net consideration to be paid for the Opel/Vauxhall Business under the Agreement has an estimated value of approximately $1.2 billion, consisting of (1) approximately $1.0 billion in cash; and (2) $0.7 billion in warrants in PSA Group; partially offset by (3) the approximate $0.5 billion de-risking premium payment to be made to PSA Group for assuming certain underfunded pension liabilities. The warrants are not exercisable for five years and do not include any governance or voting rights with respect to PSA Group. In addition, we have agreed to sell the shares of PSA Group received upon exercise of the warrants within 35 days after exercise. The net consideration to be paid for the Fincos will be 0.8 times their book value at closing, which we estimate will be approximately $1 billion. The purchase price is subject to certain working capital adjustments as provided in the Agreement.</w:t>
      </w:r>
    </w:p>
    <w:p>
      <w:pPr>
        <w:spacing w:after="0" w:line="18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2017 the assets and liabilities of the European Business have been presented as being held for sale and its operations and cash flows have been presented as discontinued operations based on the progress towards satisfying the various closing conditions necessary to complete the transaction, that include receipt of necessary antitrust, financial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37"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other regulatory approvals, the reorganization of the European Business, including pension plans in the United Kingdom, the completion of the contribution or sale by Adam Opel AG of its assets and liabilities to a subsidiary, the transfer of GMAC UK plc’s interest in SAIC-GMAC Automotive Finance Company Limited to GM Financial or an alternate entity we designate, unless either party elects to close without completion of this transfer, and the continued accuracy, subject to certain exceptions, at closing of our representations and warranties. The transfer of the Opel/Vauxhall Business is expected to close in the second half of 2017, subject to the receipt of necessary regulatory approvals and satisfaction of other closing conditions, and the transfer of the Fincos is expected to close as soon as practicable after the receipt of the necessary antitrust, financial and other regulatory approvals and satisfaction of other closing conditions, which may be after the transfer of the Opel/Vauxhall Business. The transfer of the Fincos will not occur unless the transfer of the Opel/Vauxhall Business occurs. Refer to Note 2 to our condensed consolidated financial statements for more information related to the assets and liabilities held for sale and discontinued operations of the European Business.</w:t>
      </w:r>
    </w:p>
    <w:p>
      <w:pPr>
        <w:spacing w:after="0" w:line="189"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The Company expects to recognize a charge resulting from the sale of the European Business of approximately $5.5 to $6.0 billion of which approximately $3.5 to $4.0 billion will be recorded in Income (loss) from discontinued operations, net of tax, and $2.0 billion will be treated as an adjustment to EPS-diluted-adjusted. The expected charge principally relates to: (1) approximately $3.9 billion of deferred tax assets that will no longer be realizable or that will transfer to PSA Group upon sale; (2) approximately $1.6 billion related to previously deferred pension losses and payment of a de-risking premium to PSA Group for its assumption of certain underfunded pension liabilities; (3) a disposal loss on the Fincos of up to $0.7 billion; and (4) other net charges primarily related to contract cancellations, working capital adjustments and certain transitional services and other costs to support the separation of operations to be provided for a period of time following closing. Proceeds will partially offset certain of these charges. Of these amounts, in the three months ended June 30, 2017 we recognized a disposal loss of $0.3 billion as a result of the Fincos being classified as held for sale, charges of $0.4 billion for the cancellation of product programs resulting from the convergence of vehicle platforms between our European Business and PSA Group and other insignificant charges. These charges were recorded in Income (loss) from discontinued operations, net of tax. The remainder of the expected charge will be recognized upon closing.</w:t>
      </w:r>
    </w:p>
    <w:p>
      <w:pPr>
        <w:spacing w:after="0" w:line="186"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The Seller has agreed to indemnify PSA Group for certain losses resulting from any inaccuracy of the representations and warranties or breaches of our covenants included in the Agreement and for certain other liabilities including emissions and product liabilities. The Company has entered into a guarantee for the benefit of PSA Group and pursuant to which the Company has agreed to guarantee the Seller's obligation to indemnify PSA Group for certain losses resulting from any inaccuracy of certain representations and warranties or breaches of our covenants in the Agreement and for certain other liabilities. Certain of these indemnification obligations are subject to time limitations, thresholds and/or caps as to the amount of required payments.</w:t>
      </w:r>
    </w:p>
    <w:p>
      <w:pPr>
        <w:spacing w:after="0" w:line="184"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We will retain net underfunded pension liabilities of approximately $7.0 billion primarily to current pensioners and former employees of the European Business with vested pension rights. PSA Group will assume approximately $2.9 billion of net underfunded pension liabilities primarily with respect to active employees of the European Business, and at closing, the Seller will make payments to PSA Group, or one or more pension funding vehicles, of approximately $3.4 billion, subject to foreign currency and discount rate fluctuations, in respect of these assumed liabilities, which includes pension funding payments for active employees and the de-risking premium payment of approximately $0.5 billion discussed above. The pension liabilities described herein are calculated as of December 31, 2016 and have been updated to reflect foreign exchange rates at June 30, 2017. The actual pension liabilities retained by the Seller and assumed by PSA Group will be determined at the closing date and, as a result, may differ from the amounts reported herein. We have entered into interest rate swaps and foreign exchange forwards to hedge market risk associated with funding pension liabilities assumed by PSA Group. At closing we expect to draw upon our three year revolving credit facility to fund the payments made to PSA Group for the transferred pension liabilities. We plan to issue debt securities thereafter to repay the draw on our credit facility subject to market conditions.</w:t>
      </w:r>
    </w:p>
    <w:p>
      <w:pPr>
        <w:spacing w:after="0" w:line="18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As part of the retained pension liabilities described above, we will retain the United Kingdom defined benefit pension plans in existence at signing related to the European Business, including responsibility for service cost accruals through the closing date. Those plans with active participants will close to future accrual as of the day before closing. Any future service cost accruals on and from the closing date will be the responsibility of PSA Group.</w:t>
      </w:r>
    </w:p>
    <w:p>
      <w:pPr>
        <w:spacing w:after="0" w:line="17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We have agreed to purchase from and supply to PSA Group certain vehicles for a period of time following closing and not to engage in certain competing businesses in Europe for a period of three years.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additional details on the Agreement please see our Current Report on Form 8-K filed with the SEC on March 6, 2017.</w:t>
      </w:r>
    </w:p>
    <w:p>
      <w:pPr>
        <w:spacing w:after="0" w:line="221"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Vehicle Sales </w:t>
      </w:r>
      <w:r>
        <w:rPr>
          <w:rFonts w:ascii="Times New Roman" w:cs="Times New Roman" w:eastAsia="Times New Roman" w:hAnsi="Times New Roman"/>
          <w:sz w:val="18"/>
          <w:szCs w:val="18"/>
          <w:color w:val="auto"/>
        </w:rPr>
        <w:t>The principal factors that determine consumer vehicle preferences in the markets in which we operate include overall vehicle design,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available options, safety, reliability, fuel economy and functionality. Market leadership in individual countries in which we compete varies widely. We present both wholesale and retail vehicle sales data to assist in the analysis of our revenue and our market share.</w:t>
      </w:r>
    </w:p>
    <w:p>
      <w:pPr>
        <w:spacing w:after="0" w:line="175"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Wholesale vehicle sales data (vehicles in thousands), which represents sales directly to dealers and others, including sales to fleet customers, is the measure that correlates to our revenue from the sale of vehicles, which is the largest component of Automotive net sales and revenue. Wholesale vehicle sales exclude vehicles sold by joint ventures. We have agreed to purchase from and supply to PSA Group certain vehicles for a period of time following the close of the Agreement. As a result, GMIO wholesale vehicle sales include 46 and 35 vehicles related to transactions with the European Business for the three months ended June 30, 2017 and 2016 and 94 and 70 vehicles for the six months ended June 30, 2017 and 2016. Changes in wholesale vehicle sales in GMNA and GMSA were insignificant for the three and six months ended June 30, 2017 and 2016. In the six months ended June 30, 2017, 37.5% of our wholesale vehicle sales volume was generated outside the U.S. The following table summarizes total wholesale vehicle sales of new vehicles by automotive segment:</w:t>
      </w:r>
    </w:p>
    <w:p>
      <w:pPr>
        <w:sectPr>
          <w:pgSz w:w="11900" w:h="16838" w:orient="portrait"/>
          <w:cols w:equalWidth="0" w:num="1">
            <w:col w:w="11420"/>
          </w:cols>
          <w:pgMar w:left="240" w:top="337"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37"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Borders>
              <w:bottom w:val="single" w:sz="8" w:color="auto"/>
            </w:tcBorders>
          </w:tcPr>
          <w:p>
            <w:pPr>
              <w:spacing w:after="0"/>
              <w:rPr>
                <w:sz w:val="16"/>
                <w:szCs w:val="16"/>
                <w:color w:val="auto"/>
              </w:rPr>
            </w:pPr>
          </w:p>
        </w:tc>
      </w:tr>
      <w:tr>
        <w:trPr>
          <w:trHeight w:val="264"/>
        </w:trPr>
        <w:tc>
          <w:tcPr>
            <w:tcW w:w="4080" w:type="dxa"/>
            <w:vAlign w:val="bottom"/>
          </w:tcPr>
          <w:p>
            <w:pPr>
              <w:spacing w:after="0"/>
              <w:rPr>
                <w:sz w:val="22"/>
                <w:szCs w:val="22"/>
                <w:color w:val="auto"/>
              </w:rPr>
            </w:pPr>
          </w:p>
        </w:tc>
        <w:tc>
          <w:tcPr>
            <w:tcW w:w="18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86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86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760" w:type="dxa"/>
            <w:vAlign w:val="bottom"/>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9"/>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GMNA</w:t>
            </w:r>
          </w:p>
        </w:tc>
        <w:tc>
          <w:tcPr>
            <w:tcW w:w="7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1,878</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GMIO</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4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GMSA</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97"/>
        </w:trPr>
        <w:tc>
          <w:tcPr>
            <w:tcW w:w="4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22"/>
        </w:trPr>
        <w:tc>
          <w:tcPr>
            <w:tcW w:w="40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19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Retail vehicle sales data, which represents sales to end customers based upon the good faith estimates of management, including sales to fleet customers, does not correlate directly to the revenue we recognize during the period. However retail vehicle sales data is indicative of the underlying demand for our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pacing w:after="0" w:line="180"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and vehicles sold through the dealer registration channel primarily in Europe. This sales channel consists primarily of dealer demonstrator, loaner and self-registered vehicles which are not eligible to be sold as new vehicles after being registered by dealers. Certain fleet sales that are accounted for as operating leases are included in retail vehicle sales at the time of delivery to daily rental car companies. The following table summarizes total industry retail sales, or estimated sales where retail sales volume is not available, of vehicles and our related competitive position by geographic region (vehicles in thousands):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37"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June 30, 2017</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June 30, 2016</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June 30, 2017</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June 30, 2016</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3"/>
                <w:szCs w:val="13"/>
                <w:b w:val="1"/>
                <w:bCs w:val="1"/>
                <w:color w:val="auto"/>
              </w:rPr>
              <w:t>Market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9"/>
              <w:spacing w:after="0" w:line="142" w:lineRule="exact"/>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2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GM</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w:t>
            </w: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00" w:type="dxa"/>
            <w:vAlign w:val="bottom"/>
          </w:tcPr>
          <w:p>
            <w:pPr>
              <w:spacing w:after="0"/>
              <w:rPr>
                <w:sz w:val="15"/>
                <w:szCs w:val="15"/>
                <w:color w:val="auto"/>
              </w:rPr>
            </w:pPr>
          </w:p>
        </w:tc>
        <w:tc>
          <w:tcPr>
            <w:tcW w:w="76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GM</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20" w:type="dxa"/>
            <w:vAlign w:val="bottom"/>
          </w:tcPr>
          <w:p>
            <w:pPr>
              <w:spacing w:after="0"/>
              <w:rPr>
                <w:sz w:val="15"/>
                <w:szCs w:val="15"/>
                <w:color w:val="auto"/>
              </w:rPr>
            </w:pPr>
          </w:p>
        </w:tc>
        <w:tc>
          <w:tcPr>
            <w:tcW w:w="7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GM</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00" w:type="dxa"/>
            <w:vAlign w:val="bottom"/>
          </w:tcPr>
          <w:p>
            <w:pPr>
              <w:spacing w:after="0"/>
              <w:rPr>
                <w:sz w:val="15"/>
                <w:szCs w:val="15"/>
                <w:color w:val="auto"/>
              </w:rPr>
            </w:pPr>
          </w:p>
        </w:tc>
        <w:tc>
          <w:tcPr>
            <w:tcW w:w="74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GM</w:t>
            </w:r>
          </w:p>
        </w:tc>
        <w:tc>
          <w:tcPr>
            <w:tcW w:w="64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Share</w:t>
            </w:r>
          </w:p>
        </w:tc>
        <w:tc>
          <w:tcPr>
            <w:tcW w:w="0" w:type="dxa"/>
            <w:vAlign w:val="bottom"/>
          </w:tcPr>
          <w:p>
            <w:pPr>
              <w:spacing w:after="0"/>
              <w:rPr>
                <w:sz w:val="1"/>
                <w:szCs w:val="1"/>
                <w:color w:val="auto"/>
              </w:rPr>
            </w:pPr>
          </w:p>
        </w:tc>
      </w:tr>
      <w:tr>
        <w:trPr>
          <w:trHeight w:val="179"/>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4,499</w:t>
            </w:r>
          </w:p>
        </w:tc>
        <w:tc>
          <w:tcPr>
            <w:tcW w:w="66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4,630</w:t>
            </w:r>
          </w:p>
        </w:tc>
        <w:tc>
          <w:tcPr>
            <w:tcW w:w="66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8,605</w:t>
            </w:r>
          </w:p>
        </w:tc>
        <w:tc>
          <w:tcPr>
            <w:tcW w:w="66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1,414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8,811</w:t>
            </w:r>
          </w:p>
        </w:tc>
        <w:tc>
          <w:tcPr>
            <w:tcW w:w="660" w:type="dxa"/>
            <w:vAlign w:val="bottom"/>
            <w:gridSpan w:val="2"/>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1,087</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1,073</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1,984</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1,921</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73"/>
        </w:trPr>
        <w:tc>
          <w:tcPr>
            <w:tcW w:w="24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North America(c)</w:t>
            </w: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5,586</w:t>
            </w:r>
          </w:p>
        </w:tc>
        <w:tc>
          <w:tcPr>
            <w:tcW w:w="66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879</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5,703</w:t>
            </w:r>
          </w:p>
        </w:tc>
        <w:tc>
          <w:tcPr>
            <w:tcW w:w="66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10,589</w:t>
            </w:r>
          </w:p>
        </w:tc>
        <w:tc>
          <w:tcPr>
            <w:tcW w:w="66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1,695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10,732</w:t>
            </w:r>
          </w:p>
        </w:tc>
        <w:tc>
          <w:tcPr>
            <w:tcW w:w="660" w:type="dxa"/>
            <w:vAlign w:val="bottom"/>
            <w:gridSpan w:val="2"/>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1,709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Asia/Pacific, Middle East and Africa</w:t>
            </w: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China(a)</w:t>
            </w: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6,121</w:t>
            </w:r>
          </w:p>
        </w:tc>
        <w:tc>
          <w:tcPr>
            <w:tcW w:w="66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852</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6,384</w:t>
            </w:r>
          </w:p>
        </w:tc>
        <w:tc>
          <w:tcPr>
            <w:tcW w:w="66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12,301</w:t>
            </w:r>
          </w:p>
        </w:tc>
        <w:tc>
          <w:tcPr>
            <w:tcW w:w="66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1,766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12,997</w:t>
            </w:r>
          </w:p>
        </w:tc>
        <w:tc>
          <w:tcPr>
            <w:tcW w:w="660" w:type="dxa"/>
            <w:vAlign w:val="bottom"/>
            <w:gridSpan w:val="2"/>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1,815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Other(d)</w:t>
            </w: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5,097</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5,019</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10,547</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10,299</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73"/>
        </w:trPr>
        <w:tc>
          <w:tcPr>
            <w:tcW w:w="24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rPr>
              <w:t>Total Asia/Pacific, Middle East and</w:t>
            </w: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11,218</w:t>
            </w:r>
          </w:p>
        </w:tc>
        <w:tc>
          <w:tcPr>
            <w:tcW w:w="66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1,015</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11,403</w:t>
            </w:r>
          </w:p>
        </w:tc>
        <w:tc>
          <w:tcPr>
            <w:tcW w:w="66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22,848</w:t>
            </w:r>
          </w:p>
        </w:tc>
        <w:tc>
          <w:tcPr>
            <w:tcW w:w="66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2,084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23,296</w:t>
            </w:r>
          </w:p>
        </w:tc>
        <w:tc>
          <w:tcPr>
            <w:tcW w:w="660" w:type="dxa"/>
            <w:vAlign w:val="bottom"/>
            <w:gridSpan w:val="2"/>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2,171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Africa(c)</w:t>
            </w:r>
          </w:p>
        </w:tc>
        <w:tc>
          <w:tcPr>
            <w:tcW w:w="70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South America</w:t>
            </w: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Brazil</w:t>
            </w: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547</w:t>
            </w:r>
          </w:p>
        </w:tc>
        <w:tc>
          <w:tcPr>
            <w:tcW w:w="66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502</w:t>
            </w:r>
          </w:p>
        </w:tc>
        <w:tc>
          <w:tcPr>
            <w:tcW w:w="66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1,019</w:t>
            </w:r>
          </w:p>
        </w:tc>
        <w:tc>
          <w:tcPr>
            <w:tcW w:w="66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983</w:t>
            </w:r>
          </w:p>
        </w:tc>
        <w:tc>
          <w:tcPr>
            <w:tcW w:w="660" w:type="dxa"/>
            <w:vAlign w:val="bottom"/>
            <w:gridSpan w:val="2"/>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930</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73"/>
        </w:trPr>
        <w:tc>
          <w:tcPr>
            <w:tcW w:w="24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South America(c)</w:t>
            </w: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vMerge w:val="restart"/>
            <w:shd w:val="clear" w:color="auto" w:fill="CCEEFF"/>
          </w:tcPr>
          <w:p>
            <w:pPr>
              <w:spacing w:after="0"/>
              <w:rPr>
                <w:sz w:val="15"/>
                <w:szCs w:val="15"/>
                <w:color w:val="auto"/>
              </w:rPr>
            </w:pPr>
          </w:p>
        </w:tc>
        <w:tc>
          <w:tcPr>
            <w:tcW w:w="5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vMerge w:val="restart"/>
            <w:shd w:val="clear" w:color="auto" w:fill="CCEEFF"/>
          </w:tcPr>
          <w:p>
            <w:pPr>
              <w:spacing w:after="0"/>
              <w:rPr>
                <w:sz w:val="15"/>
                <w:szCs w:val="15"/>
                <w:color w:val="auto"/>
              </w:rPr>
            </w:pPr>
          </w:p>
        </w:tc>
        <w:tc>
          <w:tcPr>
            <w:tcW w:w="5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1,949</w:t>
            </w:r>
          </w:p>
        </w:tc>
        <w:tc>
          <w:tcPr>
            <w:tcW w:w="120" w:type="dxa"/>
            <w:vAlign w:val="bottom"/>
            <w:vMerge w:val="restart"/>
            <w:shd w:val="clear" w:color="auto" w:fill="CCEEFF"/>
          </w:tcPr>
          <w:p>
            <w:pPr>
              <w:spacing w:after="0"/>
              <w:rPr>
                <w:sz w:val="15"/>
                <w:szCs w:val="15"/>
                <w:color w:val="auto"/>
              </w:rPr>
            </w:pPr>
          </w:p>
        </w:tc>
        <w:tc>
          <w:tcPr>
            <w:tcW w:w="5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1,748</w:t>
            </w:r>
          </w:p>
        </w:tc>
        <w:tc>
          <w:tcPr>
            <w:tcW w:w="100" w:type="dxa"/>
            <w:vAlign w:val="bottom"/>
            <w:vMerge w:val="restart"/>
            <w:shd w:val="clear" w:color="auto" w:fill="CCEEFF"/>
          </w:tcPr>
          <w:p>
            <w:pPr>
              <w:spacing w:after="0"/>
              <w:rPr>
                <w:sz w:val="15"/>
                <w:szCs w:val="15"/>
                <w:color w:val="auto"/>
              </w:rPr>
            </w:pPr>
          </w:p>
        </w:tc>
        <w:tc>
          <w:tcPr>
            <w:tcW w:w="5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83"/>
        </w:trPr>
        <w:tc>
          <w:tcPr>
            <w:tcW w:w="2420" w:type="dxa"/>
            <w:vAlign w:val="bottom"/>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 in GM markets</w:t>
            </w: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17,814</w:t>
            </w:r>
          </w:p>
        </w:tc>
        <w:tc>
          <w:tcPr>
            <w:tcW w:w="66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2,054</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5"/>
                <w:szCs w:val="15"/>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18,000</w:t>
            </w:r>
          </w:p>
        </w:tc>
        <w:tc>
          <w:tcPr>
            <w:tcW w:w="66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2,072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5"/>
                <w:szCs w:val="15"/>
                <w:color w:val="auto"/>
              </w:rPr>
            </w:pPr>
          </w:p>
        </w:tc>
        <w:tc>
          <w:tcPr>
            <w:tcW w:w="6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35,386</w:t>
            </w:r>
          </w:p>
        </w:tc>
        <w:tc>
          <w:tcPr>
            <w:tcW w:w="66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4,087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5"/>
                <w:szCs w:val="15"/>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35,776</w:t>
            </w:r>
          </w:p>
        </w:tc>
        <w:tc>
          <w:tcPr>
            <w:tcW w:w="66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4,149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73"/>
        </w:trPr>
        <w:tc>
          <w:tcPr>
            <w:tcW w:w="2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Europe</w:t>
            </w: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5,092</w:t>
            </w:r>
          </w:p>
        </w:tc>
        <w:tc>
          <w:tcPr>
            <w:tcW w:w="120" w:type="dxa"/>
            <w:vAlign w:val="bottom"/>
            <w:vMerge w:val="restart"/>
            <w:shd w:val="clear" w:color="auto" w:fill="CCEEFF"/>
          </w:tcPr>
          <w:p>
            <w:pPr>
              <w:spacing w:after="0"/>
              <w:rPr>
                <w:sz w:val="17"/>
                <w:szCs w:val="17"/>
                <w:color w:val="auto"/>
              </w:rPr>
            </w:pPr>
          </w:p>
        </w:tc>
        <w:tc>
          <w:tcPr>
            <w:tcW w:w="5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5,099</w:t>
            </w:r>
          </w:p>
        </w:tc>
        <w:tc>
          <w:tcPr>
            <w:tcW w:w="100" w:type="dxa"/>
            <w:vAlign w:val="bottom"/>
            <w:vMerge w:val="restart"/>
            <w:shd w:val="clear" w:color="auto" w:fill="CCEEFF"/>
          </w:tcPr>
          <w:p>
            <w:pPr>
              <w:spacing w:after="0"/>
              <w:rPr>
                <w:sz w:val="17"/>
                <w:szCs w:val="17"/>
                <w:color w:val="auto"/>
              </w:rPr>
            </w:pPr>
          </w:p>
        </w:tc>
        <w:tc>
          <w:tcPr>
            <w:tcW w:w="5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10,152</w:t>
            </w:r>
          </w:p>
        </w:tc>
        <w:tc>
          <w:tcPr>
            <w:tcW w:w="120" w:type="dxa"/>
            <w:vAlign w:val="bottom"/>
            <w:vMerge w:val="restart"/>
            <w:shd w:val="clear" w:color="auto" w:fill="CCEEFF"/>
          </w:tcPr>
          <w:p>
            <w:pPr>
              <w:spacing w:after="0"/>
              <w:rPr>
                <w:sz w:val="17"/>
                <w:szCs w:val="17"/>
                <w:color w:val="auto"/>
              </w:rPr>
            </w:pPr>
          </w:p>
        </w:tc>
        <w:tc>
          <w:tcPr>
            <w:tcW w:w="5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9,760</w:t>
            </w:r>
          </w:p>
        </w:tc>
        <w:tc>
          <w:tcPr>
            <w:tcW w:w="100" w:type="dxa"/>
            <w:vAlign w:val="bottom"/>
            <w:vMerge w:val="restart"/>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 Worldwide(b)</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22,906</w:t>
            </w:r>
          </w:p>
        </w:tc>
        <w:tc>
          <w:tcPr>
            <w:tcW w:w="6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2,343</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4"/>
                <w:szCs w:val="24"/>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23,099</w:t>
            </w:r>
          </w:p>
        </w:tc>
        <w:tc>
          <w:tcPr>
            <w:tcW w:w="6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2,390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45,538</w:t>
            </w:r>
          </w:p>
        </w:tc>
        <w:tc>
          <w:tcPr>
            <w:tcW w:w="6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4,686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24"/>
                <w:szCs w:val="24"/>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45,536</w:t>
            </w:r>
          </w:p>
        </w:tc>
        <w:tc>
          <w:tcPr>
            <w:tcW w:w="66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4,768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51"/>
        </w:trPr>
        <w:tc>
          <w:tcPr>
            <w:tcW w:w="24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Cars</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1,632</w:t>
            </w:r>
          </w:p>
        </w:tc>
        <w:tc>
          <w:tcPr>
            <w:tcW w:w="6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23"/>
                <w:szCs w:val="23"/>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1,836</w:t>
            </w:r>
          </w:p>
        </w:tc>
        <w:tc>
          <w:tcPr>
            <w:tcW w:w="6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3,135</w:t>
            </w:r>
          </w:p>
        </w:tc>
        <w:tc>
          <w:tcPr>
            <w:tcW w:w="6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362</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23"/>
                <w:szCs w:val="23"/>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3,528</w:t>
            </w:r>
          </w:p>
        </w:tc>
        <w:tc>
          <w:tcPr>
            <w:tcW w:w="66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Trucks</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1,267</w:t>
            </w:r>
          </w:p>
        </w:tc>
        <w:tc>
          <w:tcPr>
            <w:tcW w:w="6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1,251</w:t>
            </w:r>
          </w:p>
        </w:tc>
        <w:tc>
          <w:tcPr>
            <w:tcW w:w="6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2,424</w:t>
            </w:r>
          </w:p>
        </w:tc>
        <w:tc>
          <w:tcPr>
            <w:tcW w:w="6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601</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2,371</w:t>
            </w:r>
          </w:p>
        </w:tc>
        <w:tc>
          <w:tcPr>
            <w:tcW w:w="66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265"/>
        </w:trPr>
        <w:tc>
          <w:tcPr>
            <w:tcW w:w="2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Crossovers</w:t>
            </w:r>
          </w:p>
        </w:tc>
        <w:tc>
          <w:tcPr>
            <w:tcW w:w="7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1,600</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1,543</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3,046</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451</w:t>
            </w: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2,912</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42"/>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United States</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4,499</w:t>
            </w:r>
          </w:p>
        </w:tc>
        <w:tc>
          <w:tcPr>
            <w:tcW w:w="6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4,630</w:t>
            </w:r>
          </w:p>
        </w:tc>
        <w:tc>
          <w:tcPr>
            <w:tcW w:w="6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8,605</w:t>
            </w:r>
          </w:p>
        </w:tc>
        <w:tc>
          <w:tcPr>
            <w:tcW w:w="6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1,414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8,811</w:t>
            </w:r>
          </w:p>
        </w:tc>
        <w:tc>
          <w:tcPr>
            <w:tcW w:w="66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China(a)</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42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SGMS</w:t>
            </w:r>
          </w:p>
        </w:tc>
        <w:tc>
          <w:tcPr>
            <w:tcW w:w="7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810</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SGMW and FAW-GM</w:t>
            </w:r>
          </w:p>
        </w:tc>
        <w:tc>
          <w:tcPr>
            <w:tcW w:w="7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956</w:t>
            </w: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China</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6,121</w:t>
            </w:r>
          </w:p>
        </w:tc>
        <w:tc>
          <w:tcPr>
            <w:tcW w:w="6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852</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6,384</w:t>
            </w:r>
          </w:p>
        </w:tc>
        <w:tc>
          <w:tcPr>
            <w:tcW w:w="6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12,301</w:t>
            </w:r>
          </w:p>
        </w:tc>
        <w:tc>
          <w:tcPr>
            <w:tcW w:w="6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1,766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12,997</w:t>
            </w:r>
          </w:p>
        </w:tc>
        <w:tc>
          <w:tcPr>
            <w:tcW w:w="66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1,815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4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40" w:hanging="332"/>
        <w:spacing w:after="0" w:line="249"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China sales include the Automotive China JVs SAIC General Motors Sales Co., Ltd. (SGMS), SAIC GM Wuling Automobile Co., Ltd. (SGMW) and FAW-GM Light Duty Commercial Vehicle Co., Ltd. (FAW-GM). In the three months ended March 31, 2017, we began using estimated vehicle registrations data as the basis for calculating industry volume and market share in China. In the three and six months ended June 30, 2016, wholesale volumes were used for Industry, GM and Market Share. Our retail sales in China were 847 and 1,810 in the three and six months ended June 30, 2016.</w:t>
      </w:r>
    </w:p>
    <w:p>
      <w:pPr>
        <w:spacing w:after="0" w:line="2" w:lineRule="exact"/>
        <w:rPr>
          <w:rFonts w:ascii="Times New Roman" w:cs="Times New Roman" w:eastAsia="Times New Roman" w:hAnsi="Times New Roman"/>
          <w:sz w:val="16"/>
          <w:szCs w:val="16"/>
          <w:color w:val="auto"/>
        </w:rPr>
      </w:pPr>
    </w:p>
    <w:p>
      <w:pPr>
        <w:ind w:left="340" w:hanging="332"/>
        <w:spacing w:after="0" w:line="246"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currently export vehicles to Cuba, Iran, North Korea, Sudan or Syria. Accordingly these countries are excluded from industry sales data and corresponding calculation of market share.</w:t>
      </w: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Opel/Vauxhall outside of Europe were insignificant in the three and six months ended June 30, 2017 and 2016.</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Industry and GM sales in India and South Africa. We intend to phase out sales of Chevrolet in the Indian and South African markets by the end of 2017.</w:t>
      </w:r>
    </w:p>
    <w:p>
      <w:pPr>
        <w:spacing w:after="0" w:line="145"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2017 we estimate we had the largest market share in North America and South America, and the number three market share in the Asia/Pacific, Middle East and Africa region.</w:t>
      </w:r>
    </w:p>
    <w:p>
      <w:pPr>
        <w:spacing w:after="0" w:line="16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sales and market share data provided in the table above includes both fleet vehicle sales and sales to retail customers. Certain fleet transactions, particularly sales to daily rental car companies, are generally less profitable than sales to retail customers. A significant portion of the sales to daily rental car companies are recorded as operating leases under U.S. GAAP with no recognition of revenue at the date of initial delivery due to guaranteed repurchase obligations. The following table summarizes estimated fleet sales and those sales as a percentage of total retail vehicle sales (vehicles in thousands):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337"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58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Borders>
              <w:bottom w:val="single" w:sz="8" w:color="CCEEFF"/>
            </w:tcBorders>
            <w:gridSpan w:val="2"/>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GMNA</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341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382</w:t>
            </w:r>
          </w:p>
        </w:tc>
      </w:tr>
      <w:tr>
        <w:trPr>
          <w:trHeight w:val="243"/>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GMIO</w:t>
            </w: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13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1"/>
                <w:szCs w:val="21"/>
                <w:color w:val="auto"/>
              </w:rPr>
            </w:pPr>
          </w:p>
        </w:tc>
        <w:tc>
          <w:tcPr>
            <w:tcW w:w="13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128</w:t>
            </w: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GMSA</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65</w:t>
            </w:r>
          </w:p>
        </w:tc>
      </w:tr>
      <w:tr>
        <w:trPr>
          <w:trHeight w:val="297"/>
        </w:trPr>
        <w:tc>
          <w:tcPr>
            <w:tcW w:w="5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fleet sales</w:t>
            </w:r>
          </w:p>
        </w:tc>
        <w:tc>
          <w:tcPr>
            <w:tcW w:w="2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537</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575</w:t>
            </w:r>
          </w:p>
        </w:tc>
      </w:tr>
      <w:tr>
        <w:trPr>
          <w:trHeight w:val="109"/>
        </w:trPr>
        <w:tc>
          <w:tcPr>
            <w:tcW w:w="58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243"/>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Fleet sales as a percentage of total retail vehicle sales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459"/>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following table summarizes United States fleet sales (vehicles in thousands):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0"/>
        </w:trPr>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5"/>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58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Daily rental sales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14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fleet sales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14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6060" w:type="dxa"/>
            <w:vAlign w:val="bottom"/>
            <w:tcBorders>
              <w:bottom w:val="single" w:sz="8" w:color="CCEEFF"/>
            </w:tcBorders>
            <w:gridSpan w:val="2"/>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0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fleet sales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1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302</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Summary and Outlook </w:t>
      </w:r>
      <w:r>
        <w:rPr>
          <w:rFonts w:ascii="Times New Roman" w:cs="Times New Roman" w:eastAsia="Times New Roman" w:hAnsi="Times New Roman"/>
          <w:sz w:val="18"/>
          <w:szCs w:val="18"/>
          <w:color w:val="auto"/>
        </w:rPr>
        <w:t>GM Financial has expanded its leasing, near prime and prime lending programs in North America; therefore, leasing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prime lending have become a larger percentage of originations and the retail portfolio balance. GM Financial expects used car prices to decline approximately 7% during 2017 compared to 2016 and expects an increased supply of used vehicles to continue to pressure used car prices through at least 2018. GM Financial is currently experiencing weaker residual values, especially in the crossover segment. GM Financial continues to expect pre-tax income to double from 2014 earnings of $0.8 billion once full captive penetration levels are achieved. The following table summarizes the residual value as well as the number of units included in GM Financial equipment on operating leases, net by vehicle type (units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320" w:type="dxa"/>
            <w:vAlign w:val="bottom"/>
            <w:tcBorders>
              <w:bottom w:val="single" w:sz="8" w:color="auto"/>
            </w:tcBorders>
          </w:tcPr>
          <w:p>
            <w:pPr>
              <w:spacing w:after="0"/>
              <w:rPr>
                <w:sz w:val="16"/>
                <w:szCs w:val="16"/>
                <w:color w:val="auto"/>
              </w:rPr>
            </w:pPr>
          </w:p>
        </w:tc>
      </w:tr>
      <w:tr>
        <w:trPr>
          <w:trHeight w:val="264"/>
        </w:trPr>
        <w:tc>
          <w:tcPr>
            <w:tcW w:w="3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3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49"/>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Trucks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6,136</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Crossovers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12,383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10,349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SUVs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3,262</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27,595</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23,611</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1,323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162"/>
        <w:spacing w:after="0" w:line="272" w:lineRule="auto"/>
        <w:rPr>
          <w:sz w:val="20"/>
          <w:szCs w:val="20"/>
          <w:color w:val="auto"/>
        </w:rPr>
      </w:pPr>
      <w:r>
        <w:rPr>
          <w:rFonts w:ascii="Times New Roman" w:cs="Times New Roman" w:eastAsia="Times New Roman" w:hAnsi="Times New Roman"/>
          <w:sz w:val="18"/>
          <w:szCs w:val="18"/>
          <w:color w:val="auto"/>
        </w:rPr>
        <w:t>GM Financial's retail penetration in North America grew to approximately 44% in the six months ended June 30, 2017 from approximately 35% in the corresponding period in 2016 as a result of the expanded leasing and lending programs. In the six months ended June 30, 2017 and 2016 GM Financial's revenue consisted of leased vehicle income of 71% and 63%, retail finance charge income of 24% and 31%, commercial finance charge income of 3% and 3% and other income of 2% and 3%. We believe that offering a comprehensive suite of financing products will generate incremental sales of our vehicles, drive incremental GM Financial earnings and help support our sales throughout various economic cycles. Refer to the PSA Group Transaction portion of the “Overview” section of this MD&amp;A for a discussion on the Agreement to sell the Fincos to PSA Group.</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Consolidated Results </w:t>
      </w:r>
      <w:r>
        <w:rPr>
          <w:rFonts w:ascii="Times New Roman" w:cs="Times New Roman" w:eastAsia="Times New Roman" w:hAnsi="Times New Roman"/>
          <w:sz w:val="18"/>
          <w:szCs w:val="18"/>
          <w:color w:val="auto"/>
        </w:rPr>
        <w:t>We review changes in our results of operations under five categories: volume, mix, price, cost and other. Volume measures the impact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includes primarily: (1) material and freight; (2) manufacturing, engineering, advertising, administrative and selling and warranty expense; and (3) non-vehicle related activity. Other includes primarily foreign exchange and non-vehicle related automotive revenues as well as equity income or loss from our nonconsolidated affiliates. Refer to the regional sections of this MD&amp;A for additional information.</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5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Pr>
          <w:p>
            <w:pPr>
              <w:spacing w:after="0"/>
              <w:rPr>
                <w:sz w:val="5"/>
                <w:szCs w:val="5"/>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60" w:type="dxa"/>
            <w:vAlign w:val="bottom"/>
          </w:tcPr>
          <w:p>
            <w:pPr>
              <w:spacing w:after="0"/>
              <w:rPr>
                <w:sz w:val="5"/>
                <w:szCs w:val="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Mix</w:t>
            </w:r>
          </w:p>
        </w:tc>
        <w:tc>
          <w:tcPr>
            <w:tcW w:w="280" w:type="dxa"/>
            <w:vAlign w:val="bottom"/>
          </w:tcPr>
          <w:p>
            <w:pPr>
              <w:spacing w:after="0"/>
              <w:rPr>
                <w:sz w:val="5"/>
                <w:szCs w:val="5"/>
                <w:color w:val="auto"/>
              </w:rPr>
            </w:pPr>
          </w:p>
        </w:tc>
        <w:tc>
          <w:tcPr>
            <w:tcW w:w="6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5"/>
                <w:szCs w:val="5"/>
                <w:color w:val="auto"/>
              </w:rPr>
            </w:pPr>
          </w:p>
        </w:tc>
        <w:tc>
          <w:tcPr>
            <w:tcW w:w="6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28,437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30,222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GMIO</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GMSA</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35,246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 Financial</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36,984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37,383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337" w:right="239" w:bottom="0" w:gutter="0" w:footer="0" w:header="0"/>
        </w:sect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167640</wp:posOffset>
            </wp:positionV>
            <wp:extent cx="8890" cy="27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27305"/>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14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5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Pr>
          <w:p>
            <w:pPr>
              <w:spacing w:after="0"/>
              <w:rPr>
                <w:sz w:val="4"/>
                <w:szCs w:val="4"/>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60" w:type="dxa"/>
            <w:vAlign w:val="bottom"/>
          </w:tcPr>
          <w:p>
            <w:pPr>
              <w:spacing w:after="0"/>
              <w:rPr>
                <w:sz w:val="4"/>
                <w:szCs w:val="4"/>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Pr>
          <w:p>
            <w:pPr>
              <w:spacing w:after="0"/>
              <w:rPr>
                <w:sz w:val="4"/>
                <w:szCs w:val="4"/>
                <w:color w:val="auto"/>
              </w:rPr>
            </w:pPr>
          </w:p>
        </w:tc>
        <w:tc>
          <w:tcPr>
            <w:tcW w:w="6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4"/>
                <w:szCs w:val="4"/>
                <w:color w:val="auto"/>
              </w:rPr>
            </w:pPr>
          </w:p>
        </w:tc>
        <w:tc>
          <w:tcPr>
            <w:tcW w:w="6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57,775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56,730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1,045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GMIO</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GMSA</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1,275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11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68,651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66,332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2,319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 Financial</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1,669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7"/>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74,250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70,399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3,851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 Cost of Sales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gridSpan w:val="4"/>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25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4"/>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vMerge w:val="continue"/>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Pr>
          <w:p>
            <w:pPr>
              <w:spacing w:after="0"/>
              <w:rPr>
                <w:sz w:val="5"/>
                <w:szCs w:val="5"/>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60" w:type="dxa"/>
            <w:vAlign w:val="bottom"/>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Pr>
          <w:p>
            <w:pPr>
              <w:spacing w:after="0"/>
              <w:rPr>
                <w:sz w:val="5"/>
                <w:szCs w:val="5"/>
                <w:color w:val="auto"/>
              </w:rPr>
            </w:pPr>
          </w:p>
        </w:tc>
        <w:tc>
          <w:tcPr>
            <w:tcW w:w="6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5"/>
                <w:szCs w:val="5"/>
                <w:color w:val="auto"/>
              </w:rPr>
            </w:pPr>
          </w:p>
        </w:tc>
        <w:tc>
          <w:tcPr>
            <w:tcW w:w="6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23,343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24,904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GMIO</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GMSA</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1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automotive cost of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29,212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29,941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729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auto"/>
        <w:rPr>
          <w:sz w:val="20"/>
          <w:szCs w:val="20"/>
          <w:color w:val="auto"/>
        </w:rPr>
      </w:pPr>
      <w:r>
        <w:rPr>
          <w:rFonts w:ascii="Times New Roman" w:cs="Times New Roman" w:eastAsia="Times New Roman" w:hAnsi="Times New Roman"/>
          <w:sz w:val="16"/>
          <w:szCs w:val="16"/>
          <w:color w:val="auto"/>
        </w:rPr>
        <w:t>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02"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4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Pr>
          <w:p>
            <w:pPr>
              <w:spacing w:after="0"/>
              <w:rPr>
                <w:sz w:val="5"/>
                <w:szCs w:val="5"/>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60" w:type="dxa"/>
            <w:vAlign w:val="bottom"/>
            <w:gridSpan w:val="2"/>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60" w:type="dxa"/>
            <w:vAlign w:val="bottom"/>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Pr>
          <w:p>
            <w:pPr>
              <w:spacing w:after="0"/>
              <w:rPr>
                <w:sz w:val="5"/>
                <w:szCs w:val="5"/>
                <w:color w:val="auto"/>
              </w:rPr>
            </w:pPr>
          </w:p>
        </w:tc>
        <w:tc>
          <w:tcPr>
            <w:tcW w:w="6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5"/>
                <w:szCs w:val="5"/>
                <w:color w:val="auto"/>
              </w:rPr>
            </w:pPr>
          </w:p>
        </w:tc>
        <w:tc>
          <w:tcPr>
            <w:tcW w:w="6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26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47,528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47,288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GMIO</w:t>
            </w: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GMSA</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21"/>
                <w:szCs w:val="21"/>
                <w:color w:val="auto"/>
              </w:rPr>
            </w:pPr>
          </w:p>
        </w:tc>
        <w:tc>
          <w:tcPr>
            <w:tcW w:w="1260" w:type="dxa"/>
            <w:vAlign w:val="bottom"/>
            <w:tcBorders>
              <w:right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right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automotive cost of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58,650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56,622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4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three months ended June 30, 2017 unfavorable Cost was due primarily to: (1) charges of $0.4 billion related to restructuring actions in India and South Africa; (2) increased engineering costs of $0.3 billion; and (3) increased material and freight costs of $0.3 billion related to vehicles launched within the last twelve months incorporating significant exterior and/or interior changes (Majors), partially offset by decreased material and freight costs of $0.2 billion related to carryover vehicles; partially offset by (4) decreased warranty costs of $0.4 billion.</w:t>
      </w:r>
    </w:p>
    <w:p>
      <w:pPr>
        <w:spacing w:after="0" w:line="180"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In the six months ended June 30, 2017 unfavorable Cost was due primarily to: (1) increased engineering costs of $0.6 billion;(2) charges of $0.4 billion related to restructuring actions in India and South Africa; and (3) increased material and freight costs of $0.5 billion related to Majors, partially offset by decreased material and freight costs of $0.4 billion related to carryover vehicles; partially offset by (4) decreased other costs of $0.5 billion primarily attributed to decreased manufacturing costs, partially offset by increased depreciation and amortization; (5) decreased warranty costs of $0.4 billion; and (6) restructuring costs related to the UAW cash severance incentive program of $0.2 billion in 2016. In the six months ended June 30, 2017 unfavorable Other was due primarily to the foreign currency effect of $0.3 billion due primarily to the strengthening of the Brazilian Real against the U.S. Dollar.</w:t>
      </w:r>
    </w:p>
    <w:p>
      <w:pPr>
        <w:spacing w:after="0" w:line="4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 selling, general and administrative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2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6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tcPr>
          <w:p>
            <w:pPr>
              <w:spacing w:after="0"/>
              <w:rPr>
                <w:sz w:val="5"/>
                <w:szCs w:val="5"/>
                <w:color w:val="auto"/>
              </w:rPr>
            </w:pPr>
          </w:p>
        </w:tc>
        <w:tc>
          <w:tcPr>
            <w:tcW w:w="100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62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0" w:type="dxa"/>
            <w:vAlign w:val="bottom"/>
          </w:tcPr>
          <w:p>
            <w:pPr>
              <w:spacing w:after="0"/>
              <w:rPr>
                <w:sz w:val="5"/>
                <w:szCs w:val="5"/>
                <w:color w:val="auto"/>
              </w:rPr>
            </w:pPr>
          </w:p>
        </w:tc>
        <w:tc>
          <w:tcPr>
            <w:tcW w:w="10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64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62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 selling, general</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administrative expense  $</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2,508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4,978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2017 Automotive selling, general and administrative expense decreased due primarily to a decrease in charges of $0.1 billion for ignition switch civil litigation.</w:t>
      </w:r>
    </w:p>
    <w:p>
      <w:pPr>
        <w:spacing w:after="0" w:line="3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76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20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877</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1,534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2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June 30, 2017 Income tax expense decreased due primarily to tax benefits from foreign dividends and a decrease in pre-tax income.</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the six months ended June 30, 2017 Income tax expense decreased due primarily to tax benefits from foreign dividends.</w:t>
      </w:r>
    </w:p>
    <w:p>
      <w:pPr>
        <w:spacing w:after="0" w:line="225"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If law is enacted that reduces the U.S. statutory tax rate, we expect that we would record a one-time reduction to the net deferred tax assets and a related increase to income tax expense in the period that includes the enactment date of the tax rate change that could be material to the results of our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337"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8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5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Pr>
          <w:p>
            <w:pPr>
              <w:spacing w:after="0"/>
              <w:rPr>
                <w:sz w:val="5"/>
                <w:szCs w:val="5"/>
                <w:color w:val="auto"/>
              </w:rPr>
            </w:pPr>
          </w:p>
        </w:tc>
        <w:tc>
          <w:tcPr>
            <w:tcW w:w="11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Pr>
          <w:p>
            <w:pPr>
              <w:spacing w:after="0"/>
              <w:rPr>
                <w:sz w:val="5"/>
                <w:szCs w:val="5"/>
                <w:color w:val="auto"/>
              </w:rPr>
            </w:pPr>
          </w:p>
        </w:tc>
        <w:tc>
          <w:tcPr>
            <w:tcW w:w="11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5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discontinued</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 net of tax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20"/>
                <w:szCs w:val="20"/>
                <w:color w:val="auto"/>
              </w:rPr>
            </w:pPr>
          </w:p>
        </w:tc>
        <w:tc>
          <w:tcPr>
            <w:tcW w:w="700" w:type="dxa"/>
            <w:vAlign w:val="bottom"/>
            <w:tcBorders>
              <w:right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r>
        <w:trPr>
          <w:trHeight w:val="27"/>
        </w:trPr>
        <w:tc>
          <w:tcPr>
            <w:tcW w:w="1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7" w:lineRule="auto"/>
        <w:rPr>
          <w:sz w:val="20"/>
          <w:szCs w:val="20"/>
          <w:color w:val="auto"/>
        </w:rPr>
      </w:pPr>
      <w:r>
        <w:rPr>
          <w:rFonts w:ascii="Times New Roman" w:cs="Times New Roman" w:eastAsia="Times New Roman" w:hAnsi="Times New Roman"/>
          <w:sz w:val="16"/>
          <w:szCs w:val="16"/>
          <w:color w:val="auto"/>
        </w:rPr>
        <w:t>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three and six months ended June 30, 2017 Income (loss) from discontinued operations, net of tax, decreased due primarily to: (1) disposal loss of $0.6 billion, net of tax, primarily related to contract cancellation charges and a loss recorded as a result of the Fincos being classified as held for sale; and (2) increased operating losses of $0.3 billion due primarily to decreased wholesale volumes and unfavorable foreign exchange in the 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4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3"/>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9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4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60" w:type="dxa"/>
            <w:vAlign w:val="bottom"/>
          </w:tcPr>
          <w:p>
            <w:pPr>
              <w:spacing w:after="0"/>
              <w:rPr>
                <w:sz w:val="5"/>
                <w:szCs w:val="5"/>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5"/>
                <w:szCs w:val="5"/>
                <w:color w:val="auto"/>
              </w:rPr>
            </w:pPr>
          </w:p>
        </w:tc>
        <w:tc>
          <w:tcPr>
            <w:tcW w:w="4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5"/>
                <w:szCs w:val="5"/>
                <w:color w:val="auto"/>
              </w:rPr>
            </w:pPr>
          </w:p>
        </w:tc>
        <w:tc>
          <w:tcPr>
            <w:tcW w:w="5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80" w:type="dxa"/>
            <w:vAlign w:val="bottom"/>
          </w:tcPr>
          <w:p>
            <w:pPr>
              <w:spacing w:after="0"/>
              <w:rPr>
                <w:sz w:val="5"/>
                <w:szCs w:val="5"/>
                <w:color w:val="auto"/>
              </w:rPr>
            </w:pPr>
          </w:p>
        </w:tc>
        <w:tc>
          <w:tcPr>
            <w:tcW w:w="46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6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gridSpan w:val="5"/>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28,437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30,222</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EBIT-adjusted</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3,475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3,745</w:t>
            </w:r>
          </w:p>
        </w:tc>
        <w:tc>
          <w:tcPr>
            <w:tcW w:w="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EBIT-adjusted margin</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Wholesale vehicle sales</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894</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1,004</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20" w:type="dxa"/>
            <w:vAlign w:val="bottom"/>
            <w:gridSpan w:val="4"/>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22"/>
                <w:szCs w:val="2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4"/>
            <w:vMerge w:val="restart"/>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720" w:type="dxa"/>
            <w:vAlign w:val="bottom"/>
            <w:tcBorders>
              <w:bottom w:val="single" w:sz="8" w:color="auto"/>
            </w:tcBorders>
            <w:gridSpan w:val="4"/>
            <w:vMerge w:val="continue"/>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4"/>
            <w:vMerge w:val="continue"/>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60" w:type="dxa"/>
            <w:vAlign w:val="bottom"/>
          </w:tcPr>
          <w:p>
            <w:pPr>
              <w:spacing w:after="0"/>
              <w:rPr>
                <w:sz w:val="5"/>
                <w:szCs w:val="5"/>
                <w:color w:val="auto"/>
              </w:rPr>
            </w:pPr>
          </w:p>
        </w:tc>
        <w:tc>
          <w:tcPr>
            <w:tcW w:w="12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5"/>
                <w:szCs w:val="5"/>
                <w:color w:val="auto"/>
              </w:rPr>
            </w:pPr>
          </w:p>
        </w:tc>
        <w:tc>
          <w:tcPr>
            <w:tcW w:w="4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5"/>
                <w:szCs w:val="5"/>
                <w:color w:val="auto"/>
              </w:rPr>
            </w:pPr>
          </w:p>
        </w:tc>
        <w:tc>
          <w:tcPr>
            <w:tcW w:w="5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80" w:type="dxa"/>
            <w:vAlign w:val="bottom"/>
          </w:tcPr>
          <w:p>
            <w:pPr>
              <w:spacing w:after="0"/>
              <w:rPr>
                <w:sz w:val="5"/>
                <w:szCs w:val="5"/>
                <w:color w:val="auto"/>
              </w:rPr>
            </w:pPr>
          </w:p>
        </w:tc>
        <w:tc>
          <w:tcPr>
            <w:tcW w:w="46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6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gridSpan w:val="5"/>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57,775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56,730</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EBIT-adjusted</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6,946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6,129</w:t>
            </w:r>
          </w:p>
        </w:tc>
        <w:tc>
          <w:tcPr>
            <w:tcW w:w="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EBIT-adjusted margin</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Wholesale vehicle sales</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1,878</w:t>
            </w: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16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Total Net Sales and Revenue </w:t>
      </w:r>
      <w:r>
        <w:rPr>
          <w:rFonts w:ascii="Times New Roman" w:cs="Times New Roman" w:eastAsia="Times New Roman" w:hAnsi="Times New Roman"/>
          <w:sz w:val="18"/>
          <w:szCs w:val="18"/>
          <w:color w:val="auto"/>
        </w:rPr>
        <w:t>In the three months ended June 30, 2017 Total net sales and revenue decreased due primarily to: (1) decreased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due primarily to a decrease in off-lease rental car sales and a decrease in the Chevrolet Malibu and Cruze, partially offset by increased wholesale volumes of the Chevrolet Equinox, GMC Acadia, and full-sized trucks; partially offset by (2) favorable Mix associated with the decrease in off-lease rental car activities and decreased sales of the Chevrolet Malibu and Cruze, partially offset by the Equinox.</w:t>
      </w:r>
    </w:p>
    <w:p>
      <w:pPr>
        <w:spacing w:after="0" w:line="181"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six months ended June 30, 2017 Total net sales and revenue increased due primarily to: (1) favorable Mix due primarily to a decrease in off-lease rental car sales, a decrease in the Chevrolet Malibu and an increase in full-size trucks; and (2) favorable pricing for Majors and carryovers primarily related to full-size trucks; partially offset by (3) decreased net wholesale volumes due primarily to a decrease in off-lease rental car sales and a decrease in the Chevrolet Malibu, partially offset by increased wholesale volumes of full-size trucks.</w:t>
      </w:r>
    </w:p>
    <w:p>
      <w:pPr>
        <w:spacing w:after="0" w:line="176" w:lineRule="exact"/>
        <w:rPr>
          <w:sz w:val="20"/>
          <w:szCs w:val="20"/>
          <w:color w:val="auto"/>
        </w:rPr>
      </w:pPr>
    </w:p>
    <w:p>
      <w:pPr>
        <w:jc w:val="both"/>
        <w:ind w:firstLine="16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EBIT-Adjusted </w:t>
      </w:r>
      <w:r>
        <w:rPr>
          <w:rFonts w:ascii="Times New Roman" w:cs="Times New Roman" w:eastAsia="Times New Roman" w:hAnsi="Times New Roman"/>
          <w:sz w:val="18"/>
          <w:szCs w:val="18"/>
          <w:color w:val="auto"/>
        </w:rPr>
        <w:t>In the three months ended June 30, 2017 EBIT-adjusted decreased due primarily to: (1) decreased wholesale volumes; (2)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unfavorable Other due primarily to the foreign currency effect resulting from the weakening of the Mexican Peso and Canadian Dollar against the U.S. dollar; partially offset by (3) favorable Cost including decreased warranty costs of $0.4 billion and decreased material and freight costs related to carryover vehicles of $0.2 billion, partially offset by increased material costs for Majors of $0.2 billion; and (4) favorable Mix due to a decrease in off-lease rental car activities.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337"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six months ended June 30, 2017 EBIT-adjusted increased due primarily to: (1) favorable Cost including decreased material and freight costs related to carryover vehicles of $0.4 billion, decreased warranty costs of $0.4 billion, decreased restructuring charges of $0.2 billion related to the 2016 UAW cash severance incentive program and decreased manufacturing costs, partially offset by increased material costs for Majors of $0.5 billion and increased engineering costs; and (2) favorable pricing for Majors and carryovers primarily related to full-size trucks; partially offset by (3) Unfavorable Other due primarily to the foreign currency effect resulting from the weakening of the Mexican Peso against the U.S. dollar; and (4) decreased wholesale volumes.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3"/>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Favorable /</w:t>
            </w: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4"/>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40" w:type="dxa"/>
            <w:vAlign w:val="bottom"/>
          </w:tcPr>
          <w:p>
            <w:pPr>
              <w:spacing w:after="0"/>
              <w:rPr>
                <w:sz w:val="5"/>
                <w:szCs w:val="5"/>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6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0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40" w:type="dxa"/>
            <w:vAlign w:val="bottom"/>
          </w:tcPr>
          <w:p>
            <w:pPr>
              <w:spacing w:after="0"/>
              <w:rPr>
                <w:sz w:val="5"/>
                <w:szCs w:val="5"/>
                <w:color w:val="auto"/>
              </w:rPr>
            </w:pP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5"/>
                <w:szCs w:val="5"/>
                <w:color w:val="auto"/>
              </w:rPr>
            </w:pPr>
          </w:p>
        </w:tc>
        <w:tc>
          <w:tcPr>
            <w:tcW w:w="54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80" w:type="dxa"/>
            <w:vAlign w:val="bottom"/>
          </w:tcPr>
          <w:p>
            <w:pPr>
              <w:spacing w:after="0"/>
              <w:rPr>
                <w:sz w:val="5"/>
                <w:szCs w:val="5"/>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5"/>
                <w:szCs w:val="5"/>
                <w:color w:val="auto"/>
              </w:rPr>
            </w:pPr>
          </w:p>
        </w:tc>
        <w:tc>
          <w:tcPr>
            <w:tcW w:w="5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EBIT-adjusted margin</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Equity income – Automotive</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1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China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i w:val="1"/>
                <w:iCs w:val="1"/>
                <w:color w:val="auto"/>
              </w:rPr>
              <w:t>509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i w:val="1"/>
                <w:iCs w:val="1"/>
                <w:color w:val="auto"/>
              </w:rPr>
              <w:t>471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8"/>
                <w:szCs w:val="18"/>
                <w:i w:val="1"/>
                <w:iCs w:val="1"/>
                <w:color w:val="auto"/>
              </w:rPr>
              <w:t>38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8.1 %</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EBIT (loss)-adjusted –</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excluding Equity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i w:val="1"/>
                <w:iCs w:val="1"/>
                <w:color w:val="auto"/>
              </w:rPr>
              <w:t>(169)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i w:val="1"/>
                <w:iCs w:val="1"/>
                <w:color w:val="auto"/>
              </w:rPr>
              <w:t>112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39.9 %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Wholesale vehicle sales</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00" w:type="dxa"/>
            <w:vAlign w:val="bottom"/>
            <w:gridSpan w:val="3"/>
            <w:vMerge w:val="restart"/>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4"/>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2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3"/>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3"/>
            <w:vMerge w:val="continue"/>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4"/>
            <w:vMerge w:val="continue"/>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40" w:type="dxa"/>
            <w:vAlign w:val="bottom"/>
          </w:tcPr>
          <w:p>
            <w:pPr>
              <w:spacing w:after="0"/>
              <w:rPr>
                <w:sz w:val="5"/>
                <w:szCs w:val="5"/>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6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0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40" w:type="dxa"/>
            <w:vAlign w:val="bottom"/>
          </w:tcPr>
          <w:p>
            <w:pPr>
              <w:spacing w:after="0"/>
              <w:rPr>
                <w:sz w:val="5"/>
                <w:szCs w:val="5"/>
                <w:color w:val="auto"/>
              </w:rPr>
            </w:pPr>
          </w:p>
        </w:tc>
        <w:tc>
          <w:tcPr>
            <w:tcW w:w="54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5"/>
                <w:szCs w:val="5"/>
                <w:color w:val="auto"/>
              </w:rPr>
            </w:pPr>
          </w:p>
        </w:tc>
        <w:tc>
          <w:tcPr>
            <w:tcW w:w="54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80" w:type="dxa"/>
            <w:vAlign w:val="bottom"/>
          </w:tcPr>
          <w:p>
            <w:pPr>
              <w:spacing w:after="0"/>
              <w:rPr>
                <w:sz w:val="5"/>
                <w:szCs w:val="5"/>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5"/>
                <w:szCs w:val="5"/>
                <w:color w:val="auto"/>
              </w:rPr>
            </w:pPr>
          </w:p>
        </w:tc>
        <w:tc>
          <w:tcPr>
            <w:tcW w:w="5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6,393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6,547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EBIT-adjusted margin</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Equity income – Automotive</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1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China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i w:val="1"/>
                <w:iCs w:val="1"/>
                <w:color w:val="auto"/>
              </w:rPr>
              <w:t>1,013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i w:val="1"/>
                <w:iCs w:val="1"/>
                <w:color w:val="auto"/>
              </w:rPr>
              <w:t>989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i w:val="1"/>
                <w:iCs w:val="1"/>
                <w:color w:val="auto"/>
              </w:rPr>
              <w:t>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EBIT (loss)-adjusted –</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excluding Equity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i w:val="1"/>
                <w:iCs w:val="1"/>
                <w:color w:val="auto"/>
              </w:rPr>
              <w:t>(376)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i w:val="1"/>
                <w:iCs w:val="1"/>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Wholesale vehicle sales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vehicle sales of our Automotive China JVs are not recorded in Total net sales and revenue. The results of our joint ventures are recorded in Equity income, which is included in EBIT-adjusted above.</w:t>
      </w:r>
    </w:p>
    <w:p>
      <w:pPr>
        <w:spacing w:after="0" w:line="158" w:lineRule="exact"/>
        <w:rPr>
          <w:sz w:val="20"/>
          <w:szCs w:val="20"/>
          <w:color w:val="auto"/>
        </w:rPr>
      </w:pPr>
    </w:p>
    <w:p>
      <w:pPr>
        <w:jc w:val="both"/>
        <w:ind w:firstLine="16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GMIO Total Net Sales and Revenue </w:t>
      </w:r>
      <w:r>
        <w:rPr>
          <w:rFonts w:ascii="Times New Roman" w:cs="Times New Roman" w:eastAsia="Times New Roman" w:hAnsi="Times New Roman"/>
          <w:sz w:val="18"/>
          <w:szCs w:val="18"/>
          <w:color w:val="auto"/>
        </w:rPr>
        <w:t>In the three months ended June 30, 2017 Total net sales and revenue decreased due primarily to decreased wholesale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volumes across our vehicle portfolio in the Middle East due to decreased industry sales and decreased passenger car volumes in Australia due to ceasing production of the Chevrolet Cruze; partially offset by favorable pricing in Egypt to mitigate the impact of the weakening of the Egyptian Pound against the U.S. Dollar.</w:t>
      </w:r>
    </w:p>
    <w:p>
      <w:pPr>
        <w:spacing w:after="0" w:line="181"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six months ended June 30, 2017 Total net sales and revenue decreased due primarily to: decreased wholesale volumes across our vehicle portfolio in the Middle East associated with decreased industry sales and decreased passenger car volumes in Australia due to ceasing production of the Chevrolet Cruze; partially offset by favorable pricing in Egypt to mitigate the impact of the weakening of the Egyptian Pound against the U.S. Dollar and Majors in Korea primarily related to Chevrolet Malibu.</w:t>
      </w:r>
    </w:p>
    <w:p>
      <w:pPr>
        <w:spacing w:after="0" w:line="176"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GMIO EBIT-Adjusted </w:t>
      </w:r>
      <w:r>
        <w:rPr>
          <w:rFonts w:ascii="Times New Roman" w:cs="Times New Roman" w:eastAsia="Times New Roman" w:hAnsi="Times New Roman"/>
          <w:sz w:val="18"/>
          <w:szCs w:val="18"/>
          <w:color w:val="auto"/>
        </w:rPr>
        <w:t>In the three months ended June 30, 2017 EBIT-adjusted increased due primarily to: favorable price; partially offset by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w:t>
      </w:r>
    </w:p>
    <w:p>
      <w:pPr>
        <w:spacing w:after="0" w:line="15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2017 EBIT-adjusted remained flat due primarily to favorable price; partially offset by unfavorable mix in the Middle East and decreased wholesale volumes.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337" w:right="2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view the Chinese market as important to our global growth strategy and are employing a multi-brand strategy led by our Buick, Chevrolet and Cadillac brands. In the coming years we plan to leverage our global architectures to increase the number of product offerings under the Buick, Chevrolet and Cadillac brands in China and continue to grow our business under the local Baojun and Wuling brands, with Baojun seizing the growth opportunities in less developed cities and markets. We operate in the Chinese market through a number of joint ventures and maintaining good relations with our joint venture partners, which are affiliated with the Chinese government, is an important part of our China growth strategy.</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summarize certain key operational and financial data for the Automotive China JVs (vehicles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210"/>
        </w:trPr>
        <w:tc>
          <w:tcPr>
            <w:tcW w:w="45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Wholesale vehicles including vehicles exported to markets</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outside of China</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00" w:type="dxa"/>
            <w:vAlign w:val="bottom"/>
            <w:tcBorders>
              <w:bottom w:val="single" w:sz="8" w:color="CCEEFF"/>
              <w:right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10,815</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6"/>
              </w:rPr>
              <w:t>10,281</w:t>
            </w:r>
          </w:p>
        </w:tc>
        <w:tc>
          <w:tcPr>
            <w:tcW w:w="200" w:type="dxa"/>
            <w:vAlign w:val="bottom"/>
            <w:tcBorders>
              <w:right w:val="single" w:sz="8" w:color="auto"/>
            </w:tcBorders>
          </w:tcPr>
          <w:p>
            <w:pPr>
              <w:spacing w:after="0"/>
              <w:rPr>
                <w:sz w:val="21"/>
                <w:szCs w:val="21"/>
                <w:color w:val="auto"/>
              </w:rPr>
            </w:pPr>
          </w:p>
        </w:tc>
        <w:tc>
          <w:tcPr>
            <w:tcW w:w="30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22,016</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21,472</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400"/>
        </w:trPr>
        <w:tc>
          <w:tcPr>
            <w:tcW w:w="24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49"/>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8,197</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310</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459"/>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GM South America</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6"/>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24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2"/>
            <w:vMerge w:val="continue"/>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gridSpan w:val="5"/>
            <w:vMerge w:val="continue"/>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6"/>
            <w:vMerge w:val="continue"/>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5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7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20" w:type="dxa"/>
            <w:vAlign w:val="bottom"/>
          </w:tcPr>
          <w:p>
            <w:pPr>
              <w:spacing w:after="0"/>
              <w:rPr>
                <w:sz w:val="5"/>
                <w:szCs w:val="5"/>
                <w:color w:val="auto"/>
              </w:rPr>
            </w:pPr>
          </w:p>
        </w:tc>
        <w:tc>
          <w:tcPr>
            <w:tcW w:w="380" w:type="dxa"/>
            <w:vAlign w:val="bottom"/>
            <w:vMerge w:val="restart"/>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Mix</w:t>
            </w:r>
          </w:p>
        </w:tc>
        <w:tc>
          <w:tcPr>
            <w:tcW w:w="280" w:type="dxa"/>
            <w:vAlign w:val="bottom"/>
          </w:tcPr>
          <w:p>
            <w:pPr>
              <w:spacing w:after="0"/>
              <w:rPr>
                <w:sz w:val="5"/>
                <w:szCs w:val="5"/>
                <w:color w:val="auto"/>
              </w:rPr>
            </w:pPr>
          </w:p>
        </w:tc>
        <w:tc>
          <w:tcPr>
            <w:tcW w:w="3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760" w:type="dxa"/>
            <w:vAlign w:val="bottom"/>
            <w:vMerge w:val="restart"/>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Cost</w:t>
            </w:r>
          </w:p>
        </w:tc>
        <w:tc>
          <w:tcPr>
            <w:tcW w:w="6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76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3"/>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gridSpan w:val="6"/>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2,297</w:t>
            </w:r>
          </w:p>
        </w:tc>
        <w:tc>
          <w:tcPr>
            <w:tcW w:w="74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658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8"/>
              </w:rPr>
              <w:t>40.1%</w:t>
            </w:r>
          </w:p>
        </w:tc>
        <w:tc>
          <w:tcPr>
            <w:tcW w:w="200" w:type="dxa"/>
            <w:vAlign w:val="bottom"/>
            <w:tcBorders>
              <w:bottom w:val="single" w:sz="8" w:color="CCEEFF"/>
              <w:right w:val="single" w:sz="8" w:color="auto"/>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 (loss)-adjusted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w w:val="98"/>
              </w:rPr>
              <w:t>80.5%</w:t>
            </w:r>
          </w:p>
        </w:tc>
        <w:tc>
          <w:tcPr>
            <w:tcW w:w="200" w:type="dxa"/>
            <w:vAlign w:val="bottom"/>
            <w:tcBorders>
              <w:right w:val="single" w:sz="8" w:color="auto"/>
            </w:tcBorders>
          </w:tcPr>
          <w:p>
            <w:pPr>
              <w:spacing w:after="0"/>
              <w:rPr>
                <w:sz w:val="21"/>
                <w:szCs w:val="21"/>
                <w:color w:val="auto"/>
              </w:rPr>
            </w:pPr>
          </w:p>
        </w:tc>
        <w:tc>
          <w:tcPr>
            <w:tcW w:w="30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760" w:type="dxa"/>
            <w:vAlign w:val="bottom"/>
          </w:tcPr>
          <w:p>
            <w:pPr>
              <w:jc w:val="center"/>
              <w:ind w:left="62"/>
              <w:spacing w:after="0"/>
              <w:rPr>
                <w:sz w:val="20"/>
                <w:szCs w:val="20"/>
                <w:color w:val="auto"/>
              </w:rPr>
            </w:pPr>
            <w:r>
              <w:rPr>
                <w:rFonts w:ascii="Times New Roman" w:cs="Times New Roman" w:eastAsia="Times New Roman" w:hAnsi="Times New Roman"/>
                <w:sz w:val="18"/>
                <w:szCs w:val="18"/>
                <w:color w:val="auto"/>
              </w:rPr>
              <w:t>$ (0.1)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 (loss)-adjusted margin</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Wholesale vehicle sales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164</w:t>
            </w:r>
          </w:p>
        </w:tc>
        <w:tc>
          <w:tcPr>
            <w:tcW w:w="7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8"/>
              </w:rPr>
              <w:t>23.3%</w:t>
            </w:r>
          </w:p>
        </w:tc>
        <w:tc>
          <w:tcPr>
            <w:tcW w:w="200" w:type="dxa"/>
            <w:vAlign w:val="bottom"/>
            <w:tcBorders>
              <w:bottom w:val="single" w:sz="8" w:color="CCEEFF"/>
              <w:right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6"/>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24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2"/>
            <w:vMerge w:val="continue"/>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gridSpan w:val="5"/>
            <w:vMerge w:val="continue"/>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6"/>
            <w:vMerge w:val="continue"/>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5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7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20" w:type="dxa"/>
            <w:vAlign w:val="bottom"/>
          </w:tcPr>
          <w:p>
            <w:pPr>
              <w:spacing w:after="0"/>
              <w:rPr>
                <w:sz w:val="5"/>
                <w:szCs w:val="5"/>
                <w:color w:val="auto"/>
              </w:rPr>
            </w:pPr>
          </w:p>
        </w:tc>
        <w:tc>
          <w:tcPr>
            <w:tcW w:w="380" w:type="dxa"/>
            <w:vAlign w:val="bottom"/>
            <w:vMerge w:val="restart"/>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Mix</w:t>
            </w:r>
          </w:p>
        </w:tc>
        <w:tc>
          <w:tcPr>
            <w:tcW w:w="280" w:type="dxa"/>
            <w:vAlign w:val="bottom"/>
          </w:tcPr>
          <w:p>
            <w:pPr>
              <w:spacing w:after="0"/>
              <w:rPr>
                <w:sz w:val="5"/>
                <w:szCs w:val="5"/>
                <w:color w:val="auto"/>
              </w:rPr>
            </w:pPr>
          </w:p>
        </w:tc>
        <w:tc>
          <w:tcPr>
            <w:tcW w:w="3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760" w:type="dxa"/>
            <w:vAlign w:val="bottom"/>
            <w:vMerge w:val="restart"/>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Cost</w:t>
            </w:r>
          </w:p>
        </w:tc>
        <w:tc>
          <w:tcPr>
            <w:tcW w:w="6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76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3"/>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gridSpan w:val="6"/>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4,257</w:t>
            </w:r>
          </w:p>
        </w:tc>
        <w:tc>
          <w:tcPr>
            <w:tcW w:w="74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8"/>
              </w:rPr>
              <w:t>42.8%</w:t>
            </w:r>
          </w:p>
        </w:tc>
        <w:tc>
          <w:tcPr>
            <w:tcW w:w="200" w:type="dxa"/>
            <w:vAlign w:val="bottom"/>
            <w:tcBorders>
              <w:bottom w:val="single" w:sz="8" w:color="CCEEFF"/>
              <w:right w:val="single" w:sz="8" w:color="auto"/>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 (loss)-adjusted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(142)</w:t>
            </w:r>
          </w:p>
        </w:tc>
        <w:tc>
          <w:tcPr>
            <w:tcW w:w="74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w w:val="98"/>
              </w:rPr>
              <w:t>22.0%</w:t>
            </w:r>
          </w:p>
        </w:tc>
        <w:tc>
          <w:tcPr>
            <w:tcW w:w="200" w:type="dxa"/>
            <w:vAlign w:val="bottom"/>
            <w:tcBorders>
              <w:right w:val="single" w:sz="8" w:color="auto"/>
            </w:tcBorders>
          </w:tcPr>
          <w:p>
            <w:pPr>
              <w:spacing w:after="0"/>
              <w:rPr>
                <w:sz w:val="21"/>
                <w:szCs w:val="21"/>
                <w:color w:val="auto"/>
              </w:rPr>
            </w:pPr>
          </w:p>
        </w:tc>
        <w:tc>
          <w:tcPr>
            <w:tcW w:w="30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760" w:type="dxa"/>
            <w:vAlign w:val="bottom"/>
          </w:tcPr>
          <w:p>
            <w:pPr>
              <w:jc w:val="center"/>
              <w:ind w:left="62"/>
              <w:spacing w:after="0"/>
              <w:rPr>
                <w:sz w:val="20"/>
                <w:szCs w:val="20"/>
                <w:color w:val="auto"/>
              </w:rPr>
            </w:pPr>
            <w:r>
              <w:rPr>
                <w:rFonts w:ascii="Times New Roman" w:cs="Times New Roman" w:eastAsia="Times New Roman" w:hAnsi="Times New Roman"/>
                <w:sz w:val="18"/>
                <w:szCs w:val="18"/>
                <w:color w:val="auto"/>
              </w:rPr>
              <w:t>$ (0.1)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 (loss)-adjusted margin</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Wholesale vehicle sales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302</w:t>
            </w:r>
          </w:p>
        </w:tc>
        <w:tc>
          <w:tcPr>
            <w:tcW w:w="7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8"/>
              </w:rPr>
              <w:t>22.3%</w:t>
            </w:r>
          </w:p>
        </w:tc>
        <w:tc>
          <w:tcPr>
            <w:tcW w:w="20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GMSA Total Net Sales and Revenue </w:t>
      </w:r>
      <w:r>
        <w:rPr>
          <w:rFonts w:ascii="Times New Roman" w:cs="Times New Roman" w:eastAsia="Times New Roman" w:hAnsi="Times New Roman"/>
          <w:sz w:val="18"/>
          <w:szCs w:val="18"/>
          <w:color w:val="auto"/>
        </w:rPr>
        <w:t>In the three months ended June 30, 2017 Total net sales and revenue increased due primarily to increased wholesale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volumes associated with the Chevrolet Onix in Brazil and Argentina and favorable Mix driven by increased sales of the Chevrolet Cruze in Brazil and Argentina.</w:t>
      </w:r>
    </w:p>
    <w:p>
      <w:pPr>
        <w:spacing w:after="0" w:line="175"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2017 Total net sales and revenue increased due primarily to: (1) increased wholesale volumes associated with the Chevrolet Onix in Brazil and Argentina; (2) favorable Mix driven by increased sales of the Chevrolet Cruze in Brazil and Argentina; and (3) favorable Other due primarily to the foreign currency effect resulting from the strengthening of the Brazilian Real against the U.S. Dollar.</w:t>
      </w:r>
    </w:p>
    <w:p>
      <w:pPr>
        <w:spacing w:after="0" w:line="172"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GMSA EBIT (Loss)-Adjusted </w:t>
      </w:r>
      <w:r>
        <w:rPr>
          <w:rFonts w:ascii="Times New Roman" w:cs="Times New Roman" w:eastAsia="Times New Roman" w:hAnsi="Times New Roman"/>
          <w:sz w:val="18"/>
          <w:szCs w:val="18"/>
          <w:color w:val="auto"/>
        </w:rPr>
        <w:t>In the three months ended June 30, 2017 EBIT (loss)-adjusted decreased due primarily to increased wholesale volumes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favorable Mix.</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the six months ended June 30, 2017 EBIT (loss)-adjusted decreased due primarily to increased wholesale volumes.</w:t>
      </w:r>
    </w:p>
    <w:p>
      <w:pPr>
        <w:sectPr>
          <w:pgSz w:w="11900" w:h="16838" w:orient="portrait"/>
          <w:cols w:equalWidth="0" w:num="1">
            <w:col w:w="11420"/>
          </w:cols>
          <w:pgMar w:left="240" w:top="33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337" w:right="2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Financial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542"/>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Increase /</w:t>
            </w:r>
          </w:p>
        </w:tc>
        <w:tc>
          <w:tcPr>
            <w:tcW w:w="8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602"/>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Increase/</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4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June 30, 2017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June 30, 2016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w w:val="99"/>
              </w:rPr>
              <w:t>(Decrease)</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right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June 30, 2017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June 30, 2016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w w:val="99"/>
              </w:rPr>
              <w:t>(Decrease)</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2,990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2,138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852</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5,738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4,069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1,669</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144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right w:val="single" w:sz="8" w:color="auto"/>
            </w:tcBorders>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334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214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407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(Dollars in billions)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debt outstanding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52.7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50.1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rate of interest paid</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Revenue </w:t>
      </w:r>
      <w:r>
        <w:rPr>
          <w:rFonts w:ascii="Times New Roman" w:cs="Times New Roman" w:eastAsia="Times New Roman" w:hAnsi="Times New Roman"/>
          <w:sz w:val="18"/>
          <w:szCs w:val="18"/>
          <w:color w:val="auto"/>
        </w:rPr>
        <w:t>In the three months ended June 30, 2017 Total revenue increased due primarily to increased leased vehicle income of $0.7 billion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a larger lease portfolio.</w:t>
      </w:r>
    </w:p>
    <w:p>
      <w:pPr>
        <w:spacing w:after="0" w:line="15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2017 Total revenue increased due primarily to increased leased vehicle income of $1.5 billion due to a larger lease portfolio.</w:t>
      </w:r>
    </w:p>
    <w:p>
      <w:pPr>
        <w:spacing w:after="0" w:line="158"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Earnings Before Income Taxes-Adjusted </w:t>
      </w:r>
      <w:r>
        <w:rPr>
          <w:rFonts w:ascii="Times New Roman" w:cs="Times New Roman" w:eastAsia="Times New Roman" w:hAnsi="Times New Roman"/>
          <w:sz w:val="18"/>
          <w:szCs w:val="18"/>
          <w:color w:val="auto"/>
        </w:rPr>
        <w:t>In the three months ended June 30, 2017 Earnings before income taxes-adjusted increased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to increased net leased vehicle income of $0.2 billion due primarily to a larger lease portfolio, partially offset by an increase in interest expense due to an increase in average debt outstanding.</w:t>
      </w:r>
    </w:p>
    <w:p>
      <w:pPr>
        <w:spacing w:after="0" w:line="175"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2017 Earnings before income taxes-adjusted increased due primarily to increased net leased vehicle income of $0.4 billion due primarily to a larger lease portfolio, partially offset by increase in interest expense of $0.3 billion due to an increase in average debt outstanding.</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We believe that our current level of cash and cash equivalents, marketable securities and availability under our revolving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facilities will be sufficient to meet our liquidity needs. We expect to have substantial cash requirements going forward which we plan to fund through total available liquidity and cash flows generated from operations and future debt issuances. We also maintain access to the capital markets and may issue debt or equity securities from time to time, which may provide an additional source of liquidity. Our future uses of cash, which may vary from time to time based on market conditions and other factors, are focused on three objectives, which constitute our capital allocation framework: (1) reinvest in our business;</w:t>
      </w:r>
    </w:p>
    <w:p>
      <w:pPr>
        <w:spacing w:after="0" w:line="3" w:lineRule="exact"/>
        <w:rPr>
          <w:sz w:val="20"/>
          <w:szCs w:val="20"/>
          <w:color w:val="auto"/>
        </w:rPr>
      </w:pPr>
    </w:p>
    <w:p>
      <w:pPr>
        <w:jc w:val="both"/>
        <w:ind w:firstLine="8"/>
        <w:spacing w:after="0" w:line="251" w:lineRule="auto"/>
        <w:tabs>
          <w:tab w:leader="none" w:pos="2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investment-grade balance sheet; and (3) return excess cash to stockholders. Our known future material uses of cash include, among other possible demands: (1) capital expenditures of approximately $8 billion annually as well as payments for engineering and product development activities; (2) payments associated with previously announced vehicle recalls, the settlements of the multidistrict litigation and any other recall-related contingencies; (3) payments to service debt and other long-term obligations, including discretionary and mandatory contributions to our pension plans; (4) dividend payments on our common stock that are declared by our Board of Directors; (5) payments to purchase shares of our common stock authorized by our Board of Directors; and (6) payments of approximately $3.4 billion based on June 30, 2017 foreign exchange rates related to pension liabilities assumed by PSA Group pursuant to the Agreement, which we expect to fund primarily by drawing on our three year revolving credit facility and intend to subsequently repay through the issuance of debt securities, subject to market conditions. We have entered into interest rate swaps and foreign exchange forwards to hedge market risk associated with these payments.</w:t>
      </w:r>
    </w:p>
    <w:p>
      <w:pPr>
        <w:spacing w:after="0" w:line="194"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"Forward-Looking Statements" section of this MD&amp;A and the “Risk Factors” section of our 2016 Form 10-K, some of which are outside of our control.</w:t>
      </w:r>
    </w:p>
    <w:p>
      <w:pPr>
        <w:spacing w:after="0" w:line="16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continue to monitor and evaluate opportunities to strengthen our competitive position over the long term while maintaining an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 These actions may negatively impact our liquidity in the short term.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337"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Management's capital allocation framework includes reinvesting in our business at an average target ROIC-adjusted rate of 20% or greater, maintaining a strong investment grade balance sheet, including a target cash balance of $20 billion, and returning remaining free cash flow to shareholders. Subsequent to the closing of the PSA Group transaction we expect the target cash balance to be reduced to $18 billion, making $2 billion of cash available to accelerate repurchases of our common stock, under our previously announced program, subject to market conditions.</w:t>
      </w:r>
    </w:p>
    <w:p>
      <w:pPr>
        <w:spacing w:after="0" w:line="180"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As part of our capital allocation framework we announced in January 2016 that our Board of Directors had authorized a program to purchase up to $4 billion of our common stock before the end of 2017, of which we have purchased $2.5 billion through June 30, 2017. We also announced in January 2017 that our Board of Directors had authorized the purchase of up to an additional $5 billion of our common stock with no expiration date, subsequent to completing the remaining portion of the previously announced program. From inception of the program in 2015 through July 17, 2017 we purchased an aggregate of 233 million shares of our outstanding common stock under our common stock repurchase program for $7.9 billion. In the six months ended June 30, 2017 we returned total cash to shareholders of $2.6 billion, consisting of dividends paid on our common stock and purchases of our common stock.</w:t>
      </w:r>
    </w:p>
    <w:p>
      <w:pPr>
        <w:spacing w:after="0" w:line="184"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Liquidity </w:t>
      </w:r>
      <w:r>
        <w:rPr>
          <w:rFonts w:ascii="Times New Roman" w:cs="Times New Roman" w:eastAsia="Times New Roman" w:hAnsi="Times New Roman"/>
          <w:sz w:val="18"/>
          <w:szCs w:val="18"/>
          <w:color w:val="auto"/>
        </w:rPr>
        <w:t>Total available liquidity includes cash, cash equivalents, marketable securities and funds available under credit facilities. The amount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available liquidity is subject to intra-month and seasonal fluctuations and includes balances held by various business units and subsidiaries worldwide that are needed to fund their operations. There have been no significant changes in the management of our liquidity, including the allocation of our available liquidity, the composition of our portfolio and our investment guidelines since December 31, 2016. Refer to the “Liquidity and Capital Resources” section of MD&amp;A in our 2016 Form 10-K.</w:t>
      </w:r>
    </w:p>
    <w:p>
      <w:pPr>
        <w:spacing w:after="0" w:line="184"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We use credit facilities as a mechanism to provide additional flexibility in managing our global liquidity. The total size of our credit facilities was $14.5 billion at June 30, 2017 and December 31, 2016, which consisted principally of our two primary revolving credit facilities. We did not have any borrowings against our primary facilities, but had letters of credit outstanding under our sub-facility of $0.4 billion at June 30, 2017 and December 31, 2016. GM Financial had access to our revolving credit facilities at June 30, 2017 and December 31, 2016 but did not borrow against them. At June 30, 2017 and December 31, 2016 we had intercompany loans from GM Financial of $0.4 billion and $0.3 billion, which consisted primarily of commercial loans to dealers we consolidate, and we had no intercompany loans to GM Financial. The following table summarizes our automotive available liquidity (dollars in billions):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0" w:type="dxa"/>
            <w:vAlign w:val="bottom"/>
          </w:tcPr>
          <w:p>
            <w:pPr>
              <w:spacing w:after="0"/>
              <w:rPr>
                <w:sz w:val="16"/>
                <w:szCs w:val="16"/>
                <w:color w:val="auto"/>
              </w:rPr>
            </w:pPr>
          </w:p>
        </w:tc>
        <w:tc>
          <w:tcPr>
            <w:tcW w:w="15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49"/>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 liquidity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 under credit facilities(a)</w:t>
            </w:r>
          </w:p>
        </w:tc>
        <w:tc>
          <w:tcPr>
            <w:tcW w:w="2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automotive available liquidity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Includes outstanding letters of credit of $0.2 billion at June 30, 2017 and December 31, 2016 under our primary credit facilities to be transferred to PSA Group at closing.</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(dollars in billions):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5"/>
        </w:trPr>
        <w:tc>
          <w:tcPr>
            <w:tcW w:w="96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paid and payments to purchase 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9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change in automotive available liquidity</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9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Automotive Cash Flow (Dollars in Billions)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337"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2"/>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00" w:type="dxa"/>
            <w:vAlign w:val="bottom"/>
          </w:tcPr>
          <w:p>
            <w:pPr>
              <w:spacing w:after="0"/>
              <w:rPr>
                <w:sz w:val="22"/>
                <w:szCs w:val="22"/>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amortization and impairment charges</w:t>
            </w:r>
          </w:p>
        </w:tc>
        <w:tc>
          <w:tcPr>
            <w:tcW w:w="1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Undistributed earnings of nonconsolidated affiliates, net</w:t>
            </w:r>
          </w:p>
        </w:tc>
        <w:tc>
          <w:tcPr>
            <w:tcW w:w="1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automotive cash provided by operating activities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six months ended June 30, 2017 the change in Pension and OPEB activities was due primarily to discretionary contributions of $2.0 billion made to our U.S. hourly pension plan in the six months ended June 30, 2016. The change in Working capital was due primarily to a decrease in the change in accounts payable as a result of reduced production volumes. The changes in Equipment on operating leases and Accrued and other liabilities were due primarily to the increase in units provided to daily rental car companies. The change in Other was due to several insignificant items.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2"/>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 and liquidations of marketable securities, net</w:t>
            </w:r>
          </w:p>
        </w:tc>
        <w:tc>
          <w:tcPr>
            <w:tcW w:w="1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Lyft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Cruise</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automotive cash used in investing activities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03"/>
        </w:trPr>
        <w:tc>
          <w:tcPr>
            <w:tcW w:w="7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2"/>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senior unsecured notes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 and payments to purchase common stock</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automotive cash provided by (used in) financing activities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Adjusted Automotive Free Cash Flow (Dollars in Billions)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337"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80" w:type="dxa"/>
            <w:vAlign w:val="bottom"/>
          </w:tcPr>
          <w:p>
            <w:pPr>
              <w:spacing w:after="0"/>
              <w:rPr>
                <w:sz w:val="22"/>
                <w:szCs w:val="22"/>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249"/>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automotive cash provided by operating activities – continuing operations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 – discretionary pension plan contributions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automotive free cash flow – continuing operations(a)</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automotive cash provided by operating activities –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capital expenditures – discontinued operations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automotive free cash flow</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80" w:type="dxa"/>
            <w:vAlign w:val="bottom"/>
          </w:tcPr>
          <w:p>
            <w:pPr>
              <w:spacing w:after="0"/>
              <w:rPr>
                <w:sz w:val="20"/>
                <w:szCs w:val="20"/>
                <w:color w:val="auto"/>
              </w:rPr>
            </w:pPr>
            <w:r>
              <w:rPr>
                <w:rFonts w:ascii="Times New Roman" w:cs="Times New Roman" w:eastAsia="Times New Roman" w:hAnsi="Times New Roman"/>
                <w:sz w:val="16"/>
                <w:szCs w:val="16"/>
                <w:color w:val="auto"/>
              </w:rPr>
              <w:t>(a)  Amounts may not add due to rounding.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Status of Credit Ratings </w:t>
      </w:r>
      <w:r>
        <w:rPr>
          <w:rFonts w:ascii="Times New Roman" w:cs="Times New Roman" w:eastAsia="Times New Roman" w:hAnsi="Times New Roman"/>
          <w:sz w:val="18"/>
          <w:szCs w:val="18"/>
          <w:color w:val="auto"/>
        </w:rPr>
        <w:t>We receive ratings from four independent credit rating agencies: DBRS Limited, Fitch Ratings (Fitch), Moody's Investor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(Moody's) and Standard &amp; Poor's (S&amp;P). In January 2017 Moody's upgraded our revolving credit facilities rating to Baa2 from Baa3, and revised their outlook to Stable from Positive. Our senior unsecured bonds were upgraded to Baa3 from Ba1 and remain notched below our revolving credit facilities rating. Also in January 2017, S&amp;P upgraded our corporate rating, revolving credit facilities rating and senior unsecured rating to BBB from BBB– and revised their outlook to Stable from Positive. In June 2017 Fitch upgraded our corporate rating, revolving credit facilities rating and senior unsecured rating to BBB from BBB– and revised their outlook to Stable from Positive.</w:t>
      </w:r>
    </w:p>
    <w:p>
      <w:pPr>
        <w:spacing w:after="0" w:line="221"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Liquidity </w:t>
      </w:r>
      <w:r>
        <w:rPr>
          <w:rFonts w:ascii="Times New Roman" w:cs="Times New Roman" w:eastAsia="Times New Roman" w:hAnsi="Times New Roman"/>
          <w:sz w:val="18"/>
          <w:szCs w:val="18"/>
          <w:color w:val="auto"/>
        </w:rPr>
        <w:t>GM Financial's primary sources of cash are finance charge income, leasing income and proceeds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sale of terminated leased vehicles, servicing fees, net distributions from secured debt facilities, including securitizations, secured and unsecured borrowings and collections and recoveries on finance receivables. GM Financial's primary uses of cash are purchases of retail finance receivables and leased vehicles, the funding of commercial finance receivables, repayment of secured and unsecured debt, funding credit enhancement requirements in connection with securitizations and secured debt facilities, operating expenses and interest costs. GM Financial continues to monitor and evaluate opportunities to optimize its liquidity position and the mix of its debt. The following table summarizes GM Financial's available liquidity (dollars in billions):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49"/>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 capacity on unpledged eligible assets</w:t>
            </w:r>
          </w:p>
        </w:tc>
        <w:tc>
          <w:tcPr>
            <w:tcW w:w="2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Borrowing capacity on committed unsecured lines of credit</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r>
      <w:tr>
        <w:trPr>
          <w:trHeight w:val="25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GM Financial available liquidity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2017 available liquidity increased due primarily to an increase in cash and additional capacity on new and renewed secured credit facilities.</w:t>
      </w:r>
    </w:p>
    <w:p>
      <w:pPr>
        <w:spacing w:after="0" w:line="16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GM Financial has the ability to borrow up to $1.0 billion against our three-year, $4.0 billion revolving credit facility and up to $3.0 billion against our five-year, $10.5 billion revolving credit facility.</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GM Financial Cash Flow (Dollars in Billions)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7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2017 Net cash provided by operating activities increased due primarily to an increase in net leased vehicle income, partially offset by increased interest expense and operating expenses.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37"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2017 Net cash used in investing activities increased due primarily to: (1) increased purchases and funding of finance receivables of $5.6 billion; partially offset by (2) increased proceeds from the termination of leased vehicles of $1.6 billion; (3) increased collections on finance receivables of $1.1 billion; and (4) decreased purchases of leased vehicles of $0.3 billion.</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the six months ended June 30, 2017 Net cash provided by financing activities increased due primarily to a net increase in borrowings.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Critical Accounting Estimates </w:t>
      </w:r>
      <w:r>
        <w:rPr>
          <w:rFonts w:ascii="Times New Roman" w:cs="Times New Roman" w:eastAsia="Times New Roman" w:hAnsi="Times New Roman"/>
          <w:sz w:val="18"/>
          <w:szCs w:val="18"/>
          <w:color w:val="auto"/>
        </w:rPr>
        <w:t>The condensed consolidated financial statements are prepared in conformity with U.S. GAAP, which requires the 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2016 Form 10-K.</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Forward-Looking Statements </w:t>
      </w:r>
      <w:r>
        <w:rPr>
          <w:rFonts w:ascii="Times New Roman" w:cs="Times New Roman" w:eastAsia="Times New Roman" w:hAnsi="Times New Roman"/>
          <w:sz w:val="18"/>
          <w:szCs w:val="18"/>
          <w:color w:val="auto"/>
        </w:rPr>
        <w:t>In this report and in reports we subsequently file and have previously filed with the SEC on Forms 10-K and 10-Q and file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 (1) our ability to deliver new products, services and customer experiences in response to new participants in the automotive industry and to effectively compete in autonomous, ride–sharing and transportation as a service; (2) our ability to fund and introduce new and improved vehicle models that are able to attract a sufficient number of consumers; (3) the success of our full-size pick-up trucks and SUVs, which may be affected by increases in the price of oil; (4) global automobile market sales volume, which can be volatile; (5) aggressive competition in China; (6) the international scale and footprint of our operations which exposes us to a variety of domestic and foreign political, economic and regulatory risks, including the risk of changes in existing, the adoption of new, or the introduction of novel interpretations of, laws, regulations, policies or other activities of governments, agencies and similar organizations particularly laws, regulations and policies relating to free trade agreements, vehicle safety including recalls, and, including such actions that may affect the production, licensing, distribution or sale of our products, the cost thereof or applicable tax rates; (7) our joint ventures, which we cannot operate solely for our benefit and over which we may have limited control; (8) our ability to comply with extensive laws and regulations applicable to our industry, including those regarding fuel economy and emissions; (9) 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 (10) our ability to comply with the terms of the DPA; (11) our ability to maintain quality control over our vehicles and avoid material vehicle recalls and the cost and effect on our reputation and products; (12) the ability of our suppliers to deliver parts, systems and components without disruption and at such times to allow us to meet production schedules; (13) our dependence on our manufacturing facilities around the world; (14) our highly competitive industry, which is characterized by excess manufacturing capacity and the use of incentives and the introduction of new and improved vehicle models by our competitors; (15) our ability to realize production efficiencies and to achieve reductions in costs as we implement operating effectiveness initiatives throughout our automotive operations; (16) our ability to successfully restructure our operations in various countries; (17) our ability to manage risks related to security breaches and other disruptions to our vehicles, information technology networks and systems; (18) our continued ability to develop captive financing capability through GM Financial; (19) significant increases in our pension expense or projected pension contributions resulting from changes in the value of plan assets, the discount rate applied to value the pension liabilities or mortality or other assumption changes; (20) significant changes in economic, political, regulatory environment, market conditions, foreign currency exchange rates or political stability in the countries in which we operate, particularly China, with the effect of competition from new market entrants and in the United Kingdom with passage of a referendum to discontinue membership in the European Union; and (21) risks and uncertainties associated with the consummation of the sale of Opel/Vauxhall to PSA Group, including satisfaction of the closing conditions. A</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337"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list and description of these risks, uncertainties and other factors can be found in our 2016 Form 10-K and our subsequent filings with the SEC.</w:t>
      </w:r>
    </w:p>
    <w:p>
      <w:pPr>
        <w:spacing w:after="0" w:line="225"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7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There have been no significant changes in our exposure to market risk since December 31, 2016. Refer to Item 7A of our 2016 Form 10-K.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w:t>
      </w:r>
      <w:r>
        <w:rPr>
          <w:rFonts w:ascii="Times New Roman" w:cs="Times New Roman" w:eastAsia="Times New Roman" w:hAnsi="Times New Roman"/>
          <w:sz w:val="18"/>
          <w:szCs w:val="18"/>
          <w:color w:val="auto"/>
        </w:rPr>
        <w:t>We maintain disclosure controls and procedures designed to provide reasonable assurance that information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181"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 13a-15(e) or 15d-15(e) promulgated under the Exchange Act) at June 30, 2017. Based on this evaluation required by paragraph (b) of Rules 13a-15 or 15d-15, our CEO and CFO concluded that our disclosure controls and procedures were effective as of June 30, 2017.</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during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June 30, 2017 that have materially affected, or are reasonably likely to materially affect, our internal control over financial reporting.</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337"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Refer to the discussion in the "Litigation-Related Liability and Tax Administrative Matters" section in Note 13 to our condensed consolidated financial statements and the 2016 Form 10-K for information relating to legal proceedings.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2016 Form 10-K.</w:t>
      </w:r>
    </w:p>
    <w:p>
      <w:pPr>
        <w:spacing w:after="0" w:line="17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Purchases of Equity Securities </w:t>
      </w:r>
      <w:r>
        <w:rPr>
          <w:rFonts w:ascii="Times New Roman" w:cs="Times New Roman" w:eastAsia="Times New Roman" w:hAnsi="Times New Roman"/>
          <w:sz w:val="18"/>
          <w:szCs w:val="18"/>
          <w:color w:val="auto"/>
        </w:rPr>
        <w:t>The following table summarizes our purchases of common stock in the three months ended June 30, 2017: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95"/>
        </w:trPr>
        <w:tc>
          <w:tcPr>
            <w:tcW w:w="53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Purchased(a)</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Programs(b)</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w:t>
            </w:r>
          </w:p>
        </w:tc>
        <w:tc>
          <w:tcPr>
            <w:tcW w:w="0" w:type="dxa"/>
            <w:vAlign w:val="bottom"/>
          </w:tcPr>
          <w:p>
            <w:pPr>
              <w:spacing w:after="0"/>
              <w:rPr>
                <w:sz w:val="1"/>
                <w:szCs w:val="1"/>
                <w:color w:val="auto"/>
              </w:rPr>
            </w:pP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1, 2017 through April 30,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73,453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 billion</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1, 2017 through May 31, 2017</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22,053,646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21"/>
                <w:szCs w:val="21"/>
                <w:color w:val="auto"/>
              </w:rPr>
            </w:pPr>
          </w:p>
        </w:tc>
        <w:tc>
          <w:tcPr>
            <w:tcW w:w="15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22,043,708</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 billion</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1, 2017 through June 30,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22,681,844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22,121,456</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 billion</w:t>
            </w:r>
          </w:p>
        </w:tc>
        <w:tc>
          <w:tcPr>
            <w:tcW w:w="0" w:type="dxa"/>
            <w:vAlign w:val="bottom"/>
          </w:tcPr>
          <w:p>
            <w:pPr>
              <w:spacing w:after="0"/>
              <w:rPr>
                <w:sz w:val="1"/>
                <w:szCs w:val="1"/>
                <w:color w:val="auto"/>
              </w:rPr>
            </w:pPr>
          </w:p>
        </w:tc>
      </w:tr>
      <w:tr>
        <w:trPr>
          <w:trHeight w:val="25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44,808,943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44,165,164</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8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consist of shares retained by us for the payment of the exercise price upon the exercise of warrants and shares delivered by employees or directors to us for the payment of taxes resulting from issuance of common stock upon the vesting of Restricted Stock Units (RSUs) and Restricted Stock Awards relating to compensation plans. Refer to our 2016 Form 10-K for additional details on warrants outstanding and employee stock incentive plans. In June 2017 our shareholders approved the 2017 Long Term Incentive Plan (LTIP) which authorizes awards of stock options, stock appreciation rights, restricted stock, RSUs, performance awards or other stock-based awards to selected employees, consultants, advisors, and non-employee Directors of the Company.</w:t>
      </w:r>
    </w:p>
    <w:p>
      <w:pPr>
        <w:spacing w:after="0" w:line="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2017 we announced that our Board of Directors had authorized the purchase of up to an additional $5 billion of our common stock with no expiration date.</w:t>
      </w:r>
    </w:p>
    <w:p>
      <w:pPr>
        <w:spacing w:after="0" w:line="171" w:lineRule="exact"/>
        <w:rPr>
          <w:rFonts w:ascii="Times New Roman" w:cs="Times New Roman" w:eastAsia="Times New Roman" w:hAnsi="Times New Roman"/>
          <w:sz w:val="16"/>
          <w:szCs w:val="16"/>
          <w:color w:val="auto"/>
        </w:rPr>
      </w:pPr>
    </w:p>
    <w:p>
      <w:pPr>
        <w:ind w:left="51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337"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Exhibit Name</w:t>
            </w:r>
          </w:p>
        </w:tc>
        <w:tc>
          <w:tcPr>
            <w:tcW w:w="166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5"/>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shd w:val="clear" w:color="auto" w:fill="CCEEFF"/>
          </w:tcPr>
          <w:p>
            <w:pPr>
              <w:spacing w:after="0"/>
              <w:rPr>
                <w:sz w:val="19"/>
                <w:szCs w:val="19"/>
                <w:color w:val="auto"/>
              </w:rPr>
            </w:pPr>
          </w:p>
        </w:tc>
        <w:tc>
          <w:tcPr>
            <w:tcW w:w="8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Non-Qualified Stock Option Award Agreement under the General Motors Company 2017 Long-Term</w:t>
            </w:r>
          </w:p>
        </w:tc>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Incorporated by</w:t>
            </w:r>
          </w:p>
        </w:tc>
      </w:tr>
      <w:tr>
        <w:trPr>
          <w:trHeight w:val="216"/>
        </w:trPr>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Plan (incorporated herein by reference to Exhibit 10.3 to the Current Report on Form 8-K of General</w:t>
            </w:r>
          </w:p>
        </w:tc>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Reference</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34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Motors Company filed June 12, 2017)</w:t>
            </w:r>
          </w:p>
        </w:tc>
        <w:tc>
          <w:tcPr>
            <w:tcW w:w="1660" w:type="dxa"/>
            <w:vAlign w:val="bottom"/>
            <w:tcBorders>
              <w:bottom w:val="single" w:sz="8" w:color="CCEEFF"/>
            </w:tcBorders>
            <w:shd w:val="clear" w:color="auto" w:fill="CCEEFF"/>
          </w:tcPr>
          <w:p>
            <w:pPr>
              <w:spacing w:after="0"/>
              <w:rPr>
                <w:sz w:val="20"/>
                <w:szCs w:val="20"/>
                <w:color w:val="auto"/>
              </w:rPr>
            </w:pPr>
          </w:p>
        </w:tc>
      </w:tr>
      <w:tr>
        <w:trPr>
          <w:trHeight w:val="225"/>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19"/>
                <w:szCs w:val="19"/>
                <w:color w:val="auto"/>
              </w:rPr>
            </w:pPr>
          </w:p>
        </w:tc>
        <w:tc>
          <w:tcPr>
            <w:tcW w:w="83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General Motors Company 2017 Short-Term Incentive Plan (incorporated herein by reference to Appendix A to the</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Incorporated by</w:t>
            </w: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General Motors Company Definitive Proxy Statement on Schedule 14A filed April 13, 2017)</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Reference</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shd w:val="clear" w:color="auto" w:fill="CCEEFF"/>
          </w:tcPr>
          <w:p>
            <w:pPr>
              <w:spacing w:after="0"/>
              <w:rPr>
                <w:sz w:val="19"/>
                <w:szCs w:val="19"/>
                <w:color w:val="auto"/>
              </w:rPr>
            </w:pPr>
          </w:p>
        </w:tc>
        <w:tc>
          <w:tcPr>
            <w:tcW w:w="8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Motors Company 2017 Long-Term Incentive Plan (incorporated herein by reference to Exhibit 4.1 to the</w:t>
            </w:r>
          </w:p>
        </w:tc>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Incorporated by</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34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Statement on Form S-8 of General Motors Company filed June 16, 2017)</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Reference</w:t>
            </w:r>
          </w:p>
        </w:tc>
      </w:tr>
      <w:tr>
        <w:trPr>
          <w:trHeight w:val="203"/>
        </w:trPr>
        <w:tc>
          <w:tcPr>
            <w:tcW w:w="10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17"/>
                <w:szCs w:val="17"/>
                <w:color w:val="auto"/>
              </w:rPr>
            </w:pPr>
          </w:p>
        </w:tc>
        <w:tc>
          <w:tcPr>
            <w:tcW w:w="8100" w:type="dxa"/>
            <w:vAlign w:val="bottom"/>
            <w:tcBorders>
              <w:bottom w:val="single" w:sz="8" w:color="0000EE"/>
            </w:tcBorders>
            <w:gridSpan w:val="7"/>
          </w:tcPr>
          <w:p>
            <w:pPr>
              <w:spacing w:after="0" w:line="202"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Amendment, dated May 2, 2017, to the Master Agreement between General Motors Holdings, LLC and Peugeot</w:t>
              </w:r>
            </w:hyperlink>
          </w:p>
        </w:tc>
        <w:tc>
          <w:tcPr>
            <w:tcW w:w="240" w:type="dxa"/>
            <w:vAlign w:val="bottom"/>
            <w:gridSpan w:val="2"/>
          </w:tcPr>
          <w:p>
            <w:pPr>
              <w:spacing w:after="0"/>
              <w:rPr>
                <w:sz w:val="17"/>
                <w:szCs w:val="17"/>
                <w:color w:val="auto"/>
              </w:rPr>
            </w:pPr>
          </w:p>
        </w:tc>
        <w:tc>
          <w:tcPr>
            <w:tcW w:w="166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40" w:type="dxa"/>
            <w:vAlign w:val="bottom"/>
            <w:gridSpan w:val="9"/>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S.A.</w:t>
              </w:r>
            </w:hyperlink>
          </w:p>
        </w:tc>
        <w:tc>
          <w:tcPr>
            <w:tcW w:w="16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10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38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0000EE"/>
            </w:tcBorders>
            <w:gridSpan w:val="5"/>
            <w:shd w:val="clear" w:color="auto" w:fill="CCEEFF"/>
          </w:tcPr>
          <w:p>
            <w:pPr>
              <w:spacing w:after="0" w:line="202"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Section 302 Certification of the Chief Executive Officer</w:t>
              </w:r>
            </w:hyperlink>
          </w:p>
        </w:tc>
        <w:tc>
          <w:tcPr>
            <w:tcW w:w="4300" w:type="dxa"/>
            <w:vAlign w:val="bottom"/>
            <w:tcBorders>
              <w:bottom w:val="single" w:sz="8" w:color="CCEEFF"/>
            </w:tcBorders>
            <w:gridSpan w:val="4"/>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Filed Herewith</w:t>
            </w:r>
          </w:p>
        </w:tc>
      </w:tr>
      <w:tr>
        <w:trPr>
          <w:trHeight w:val="203"/>
        </w:trPr>
        <w:tc>
          <w:tcPr>
            <w:tcW w:w="10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380" w:type="dxa"/>
            <w:vAlign w:val="bottom"/>
          </w:tcPr>
          <w:p>
            <w:pPr>
              <w:spacing w:after="0"/>
              <w:rPr>
                <w:sz w:val="17"/>
                <w:szCs w:val="17"/>
                <w:color w:val="auto"/>
              </w:rPr>
            </w:pPr>
          </w:p>
        </w:tc>
        <w:tc>
          <w:tcPr>
            <w:tcW w:w="8340" w:type="dxa"/>
            <w:vAlign w:val="bottom"/>
            <w:gridSpan w:val="9"/>
          </w:tcPr>
          <w:p>
            <w:pPr>
              <w:spacing w:after="0" w:line="202"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Section 302 Certification of the Chief Financial Officer</w:t>
              </w:r>
            </w:hyperlink>
          </w:p>
        </w:tc>
        <w:tc>
          <w:tcPr>
            <w:tcW w:w="166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Filed Herewith</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03"/>
        </w:trPr>
        <w:tc>
          <w:tcPr>
            <w:tcW w:w="104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380" w:type="dxa"/>
            <w:vAlign w:val="bottom"/>
            <w:shd w:val="clear" w:color="auto" w:fill="CCEEFF"/>
          </w:tcPr>
          <w:p>
            <w:pPr>
              <w:spacing w:after="0"/>
              <w:rPr>
                <w:sz w:val="17"/>
                <w:szCs w:val="17"/>
                <w:color w:val="auto"/>
              </w:rPr>
            </w:pPr>
          </w:p>
        </w:tc>
        <w:tc>
          <w:tcPr>
            <w:tcW w:w="8340" w:type="dxa"/>
            <w:vAlign w:val="bottom"/>
            <w:gridSpan w:val="9"/>
            <w:shd w:val="clear" w:color="auto" w:fill="CCEEFF"/>
          </w:tcPr>
          <w:p>
            <w:pPr>
              <w:spacing w:after="0" w:line="202"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Certification Pursuant to 18 U.S.C. Section 1350, As Adopted Pursuant to Section 906 of the Sarbanes-Oxley Act</w:t>
              </w:r>
            </w:hyperlink>
          </w:p>
        </w:tc>
        <w:tc>
          <w:tcPr>
            <w:tcW w:w="166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Furnished with this</w:t>
            </w: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18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of 2002</w:t>
              </w:r>
            </w:hyperlink>
          </w:p>
        </w:tc>
        <w:tc>
          <w:tcPr>
            <w:tcW w:w="16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Report</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r>
      <w:tr>
        <w:trPr>
          <w:trHeight w:val="243"/>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83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834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83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834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83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1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8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7"/>
        </w:trPr>
        <w:tc>
          <w:tcPr>
            <w:tcW w:w="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337"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24"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540"/>
        <w:spacing w:after="0"/>
        <w:tabs>
          <w:tab w:leader="none" w:pos="5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29673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Thomas S. Timko, Vice President, Controller, Chief</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Accounting Officer and Global Business Services</w:t>
      </w:r>
    </w:p>
    <w:p>
      <w:pPr>
        <w:spacing w:after="0" w:line="4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July 25, 2017</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337" w:right="279" w:bottom="1440"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106160" cy="8644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106160" cy="8644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114415" cy="8644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114415" cy="8644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25"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197"/>
        <w:spacing w:after="0" w:line="282" w:lineRule="auto"/>
        <w:tabs>
          <w:tab w:leader="none" w:pos="3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197"/>
        <w:spacing w:after="0" w:line="266" w:lineRule="auto"/>
        <w:tabs>
          <w:tab w:leader="none" w:pos="3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5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8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60" w:firstLine="188"/>
        <w:spacing w:after="0" w:line="282" w:lineRule="auto"/>
        <w:tabs>
          <w:tab w:leader="none" w:pos="73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4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60" w:right="20" w:firstLine="188"/>
        <w:spacing w:after="0" w:line="282" w:lineRule="auto"/>
        <w:tabs>
          <w:tab w:leader="none" w:pos="7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60" w:firstLine="188"/>
        <w:spacing w:after="0" w:line="282" w:lineRule="auto"/>
        <w:tabs>
          <w:tab w:leader="none" w:pos="75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112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Mary T. Barra</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&amp; Chief Executive Officer</w:t>
      </w:r>
    </w:p>
    <w:p>
      <w:pPr>
        <w:spacing w:after="0" w:line="4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July 25, 2017</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25"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197"/>
        <w:spacing w:after="0" w:line="282" w:lineRule="auto"/>
        <w:tabs>
          <w:tab w:leader="none" w:pos="3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197"/>
        <w:spacing w:after="0" w:line="266" w:lineRule="auto"/>
        <w:tabs>
          <w:tab w:leader="none" w:pos="3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5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8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60" w:firstLine="188"/>
        <w:spacing w:after="0" w:line="282" w:lineRule="auto"/>
        <w:tabs>
          <w:tab w:leader="none" w:pos="73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4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60" w:right="20" w:firstLine="188"/>
        <w:spacing w:after="0" w:line="282" w:lineRule="auto"/>
        <w:tabs>
          <w:tab w:leader="none" w:pos="7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60" w:firstLine="188"/>
        <w:spacing w:after="0" w:line="282" w:lineRule="auto"/>
        <w:tabs>
          <w:tab w:leader="none" w:pos="75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112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Charles K. Stevens III</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July 25, 2017</w:t>
      </w:r>
    </w:p>
    <w:p>
      <w:pPr>
        <w:sectPr>
          <w:pgSz w:w="11900" w:h="16838" w:orient="portrait"/>
          <w:cols w:equalWidth="0" w:num="1">
            <w:col w:w="11420"/>
          </w:cols>
          <w:pgMar w:left="240" w:top="576"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1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General Motors Company (the “Company”) on Form 10-Q for the period ended June 30, 2017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76" w:lineRule="exact"/>
        <w:rPr>
          <w:sz w:val="20"/>
          <w:szCs w:val="20"/>
          <w:color w:val="auto"/>
        </w:rPr>
      </w:pPr>
    </w:p>
    <w:p>
      <w:pPr>
        <w:ind w:left="720" w:hanging="172"/>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172"/>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1127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Mary T. Barra</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&amp; Chief Executive Officer</w:t>
      </w:r>
    </w:p>
    <w:p>
      <w:pPr>
        <w:spacing w:after="0" w:line="200" w:lineRule="exact"/>
        <w:rPr>
          <w:sz w:val="20"/>
          <w:szCs w:val="20"/>
          <w:color w:val="auto"/>
        </w:rPr>
      </w:pPr>
    </w:p>
    <w:p>
      <w:pPr>
        <w:spacing w:after="0" w:line="34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112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Charles K. Stevens III</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July 25, 2017</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endash "/>
      <w:numFmt w:val="bullet"/>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2"/>
    </w:lvl>
  </w:abstractNum>
  <w:abstractNum w:abstractNumId="16">
    <w:nsid w:val="3F2DBA31"/>
    <w:multiLevelType w:val="hybridMultilevel"/>
    <w:lvl w:ilvl="0">
      <w:lvlJc w:val="left"/>
      <w:lvlText w:val="(%1)"/>
      <w:numFmt w:val="lowerLetter"/>
      <w:start w:val="1"/>
    </w:lvl>
    <w:lvl w:ilvl="1">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2019-12-29T05:49:35Z</dcterms:created>
  <dcterms:modified xsi:type="dcterms:W3CDTF">2019-12-29T05:49:35Z</dcterms:modified>
</cp:coreProperties>
</file>