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September 24,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44"/>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280"/>
          </w:cols>
          <w:pgMar w:left="240" w:top="684" w:right="37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Press Release dated September 24,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6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On September 24, 2013, the Company issued a press release announcing that it priced its private placement offering of $4.5 billion in aggregate principal amount of Senior Notes (“Notes”) comprised of $1.5 billion in aggregate principal amount of 3.5 % Senior Notes due 2018, $1.5 billion in aggregate principal amount of 4.875 % Senior Notes due 2023 and $1.5 billion in aggregate principal amount of 6.25% Senior Notes due 2043, pursuant to Rule 144A and Regulation S under the Securities Act of 1933, as amended. The offering is expected to close on September 27, 2013 subject to the satisfaction or waiver of customary closing conditions. The Company intends to use the net proceeds from the issuance of the Notes to fund its repurchase of 120 million shares of its Series A Fixed Rate Cumulative Perpetual Preferred Stock ("Series A Preferred Stock") for an aggregate purchase price equal to approximately $3.2 billion from the UAW Retiree Medical Benefits Trust. These shares represent approximately 43% of the outstanding shares of Series A Preferred Stock. Each share of Series A Preferred Stock has a base liquidation amount of $25 per share and accrues cumulative dividends at a 9.0% annual rate. The Company expects to incur a loss of approximately $0.8 billion in connection with the repurchase of Series A Preferred Stock. The loss will be treated as a special item. In addition, the Company intends to use the proceeds of the offering to redeem all of the outstanding Canadian Health Care Trust ("HCT") notes issued by our subsidiary General Motors of Canada Limited. The redemption price will be equal to 100% of the outstanding principal amount of the HCT notes, plus accrued and unpaid interest, which will total approximately Canadian dollars 1.3 billion (equivalent to approximately $1.2 billion). The HCT notes accrue interest at a 7.0% annual rate and are due in periodic installments through 2018.</w:t>
      </w:r>
    </w:p>
    <w:p>
      <w:pPr>
        <w:spacing w:after="0" w:line="17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Notes have not been registered under the Securities Act of 1933 and may not be offered or sold within the United States or to, or for the account or benefit of, U.S. persons (as defined in Regulation S under the Securities Act) except to (a) qualified institutional buyers in reliance on the exemption from the registration requirements of the Securities Act provided by Rule 144A and (b) persons in offshore transactions in reliance on Regulation 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press release does not constitute an offer to sell, or a solicitation of an offer to buy, any securities. The offer will be made only by means of a confidential offering memorandum.</w:t>
      </w:r>
    </w:p>
    <w:p>
      <w:pPr>
        <w:spacing w:after="0" w:line="170"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This Current Report and the attached press release may include or incorporate by reference “forward-looking statements” within the meaning of Section 27A of the Securities Act and Section 21E of the Exchange Act. Our use of the words "may," "will," "would," "could," "should," "believes," "estimates," "projects," "potential," "expects," "plans,""seeks," "intends," "evaluates," "pursues," "anticipates," "continues," "designs," "impacts," "forecasts," "target,""outlook,"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Current Report, the attached press release, and in related comments by our management, other than statements of historical facts, including without limitation, statements about future events or financial performance, are forward-looking statements that involve certain risks and uncertainties. 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the Company's most recent annual report on Form 10-K, which may be revised or supplement in future reports to the SEC. Consequently, all of the forward-looking statements made in this Current Report and the attached press release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copy of the press release is attached to this Current Report as Exhibit 99.1,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 dated September 24, 2013</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63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7"/>
        </w:trPr>
        <w:tc>
          <w:tcPr>
            <w:tcW w:w="2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r>
      <w:tr>
        <w:trPr>
          <w:trHeight w:val="702"/>
        </w:trPr>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r>
      <w:tr>
        <w:trPr>
          <w:trHeight w:val="27"/>
        </w:trPr>
        <w:tc>
          <w:tcPr>
            <w:tcW w:w="28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Date: September 24, 2013</w:t>
            </w:r>
          </w:p>
        </w:tc>
        <w:tc>
          <w:tcPr>
            <w:tcW w:w="1440" w:type="dxa"/>
            <w:vAlign w:val="bottom"/>
          </w:tcPr>
          <w:p>
            <w:pPr>
              <w:ind w:left="1000"/>
              <w:spacing w:after="0"/>
              <w:rPr>
                <w:sz w:val="20"/>
                <w:szCs w:val="20"/>
                <w:color w:val="auto"/>
              </w:rPr>
            </w:pPr>
            <w:r>
              <w:rPr>
                <w:rFonts w:ascii="Arial" w:cs="Arial" w:eastAsia="Arial" w:hAnsi="Arial"/>
                <w:sz w:val="18"/>
                <w:szCs w:val="18"/>
                <w:color w:val="auto"/>
              </w:rPr>
              <w:t>By:</w:t>
            </w:r>
          </w:p>
        </w:tc>
        <w:tc>
          <w:tcPr>
            <w:tcW w:w="20" w:type="dxa"/>
            <w:vAlign w:val="bottom"/>
            <w:tcBorders>
              <w:top w:val="single" w:sz="8" w:color="auto"/>
            </w:tcBorders>
          </w:tcPr>
          <w:p>
            <w:pPr>
              <w:spacing w:after="0"/>
              <w:rPr>
                <w:sz w:val="19"/>
                <w:szCs w:val="19"/>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S. Timko</w:t>
            </w:r>
          </w:p>
        </w:tc>
      </w:tr>
      <w:tr>
        <w:trPr>
          <w:trHeight w:val="230"/>
        </w:trPr>
        <w:tc>
          <w:tcPr>
            <w:tcW w:w="2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5848985" cy="840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For Immediate Release: Tuesday, September 24, 2013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Prices $4.5 Billion of Senior Unsecured Notes</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 General Motors Co. (NYSE: GM) announced today the pricing of three series of senior unsecured notes for</w:t>
      </w:r>
      <w:r>
        <w:rPr>
          <w:rFonts w:ascii="Arial" w:cs="Arial" w:eastAsia="Arial" w:hAnsi="Arial"/>
          <w:sz w:val="22"/>
          <w:szCs w:val="22"/>
          <w:b w:val="1"/>
          <w:bCs w:val="1"/>
          <w:color w:val="auto"/>
        </w:rPr>
        <w:t xml:space="preserve"> </w:t>
      </w:r>
      <w:r>
        <w:rPr>
          <w:rFonts w:ascii="Arial" w:cs="Arial" w:eastAsia="Arial" w:hAnsi="Arial"/>
          <w:sz w:val="22"/>
          <w:szCs w:val="22"/>
          <w:color w:val="auto"/>
        </w:rPr>
        <w:t>a total amount of $4.5 billion. These notes include $1.5 billion of 3.5 percent notes due in 2018, $1.5 billion of 4.875 percent notes due in 2023 and $1.5 billion of 6.25 percent notes due in 2043. The offering is expected to settle on September 27, 2013.</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21"/>
          <w:szCs w:val="21"/>
          <w:color w:val="auto"/>
        </w:rPr>
        <w:t>GM plans to use approximately $3.2 billion of the net proceeds from the offering of the notes to repurchase 120 million shares of Series A Preferred Stock from the UAW Retiree Medical Benefits Trust (UAW VEBA). The shares have a liquidation preference of $25 per share and accrue cumulative dividends at a rate equal to 9 percent annually.</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GM also plans to use approximately $1.2 billion of the net proceeds to prepay in full its 7 percent notes held by the Canadian Auto Workers' Union Health Care Trust, due in periodic installments through 2018, including accrued interest.</w:t>
      </w:r>
    </w:p>
    <w:p>
      <w:pPr>
        <w:spacing w:after="0" w:line="182" w:lineRule="exact"/>
        <w:rPr>
          <w:sz w:val="20"/>
          <w:szCs w:val="20"/>
          <w:color w:val="auto"/>
        </w:rPr>
      </w:pPr>
    </w:p>
    <w:p>
      <w:pPr>
        <w:ind w:right="280"/>
        <w:spacing w:after="0" w:line="249" w:lineRule="auto"/>
        <w:rPr>
          <w:sz w:val="20"/>
          <w:szCs w:val="20"/>
          <w:color w:val="auto"/>
        </w:rPr>
      </w:pPr>
      <w:r>
        <w:rPr>
          <w:rFonts w:ascii="Arial" w:cs="Arial" w:eastAsia="Arial" w:hAnsi="Arial"/>
          <w:sz w:val="22"/>
          <w:szCs w:val="22"/>
          <w:color w:val="auto"/>
        </w:rPr>
        <w:t>“We're taking advantage of a favorable market to lower our cost of capital, increase our financial flexibility and further strengthen our fortress balance sheet,” said Dan Ammann, GM executive vice president and CFO.</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transactions are expected to be accretive to 2014 earnings by approximately $0.11 per share.</w:t>
      </w:r>
    </w:p>
    <w:p>
      <w:pPr>
        <w:spacing w:after="0" w:line="220" w:lineRule="exact"/>
        <w:rPr>
          <w:sz w:val="20"/>
          <w:szCs w:val="20"/>
          <w:color w:val="auto"/>
        </w:rPr>
      </w:pPr>
    </w:p>
    <w:p>
      <w:pPr>
        <w:ind w:right="440"/>
        <w:spacing w:after="0" w:line="249" w:lineRule="auto"/>
        <w:rPr>
          <w:sz w:val="20"/>
          <w:szCs w:val="20"/>
          <w:color w:val="auto"/>
        </w:rPr>
      </w:pPr>
      <w:r>
        <w:rPr>
          <w:rFonts w:ascii="Arial" w:cs="Arial" w:eastAsia="Arial" w:hAnsi="Arial"/>
          <w:sz w:val="22"/>
          <w:szCs w:val="22"/>
          <w:color w:val="auto"/>
        </w:rPr>
        <w:t>In association with the purchase of Series A Preferred Stock, GM expects to record a charge of approximately $0.8 billion in the third quarter, which will be treated as a special item.</w:t>
      </w:r>
    </w:p>
    <w:p>
      <w:pPr>
        <w:spacing w:after="0" w:line="204" w:lineRule="exact"/>
        <w:rPr>
          <w:sz w:val="20"/>
          <w:szCs w:val="20"/>
          <w:color w:val="auto"/>
        </w:rPr>
      </w:pPr>
    </w:p>
    <w:p>
      <w:pPr>
        <w:jc w:val="both"/>
        <w:ind w:right="140"/>
        <w:spacing w:after="0" w:line="245" w:lineRule="auto"/>
        <w:rPr>
          <w:sz w:val="20"/>
          <w:szCs w:val="20"/>
          <w:color w:val="auto"/>
        </w:rPr>
      </w:pPr>
      <w:r>
        <w:rPr>
          <w:rFonts w:ascii="Arial" w:cs="Arial" w:eastAsia="Arial" w:hAnsi="Arial"/>
          <w:sz w:val="22"/>
          <w:szCs w:val="22"/>
          <w:color w:val="auto"/>
        </w:rPr>
        <w:t>The notes have not been registered under the Securities Act of 1933 and may not be offered or sold within the United States or to, or for the account or benefit of, U.S. persons (as defined in Regulation S under the Securities Act) except to (a) qualified institutional buyers in reliance on the exemption from the registration requirements of the Securities Act provided by Rule 144A and (b) persons in offshore transactions in reliance on Regulation S.</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The press release does not constitute an offer to sell, or a solicitation of an offer to buy, any securities. The offer will be made only by means of a confidential offering memorandum.</w:t>
      </w:r>
    </w:p>
    <w:p>
      <w:pPr>
        <w:spacing w:after="0" w:line="1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tom.e.henderson@gm.com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Dave Roman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313-498-1735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dave.roman@gm.com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provides information about these and other factors, which we may revise or supplement in future reports to the SEC.</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2019-12-07T20:19:04Z</dcterms:created>
  <dcterms:modified xsi:type="dcterms:W3CDTF">2019-12-07T20:19:04Z</dcterms:modified>
</cp:coreProperties>
</file>