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44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44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Harvey Rory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46,592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46,592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46,592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("RSUs") are awarded pursuant to the Company's 2020 Long-Term Incentive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conversion or exercise price. Upon vesting, they will be settled in shares of the Company's common stock on a one-for-basis.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these RSUs, one-third will vest on February 6, 2025, one-third will vest on February 6, 2026, and one-third will vest on February 6, 2027.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date on which they will expire. They will be fully settled on February 6, 2027.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1982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Harvey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852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7679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2024-02-08T16:17:55Z</dcterms:created>
  <dcterms:modified xsi:type="dcterms:W3CDTF">2024-02-08T16:17:55Z</dcterms:modified>
</cp:coreProperties>
</file>