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97"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9"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Date of Report (Date of earliest event reported) August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4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232410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jc w:val="center"/>
              <w:ind w:left="42"/>
              <w:spacing w:after="0"/>
              <w:rPr>
                <w:sz w:val="20"/>
                <w:szCs w:val="20"/>
                <w:color w:val="auto"/>
              </w:rPr>
            </w:pPr>
            <w:r>
              <w:rPr>
                <w:rFonts w:ascii="Arial" w:cs="Arial" w:eastAsia="Arial" w:hAnsi="Arial"/>
                <w:sz w:val="18"/>
                <w:szCs w:val="18"/>
                <w:b w:val="1"/>
                <w:bCs w:val="1"/>
                <w:color w:val="auto"/>
                <w:w w:val="98"/>
              </w:rPr>
              <w:t>DELAWARE</w:t>
            </w:r>
          </w:p>
        </w:tc>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0"/>
              </w:rPr>
              <w:t>001-34960</w:t>
            </w:r>
          </w:p>
        </w:tc>
        <w:tc>
          <w:tcPr>
            <w:tcW w:w="2960" w:type="dxa"/>
            <w:vAlign w:val="bottom"/>
          </w:tcPr>
          <w:p>
            <w:pPr>
              <w:jc w:val="center"/>
              <w:ind w:right="41"/>
              <w:spacing w:after="0"/>
              <w:rPr>
                <w:sz w:val="20"/>
                <w:szCs w:val="20"/>
                <w:color w:val="auto"/>
              </w:rPr>
            </w:pPr>
            <w:r>
              <w:rPr>
                <w:rFonts w:ascii="Arial" w:cs="Arial" w:eastAsia="Arial" w:hAnsi="Arial"/>
                <w:sz w:val="18"/>
                <w:szCs w:val="18"/>
                <w:b w:val="1"/>
                <w:bCs w:val="1"/>
                <w:color w:val="auto"/>
                <w:w w:val="91"/>
              </w:rPr>
              <w:t>27-0756180</w:t>
            </w:r>
          </w:p>
        </w:tc>
      </w:tr>
      <w:tr>
        <w:trPr>
          <w:trHeight w:val="180"/>
        </w:trPr>
        <w:tc>
          <w:tcPr>
            <w:tcW w:w="3100" w:type="dxa"/>
            <w:vAlign w:val="bottom"/>
          </w:tcPr>
          <w:p>
            <w:pPr>
              <w:jc w:val="center"/>
              <w:ind w:left="22"/>
              <w:spacing w:after="0"/>
              <w:rPr>
                <w:sz w:val="20"/>
                <w:szCs w:val="20"/>
                <w:color w:val="auto"/>
              </w:rPr>
            </w:pPr>
            <w:r>
              <w:rPr>
                <w:rFonts w:ascii="Arial" w:cs="Arial" w:eastAsia="Arial" w:hAnsi="Arial"/>
                <w:sz w:val="14"/>
                <w:szCs w:val="14"/>
                <w:b w:val="1"/>
                <w:bCs w:val="1"/>
                <w:color w:val="auto"/>
                <w:w w:val="93"/>
              </w:rPr>
              <w:t>(State or other jurisdiction</w:t>
            </w: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0"/>
              </w:rPr>
              <w:t>(Commission</w:t>
            </w:r>
          </w:p>
        </w:tc>
        <w:tc>
          <w:tcPr>
            <w:tcW w:w="2960" w:type="dxa"/>
            <w:vAlign w:val="bottom"/>
          </w:tcPr>
          <w:p>
            <w:pPr>
              <w:jc w:val="center"/>
              <w:ind w:right="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100" w:type="dxa"/>
            <w:vAlign w:val="bottom"/>
          </w:tcPr>
          <w:p>
            <w:pPr>
              <w:jc w:val="center"/>
              <w:ind w:left="42"/>
              <w:spacing w:after="0"/>
              <w:rPr>
                <w:sz w:val="20"/>
                <w:szCs w:val="20"/>
                <w:color w:val="auto"/>
              </w:rPr>
            </w:pPr>
            <w:r>
              <w:rPr>
                <w:rFonts w:ascii="Arial" w:cs="Arial" w:eastAsia="Arial" w:hAnsi="Arial"/>
                <w:sz w:val="14"/>
                <w:szCs w:val="14"/>
                <w:b w:val="1"/>
                <w:bCs w:val="1"/>
                <w:color w:val="auto"/>
                <w:w w:val="94"/>
              </w:rPr>
              <w:t>of incorporation)</w:t>
            </w: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8"/>
              </w:rPr>
              <w:t>File Number)</w:t>
            </w:r>
          </w:p>
        </w:tc>
        <w:tc>
          <w:tcPr>
            <w:tcW w:w="2960" w:type="dxa"/>
            <w:vAlign w:val="bottom"/>
          </w:tcPr>
          <w:p>
            <w:pPr>
              <w:jc w:val="center"/>
              <w:ind w:right="41"/>
              <w:spacing w:after="0"/>
              <w:rPr>
                <w:sz w:val="20"/>
                <w:szCs w:val="20"/>
                <w:color w:val="auto"/>
              </w:rPr>
            </w:pPr>
            <w:r>
              <w:rPr>
                <w:rFonts w:ascii="Arial" w:cs="Arial" w:eastAsia="Arial" w:hAnsi="Arial"/>
                <w:sz w:val="14"/>
                <w:szCs w:val="14"/>
                <w:b w:val="1"/>
                <w:bCs w:val="1"/>
                <w:color w:val="auto"/>
                <w:w w:val="94"/>
              </w:rPr>
              <w:t>Identification No.)</w:t>
            </w:r>
          </w:p>
        </w:tc>
      </w:tr>
      <w:tr>
        <w:trPr>
          <w:trHeight w:val="539"/>
        </w:trPr>
        <w:tc>
          <w:tcPr>
            <w:tcW w:w="31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0"/>
              </w:rPr>
              <w:t>300 Renaissance Center, Detroit, Michigan</w:t>
            </w:r>
          </w:p>
        </w:tc>
        <w:tc>
          <w:tcPr>
            <w:tcW w:w="2960" w:type="dxa"/>
            <w:vAlign w:val="bottom"/>
          </w:tcPr>
          <w:p>
            <w:pPr>
              <w:jc w:val="center"/>
              <w:ind w:right="41"/>
              <w:spacing w:after="0"/>
              <w:rPr>
                <w:sz w:val="20"/>
                <w:szCs w:val="20"/>
                <w:color w:val="auto"/>
              </w:rPr>
            </w:pPr>
            <w:r>
              <w:rPr>
                <w:rFonts w:ascii="Arial" w:cs="Arial" w:eastAsia="Arial" w:hAnsi="Arial"/>
                <w:sz w:val="18"/>
                <w:szCs w:val="18"/>
                <w:b w:val="1"/>
                <w:bCs w:val="1"/>
                <w:color w:val="auto"/>
                <w:w w:val="91"/>
              </w:rPr>
              <w:t>48265-3000</w:t>
            </w:r>
          </w:p>
        </w:tc>
      </w:tr>
      <w:tr>
        <w:trPr>
          <w:trHeight w:val="218"/>
        </w:trPr>
        <w:tc>
          <w:tcPr>
            <w:tcW w:w="31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960" w:type="dxa"/>
            <w:vAlign w:val="bottom"/>
          </w:tcPr>
          <w:p>
            <w:pPr>
              <w:jc w:val="center"/>
              <w:ind w:right="41"/>
              <w:spacing w:after="0"/>
              <w:rPr>
                <w:sz w:val="20"/>
                <w:szCs w:val="20"/>
                <w:color w:val="auto"/>
              </w:rPr>
            </w:pPr>
            <w:r>
              <w:rPr>
                <w:rFonts w:ascii="Arial" w:cs="Arial" w:eastAsia="Arial" w:hAnsi="Arial"/>
                <w:sz w:val="14"/>
                <w:szCs w:val="14"/>
                <w:b w:val="1"/>
                <w:bCs w:val="1"/>
                <w:color w:val="auto"/>
                <w:w w:val="98"/>
              </w:rPr>
              <w:t>(Zip Code)</w:t>
            </w:r>
          </w:p>
        </w:tc>
      </w:tr>
      <w:tr>
        <w:trPr>
          <w:trHeight w:val="489"/>
        </w:trPr>
        <w:tc>
          <w:tcPr>
            <w:tcW w:w="3100" w:type="dxa"/>
            <w:vAlign w:val="bottom"/>
          </w:tcPr>
          <w:p>
            <w:pPr>
              <w:spacing w:after="0"/>
              <w:rPr>
                <w:sz w:val="24"/>
                <w:szCs w:val="24"/>
                <w:color w:val="auto"/>
              </w:rPr>
            </w:pPr>
          </w:p>
        </w:tc>
        <w:tc>
          <w:tcPr>
            <w:tcW w:w="5360" w:type="dxa"/>
            <w:vAlign w:val="bottom"/>
          </w:tcPr>
          <w:p>
            <w:pPr>
              <w:jc w:val="center"/>
              <w:ind w:right="40"/>
              <w:spacing w:after="0"/>
              <w:rPr>
                <w:sz w:val="20"/>
                <w:szCs w:val="20"/>
                <w:color w:val="auto"/>
              </w:rPr>
            </w:pPr>
            <w:r>
              <w:rPr>
                <w:rFonts w:ascii="Arial" w:cs="Arial" w:eastAsia="Arial" w:hAnsi="Arial"/>
                <w:sz w:val="18"/>
                <w:szCs w:val="18"/>
                <w:b w:val="1"/>
                <w:bCs w:val="1"/>
                <w:color w:val="auto"/>
                <w:w w:val="90"/>
              </w:rPr>
              <w:t>(313) 556-5000</w:t>
            </w:r>
          </w:p>
        </w:tc>
        <w:tc>
          <w:tcPr>
            <w:tcW w:w="2960" w:type="dxa"/>
            <w:vAlign w:val="bottom"/>
          </w:tcPr>
          <w:p>
            <w:pPr>
              <w:spacing w:after="0"/>
              <w:rPr>
                <w:sz w:val="24"/>
                <w:szCs w:val="24"/>
                <w:color w:val="auto"/>
              </w:rPr>
            </w:pPr>
          </w:p>
        </w:tc>
      </w:tr>
      <w:tr>
        <w:trPr>
          <w:trHeight w:val="186"/>
        </w:trPr>
        <w:tc>
          <w:tcPr>
            <w:tcW w:w="3100" w:type="dxa"/>
            <w:vAlign w:val="bottom"/>
          </w:tcPr>
          <w:p>
            <w:pPr>
              <w:spacing w:after="0"/>
              <w:rPr>
                <w:sz w:val="16"/>
                <w:szCs w:val="16"/>
                <w:color w:val="auto"/>
              </w:rPr>
            </w:pPr>
          </w:p>
        </w:tc>
        <w:tc>
          <w:tcPr>
            <w:tcW w:w="5360" w:type="dxa"/>
            <w:vAlign w:val="bottom"/>
          </w:tcPr>
          <w:p>
            <w:pPr>
              <w:jc w:val="center"/>
              <w:ind w:right="4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960" w:type="dxa"/>
            <w:vAlign w:val="bottom"/>
          </w:tcPr>
          <w:p>
            <w:pPr>
              <w:spacing w:after="0"/>
              <w:rPr>
                <w:sz w:val="16"/>
                <w:szCs w:val="16"/>
                <w:color w:val="auto"/>
              </w:rPr>
            </w:pPr>
          </w:p>
        </w:tc>
      </w:tr>
      <w:tr>
        <w:trPr>
          <w:trHeight w:val="431"/>
        </w:trPr>
        <w:tc>
          <w:tcPr>
            <w:tcW w:w="3100" w:type="dxa"/>
            <w:vAlign w:val="bottom"/>
          </w:tcPr>
          <w:p>
            <w:pPr>
              <w:spacing w:after="0"/>
              <w:rPr>
                <w:sz w:val="24"/>
                <w:szCs w:val="24"/>
                <w:color w:val="auto"/>
              </w:rPr>
            </w:pPr>
          </w:p>
        </w:tc>
        <w:tc>
          <w:tcPr>
            <w:tcW w:w="5360" w:type="dxa"/>
            <w:vAlign w:val="bottom"/>
          </w:tcPr>
          <w:p>
            <w:pPr>
              <w:jc w:val="center"/>
              <w:ind w:right="40"/>
              <w:spacing w:after="0"/>
              <w:rPr>
                <w:sz w:val="20"/>
                <w:szCs w:val="20"/>
                <w:color w:val="auto"/>
              </w:rPr>
            </w:pPr>
            <w:r>
              <w:rPr>
                <w:rFonts w:ascii="Arial" w:cs="Arial" w:eastAsia="Arial" w:hAnsi="Arial"/>
                <w:sz w:val="18"/>
                <w:szCs w:val="18"/>
                <w:b w:val="1"/>
                <w:bCs w:val="1"/>
                <w:color w:val="auto"/>
                <w:w w:val="92"/>
              </w:rPr>
              <w:t>Not Applicable</w:t>
            </w:r>
          </w:p>
        </w:tc>
        <w:tc>
          <w:tcPr>
            <w:tcW w:w="2960" w:type="dxa"/>
            <w:vAlign w:val="bottom"/>
          </w:tcPr>
          <w:p>
            <w:pPr>
              <w:spacing w:after="0"/>
              <w:rPr>
                <w:sz w:val="24"/>
                <w:szCs w:val="24"/>
                <w:color w:val="auto"/>
              </w:rPr>
            </w:pPr>
          </w:p>
        </w:tc>
      </w:tr>
      <w:tr>
        <w:trPr>
          <w:trHeight w:val="258"/>
        </w:trPr>
        <w:tc>
          <w:tcPr>
            <w:tcW w:w="3100" w:type="dxa"/>
            <w:vAlign w:val="bottom"/>
          </w:tcPr>
          <w:p>
            <w:pPr>
              <w:spacing w:after="0"/>
              <w:rPr>
                <w:sz w:val="22"/>
                <w:szCs w:val="22"/>
                <w:color w:val="auto"/>
              </w:rPr>
            </w:pPr>
          </w:p>
        </w:tc>
        <w:tc>
          <w:tcPr>
            <w:tcW w:w="5360" w:type="dxa"/>
            <w:vAlign w:val="bottom"/>
          </w:tcPr>
          <w:p>
            <w:pPr>
              <w:ind w:left="660"/>
              <w:spacing w:after="0"/>
              <w:rPr>
                <w:sz w:val="20"/>
                <w:szCs w:val="20"/>
                <w:color w:val="auto"/>
              </w:rPr>
            </w:pPr>
            <w:r>
              <w:rPr>
                <w:rFonts w:ascii="Arial" w:cs="Arial" w:eastAsia="Arial" w:hAnsi="Arial"/>
                <w:sz w:val="14"/>
                <w:szCs w:val="14"/>
                <w:b w:val="1"/>
                <w:bCs w:val="1"/>
                <w:color w:val="auto"/>
              </w:rPr>
              <w:t>(Former name or former address, if changed since last report.)</w:t>
            </w:r>
          </w:p>
        </w:tc>
        <w:tc>
          <w:tcPr>
            <w:tcW w:w="2960" w:type="dxa"/>
            <w:vAlign w:val="bottom"/>
          </w:tcPr>
          <w:p>
            <w:pPr>
              <w:spacing w:after="0"/>
              <w:rPr>
                <w:sz w:val="22"/>
                <w:szCs w:val="22"/>
                <w:color w:val="auto"/>
              </w:rPr>
            </w:pPr>
          </w:p>
        </w:tc>
      </w:tr>
      <w:tr>
        <w:trPr>
          <w:trHeight w:val="168"/>
        </w:trPr>
        <w:tc>
          <w:tcPr>
            <w:tcW w:w="3100" w:type="dxa"/>
            <w:vAlign w:val="bottom"/>
            <w:tcBorders>
              <w:bottom w:val="single" w:sz="8" w:color="9A9A9A"/>
            </w:tcBorders>
          </w:tcPr>
          <w:p>
            <w:pPr>
              <w:spacing w:after="0"/>
              <w:rPr>
                <w:sz w:val="14"/>
                <w:szCs w:val="14"/>
                <w:color w:val="auto"/>
              </w:rPr>
            </w:pPr>
          </w:p>
        </w:tc>
        <w:tc>
          <w:tcPr>
            <w:tcW w:w="5360" w:type="dxa"/>
            <w:vAlign w:val="bottom"/>
            <w:tcBorders>
              <w:bottom w:val="single" w:sz="8" w:color="9A9A9A"/>
            </w:tcBorders>
          </w:tcPr>
          <w:p>
            <w:pPr>
              <w:spacing w:after="0"/>
              <w:rPr>
                <w:sz w:val="14"/>
                <w:szCs w:val="14"/>
                <w:color w:val="auto"/>
              </w:rPr>
            </w:pPr>
          </w:p>
        </w:tc>
        <w:tc>
          <w:tcPr>
            <w:tcW w:w="2960" w:type="dxa"/>
            <w:vAlign w:val="bottom"/>
            <w:tcBorders>
              <w:bottom w:val="single" w:sz="8" w:color="9A9A9A"/>
            </w:tcBorders>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4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33"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544" w:right="23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29" w:lineRule="exact"/>
        <w:rPr>
          <w:sz w:val="20"/>
          <w:szCs w:val="20"/>
          <w:color w:val="auto"/>
        </w:rPr>
      </w:pPr>
    </w:p>
    <w:p>
      <w:pPr>
        <w:jc w:val="both"/>
        <w:ind w:firstLine="446"/>
        <w:spacing w:after="0" w:line="272" w:lineRule="auto"/>
        <w:rPr>
          <w:sz w:val="20"/>
          <w:szCs w:val="20"/>
          <w:color w:val="auto"/>
        </w:rPr>
      </w:pPr>
      <w:r>
        <w:rPr>
          <w:rFonts w:ascii="Arial" w:cs="Arial" w:eastAsia="Arial" w:hAnsi="Arial"/>
          <w:sz w:val="17"/>
          <w:szCs w:val="17"/>
          <w:color w:val="auto"/>
        </w:rPr>
        <w:t>On August 31, 2017, General Motors Company (the “Company”) filed a Certificate of Elimination of Series A Fixed Rate Cumulative Perpetual Preferred Stock (the “Series A Preferred Stock”) and a Certificate of Elimination of 4.75% Series B Mandatory Convertible Junior Preferred Stock (the “Series B Preferred Stock”) with the Delaware Secretary of State, thereby removing the Certificate of Designations of the Series A Preferred Stock and the Certificate of Designations of the Series B Preferred Stock from the Company’s Restated Certificate of Incorporation. The Company repurchased and redeemed all outstanding shares of Series A Preferred Stock (which were not, and were never required to be, registered under the Securities Exchange Act of 1934, as amended) between 2013 and 2014, and all outstanding shares of Series B Preferred Stock converted automatically to shares of the Company’s common stock in 2013. The Certificates of Elimination became effective upon filing.</w:t>
      </w:r>
    </w:p>
    <w:p>
      <w:pPr>
        <w:spacing w:after="0" w:line="178" w:lineRule="exact"/>
        <w:rPr>
          <w:sz w:val="20"/>
          <w:szCs w:val="20"/>
          <w:color w:val="auto"/>
        </w:rPr>
      </w:pPr>
    </w:p>
    <w:p>
      <w:pPr>
        <w:jc w:val="both"/>
        <w:ind w:firstLine="446"/>
        <w:spacing w:after="0" w:line="308" w:lineRule="auto"/>
        <w:rPr>
          <w:sz w:val="20"/>
          <w:szCs w:val="20"/>
          <w:color w:val="auto"/>
        </w:rPr>
      </w:pPr>
      <w:r>
        <w:rPr>
          <w:rFonts w:ascii="Arial" w:cs="Arial" w:eastAsia="Arial" w:hAnsi="Arial"/>
          <w:sz w:val="17"/>
          <w:szCs w:val="17"/>
          <w:color w:val="auto"/>
        </w:rPr>
        <w:t>Copies of the Certificate of Elimination of Series A Fixed Rate Cumulative Perpetual Preferred Stock and the Certificate of Elimination for 4.75% Series B Mandatory Convertible Junior Preferred Stock are attached hereto as Exhibits 3.1 and 3.2, respectively, and incorporated herein by reference.</w:t>
      </w:r>
    </w:p>
    <w:p>
      <w:pPr>
        <w:spacing w:after="0" w:line="14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2380" w:type="dxa"/>
            <w:vAlign w:val="bottom"/>
          </w:tcPr>
          <w:p>
            <w:pPr>
              <w:spacing w:after="0"/>
              <w:rPr>
                <w:sz w:val="17"/>
                <w:szCs w:val="17"/>
                <w:color w:val="auto"/>
              </w:rPr>
            </w:pPr>
          </w:p>
        </w:tc>
      </w:tr>
      <w:tr>
        <w:trPr>
          <w:trHeight w:val="574"/>
        </w:trPr>
        <w:tc>
          <w:tcPr>
            <w:tcW w:w="1840" w:type="dxa"/>
            <w:vAlign w:val="bottom"/>
            <w:gridSpan w:val="3"/>
          </w:tcPr>
          <w:p>
            <w:pPr>
              <w:spacing w:after="0"/>
              <w:rPr>
                <w:sz w:val="20"/>
                <w:szCs w:val="20"/>
                <w:color w:val="auto"/>
              </w:rPr>
            </w:pPr>
            <w:r>
              <w:rPr>
                <w:rFonts w:ascii="Arial" w:cs="Arial" w:eastAsia="Arial" w:hAnsi="Arial"/>
                <w:sz w:val="18"/>
                <w:szCs w:val="18"/>
                <w:color w:val="auto"/>
              </w:rPr>
              <w:t>Exhibit</w:t>
            </w:r>
          </w:p>
        </w:tc>
        <w:tc>
          <w:tcPr>
            <w:tcW w:w="6600" w:type="dxa"/>
            <w:vAlign w:val="bottom"/>
            <w:gridSpan w:val="4"/>
          </w:tcPr>
          <w:p>
            <w:pPr>
              <w:spacing w:after="0"/>
              <w:rPr>
                <w:sz w:val="20"/>
                <w:szCs w:val="20"/>
                <w:color w:val="auto"/>
              </w:rPr>
            </w:pPr>
            <w:r>
              <w:rPr>
                <w:rFonts w:ascii="Arial" w:cs="Arial" w:eastAsia="Arial" w:hAnsi="Arial"/>
                <w:sz w:val="18"/>
                <w:szCs w:val="18"/>
                <w:color w:val="auto"/>
              </w:rPr>
              <w:t>Description</w:t>
            </w:r>
          </w:p>
        </w:tc>
      </w:tr>
      <w:tr>
        <w:trPr>
          <w:trHeight w:val="20"/>
        </w:trPr>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760" w:type="dxa"/>
            <w:vAlign w:val="bottom"/>
            <w:gridSpan w:val="3"/>
          </w:tcPr>
          <w:p>
            <w:pPr>
              <w:spacing w:after="0" w:line="20" w:lineRule="exact"/>
              <w:rPr>
                <w:sz w:val="1"/>
                <w:szCs w:val="1"/>
                <w:color w:val="auto"/>
              </w:rPr>
            </w:pPr>
          </w:p>
        </w:tc>
      </w:tr>
      <w:tr>
        <w:trPr>
          <w:trHeight w:val="601"/>
        </w:trPr>
        <w:tc>
          <w:tcPr>
            <w:tcW w:w="220" w:type="dxa"/>
            <w:vAlign w:val="bottom"/>
            <w:tcBorders>
              <w:bottom w:val="single" w:sz="8" w:color="0000FF"/>
            </w:tcBorders>
          </w:tcPr>
          <w:p>
            <w:pPr>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r>
                <w:rPr>
                  <w:rFonts w:ascii="Arial" w:cs="Arial" w:eastAsia="Arial" w:hAnsi="Arial"/>
                  <w:sz w:val="18"/>
                  <w:szCs w:val="18"/>
                  <w:u w:val="single" w:color="auto"/>
                  <w:color w:val="0000FF"/>
                  <w:w w:val="79"/>
                </w:rPr>
                <w:t>1</w:t>
              </w:r>
            </w:hyperlink>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00" w:type="dxa"/>
            <w:vAlign w:val="bottom"/>
            <w:gridSpan w:val="4"/>
          </w:tcPr>
          <w:p>
            <w:pPr>
              <w:spacing w:after="0"/>
              <w:rPr>
                <w:sz w:val="20"/>
                <w:szCs w:val="20"/>
                <w:color w:val="auto"/>
              </w:rPr>
            </w:pPr>
            <w:r>
              <w:rPr>
                <w:rFonts w:ascii="Arial" w:cs="Arial" w:eastAsia="Arial" w:hAnsi="Arial"/>
                <w:sz w:val="18"/>
                <w:szCs w:val="18"/>
                <w:color w:val="auto"/>
                <w:w w:val="95"/>
              </w:rPr>
              <w:t>Certificate of Elimination of Series A Fixed Rate Cumulative Perpetual Preferred Stock</w:t>
            </w:r>
          </w:p>
        </w:tc>
      </w:tr>
      <w:tr>
        <w:trPr>
          <w:trHeight w:val="385"/>
        </w:trPr>
        <w:tc>
          <w:tcPr>
            <w:tcW w:w="220" w:type="dxa"/>
            <w:vAlign w:val="bottom"/>
            <w:tcBorders>
              <w:bottom w:val="single" w:sz="8" w:color="0000FF"/>
            </w:tcBorders>
          </w:tcPr>
          <w:p>
            <w:pPr>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3.</w:t>
              </w:r>
              <w:r>
                <w:rPr>
                  <w:rFonts w:ascii="Arial" w:cs="Arial" w:eastAsia="Arial" w:hAnsi="Arial"/>
                  <w:sz w:val="18"/>
                  <w:szCs w:val="18"/>
                  <w:u w:val="single" w:color="auto"/>
                  <w:color w:val="0000FF"/>
                  <w:w w:val="79"/>
                </w:rPr>
                <w:t>2</w:t>
              </w:r>
            </w:hyperlink>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00" w:type="dxa"/>
            <w:vAlign w:val="bottom"/>
            <w:gridSpan w:val="4"/>
          </w:tcPr>
          <w:p>
            <w:pPr>
              <w:spacing w:after="0"/>
              <w:rPr>
                <w:sz w:val="20"/>
                <w:szCs w:val="20"/>
                <w:color w:val="auto"/>
              </w:rPr>
            </w:pPr>
            <w:r>
              <w:rPr>
                <w:rFonts w:ascii="Arial" w:cs="Arial" w:eastAsia="Arial" w:hAnsi="Arial"/>
                <w:sz w:val="18"/>
                <w:szCs w:val="18"/>
                <w:color w:val="auto"/>
                <w:w w:val="92"/>
              </w:rPr>
              <w:t>Certificate of Elimination of 4.75% Series B Mandatory Convertible Junior Preferred Stock</w:t>
            </w:r>
          </w:p>
        </w:tc>
      </w:tr>
    </w:tbl>
    <w:p>
      <w:pPr>
        <w:sectPr>
          <w:pgSz w:w="11900" w:h="16838" w:orient="portrait"/>
          <w:cols w:equalWidth="0" w:num="1">
            <w:col w:w="11420"/>
          </w:cols>
          <w:pgMar w:left="240" w:top="796" w:right="239" w:bottom="1440" w:gutter="0" w:footer="0" w:header="0"/>
        </w:sectPr>
      </w:pPr>
    </w:p>
    <w:bookmarkStart w:id="2" w:name="page3"/>
    <w:bookmarkEnd w:id="2"/>
    <w:p>
      <w:pPr>
        <w:jc w:val="center"/>
        <w:ind w:right="-5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20" w:firstLine="44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260"/>
        <w:spacing w:after="0"/>
        <w:rPr>
          <w:sz w:val="20"/>
          <w:szCs w:val="20"/>
          <w:color w:val="auto"/>
        </w:rPr>
      </w:pPr>
      <w:r>
        <w:rPr>
          <w:rFonts w:ascii="Arial" w:cs="Arial" w:eastAsia="Arial" w:hAnsi="Arial"/>
          <w:sz w:val="18"/>
          <w:szCs w:val="18"/>
          <w:u w:val="single" w:color="auto"/>
          <w:color w:val="auto"/>
        </w:rPr>
        <w:t>GENERAL MOTORS COMPANY</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4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Rick E.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40640</wp:posOffset>
            </wp:positionV>
            <wp:extent cx="33274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jc w:val="both"/>
        <w:ind w:left="5680"/>
        <w:spacing w:after="0"/>
        <w:tabs>
          <w:tab w:leader="none" w:pos="6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Corporate Secretary and Lead Counsel, Securities and Corporate</w:t>
      </w:r>
    </w:p>
    <w:p>
      <w:pPr>
        <w:spacing w:after="0" w:line="3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Governance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 2017</w:t>
      </w:r>
    </w:p>
    <w:p>
      <w:pPr>
        <w:sectPr>
          <w:pgSz w:w="11900" w:h="16838" w:orient="portrait"/>
          <w:cols w:equalWidth="0" w:num="1">
            <w:col w:w="10920"/>
          </w:cols>
          <w:pgMar w:left="240" w:top="1013" w:right="7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ELIMINATION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A FIXED RATE CUMULATIVE PERPETUAL PREFERRED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151(g)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Delaware General Corporation Law)</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General Motors Company, a Delaware corporation (the “Corporation”) does hereby certify that the following resolutions were duly adopted by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Corporation’s Board of Directors: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Resolved, that no shares of the Corporation’s Series A Fixed Rate Cumulative Perpetual Preferred Stock are outstanding and that no shares of such stock will be issued subject to the certificate of designations previously filed with respect to such stock.</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Resolved, that each officer of the Corporation (acting alone) is hereby authorized to file with the Secretary of State of the State of Delaware a certificate pursuant to Section 151(g) of the Delaware General Corporation Law setting forth these resolutions in order to eliminate from the Corporation’s certificate of incorporation all matters set forth in the certificate of designations with respect to the aforementioned series of preferred stock of the Corporation.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In witness whereof, the Corporation has caused this Certificate of Elimination to be signed by its duly authorized officer on the date set forth below.</w:t>
      </w:r>
    </w:p>
    <w:p>
      <w:pPr>
        <w:sectPr>
          <w:pgSz w:w="11900" w:h="16838" w:orient="portrait"/>
          <w:cols w:equalWidth="0" w:num="1">
            <w:col w:w="10660"/>
          </w:cols>
          <w:pgMar w:left="240" w:top="368" w:right="99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GENERAL MOTORS COMPANY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Rick E. Hansen</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Rick E. Hansen</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7"/>
          <w:szCs w:val="17"/>
          <w:color w:val="auto"/>
        </w:rPr>
        <w:t>Title: Corporate Secretary</w:t>
      </w:r>
    </w:p>
    <w:p>
      <w:pPr>
        <w:spacing w:after="0" w:line="200" w:lineRule="exact"/>
        <w:rPr>
          <w:sz w:val="20"/>
          <w:szCs w:val="20"/>
          <w:color w:val="auto"/>
        </w:rPr>
      </w:pPr>
    </w:p>
    <w:p>
      <w:pPr>
        <w:spacing w:after="0" w:line="238" w:lineRule="exact"/>
        <w:rPr>
          <w:sz w:val="20"/>
          <w:szCs w:val="20"/>
          <w:color w:val="auto"/>
        </w:rPr>
      </w:pPr>
    </w:p>
    <w:p>
      <w:pPr>
        <w:ind w:left="3900"/>
        <w:spacing w:after="0"/>
        <w:tabs>
          <w:tab w:leader="none" w:pos="4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August 30, 2017</w:t>
      </w:r>
    </w:p>
    <w:p>
      <w:pPr>
        <w:sectPr>
          <w:pgSz w:w="11900" w:h="16838" w:orient="portrait"/>
          <w:cols w:equalWidth="0" w:num="1">
            <w:col w:w="10660"/>
          </w:cols>
          <w:pgMar w:left="240" w:top="368" w:right="999" w:bottom="1440" w:gutter="0" w:footer="0" w:header="0"/>
          <w:type w:val="continuous"/>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3.2</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ELIMINATION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4.75% SERIES B MANDATORY CONVERTIBLE JUNIOR PREFERRED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151(g)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Delaware General Corporation Law)</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General Motors Company, a Delaware corporation (the “Corporation”) does hereby certify that the following resolutions were duly adopted by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Corporation’s Board of Directors: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Resolved, that no shares of the Corporation’s 4.75% Series B Mandatory Convertible Junior Preferred Stock are outstanding and that no shares of such stock will be issued subject to the certificate of designations previously filed with respect to such stock.</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Resolved, that each officer of the Corporation (acting alone) is hereby authorized to file with the Secretary of State of the State of Delaware a certificate pursuant to Section 151(g) of the Delaware General Corporation Law setting forth these resolutions in order to eliminate from the Corporation’s certificate of incorporation all matters set forth in the certificate of designations with respect to the aforementioned series of preferred stock of the Corporation.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In witness whereof, the Corporation has caused this Certificate of Elimination to be signed by its duly authorized officer on the date set forth below.</w:t>
      </w:r>
    </w:p>
    <w:p>
      <w:pPr>
        <w:sectPr>
          <w:pgSz w:w="11900" w:h="16838" w:orient="portrait"/>
          <w:cols w:equalWidth="0" w:num="1">
            <w:col w:w="10660"/>
          </w:cols>
          <w:pgMar w:left="240" w:top="368" w:right="99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GENERAL MOTORS COMPANY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Rick E. Hansen</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Rick E. Hansen</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7"/>
          <w:szCs w:val="17"/>
          <w:color w:val="auto"/>
        </w:rPr>
        <w:t>Title: Corporate Secretary</w:t>
      </w:r>
    </w:p>
    <w:p>
      <w:pPr>
        <w:spacing w:after="0" w:line="200" w:lineRule="exact"/>
        <w:rPr>
          <w:sz w:val="20"/>
          <w:szCs w:val="20"/>
          <w:color w:val="auto"/>
        </w:rPr>
      </w:pPr>
    </w:p>
    <w:p>
      <w:pPr>
        <w:spacing w:after="0" w:line="238" w:lineRule="exact"/>
        <w:rPr>
          <w:sz w:val="20"/>
          <w:szCs w:val="20"/>
          <w:color w:val="auto"/>
        </w:rPr>
      </w:pPr>
    </w:p>
    <w:p>
      <w:pPr>
        <w:ind w:left="3900"/>
        <w:spacing w:after="0"/>
        <w:tabs>
          <w:tab w:leader="none" w:pos="4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August 30, 2017</w:t>
      </w:r>
    </w:p>
    <w:sectPr>
      <w:pgSz w:w="11900" w:h="16838" w:orient="portrait"/>
      <w:cols w:equalWidth="0" w:num="1">
        <w:col w:w="10660"/>
      </w:cols>
      <w:pgMar w:left="240" w:top="368" w:right="9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2019-12-29T04:37:15Z</dcterms:created>
  <dcterms:modified xsi:type="dcterms:W3CDTF">2019-12-29T04:37:15Z</dcterms:modified>
</cp:coreProperties>
</file>