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333-215924</w:t>
      </w:r>
    </w:p>
    <w:p>
      <w:pPr>
        <w:spacing w:after="0" w:line="139"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state or jurisdiction where the offer or sale is not permitted.</w:t>
      </w:r>
    </w:p>
    <w:p>
      <w:pPr>
        <w:spacing w:after="0" w:line="109"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FF4338"/>
        </w:rPr>
        <w:t>SUBJECT TO COMPLETION, DATED FEBRUARY 27,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160020</wp:posOffset>
            </wp:positionV>
            <wp:extent cx="45281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40,000,000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UAW Retiree Medical Benefits Trust (referred to in this prospectus supplement as the “selling stockholder” and the “VEBA Trust”) is offering pursuant to this prospectus supplement 40,000,000 shares of our common stock, par value $0.01 per share. We are not selling any shares of our common stock in this offering. We will not receive any proceeds from the sale of the shares by the selling stockholder.</w:t>
      </w:r>
    </w:p>
    <w:p>
      <w:pPr>
        <w:spacing w:after="0" w:line="181" w:lineRule="exact"/>
        <w:rPr>
          <w:sz w:val="24"/>
          <w:szCs w:val="24"/>
          <w:color w:val="auto"/>
        </w:rPr>
      </w:pPr>
    </w:p>
    <w:p>
      <w:pPr>
        <w:ind w:right="56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“GM”. On February 26, 2018, the last reported sale price of our common stock on the NYSE was $41.54 per share.</w:t>
      </w:r>
    </w:p>
    <w:p>
      <w:pPr>
        <w:spacing w:after="0" w:line="170" w:lineRule="exact"/>
        <w:rPr>
          <w:sz w:val="24"/>
          <w:szCs w:val="24"/>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Subject to the completion of this offering, we are repurchasing from the underwriters a portion of the 40,000,000 shares of our common stock offered hereby having an aggregate value of approximately $100 million at a price per share equal to the price per share that the underwriters will pay to the selling stockholder for the shares in this offering.</w:t>
      </w:r>
    </w:p>
    <w:p>
      <w:pPr>
        <w:spacing w:after="0" w:line="18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Please carefully read this prospectus supplement, the accompanying prospectus and any related free writing prospectus, together with the documents we incorporate by reference, before you invest in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Investment in our common stock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 of this prospectus supplement, in the accompanying prospectus and in our periodic reports filed from time to time with the U.S.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60"/>
        <w:spacing w:after="0"/>
        <w:tabs>
          <w:tab w:leader="none" w:pos="8280" w:val="left"/>
        </w:tabs>
        <w:rPr>
          <w:sz w:val="20"/>
          <w:szCs w:val="20"/>
          <w:color w:val="auto"/>
        </w:rPr>
      </w:pPr>
      <w:r>
        <w:rPr>
          <w:rFonts w:ascii="Arial" w:cs="Arial" w:eastAsia="Arial" w:hAnsi="Arial"/>
          <w:sz w:val="18"/>
          <w:szCs w:val="18"/>
          <w:color w:val="auto"/>
        </w:rPr>
        <w:t>The underwriters have agreed to purchase the common stock from the selling stockholder at a price of $</w:t>
      </w:r>
      <w:r>
        <w:rPr>
          <w:sz w:val="20"/>
          <w:szCs w:val="20"/>
          <w:color w:val="auto"/>
        </w:rPr>
        <w:tab/>
      </w:r>
      <w:r>
        <w:rPr>
          <w:rFonts w:ascii="Arial" w:cs="Arial" w:eastAsia="Arial" w:hAnsi="Arial"/>
          <w:sz w:val="16"/>
          <w:szCs w:val="16"/>
          <w:color w:val="auto"/>
        </w:rPr>
        <w:t>per share, which will result in</w:t>
      </w:r>
    </w:p>
    <w:p>
      <w:pPr>
        <w:spacing w:after="0" w:line="23" w:lineRule="exact"/>
        <w:rPr>
          <w:sz w:val="24"/>
          <w:szCs w:val="24"/>
          <w:color w:val="auto"/>
        </w:rPr>
      </w:pPr>
    </w:p>
    <w:p>
      <w:pPr>
        <w:jc w:val="both"/>
        <w:ind w:right="180"/>
        <w:spacing w:after="0" w:line="255" w:lineRule="auto"/>
        <w:rPr>
          <w:sz w:val="20"/>
          <w:szCs w:val="20"/>
          <w:color w:val="auto"/>
        </w:rPr>
      </w:pPr>
      <w:r>
        <w:rPr>
          <w:rFonts w:ascii="Arial" w:cs="Arial" w:eastAsia="Arial" w:hAnsi="Arial"/>
          <w:sz w:val="18"/>
          <w:szCs w:val="18"/>
          <w:color w:val="auto"/>
        </w:rPr>
        <w:t>approximately $ million of proceeds to the selling stockholder, before expenses. The underwriters may offer the shares of common stock, excluding the shares to be repurchased by us, from time to time in one or more transactions on the NYSE, on the over-the-counter market, through negotiated transactions or otherwise, at market prices, at prices related to market prices or at negotiated prices. See “Underwriting.”</w:t>
      </w:r>
    </w:p>
    <w:p>
      <w:pPr>
        <w:spacing w:after="0" w:line="190"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w w:val="96"/>
              </w:rPr>
              <w:t>The underwriters expect to deliver the shares of our common stock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tabs>
          <w:tab w:leader="none" w:pos="10340" w:val="left"/>
        </w:tabs>
        <w:rPr>
          <w:sz w:val="20"/>
          <w:szCs w:val="20"/>
          <w:color w:val="auto"/>
        </w:rPr>
      </w:pP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Barclays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283845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3620"/>
        <w:spacing w:after="0"/>
        <w:tabs>
          <w:tab w:leader="none" w:pos="734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40" w:type="dxa"/>
            <w:vAlign w:val="bottom"/>
            <w:gridSpan w:val="2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3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6"/>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gridSpan w:val="7"/>
          </w:tcPr>
          <w:p>
            <w:pPr>
              <w:jc w:val="center"/>
              <w:ind w:right="2440"/>
              <w:spacing w:after="0"/>
              <w:rPr>
                <w:sz w:val="20"/>
                <w:szCs w:val="20"/>
                <w:color w:val="auto"/>
              </w:rPr>
            </w:pPr>
            <w:r>
              <w:rPr>
                <w:rFonts w:ascii="Arial" w:cs="Arial" w:eastAsia="Arial" w:hAnsi="Arial"/>
                <w:sz w:val="18"/>
                <w:szCs w:val="18"/>
                <w:b w:val="1"/>
                <w:bCs w:val="1"/>
                <w:color w:val="auto"/>
                <w:w w:val="97"/>
              </w:rPr>
              <w:t>PROSPECTUS SUPPLEMENT</w:t>
            </w:r>
          </w:p>
        </w:tc>
        <w:tc>
          <w:tcPr>
            <w:tcW w:w="1320" w:type="dxa"/>
            <w:vAlign w:val="bottom"/>
          </w:tcPr>
          <w:p>
            <w:pPr>
              <w:spacing w:after="0"/>
              <w:rPr>
                <w:sz w:val="24"/>
                <w:szCs w:val="24"/>
                <w:color w:val="auto"/>
              </w:rPr>
            </w:pPr>
          </w:p>
        </w:tc>
      </w:tr>
      <w:tr>
        <w:trPr>
          <w:trHeight w:val="419"/>
        </w:trPr>
        <w:tc>
          <w:tcPr>
            <w:tcW w:w="1004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tcPr>
          <w:p>
            <w:pPr>
              <w:spacing w:after="0"/>
              <w:rPr>
                <w:sz w:val="17"/>
                <w:szCs w:val="17"/>
                <w:color w:val="auto"/>
              </w:rPr>
            </w:pPr>
          </w:p>
        </w:tc>
        <w:tc>
          <w:tcPr>
            <w:tcW w:w="6600" w:type="dxa"/>
            <w:vAlign w:val="bottom"/>
            <w:gridSpan w:val="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8780" w:type="dxa"/>
            <w:vAlign w:val="bottom"/>
            <w:gridSpan w:val="2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DIVIDEND POLICY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FORWARD-LOOKING STATEMENTS</w:t>
              </w:r>
            </w:hyperlink>
          </w:p>
        </w:tc>
        <w:tc>
          <w:tcPr>
            <w:tcW w:w="710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SELLING STOCKHOLDER</w:t>
              </w:r>
            </w:hyperlink>
          </w:p>
        </w:tc>
        <w:tc>
          <w:tcPr>
            <w:tcW w:w="792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92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CERTAIN ERISA CONSIDERATIONS</w:t>
              </w:r>
            </w:hyperlink>
          </w:p>
        </w:tc>
        <w:tc>
          <w:tcPr>
            <w:tcW w:w="712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46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STOCKHOLDERS AGREEMENT WITH THE VEBA TRUST</w:t>
              </w:r>
            </w:hyperlink>
          </w:p>
        </w:tc>
        <w:tc>
          <w:tcPr>
            <w:tcW w:w="540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MATERIAL UNITED STATES FEDERAL INCOME AND ESTATE TAX CONSIDERATIONS TO NON-U.S. HOLDERS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UNDERWRITING</w:t>
              </w:r>
            </w:hyperlink>
          </w:p>
        </w:tc>
        <w:tc>
          <w:tcPr>
            <w:tcW w:w="7580" w:type="dxa"/>
            <w:vAlign w:val="bottom"/>
            <w:tcBorders>
              <w:top w:val="single" w:sz="8" w:color="0000EE"/>
            </w:tcBorders>
            <w:gridSpan w:val="21"/>
          </w:tcPr>
          <w:p>
            <w:pPr>
              <w:spacing w:after="0"/>
              <w:rPr>
                <w:sz w:val="17"/>
                <w:szCs w:val="17"/>
                <w:color w:val="auto"/>
              </w:rPr>
            </w:pPr>
          </w:p>
        </w:tc>
        <w:tc>
          <w:tcPr>
            <w:tcW w:w="106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85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INCORPORATION OF CERTAIN DOCUMENTS BY REFERENCE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196"/>
        </w:trPr>
        <w:tc>
          <w:tcPr>
            <w:tcW w:w="5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WHERE YOU CAN FIND MORE INFORMATION</w:t>
              </w:r>
            </w:hyperlink>
          </w:p>
        </w:tc>
        <w:tc>
          <w:tcPr>
            <w:tcW w:w="498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480"/>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gridSpan w:val="4"/>
          </w:tcPr>
          <w:p>
            <w:pPr>
              <w:ind w:left="20"/>
              <w:spacing w:after="0"/>
              <w:rPr>
                <w:sz w:val="20"/>
                <w:szCs w:val="20"/>
                <w:color w:val="auto"/>
              </w:rPr>
            </w:pPr>
            <w:r>
              <w:rPr>
                <w:rFonts w:ascii="Arial" w:cs="Arial" w:eastAsia="Arial" w:hAnsi="Arial"/>
                <w:sz w:val="18"/>
                <w:szCs w:val="18"/>
                <w:b w:val="1"/>
                <w:bCs w:val="1"/>
                <w:color w:val="auto"/>
              </w:rPr>
              <w:t>PROSPECTUS</w:t>
            </w:r>
          </w:p>
        </w:tc>
        <w:tc>
          <w:tcPr>
            <w:tcW w:w="1320" w:type="dxa"/>
            <w:vAlign w:val="bottom"/>
          </w:tcPr>
          <w:p>
            <w:pPr>
              <w:spacing w:after="0"/>
              <w:rPr>
                <w:sz w:val="24"/>
                <w:szCs w:val="24"/>
                <w:color w:val="auto"/>
              </w:rPr>
            </w:pPr>
          </w:p>
        </w:tc>
      </w:tr>
      <w:tr>
        <w:trPr>
          <w:trHeight w:val="432"/>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ABOUT THIS PROSPECTUS</w:t>
              </w:r>
            </w:hyperlink>
          </w:p>
        </w:tc>
        <w:tc>
          <w:tcPr>
            <w:tcW w:w="7800" w:type="dxa"/>
            <w:vAlign w:val="bottom"/>
            <w:gridSpan w:val="18"/>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21"/>
          </w:tcPr>
          <w:p>
            <w:pPr>
              <w:spacing w:after="0"/>
              <w:rPr>
                <w:sz w:val="17"/>
                <w:szCs w:val="17"/>
                <w:color w:val="auto"/>
              </w:rPr>
            </w:pPr>
          </w:p>
        </w:tc>
        <w:tc>
          <w:tcPr>
            <w:tcW w:w="498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GENERAL MOTORS COMPANY</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RATIO OF EARNINGS TO FIXED CHARGES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RATIO OF EARNINGS TO COMBINED FIXED CHARGES AND PREFERRED STOCK DIVIDENDS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0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9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FORWARD-LOOKING STATEMENTS</w:t>
              </w:r>
            </w:hyperlink>
          </w:p>
        </w:tc>
        <w:tc>
          <w:tcPr>
            <w:tcW w:w="7100" w:type="dxa"/>
            <w:vAlign w:val="bottom"/>
            <w:gridSpan w:val="1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OVERVIEW OF OUR CAPITAL STOCK</w:t>
              </w:r>
            </w:hyperlink>
          </w:p>
        </w:tc>
        <w:tc>
          <w:tcPr>
            <w:tcW w:w="696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48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GENERAL DESCRIPTION OF SECURITIES THAT MAY BE OFFERED</w:t>
              </w:r>
            </w:hyperlink>
          </w:p>
        </w:tc>
        <w:tc>
          <w:tcPr>
            <w:tcW w:w="456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0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DESCRIPTION OF DEBT SECURITIES</w:t>
              </w:r>
            </w:hyperlink>
          </w:p>
        </w:tc>
        <w:tc>
          <w:tcPr>
            <w:tcW w:w="7000" w:type="dxa"/>
            <w:vAlign w:val="bottom"/>
            <w:gridSpan w:val="1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DESCRIPTION OF PREFERRED STOCK</w:t>
              </w:r>
            </w:hyperlink>
          </w:p>
        </w:tc>
        <w:tc>
          <w:tcPr>
            <w:tcW w:w="688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COMMON STOCK</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WARRANTS</w:t>
              </w:r>
            </w:hyperlink>
          </w:p>
        </w:tc>
        <w:tc>
          <w:tcPr>
            <w:tcW w:w="7080" w:type="dxa"/>
            <w:vAlign w:val="bottom"/>
            <w:gridSpan w:val="1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3"/>
          </w:tcPr>
          <w:p>
            <w:pPr>
              <w:spacing w:after="0"/>
              <w:rPr>
                <w:sz w:val="17"/>
                <w:szCs w:val="17"/>
                <w:color w:val="auto"/>
              </w:rPr>
            </w:pPr>
          </w:p>
        </w:tc>
        <w:tc>
          <w:tcPr>
            <w:tcW w:w="7560" w:type="dxa"/>
            <w:vAlign w:val="bottom"/>
            <w:gridSpan w:val="17"/>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8580" w:type="dxa"/>
            <w:vAlign w:val="bottom"/>
            <w:gridSpan w:val="2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040" w:type="dxa"/>
            <w:vAlign w:val="bottom"/>
            <w:gridSpan w:val="2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46"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prospectus supplement, the accompanying prospectus and any related free writing prospectus relate to a registration statement that we filed with the U.S. Securities and Exchange Commission (“SEC”) utilizing a shelf registration process. This prospectus supplement and the accompanying prospectus include or incorporate by reference important information about us, our common stock, risks relating to our common stock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this prospectus supplement,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Neither we, the selling stockholder,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the selling stockholder, nor any underwriter take responsibility for, and neither we, the selling stockholder, nor any underwriter provide any assurance as to the reliability of, any other information that others may give you. We have not, the selling stockholder has not and the underwriters have not, authorized any other person to provide you with different information. We are not, the selling stockholder is not, and no underwriter is, making an offer to sell these securities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8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64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supplement and the accompanying prospectus. This summary describes aspects of our business and our common stock,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S-4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 We design, build and sell cars, trucks, crossovers and automobile parts worldwide. We also provide automotive financing services through General Motors Financial Company, Inc. (“GM Financial”).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and GM International (“GMI”). 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in China, with vehicles developed, manufactured and/or marketed under the Baojun, Buick, Cadillac, Chevrolet, Jiefang and Wuling brands.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Automotive Financing—GM Financial</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South America and through a joint venture in China.</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products to dealers that include new and used vehicle inventory financing, inventory insurance, and dealer loans, which are loans to finance improvements to dealership facilities, to provide working capital, and to purchase and/or finance dealership real estate. Other commercial products include financing for parts and accessories, dealer fleets and storage centers.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667-1500. Our website is www.gm.com. Our website and the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68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668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 Repurchase</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Subject to the completion of this offering, we are repurchasing from the underwriters a portion of the 40,000,000 shares of our common stock offered hereby having an aggregate value of approximately $100 million at a price per share equal to the price per share that the underwriters will pay to the selling stockholder for the shares in this offering. We refer to this repurchase as the “share repurchase.” Assuming a repurchase price equal to $41.54 per share, the last sale price of our common stock on the New York Stock Exchange on February 26, 2018, this would result in a purchase by us of 2,407,318 shares of the common stock offered hereby. We intend to fund the share repurchase with available cash.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24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right="1340" w:hanging="81"/>
        <w:spacing w:after="0" w:line="277" w:lineRule="auto"/>
        <w:rPr>
          <w:sz w:val="20"/>
          <w:szCs w:val="20"/>
          <w:color w:val="auto"/>
        </w:rPr>
      </w:pPr>
      <w:r>
        <w:rPr>
          <w:rFonts w:ascii="Arial" w:cs="Arial" w:eastAsia="Arial" w:hAnsi="Arial"/>
          <w:sz w:val="18"/>
          <w:szCs w:val="18"/>
          <w:color w:val="auto"/>
        </w:rPr>
        <w:t>Common stock offered by the selling stockholder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to be sold to the public</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to be repurchased by us</w:t>
      </w:r>
    </w:p>
    <w:p>
      <w:pPr>
        <w:spacing w:after="0" w:line="266"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Common stock to be outstanding immediately after this offering and the share repurchase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listing</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Offering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40,000,000 shares</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the 40,000,000 shares offered hereby)</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“GM”.</w:t>
      </w:r>
    </w:p>
    <w:p>
      <w:pPr>
        <w:spacing w:after="0" w:line="2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will not receive any proceeds from the sale of the shares of our common stock by the selling stockholder in this offering.</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See “Risk Factors” beginning on page S-4 of this prospectus supplement, in the accompanying prospectus, and in our periodic reports filed from time to time with the SEC for a discussion of risks you should carefully consider before deciding to invest in our common stock.</w:t>
      </w:r>
    </w:p>
    <w:p>
      <w:pPr>
        <w:spacing w:after="0" w:line="147" w:lineRule="exact"/>
        <w:rPr>
          <w:sz w:val="20"/>
          <w:szCs w:val="20"/>
          <w:color w:val="auto"/>
        </w:rPr>
      </w:pPr>
    </w:p>
    <w:p>
      <w:pPr>
        <w:sectPr>
          <w:pgSz w:w="11900" w:h="16838" w:orient="portrait"/>
          <w:cols w:equalWidth="0" w:num="2">
            <w:col w:w="4200" w:space="180"/>
            <w:col w:w="6840"/>
          </w:cols>
          <w:pgMar w:left="240" w:top="459" w:right="43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The number of shares of our common stock that will be outstanding immediately after this offering and the share repurchase is based on</w:t>
      </w:r>
    </w:p>
    <w:p>
      <w:pPr>
        <w:spacing w:after="0" w:line="35"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1,403,042,620 shares of our common stock outstanding as of February 7, 2018, minus the shares that we are repurchasing from the underwriters in the share repurchase and that will no longer be outstanding following the consummation of this offering and the share repurchase, and excludes:</w:t>
      </w:r>
    </w:p>
    <w:p>
      <w:pPr>
        <w:spacing w:after="0" w:line="96" w:lineRule="exact"/>
        <w:rPr>
          <w:sz w:val="20"/>
          <w:szCs w:val="20"/>
          <w:color w:val="auto"/>
        </w:rPr>
      </w:pPr>
    </w:p>
    <w:p>
      <w:pPr>
        <w:ind w:left="1060" w:hanging="431"/>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 to approximately 21 million shares of common stock issuable upon the exercise of outstanding warrants;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up to approximately 36 million shares of common stock issuable upon settlement of outstanding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Investment in our common stock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2017, as updated by our subsequent filings under the Securities Exchange Act of 1934, as amended (the “Exchange Act”), that are incorporated by reference herein, including our Quarterly Reports on Form 10-Q and our Current Reports on Form 8-K and any amendments thereof, before investing in our common stock.</w:t>
      </w:r>
    </w:p>
    <w:p>
      <w:pPr>
        <w:spacing w:after="0" w:line="29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sale or availability for sale of substantial amounts of our common stock could cause the price of our common stock to decline.</w:t>
      </w:r>
    </w:p>
    <w:p>
      <w:pPr>
        <w:spacing w:after="0" w:line="1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large sales could occur, could depress the market price of our common stock. Of the approximately 1,403,042,620 shares of our common stock issued and outstanding at February 7, 2018, approximately 10.0% were held by the VEBA Trust. Following the completion of this offering, the VEBA Trust will have approximately % of the outstanding shares of our common stock after giving effect to the share repurchase. Additional sales of our common stock by the VEBA Trust, or by any other holder of a substantial number of shares of our common stock, could cause the market price of common stock to decline. In addition, at February 7, 2018, there were warrants outstanding to acquire approximately 21 million shares of our common stock at an exercise price of $18.33 per share. Exercises of such warrants could cause the market price of our common stock to decline.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not receive dividends on our common stock.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Holders of our common stock are only entitled to receive such dividends as our Board of Directors may declare out of funds legally available for such purpose. Although our Board of Directors began declaring quarterly dividends on our common stock in the three months ended March 31, 2014, the declaration of any dividend on our common stock is a matter to be acted upon by our Board of Directors in its sole discretion, and will depend on business conditions, our financial condition, earnings, liquidity and capital requirements and other factors. Accordingly, our common stock dividend may be reduced or eliminated in the future. This could adversely affect the market price of our common stock.</w:t>
      </w:r>
    </w:p>
    <w:p>
      <w:pPr>
        <w:spacing w:after="0" w:line="2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organizational documents and Delaware law could delay or prevent a takeover attempt or change in control of our Company, which could adversely affect the price of our common stock.</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certificate of incorporation, as amended (“Certificate of Incorporation”), our bylaws, as amended (“Bylaws”), and Delaware law contain provisions that could have the effect of rendering more difficult or discouraging an acquisition deemed undesirable by our Board of Directors. Our organizational documents include provisions:</w:t>
      </w:r>
    </w:p>
    <w:p>
      <w:pPr>
        <w:spacing w:after="0" w:line="8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our common stock;</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prohibiting our stockholders from taking action by written consent in lieu of a meeting except where such consent is signed by the holders of all shares of stock of the Company then outstanding and entitled to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 of candidates for election to our Board of Directors;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hostile takeovers and changes in control of the Company or changes in management.</w:t>
      </w:r>
    </w:p>
    <w:p>
      <w:pPr>
        <w:spacing w:after="0" w:line="22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we are subject to Section 203 of the General Corporation Law of the State of Delaware, which generally prohibits a corporation from engaging in various business combination transactions with any “interested stockholder” (generally defined as a stockholder who owns 15% or more of a corporation’s voting stock) for a period of three years following the time that such stockholder became an interested stockholder, except under certain circumstances including receipt of prior board approval.</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provision of our Certificate of Incorporation or our Bylaws or Delaware law that has the effect of delaying or deterring a hostile takeover or change in control could limit the opportunity for investors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See the sections of the accompanying prospectus entitled “Overview of Our Capital Stock—Certain Provisions of Our Certificate of Incorporation and Bylaws” and “Overview of Our Capital Stock—Certain Anti-Takeover Effects of Delaware Law” for a further discussion of these provisions.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the shares of our common stock by the selling stockholder in this offering.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began declaring quarterly dividends on our common stock in the three months ended March 31, 2014. It is anticipated that dividends on our common stock will continue to be declared and paid quarterly. However the declaration of any dividend on our common stock is a matter to be acted upon by our Board of Directors in its sole discretion. Any dividend will be paid out of funds legally available for that purpose. Our payment of dividends in the future will depend on business conditions, our financial condition, earnings, liquidity and capital requirements and other factors. For more information on the cash dividends declared on our common stock for the years ended December 31, 2017, 2016 and 2015, refer to “Item 6. Selected Financial Data” in our Annual Report on Form 10-K for the fiscal year ended December 31, 2017, which is incorporated by reference into this prospectus supplement.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and the accompanying prospectus may include or incorporate by reference “forward-looking statements” within the meaning of Section 27A of the Securities Act of 1933, as amended (the “Securities Act”), and Section 21E of the Exchange Act.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9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This prospectus supplement relates to the resale of shares of our common stock by the selling stockholder. The following table sets forth as of February 7, 2018 information regarding the beneficial ownership of shares of our common stock by the selling stockholder.</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number of shares beneficially owned by the selling stockholder is determined under rules issued by the SEC. Under these rules, beneficial ownership includes any shares as to which the individual or entity has sole or shared voting power or investment power. In addition, under these rules, an individual or entity beneficially owns any shares issuable upon the exercise of any options or warrants held by such person or entity that were exercisable on February 7, 2018 or within 60 days after February 7, 2018. In computing the percentage ownership of each individual and entity, the number of outstanding shares of our common stock includes any shares subject to options or warrants held by that individual or entity that were exercisable on or within 60 days after February 7,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Owned</w:t>
            </w: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 Being</w:t>
            </w: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Prior to</w:t>
            </w: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8"/>
        </w:trPr>
        <w:tc>
          <w:tcPr>
            <w:tcW w:w="4640" w:type="dxa"/>
            <w:vAlign w:val="bottom"/>
            <w:gridSpan w:val="2"/>
            <w:vMerge w:val="continue"/>
          </w:tcPr>
          <w:p>
            <w:pPr>
              <w:spacing w:after="0"/>
              <w:rPr>
                <w:sz w:val="15"/>
                <w:szCs w:val="15"/>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Offering</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Offering (1)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Offered</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Offering</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 (2)</w:t>
            </w:r>
          </w:p>
        </w:tc>
        <w:tc>
          <w:tcPr>
            <w:tcW w:w="0" w:type="dxa"/>
            <w:vAlign w:val="bottom"/>
          </w:tcPr>
          <w:p>
            <w:pPr>
              <w:spacing w:after="0"/>
              <w:rPr>
                <w:sz w:val="1"/>
                <w:szCs w:val="1"/>
                <w:color w:val="auto"/>
              </w:rPr>
            </w:pPr>
          </w:p>
        </w:tc>
      </w:tr>
      <w:tr>
        <w:trPr>
          <w:trHeight w:val="175"/>
        </w:trPr>
        <w:tc>
          <w:tcPr>
            <w:tcW w:w="176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UAW Retiree Medical</w:t>
            </w:r>
          </w:p>
        </w:tc>
        <w:tc>
          <w:tcPr>
            <w:tcW w:w="28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Benefits Trust, as advised by its</w:t>
            </w: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independent fiduciary and investment manager Brock</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Fiduciary Services LLC (3)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140,150,000</w:t>
            </w:r>
          </w:p>
        </w:tc>
        <w:tc>
          <w:tcPr>
            <w:tcW w:w="5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40,000,000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100,150,000</w:t>
            </w: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1,403,042,620 shares of our common stock outstanding on February 7, 2018.</w:t>
      </w:r>
    </w:p>
    <w:p>
      <w:pPr>
        <w:spacing w:after="0" w:line="200" w:lineRule="exact"/>
        <w:rPr>
          <w:sz w:val="20"/>
          <w:szCs w:val="20"/>
          <w:color w:val="auto"/>
        </w:rPr>
      </w:pPr>
    </w:p>
    <w:p>
      <w:pPr>
        <w:ind w:left="460" w:right="80" w:hanging="459"/>
        <w:spacing w:after="0" w:line="274" w:lineRule="auto"/>
        <w:tabs>
          <w:tab w:leader="none" w:pos="440" w:val="left"/>
        </w:tabs>
        <w:rPr>
          <w:sz w:val="20"/>
          <w:szCs w:val="20"/>
          <w:color w:val="auto"/>
        </w:rPr>
      </w:pPr>
      <w:r>
        <w:rPr>
          <w:rFonts w:ascii="Arial" w:cs="Arial" w:eastAsia="Arial" w:hAnsi="Arial"/>
          <w:sz w:val="17"/>
          <w:szCs w:val="17"/>
          <w:color w:val="auto"/>
        </w:rPr>
        <w:t>(2)</w:t>
        <w:tab/>
        <w:t>Based on shares of our common stock outstanding following consummation of this offering and the share repurchase. This total is calculated based on 1,403,042,620 shares of our common stock outstanding as of February 7, 2018, minus shares that we are repurchasing from the</w:t>
      </w:r>
    </w:p>
    <w:p>
      <w:pPr>
        <w:jc w:val="center"/>
        <w:ind w:right="20"/>
        <w:spacing w:after="0"/>
        <w:rPr>
          <w:sz w:val="20"/>
          <w:szCs w:val="20"/>
          <w:color w:val="auto"/>
        </w:rPr>
      </w:pPr>
      <w:r>
        <w:rPr>
          <w:rFonts w:ascii="Arial" w:cs="Arial" w:eastAsia="Arial" w:hAnsi="Arial"/>
          <w:sz w:val="17"/>
          <w:szCs w:val="17"/>
          <w:color w:val="auto"/>
        </w:rPr>
        <w:t>underwriters in the share repurchase and that will no longer be outstanding following the consummation of this offering and the share repurchase.</w:t>
      </w:r>
    </w:p>
    <w:p>
      <w:pPr>
        <w:spacing w:after="0" w:line="21" w:lineRule="exact"/>
        <w:rPr>
          <w:sz w:val="20"/>
          <w:szCs w:val="20"/>
          <w:color w:val="auto"/>
        </w:rPr>
      </w:pPr>
    </w:p>
    <w:p>
      <w:pPr>
        <w:ind w:left="460" w:right="160" w:hanging="452"/>
        <w:spacing w:after="0" w:line="29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the VEBA Trust’s acquisition in 2009 of the shares of GM common stock subject to this offering, the U.S. Department of Labor required the VEBA Trust to appoint an independent fiduciary to make all decisions with respect to the disposition of such shares. Brock Fiduciary Services LLC (“Brock Fiduciary”) is the independent fiduciary and investment manager to the VEBA Trust for these shares. The address of Brock Fiduciary is 521 Fifth Avenue, 39th Floor, New York, New York 10175. Brock Fiduciary has informed us that the proceeds from the sale of the shares of our common stock by the VEBA Trust in this offering will be solely for the benefit of the GM Separate Retiree Account of the VEBA Trust.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Employee benefit plans subject to the Employee Retirement Income Security Act of 1974, as amended (“ERISA”), are prohibited under Section 406 of ERISA from engaging in certain transactions with entities that are “parties in interest” to the plan, including entities that may be (or may be affiliates of) service providers or fiduciaries to the selling stockholder, unless an exemption, whether statutory (including Section 408(b)(17) of ERISA relating to transactions between a plan and certain service providers) or regulatory, is applicable to the transaction. Prospective purchasers of our common stock that may be “parties in interest” to the plan which is funded through the selling stockholder should consult with their counsel regarding the potential applicability of Section 406 of ERISA and the potential availability of an exemption, and there can be no assurance that any exemption, if required, will be available with respect to any particular transaction involving our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AGREEMENT WITH THE VEBA TRUST</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2009, the Company and the VEBA Trust entered into a Stockholders Agreement (the “Stockholders Agreement”). The Stockholders Agreement obligates the VEBA Trust to vote its shares of our common stock on each matter presented to our stockholders at any meeting of our stockholders in the same proportionate manner as the holders of our common stock (other than the VEBA Trust, its affiliates and our directors and executive officers) voted in connection with each such matter. Pursuant to the Stockholders Agreement, the VEBA Trust has the right to designate one nominee to our Board of Directors for so long as its holding of shares of our common stock exceeds a specified ownership threshold, subject to the consent of the International Union, United Automobile, Aerospace and Agricultural Implement Workers of America (the “UAW”) and approval by our Board of Directors (not to be unreasonably withheld). The VEBA Trust will be subject to the terms of the Stockholders Agreement until it beneficially owns less than two percent of the shares of our common stock then issued and outstanding.</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ESTATE TAX CONSIDERATIONS TO NON-U.S. HOLDERS</w:t>
      </w:r>
    </w:p>
    <w:p>
      <w:pPr>
        <w:spacing w:after="0" w:line="21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following is a summary of material United States federal income and estate tax considerations to a Non-U.S. holder (as defined below) of the purchase, ownership and disposition of our common stock sold pursuant to this offering. Except where noted, this summary deals only with common stock that is held as a “capital asset” within the meaning of Section 1221 of the Code (generally, property held for investment). This summary is based upon provisions of the Internal Revenue Code of 1986, as amended (the “Code”), U.S. Treasury regulations, rulings and judicial decisions as of the date hereof, all of which are subject to change or differing interpretation, possibly with retroactive effect. We have not sought any ruling from the Internal Revenue Service (“IRS”) with respect to the statements made and the conclusions reached in the following summary, and there can be no assurance that the IRS or a court will agree with such statements and conclusions. This discussion does not address any state, local, or foreign tax consequences (nor except where noted, the application of tax treaties), nor any federal tax consequences other than federal income and estate tax consequences. Persons considering the purchase, ownership, or disposition of our common stock should consult their tax advisors concerning U.S. federal, state, local, foreign or other tax consequences in light of their particular situations.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United States federal income tax purposes) that is not, for United States federal income tax purposes, any of the following:</w:t>
      </w:r>
    </w:p>
    <w:p>
      <w:pPr>
        <w:spacing w:after="0" w:line="7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rules may also apply to certain Non-U.S. Holders, such as: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investors in pass-through entities that are subject to special treatment under the IRC.</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an entity or other arrangement treated as a partnership for United States federal income tax purposes holds our common stock, the tax treatment of a partner in the partnership will generally depend upon the status of the partner, activities of the partnership and certain determinations made at the partner level. If you are a partner of a partnership holding our common stock, you should consult your tax advisors.</w:t>
      </w:r>
    </w:p>
    <w:p>
      <w:pPr>
        <w:spacing w:after="0" w:line="162" w:lineRule="exact"/>
        <w:rPr>
          <w:sz w:val="20"/>
          <w:szCs w:val="20"/>
          <w:color w:val="auto"/>
        </w:rPr>
      </w:pPr>
    </w:p>
    <w:p>
      <w:pPr>
        <w:ind w:right="360" w:firstLine="456"/>
        <w:spacing w:after="0" w:line="261" w:lineRule="auto"/>
        <w:rPr>
          <w:sz w:val="20"/>
          <w:szCs w:val="20"/>
          <w:color w:val="auto"/>
        </w:rPr>
      </w:pPr>
      <w:r>
        <w:rPr>
          <w:rFonts w:ascii="Arial" w:cs="Arial" w:eastAsia="Arial" w:hAnsi="Arial"/>
          <w:sz w:val="18"/>
          <w:szCs w:val="18"/>
          <w:b w:val="1"/>
          <w:bCs w:val="1"/>
          <w:color w:val="auto"/>
        </w:rPr>
        <w:t>THIS SUMMARY IS FOR GENERAL INFORMATION ONLY AND IS NOT INTENDED TO CONSTITUTE A COMPLETE DESCRIPTION OF ALL TAX CONSEQUENCES FOR NON-U.S. HOLDERS RELATING TO THE ACQUISITION, OWNERSHIP AND DISPOSITION OF OUR COMMON STOCK. PROSPECTIVE HOLDERS OF OUR COMMON STOCK SHOULD CONSULT WITH THEIR TAX ADVISORS REGARDING THE TAX CONSEQUENCES TO THEM (INCLUDING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THE APPLICATION AND EFFECT OF ANY STATE, LOCAL, FOREIGN INCOME AND OTHER TAX LAWS) OF THE ACQUISITION, OWNERSHIP AND DISPOSITION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Any distributions of cash or property on our common stock will constitute dividends for United States federal income tax purposes to the extent paid from our current or accumulated earnings and profits, as determined under United States federal income tax principles. To the extent those distributions exceed our current and accumulated earnings and profits, the distributions will be treated as a non-taxable return of capital to the extent of the Non-U.S. Holder’s tax basis in our common stock (determined on a share-by-share basis) and, thereafter, as capital gain from the sale or exchange of such common stock. See “—Gain on Disposition of Common Stock.”</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Subject to the withholding requirements under FATCA (as defined below) and with respect to effectively connected dividends, each of which is discussed below, 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are not subject to the withholding tax (provided certain certification and disclosure requirements are satisfied), unless an applicable income tax treaty provides otherwise. Instead, such dividends are subject to United States federal income tax on a net income basis in the same manner as if the Non-U.S. Holder were a United States person as defined under the Code unless an applicable income tax treaty provides otherwise. A Non-U.S. Holder that is a corporation may also be subject to a “branch profits tax” at a 30% rate (or such lower rate specified by an applicable income tax treaty) on such effectively connected dividends, as adjusted for certain items.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complete an Internal Revenue Service Form W-8BEN or W-8BEN-E (or other applicable documentation)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A Non-U.S. Holder whose dividends are effectively connected with a United States trade or business will not be subject to U.S. withholding tax if the Non-U.S. Holder satisfies certain certification requirements by providing the applicable withholding agent a properly executed IRS Form W-8ECI (or, in certain cases, IRS Form W-8BEN-E or W-8BEN) certifying eligibility for exemption. Special certification and other requirements apply to certain non-U.S. holders that are pass-through entities rather than corporations or individuals.</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Non-U.S. Holder eligible for a reduced rate of United States withholding tax pursuant to an income tax treaty may obtain a refund of any excess amounts withheld by timely filing an appropriate claim for refund with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While backup withholding and withholding under FATCA may apply upon the disposition of our common stock (see the discussion below), any gain realized on the disposition of our common stock generally will not be subject to United States federal income tax unless:</w:t>
      </w:r>
    </w:p>
    <w:p>
      <w:pPr>
        <w:spacing w:after="0" w:line="76" w:lineRule="exact"/>
        <w:rPr>
          <w:sz w:val="20"/>
          <w:szCs w:val="20"/>
          <w:color w:val="auto"/>
        </w:rPr>
      </w:pPr>
    </w:p>
    <w:p>
      <w:pPr>
        <w:ind w:left="900" w:right="2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that disposition, and certain other conditions are met;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(“USRPHC”) for United States federal income tax purposes and certain other conditions are met.</w:t>
      </w:r>
    </w:p>
    <w:p>
      <w:pPr>
        <w:spacing w:after="0" w:line="17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Non-U.S. Holder described in the first bullet point immediately above will be subject to tax on its net gain in the same manner as if it were a United States person as defined under the Code. In addition, if a Non-U.S. Holder that is treated as a corporation for U.S. federal income tax purposes falls under the first bullet point immediately above, it may be subject to the branch profits tax equal to 30% (or such lower rate specified by an applicable income tax treaty) of its effectively connected earnings and profits, subject to adjustments.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individual Non-U.S. Holder described in the second bullet point immediately above will be subject to a flat 30% tax (or such lower rate specified by an applicable income tax treaty) on the gain derived from the disposition, which may be offset by United States source capital losses (even though the individual is not considered a resident of the United States), provided the Non-U.S. Holder has timely filed United States federal income tax returns with respect to such losses.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With respect to the third bullet point immediately above, we believe we are not and do not anticipate becoming a USRPHC for United States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Common stock held by an individual treated as a non-U.S. holder (as specially defined for U.S. federal estate tax purposes) at the time of death will be included in such holder’s gross estate for United States federal estate tax purposes and, therefore, may be subject to U.S. federal estate tax, unless an applicable estate tax treaty provides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Information reporting generally will apply to the amount of dividends paid to each Non-U.S.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Proceeds of a disposition of our common stock conducted through a non-United States office of a non-United States broker generally will not be subject to information reporting or backup withholding. However, information reporting and, depending on the circumstances, backup withholding will apply to the proceeds of a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5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United States federal income tax liability provided the required information is timely furnished to the Internal Revenue Service.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Under Sections 1471 through 1474 of the Code (such Sections commonly referred to as the Foreign Account Tax Compliance Act, or “FATCA”), a 30% United States federal withholding tax may apply to any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Certain countries have entered into intergovernmental agreements with the United States implementing FATCA and such agreements may provide different rules with respect to a foreign financial institution in such countries. Withholding under FATCA applies to payments as described above regardless of whether the recipient receives the payments as a beneficial owner or acting as an intermediary. If a dividend payment is both subject to withholding under FATCA and subject to the withholding tax discussed above under “—Dividends,” the withholding under FATCA may be credited against, and therefore reduce, such other withholding tax. You should consult your tax advisor regarding these requirements and whether they may be relevant to your ownership and disposition of our common stock.</w:t>
      </w:r>
    </w:p>
    <w:p>
      <w:pPr>
        <w:spacing w:after="0" w:line="17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UNITED STATES FEDERAL INCOME AND ESTATE TAX SUMMARY SET FORTH ABOVE IS FOR GENERAL INFORMATION PURPOSES ONLY, DOES NOT PURPORT TO BE A COMPLETE DESCRIPTION OF THE POTENTIAL TAX CONSIDERATIONS RELATING TO OUR SHARES OF COMMON STOCK AND IS NOT TAX ADVICE. INVESTORS SHOULD CONSULT THEIR TAX ADVISORS REGARDING THE SPECIFIC TAX CONSEQUENCES TO THEM OF THE PURCHASE, OWNERSHIP AND DISPOSITION OF THE SHARES OF COMMON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Citigroup Global Markets Inc. and Barclays Capital Inc. are acting as representatives, have severally agreed to purchase, and the selling stockholder has agreed to sell to the underwriters, severally, the number of shares indicated below:</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500" w:type="dxa"/>
            <w:vAlign w:val="bottom"/>
            <w:gridSpan w:val="3"/>
          </w:tcPr>
          <w:p>
            <w:pPr>
              <w:spacing w:after="0"/>
              <w:rPr>
                <w:sz w:val="20"/>
                <w:szCs w:val="20"/>
                <w:color w:val="auto"/>
              </w:rPr>
            </w:pPr>
            <w:r>
              <w:rPr>
                <w:rFonts w:ascii="Arial" w:cs="Arial" w:eastAsia="Arial" w:hAnsi="Arial"/>
                <w:sz w:val="14"/>
                <w:szCs w:val="14"/>
                <w:color w:val="auto"/>
              </w:rPr>
              <w:t>Name</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Number of Shares</w:t>
            </w:r>
          </w:p>
        </w:tc>
      </w:tr>
      <w:tr>
        <w:trPr>
          <w:trHeight w:val="27"/>
        </w:trPr>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Citigroup Global Markets Inc.</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from the selling stockholder, subject to prior sale and subject to their right to reject any order in whole or in part. The underwriting agreement provides that the obligations of the underwriters to pay for and accept delivery of the shares of common stock offered by this prospectus supplement and accompanying prospectus are subject to the approval of certain legal matters by their counsel and to certain other conditions. The underwriters are obligated to take and pay for all of the shares of common stock offered by this prospectus supplement and accompanying prospectus if any such shares are taken. The underwriting agreement also provides that if one or more underwriters default, the purchase commitments of the non-defaulting underwriters may be increased or the offering may be terminated.</w:t>
      </w:r>
    </w:p>
    <w:p>
      <w:pPr>
        <w:spacing w:after="0" w:line="16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Subject to the completion of this offering, we are repurchasing from the underwriters a portion of the 40,000,000 shares of our common stock offered hereby having an aggregate value of approximately $100 million at a price per share equal to the price per share that the underwriters will pay to the selling stockholder for the shares in this offering.</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underwriters have agreed to purchase the common stock from the selling stockholder at a price of $ per share, which will result in approximately $ million of proceeds to the selling stockholder before expenses. The underwriters propose to offer the shares of common stock, excluding</w:t>
      </w:r>
    </w:p>
    <w:p>
      <w:pPr>
        <w:ind w:right="40"/>
        <w:spacing w:after="0" w:line="252" w:lineRule="auto"/>
        <w:rPr>
          <w:sz w:val="20"/>
          <w:szCs w:val="20"/>
          <w:color w:val="auto"/>
        </w:rPr>
      </w:pPr>
      <w:r>
        <w:rPr>
          <w:rFonts w:ascii="Arial" w:cs="Arial" w:eastAsia="Arial" w:hAnsi="Arial"/>
          <w:sz w:val="18"/>
          <w:szCs w:val="18"/>
          <w:color w:val="auto"/>
        </w:rPr>
        <w:t>the shares to be repurchased by us, from time to time for sale in one or more transactions on the New York Stock Exchange, on the over-the-counter market, through negotiated transactions or otherwise, at market prices, at prices related to market prices or at negotiated prices, subject to receipt and acceptance by them and subject to their right to reject any order in whole or in part. The underwriters may effect such transactions by selling shares of common stock to or through dealers, and such dealers may receive compensation in the form of discounts, concessions or commissions from the underwriters and/or purchasers of shares of common stock for whom the underwriters may act as agent or to whom the underwriters may sell as principal. In connection with the sale of the shares of common stock offered hereby, excluding the shares to be repurchased by us, the underwriters may be deemed to have received compensation in the form of underwriting discounts.</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estimate that the total offering expenses payable by us for this offering (excluding the price we will pay for the shares to be repurchased by us) will be approximately $0.7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trading symbol “GM”.</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have agreed that, without the prior written consent of the representatives, on behalf of the underwriters, we will not, during the period ending 30 days after the date of this prospectus supplement (the “Company restricted period”):</w:t>
      </w:r>
    </w:p>
    <w:p>
      <w:pPr>
        <w:spacing w:after="0" w:line="76" w:lineRule="exact"/>
        <w:rPr>
          <w:sz w:val="20"/>
          <w:szCs w:val="20"/>
          <w:color w:val="auto"/>
        </w:rPr>
      </w:pPr>
    </w:p>
    <w:p>
      <w:pPr>
        <w:ind w:left="900" w:right="26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shares of common stock or such other securities, in cash or otherwise.</w:t>
      </w:r>
    </w:p>
    <w:p>
      <w:pPr>
        <w:spacing w:after="0" w:line="23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addition, we have agreed that, without the prior written consent of the representatives, on behalf of the underwriters, we will not, during the Company restricted period, file with the SEC a registration statement under the Securities Act relating to any shares of common stock or any securities convertible into or exercisable or exchangeable for shares of common stock.</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selling stockholder has agreed that, without the prior written consent of the representatives, on behalf of the underwriters, it will not, during the period ending 90 days after the date of this prospectus supplement (the “selling stockholder restricted period”):</w:t>
      </w:r>
    </w:p>
    <w:p>
      <w:pPr>
        <w:spacing w:after="0" w:line="76" w:lineRule="exact"/>
        <w:rPr>
          <w:sz w:val="20"/>
          <w:szCs w:val="20"/>
          <w:color w:val="auto"/>
        </w:rPr>
      </w:pPr>
    </w:p>
    <w:p>
      <w:pPr>
        <w:ind w:left="900" w:right="20" w:hanging="446"/>
        <w:spacing w:after="0" w:line="297"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(including without limitation, shares of common stock or any securities convertible into or exercisable or exchangeable for common stock which may be deemed to be beneficially owned by the selling stockholder in accordance with the rules and regulations of the SEC and securities which may be issued upon exercise of a stock option or warrant); or</w:t>
      </w:r>
    </w:p>
    <w:p>
      <w:pPr>
        <w:spacing w:after="0" w:line="63"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 convertible into or exercisable or exchangeable for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shares of common stock or such other securities, in cash or otherwise.</w:t>
      </w:r>
    </w:p>
    <w:p>
      <w:pPr>
        <w:spacing w:after="0" w:line="23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the selling stockholder has agreed that, without the prior written consent of the representatives, on behalf of the underwriters, the selling stockholder will not, during the period ending 90 days after the date of this prospectus supplement, make any demand for or exercise any right with respect to the registration of any shares of common stock or any security convertible into or exercisable or exchangeable for shares of common stock.</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restrictions on us and the selling stockholder described above are subject to certain limited exceptions and do not apply to the sale of shares of common stock to the underwriters.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us, the restrictions above also do not apply to:</w:t>
      </w:r>
    </w:p>
    <w:p>
      <w:pPr>
        <w:spacing w:after="0" w:line="131" w:lineRule="exact"/>
        <w:rPr>
          <w:sz w:val="20"/>
          <w:szCs w:val="20"/>
          <w:color w:val="auto"/>
        </w:rPr>
      </w:pPr>
    </w:p>
    <w:p>
      <w:pPr>
        <w:ind w:left="900" w:right="20" w:hanging="446"/>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and/or sale of shares of common stock or any securities convertible into or exercisable or exchangeable for shares of common stock or the grant of equity-based awards (including options, restricted stock awards, restricted stock units, salary stock units and/or performance stock units) pursuant to the terms of any agreement or pursuant to any employee stock option plan, employee stock incentive plan or employee stock ownership plan existing as of the date of this prospectus supplement or described in the documents incorporated by reference herein;</w:t>
      </w:r>
    </w:p>
    <w:p>
      <w:pPr>
        <w:spacing w:after="0" w:line="59" w:lineRule="exact"/>
        <w:rPr>
          <w:rFonts w:ascii="Arial" w:cs="Arial" w:eastAsia="Arial" w:hAnsi="Arial"/>
          <w:sz w:val="16"/>
          <w:szCs w:val="16"/>
          <w:color w:val="auto"/>
        </w:rPr>
      </w:pPr>
    </w:p>
    <w:p>
      <w:pPr>
        <w:ind w:left="900" w:right="140" w:hanging="446"/>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issuance of shares of common stock upon the conversion, exercise, exchange or settlement of any securities or equity-based awards that are convertible into, exercisable or exchangeable for, or which may be settled for, shares of common stock (including warrants, options, restricted stock awards, restricted stock units, salary stock units and performance stock units) and that are outstanding as of the date of this prospectus supplement or are described herein or in the documents incorporated by reference herein;</w:t>
      </w:r>
    </w:p>
    <w:p>
      <w:pPr>
        <w:spacing w:after="0" w:line="76" w:lineRule="exact"/>
        <w:rPr>
          <w:rFonts w:ascii="Arial" w:cs="Arial" w:eastAsia="Arial" w:hAnsi="Arial"/>
          <w:sz w:val="17"/>
          <w:szCs w:val="17"/>
          <w:color w:val="auto"/>
        </w:rPr>
      </w:pPr>
    </w:p>
    <w:p>
      <w:pPr>
        <w:ind w:left="900" w:right="18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issuance of shares of common stock or any securities convertible into or exercisable or exchangeable for common stock in connection with transfers to dividend reinvestment plans or to employee benefit plans in effect as of the date of this prospectus supplement;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shares of common stock to existing holders of such stock for purposes of effecting a stock dividend or stock split;</w:t>
      </w:r>
    </w:p>
    <w:p>
      <w:pPr>
        <w:spacing w:after="0" w:line="130"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issuance of, or the entering into of an agreement to issue,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or so agreed to be issued shall not have a fair market value (as reasonably determined by us after consultation with the representatives), at the time of the earlier of the issuance of such securities or the execution of the agreement to issue such securities, in an amount greater than $5.0 billion and provided that the recipient of any securities so issued shall prior to any such issuance execute a lock-up agreement containing substantially the same selling stockholder lock-up restrictions described in this “Underwriting” section for the balance of the 30-day Company restricted period; or</w:t>
      </w:r>
    </w:p>
    <w:p>
      <w:pPr>
        <w:spacing w:after="0" w:line="84" w:lineRule="exact"/>
        <w:rPr>
          <w:rFonts w:ascii="Arial" w:cs="Arial" w:eastAsia="Arial" w:hAnsi="Arial"/>
          <w:sz w:val="17"/>
          <w:szCs w:val="17"/>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filing of a registration statement on Form S-4 and/or Form S-8 (or any successor form) in connection with any of the foregoing exceptions.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selling stockholder, the restrictions described above also do not apply to:</w:t>
      </w:r>
    </w:p>
    <w:p>
      <w:pPr>
        <w:spacing w:after="0" w:line="131" w:lineRule="exact"/>
        <w:rPr>
          <w:sz w:val="20"/>
          <w:szCs w:val="20"/>
          <w:color w:val="auto"/>
        </w:rPr>
      </w:pPr>
    </w:p>
    <w:p>
      <w:pPr>
        <w:ind w:left="900" w:right="3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transfers or other dispositions of shares of common stock or any securities convertible into or exercisable or exchangeable for shares of common stock pursuant to sales plans pursuant to Rule 10b5-1;</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transfers of common stock or any securities convertible into or exercisable or exchangeable for common stock as a bona fide gift or gifts;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distributions of common stock to members, limited partners, stockholders or creditors of the selling stockholder; or</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of common stock or any securities convertible into or exercisable or exchangeable for common stock to (i) us or (ii) a corporation, partnership, limited liability company or other entity that is a controlled or managed affiliate of the selling stockholder or controls or manages the selling stockholder or is under common control with the selling stockholder,</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provided that, in the case of any transfer or distribution pursuant to the second, third and fourth bullets above, each transferee shall sign and deliver to the representatives a lock-up letter containing substantially the same lock-up restrictions described above for the balance of the selling stockholder restricted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representatives, in their sole discretion, may release the common stock and other securities in whole or in part at any time with or without notice.</w:t>
      </w:r>
    </w:p>
    <w:p>
      <w:pPr>
        <w:spacing w:after="0" w:line="24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if they are commenced.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A prospectus supplement in electronic format may be made available on websites maintained by an underwriter, or selling group member, if any, participating in this offering. The underwriters may allocate a number of shares of common stock for sale to online brokerage account holders. Internet distributions will be allocated on the same basis as other allocations.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investment banking, commercial banking and other services for us for which they received or will receive compensatory fees and expense reimbursements. In addition, certain of the underwriters or their respective affiliates are lenders under our revolving credit facilities.</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the ordinary course of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relation to each Member State of the European Economic Area (each, a “Relevant Member State”), each underwriter has represented and agreed that it has not made and will not make an offer of shares of our common stock that are the subject of this offering to the public in that Relevant Member State other than:</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that no such offer of shares of our common stock shall require the Company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the purpose of the above provisions, the expression “an offer to the public” in relation to any shares of our common stock in any Relevant Member State means the communication in any form and by any means of sufficient information on the terms of the offer and the shares of our common stock to be offered so as to enable an investor to decide to purchase or subscribe the shares of our common stock, as the same may be varied in the Relevant Member State by any measure implementing the Prospectus Directive in the Relevant Member State and the expression “Prospectus Directive” means Directive 2003/71/EC (as amended, including by Directive 2010/73/EU) and includes any relevant implementing measure in the Relevant Member State.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right="6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shares of our common stock that are the subject of this offering in circumstances in which Section 21(1) of the FSMA does not apply to us; and</w:t>
      </w:r>
    </w:p>
    <w:p>
      <w:pPr>
        <w:spacing w:after="0" w:line="92"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shares of our common stock in, from or otherwise involving the United Kingdom.</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right="40" w:hanging="325"/>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in Hong Kong, by means of any document, any shares of our common stock that are the subject of this offering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93" w:lineRule="exact"/>
        <w:rPr>
          <w:rFonts w:ascii="Arial" w:cs="Arial" w:eastAsia="Arial" w:hAnsi="Arial"/>
          <w:sz w:val="18"/>
          <w:szCs w:val="18"/>
          <w:color w:val="auto"/>
        </w:rPr>
      </w:pPr>
    </w:p>
    <w:p>
      <w:pPr>
        <w:ind w:left="900" w:right="40" w:hanging="325"/>
        <w:spacing w:after="0" w:line="297"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has not issued or had in its possession for the purposes of issue, and will not issue or have in its possession for the purposes of issue, whether in Hong Kong or elsewhere, any advertisement, invitation or document relating to the shares of our common stock,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shares of our common stock that are the subject of this offering have not been and will not be registered under the Financial Instruments and Exchange Law of Japan (the Financial Instruments and Exchange Law) and each underwriter has agreed that it will not offer or sell any shares of our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supplement (and the accompanying prospectus) has not been registered as a prospectus with the Monetary Authority of Singapore. Accordingly, this prospectus supplement (and the accompanying prospectus) and any other document or material in connection with the offer or sale, or invitation for subscription or purchase, of the shares of our common stock that are the subject of this offering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 the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of our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validity of the shares of our common stock offered hereby will be passed upon for us by Jenner &amp; Block LLP. Certain legal matters will be passed upon for the underwriters by Davis Polk &amp; Wardwell LLP. Certain legal matters will be passed upon for Brock Fiduciary, the independent fiduciary and investment manager to the selling stockholder solely for the benefit of the GM Separate Retiree Account, by Milbank, Tweed, Hadley &amp; McCloy LLP.</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financial statements of General Motors Company incorporated in this prospectus supplement by reference from the Company’s Annual Report on Form 10-K for the year ended December 31, 2017, and the effectiveness of General Motors Company’s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GM SEC Filings (File No. 001-34960)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portions of our Definitive Proxy Statement on Schedule 14A for our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of Stockholders that are incorporated by reference into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Annual Report on Form 10-K for the fiscal year ended December 31, 2016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Period</w:t>
      </w:r>
    </w:p>
    <w:p>
      <w:pPr>
        <w:spacing w:after="0" w:line="12" w:lineRule="exact"/>
        <w:rPr>
          <w:sz w:val="20"/>
          <w:szCs w:val="20"/>
          <w:color w:val="auto"/>
        </w:rPr>
      </w:pPr>
    </w:p>
    <w:p>
      <w:pPr>
        <w:ind w:right="40"/>
        <w:spacing w:after="0" w:line="384" w:lineRule="auto"/>
        <w:rPr>
          <w:sz w:val="20"/>
          <w:szCs w:val="20"/>
          <w:color w:val="auto"/>
        </w:rPr>
      </w:pPr>
      <w:r>
        <w:rPr>
          <w:rFonts w:ascii="Arial" w:cs="Arial" w:eastAsia="Arial" w:hAnsi="Arial"/>
          <w:sz w:val="18"/>
          <w:szCs w:val="18"/>
          <w:color w:val="auto"/>
        </w:rPr>
        <w:t>Year ended December 31, 2017 (filed with the SEC on February 6, 2018) Date filed: April 13, 2017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Dates filed: February 12, 2018 and February 13, 2018</w:t>
      </w:r>
    </w:p>
    <w:p>
      <w:pPr>
        <w:spacing w:after="0" w:line="117" w:lineRule="exact"/>
        <w:rPr>
          <w:sz w:val="20"/>
          <w:szCs w:val="20"/>
          <w:color w:val="auto"/>
        </w:rPr>
      </w:pPr>
    </w:p>
    <w:p>
      <w:pPr>
        <w:sectPr>
          <w:pgSz w:w="11900" w:h="16838" w:orient="portrait"/>
          <w:cols w:equalWidth="0" w:num="2">
            <w:col w:w="5640" w:space="420"/>
            <w:col w:w="5300"/>
          </w:cols>
          <w:pgMar w:left="240" w:top="459" w:right="299" w:bottom="1440" w:gutter="0" w:footer="0" w:header="0"/>
          <w:type w:val="continuous"/>
        </w:sectPr>
      </w:pPr>
    </w:p>
    <w:p>
      <w:pPr>
        <w:jc w:val="both"/>
        <w:ind w:right="5640"/>
        <w:spacing w:after="0" w:line="286" w:lineRule="auto"/>
        <w:rPr>
          <w:sz w:val="20"/>
          <w:szCs w:val="20"/>
          <w:color w:val="auto"/>
        </w:rPr>
      </w:pPr>
      <w:r>
        <w:rPr>
          <w:rFonts w:ascii="Arial" w:cs="Arial" w:eastAsia="Arial" w:hAnsi="Arial"/>
          <w:sz w:val="17"/>
          <w:szCs w:val="17"/>
          <w:color w:val="auto"/>
        </w:rPr>
        <w:t>The description of the common stock set forth in our registration statement on Form 8-A, filed November 10, 2010, and any amendments and reports filed for the purpose of updating such description.</w:t>
      </w:r>
    </w:p>
    <w:p>
      <w:pPr>
        <w:spacing w:after="0" w:line="166"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Chief Accounting Officer and Global Business Services, at the following address and telephone number:</w:t>
      </w:r>
    </w:p>
    <w:p>
      <w:pPr>
        <w:spacing w:after="0" w:line="5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(313) 667-1500</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11 Wall Street, New York, New York 10005, where our common stock is listed.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60"/>
          </w:cols>
          <w:pgMar w:left="240" w:top="45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172085</wp:posOffset>
            </wp:positionV>
            <wp:extent cx="986155" cy="986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177165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prospectus contains summaries of the general terms of the securities we may offer from time to time:</w:t>
      </w:r>
    </w:p>
    <w:p>
      <w:pPr>
        <w:spacing w:after="0" w:line="252" w:lineRule="exact"/>
        <w:rPr>
          <w:sz w:val="20"/>
          <w:szCs w:val="20"/>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1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480" w:firstLine="799"/>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securities involves risk. See “</w:t>
      </w:r>
      <w:hyperlink w:anchor="page2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136525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799"/>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February 7, 2017.</w:t>
      </w:r>
    </w:p>
    <w:p>
      <w:pPr>
        <w:sectPr>
          <w:pgSz w:w="11900" w:h="16838" w:orient="portrait"/>
          <w:cols w:equalWidth="0" w:num="1">
            <w:col w:w="11380"/>
          </w:cols>
          <w:pgMar w:left="240" w:top="459"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01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r>
      <w:tr>
        <w:trPr>
          <w:trHeight w:val="49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39"/>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ABOUT THIS PROSPECTUS</w:t>
              </w:r>
            </w:hyperlink>
          </w:p>
        </w:tc>
        <w:tc>
          <w:tcPr>
            <w:tcW w:w="2520" w:type="dxa"/>
            <w:vAlign w:val="bottom"/>
            <w:gridSpan w:val="9"/>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346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16"/>
          </w:tcPr>
          <w:p>
            <w:pPr>
              <w:spacing w:after="0"/>
              <w:rPr>
                <w:sz w:val="24"/>
                <w:szCs w:val="24"/>
                <w:color w:val="auto"/>
              </w:rPr>
            </w:pPr>
          </w:p>
        </w:tc>
        <w:tc>
          <w:tcPr>
            <w:tcW w:w="508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GENERAL MOTORS COMPANY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RATIO OF EARNINGS TO FIXED CHARGES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RATIO OF EARNINGS TO COMBINED FIXED CHARGES AND PREFERRED STOCK DIVIDENDS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80" w:type="dxa"/>
            <w:vAlign w:val="bottom"/>
            <w:tcBorders>
              <w:top w:val="single" w:sz="8" w:color="0000EE"/>
            </w:tcBorders>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FORWARD-LOOKING STATEMENTS</w:t>
              </w:r>
            </w:hyperlink>
          </w:p>
        </w:tc>
        <w:tc>
          <w:tcPr>
            <w:tcW w:w="7200" w:type="dxa"/>
            <w:vAlign w:val="bottom"/>
            <w:gridSpan w:val="1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0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OVERVIEW OF OUR CAPITAL STOCK</w:t>
              </w:r>
            </w:hyperlink>
          </w:p>
        </w:tc>
        <w:tc>
          <w:tcPr>
            <w:tcW w:w="706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54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GENERAL DESCRIPTION OF SECURITIES THAT MAY BE OFFERED</w:t>
              </w:r>
            </w:hyperlink>
          </w:p>
        </w:tc>
        <w:tc>
          <w:tcPr>
            <w:tcW w:w="466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DESCRIPTION OF DEBT SECURITIES</w:t>
              </w:r>
            </w:hyperlink>
          </w:p>
        </w:tc>
        <w:tc>
          <w:tcPr>
            <w:tcW w:w="710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1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DESCRIPTION OF PREFERRED STOCK</w:t>
              </w:r>
            </w:hyperlink>
          </w:p>
        </w:tc>
        <w:tc>
          <w:tcPr>
            <w:tcW w:w="698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DESCRIPTION OF COMMON STOCK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960" w:type="dxa"/>
            <w:vAlign w:val="bottom"/>
            <w:tcBorders>
              <w:top w:val="single" w:sz="8" w:color="0000EE"/>
            </w:tcBorders>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WARRANTS</w:t>
              </w:r>
            </w:hyperlink>
          </w:p>
        </w:tc>
        <w:tc>
          <w:tcPr>
            <w:tcW w:w="718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766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868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gridSpan w:val="3"/>
          </w:tcPr>
          <w:p>
            <w:pPr>
              <w:jc w:val="center"/>
              <w:ind w:right="420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65"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 xml:space="preserve">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9" w:right="259" w:bottom="1440" w:gutter="0" w:footer="0" w:header="0"/>
        </w:sectPr>
      </w:pPr>
    </w:p>
    <w:p>
      <w:pPr>
        <w:spacing w:after="0" w:line="212" w:lineRule="exact"/>
        <w:rPr>
          <w:sz w:val="20"/>
          <w:szCs w:val="20"/>
          <w:color w:val="auto"/>
        </w:rPr>
      </w:pPr>
    </w:p>
    <w:p>
      <w:pPr>
        <w:ind w:right="1580"/>
        <w:spacing w:after="0" w:line="257" w:lineRule="auto"/>
        <w:rPr>
          <w:sz w:val="20"/>
          <w:szCs w:val="20"/>
          <w:color w:val="auto"/>
        </w:rPr>
      </w:pPr>
      <w:r>
        <w:rPr>
          <w:rFonts w:ascii="Arial" w:cs="Arial" w:eastAsia="Arial" w:hAnsi="Arial"/>
          <w:sz w:val="18"/>
          <w:szCs w:val="18"/>
          <w:b w:val="1"/>
          <w:bCs w:val="1"/>
          <w:u w:val="single" w:color="auto"/>
          <w:color w:val="auto"/>
        </w:rPr>
        <w:t xml:space="preserve">GM SEC Filings (File No. 001-34960) </w:t>
      </w:r>
      <w:r>
        <w:rPr>
          <w:rFonts w:ascii="Arial" w:cs="Arial" w:eastAsia="Arial" w:hAnsi="Arial"/>
          <w:sz w:val="18"/>
          <w:szCs w:val="18"/>
          <w:color w:val="auto"/>
        </w:rPr>
        <w:t>Annual Report on Form 10-K Current Report on Form 8-K</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2016 (filed with the SEC on February 7,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Dates filed: January 10, 2017 (with respect to Item 8.01 only)</w:t>
      </w:r>
    </w:p>
    <w:p>
      <w:pPr>
        <w:spacing w:after="0" w:line="643" w:lineRule="exact"/>
        <w:rPr>
          <w:sz w:val="20"/>
          <w:szCs w:val="20"/>
          <w:color w:val="auto"/>
        </w:rPr>
      </w:pPr>
    </w:p>
    <w:p>
      <w:pPr>
        <w:sectPr>
          <w:pgSz w:w="11900" w:h="16838" w:orient="portrait"/>
          <w:cols w:equalWidth="0" w:num="2">
            <w:col w:w="4440" w:space="260"/>
            <w:col w:w="6700"/>
          </w:cols>
          <w:pgMar w:left="240" w:top="459" w:right="259" w:bottom="1440" w:gutter="0" w:footer="0" w:header="0"/>
          <w:type w:val="continuous"/>
        </w:sectPr>
      </w:pPr>
    </w:p>
    <w:p>
      <w:pPr>
        <w:jc w:val="both"/>
        <w:ind w:right="100" w:firstLine="799"/>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jc w:val="both"/>
        <w:ind w:right="60" w:firstLine="799"/>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200" w:firstLine="799"/>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2009.We design, build and sell cars, trucks, crossovers and automobile parts worldwide. We also provide automotive financing services through General Motors Financial Company, Inc. (GM Financial).</w:t>
      </w:r>
    </w:p>
    <w:p>
      <w:pPr>
        <w:spacing w:after="0" w:line="147"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GM Europe (GME), GM International Operations (GMIO) and GM South America (GMSA).</w:t>
      </w:r>
    </w:p>
    <w:p>
      <w:pPr>
        <w:spacing w:after="0" w:line="17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1700" w:type="dxa"/>
            <w:vAlign w:val="bottom"/>
            <w:tcBorders>
              <w:top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2016</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2015</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2013</w:t>
            </w:r>
          </w:p>
        </w:tc>
        <w:tc>
          <w:tcPr>
            <w:tcW w:w="1500" w:type="dxa"/>
            <w:vAlign w:val="bottom"/>
            <w:tcBorders>
              <w:top w:val="single" w:sz="8" w:color="auto"/>
            </w:tcBorders>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presents the consolidated ratio of our earnings to combined fixed charges and preferred stock dividends for each of the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20" w:type="dxa"/>
            <w:vAlign w:val="bottom"/>
            <w:tcBorders>
              <w:top w:val="single" w:sz="8" w:color="auto"/>
            </w:tcBorders>
          </w:tcPr>
          <w:p>
            <w:pPr>
              <w:jc w:val="right"/>
              <w:ind w:right="97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2014</w:t>
            </w:r>
          </w:p>
        </w:tc>
        <w:tc>
          <w:tcPr>
            <w:tcW w:w="2280" w:type="dxa"/>
            <w:vAlign w:val="bottom"/>
            <w:tcBorders>
              <w:top w:val="single" w:sz="8" w:color="auto"/>
            </w:tcBorders>
            <w:gridSpan w:val="2"/>
          </w:tcPr>
          <w:p>
            <w:pPr>
              <w:jc w:val="right"/>
              <w:ind w:right="790"/>
              <w:spacing w:after="0" w:line="155" w:lineRule="exact"/>
              <w:rPr>
                <w:sz w:val="20"/>
                <w:szCs w:val="20"/>
                <w:color w:val="auto"/>
              </w:rPr>
            </w:pPr>
            <w:r>
              <w:rPr>
                <w:rFonts w:ascii="Arial" w:cs="Arial" w:eastAsia="Arial" w:hAnsi="Arial"/>
                <w:sz w:val="14"/>
                <w:szCs w:val="14"/>
                <w:b w:val="1"/>
                <w:bCs w:val="1"/>
                <w:color w:val="auto"/>
              </w:rPr>
              <w:t>2013</w:t>
            </w:r>
          </w:p>
        </w:tc>
        <w:tc>
          <w:tcPr>
            <w:tcW w:w="2140" w:type="dxa"/>
            <w:vAlign w:val="bottom"/>
            <w:tcBorders>
              <w:top w:val="single" w:sz="8" w:color="auto"/>
            </w:tcBorders>
            <w:gridSpan w:val="2"/>
          </w:tcPr>
          <w:p>
            <w:pPr>
              <w:jc w:val="right"/>
              <w:ind w:right="7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97"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 OF OUR CAPITAL STOCK</w:t>
      </w:r>
    </w:p>
    <w:p>
      <w:pPr>
        <w:spacing w:after="0" w:line="121"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57" w:lineRule="exact"/>
        <w:rPr>
          <w:sz w:val="20"/>
          <w:szCs w:val="20"/>
          <w:color w:val="auto"/>
        </w:rPr>
      </w:pPr>
    </w:p>
    <w:p>
      <w:pPr>
        <w:ind w:right="600" w:firstLine="799"/>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40" w:firstLine="799"/>
        <w:spacing w:after="0" w:line="342" w:lineRule="auto"/>
        <w:rPr>
          <w:sz w:val="20"/>
          <w:szCs w:val="20"/>
          <w:color w:val="auto"/>
        </w:rPr>
      </w:pPr>
      <w:r>
        <w:rPr>
          <w:rFonts w:ascii="Arial" w:cs="Arial" w:eastAsia="Arial" w:hAnsi="Arial"/>
          <w:sz w:val="16"/>
          <w:szCs w:val="16"/>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6" w:lineRule="exact"/>
        <w:rPr>
          <w:sz w:val="20"/>
          <w:szCs w:val="20"/>
          <w:color w:val="auto"/>
        </w:rPr>
      </w:pPr>
    </w:p>
    <w:p>
      <w:pPr>
        <w:ind w:firstLine="799"/>
        <w:spacing w:after="0" w:line="308" w:lineRule="auto"/>
        <w:rPr>
          <w:sz w:val="20"/>
          <w:szCs w:val="20"/>
          <w:color w:val="auto"/>
        </w:rPr>
      </w:pPr>
      <w:r>
        <w:rPr>
          <w:rFonts w:ascii="Arial" w:cs="Arial" w:eastAsia="Arial" w:hAnsi="Arial"/>
          <w:sz w:val="17"/>
          <w:szCs w:val="17"/>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1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ind w:right="200" w:firstLine="799"/>
        <w:spacing w:after="0" w:line="279" w:lineRule="auto"/>
        <w:rPr>
          <w:sz w:val="20"/>
          <w:szCs w:val="20"/>
          <w:color w:val="auto"/>
        </w:rPr>
      </w:pPr>
      <w:r>
        <w:rPr>
          <w:rFonts w:ascii="Arial" w:cs="Arial" w:eastAsia="Arial" w:hAnsi="Arial"/>
          <w:sz w:val="17"/>
          <w:szCs w:val="17"/>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shares of all classes of shares entitled to vote at such a meeting, subject to requirements and limitations set forth in our Bylaws.</w:t>
      </w:r>
    </w:p>
    <w:p>
      <w:pPr>
        <w:spacing w:after="0" w:line="129" w:lineRule="exact"/>
        <w:rPr>
          <w:sz w:val="20"/>
          <w:szCs w:val="20"/>
          <w:color w:val="auto"/>
        </w:rPr>
      </w:pPr>
    </w:p>
    <w:p>
      <w:pPr>
        <w:ind w:right="620" w:firstLine="799"/>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right="120" w:firstLine="799"/>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right="380" w:firstLine="799"/>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7" w:lineRule="exact"/>
        <w:rPr>
          <w:sz w:val="20"/>
          <w:szCs w:val="20"/>
          <w:color w:val="auto"/>
        </w:rPr>
      </w:pPr>
    </w:p>
    <w:p>
      <w:pPr>
        <w:ind w:left="1120" w:right="100" w:hanging="207"/>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120" w:right="40" w:hanging="207"/>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120" w:right="100" w:hanging="207"/>
        <w:spacing w:after="0" w:line="342"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6"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52" w:lineRule="exact"/>
        <w:rPr>
          <w:sz w:val="20"/>
          <w:szCs w:val="20"/>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799"/>
        <w:spacing w:after="0" w:line="302"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4"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73"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thereof,will bear interest, or any formula or other method or means by which such rate or rates shall be determined, by reference to an index or other fact or event or otherwise;</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120" w:right="18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75" w:lineRule="exact"/>
        <w:rPr>
          <w:rFonts w:ascii="Arial" w:cs="Arial" w:eastAsia="Arial" w:hAnsi="Arial"/>
          <w:sz w:val="18"/>
          <w:szCs w:val="18"/>
          <w:color w:val="auto"/>
        </w:rPr>
      </w:pPr>
    </w:p>
    <w:p>
      <w:pPr>
        <w:ind w:left="1120" w:right="140" w:hanging="207"/>
        <w:spacing w:after="0" w:line="312"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2" w:lineRule="exact"/>
        <w:rPr>
          <w:rFonts w:ascii="Arial" w:cs="Arial" w:eastAsia="Arial" w:hAnsi="Arial"/>
          <w:sz w:val="16"/>
          <w:szCs w:val="16"/>
          <w:color w:val="auto"/>
        </w:rPr>
      </w:pPr>
    </w:p>
    <w:p>
      <w:pPr>
        <w:ind w:left="1120" w:hanging="207"/>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42" w:lineRule="exact"/>
        <w:rPr>
          <w:rFonts w:ascii="Arial" w:cs="Arial" w:eastAsia="Arial" w:hAnsi="Arial"/>
          <w:sz w:val="17"/>
          <w:szCs w:val="17"/>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120" w:right="4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120" w:right="2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120" w:right="120" w:hanging="207"/>
        <w:spacing w:after="0" w:line="259"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120" w:right="3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120" w:right="10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17"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 (i) either:</w:t>
      </w:r>
    </w:p>
    <w:p>
      <w:pPr>
        <w:spacing w:after="0" w:line="76" w:lineRule="exact"/>
        <w:rPr>
          <w:sz w:val="20"/>
          <w:szCs w:val="20"/>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27" w:lineRule="exact"/>
        <w:rPr>
          <w:rFonts w:ascii="Arial" w:cs="Arial" w:eastAsia="Arial" w:hAnsi="Arial"/>
          <w:sz w:val="18"/>
          <w:szCs w:val="18"/>
          <w:color w:val="auto"/>
        </w:rPr>
      </w:pPr>
    </w:p>
    <w:p>
      <w:pPr>
        <w:ind w:left="1120" w:right="180" w:hanging="207"/>
        <w:spacing w:after="0" w:line="274" w:lineRule="auto"/>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debt securities of such series not previously delivered to the trustee for cancellation (i) have become due and payable (whether at stated maturity, early redemption or otherwise), (ii) will become due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spacing w:after="0" w:line="290" w:lineRule="auto"/>
        <w:rPr>
          <w:sz w:val="20"/>
          <w:szCs w:val="20"/>
          <w:color w:val="auto"/>
        </w:rPr>
      </w:pPr>
      <w:r>
        <w:rPr>
          <w:rFonts w:ascii="Arial" w:cs="Arial" w:eastAsia="Arial" w:hAnsi="Arial"/>
          <w:sz w:val="15"/>
          <w:szCs w:val="15"/>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78" w:lineRule="exact"/>
        <w:rPr>
          <w:sz w:val="20"/>
          <w:szCs w:val="20"/>
          <w:color w:val="auto"/>
        </w:rPr>
      </w:pPr>
    </w:p>
    <w:p>
      <w:pPr>
        <w:ind w:left="1480" w:hanging="675"/>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480" w:right="340" w:hanging="675"/>
        <w:spacing w:after="0" w:line="342"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480" w:right="460" w:hanging="675"/>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480" w:right="60" w:hanging="675"/>
        <w:spacing w:after="0" w:line="259"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92" w:lineRule="exact"/>
        <w:rPr>
          <w:rFonts w:ascii="Arial" w:cs="Arial" w:eastAsia="Arial" w:hAnsi="Arial"/>
          <w:sz w:val="18"/>
          <w:szCs w:val="18"/>
          <w:color w:val="auto"/>
        </w:rPr>
      </w:pPr>
    </w:p>
    <w:p>
      <w:pPr>
        <w:ind w:left="1480" w:hanging="675"/>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480" w:hanging="675"/>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jc w:val="both"/>
        <w:ind w:right="20" w:firstLine="799"/>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480" w:right="340" w:hanging="675"/>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920" w:right="640" w:hanging="21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cash in dollars (or such other currency or composite currency in which such debt securities are denominated) in an amount sufficient;</w:t>
      </w:r>
    </w:p>
    <w:p>
      <w:pPr>
        <w:spacing w:after="0" w:line="75" w:lineRule="exact"/>
        <w:rPr>
          <w:rFonts w:ascii="Arial" w:cs="Arial" w:eastAsia="Arial" w:hAnsi="Arial"/>
          <w:sz w:val="18"/>
          <w:szCs w:val="18"/>
          <w:color w:val="auto"/>
        </w:rPr>
      </w:pPr>
    </w:p>
    <w:p>
      <w:pPr>
        <w:ind w:left="1920" w:right="440" w:hanging="210"/>
        <w:spacing w:after="0" w:line="277"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920" w:hanging="210"/>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17" w:lineRule="exact"/>
        <w:rPr>
          <w:sz w:val="20"/>
          <w:szCs w:val="20"/>
          <w:color w:val="auto"/>
        </w:rPr>
      </w:pPr>
    </w:p>
    <w:p>
      <w:pPr>
        <w:ind w:left="1940" w:right="660"/>
        <w:spacing w:after="0" w:line="277" w:lineRule="auto"/>
        <w:rPr>
          <w:sz w:val="20"/>
          <w:szCs w:val="20"/>
          <w:color w:val="auto"/>
        </w:rPr>
      </w:pPr>
      <w:r>
        <w:rPr>
          <w:rFonts w:ascii="Arial" w:cs="Arial" w:eastAsia="Arial" w:hAnsi="Arial"/>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40"/>
        <w:spacing w:after="0" w:line="274" w:lineRule="auto"/>
        <w:rPr>
          <w:sz w:val="20"/>
          <w:szCs w:val="20"/>
          <w:color w:val="auto"/>
        </w:rPr>
      </w:pPr>
      <w:r>
        <w:rPr>
          <w:rFonts w:ascii="Arial" w:cs="Arial" w:eastAsia="Arial" w:hAnsi="Arial"/>
          <w:sz w:val="17"/>
          <w:szCs w:val="17"/>
          <w:color w:val="auto"/>
        </w:rPr>
        <w:t>securities of such series at the stated maturity or redemption date and (2) any mandatory sinking fund payments applicable to the debt securities of such series on the day on which such payments are due and payable;</w:t>
      </w:r>
    </w:p>
    <w:p>
      <w:pPr>
        <w:spacing w:after="0" w:line="80" w:lineRule="exact"/>
        <w:rPr>
          <w:sz w:val="20"/>
          <w:szCs w:val="20"/>
          <w:color w:val="auto"/>
        </w:rPr>
      </w:pPr>
    </w:p>
    <w:p>
      <w:pPr>
        <w:ind w:left="1380" w:right="40" w:hanging="575"/>
        <w:spacing w:after="0" w:line="257"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94" w:lineRule="exact"/>
        <w:rPr>
          <w:rFonts w:ascii="Arial" w:cs="Arial" w:eastAsia="Arial" w:hAnsi="Arial"/>
          <w:sz w:val="17"/>
          <w:szCs w:val="17"/>
          <w:color w:val="auto"/>
        </w:rPr>
      </w:pPr>
    </w:p>
    <w:p>
      <w:pPr>
        <w:jc w:val="both"/>
        <w:ind w:left="1380" w:right="280" w:hanging="575"/>
        <w:spacing w:after="0" w:line="312" w:lineRule="auto"/>
        <w:tabs>
          <w:tab w:leader="none" w:pos="1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6" w:lineRule="exact"/>
        <w:rPr>
          <w:rFonts w:ascii="Arial" w:cs="Arial" w:eastAsia="Arial" w:hAnsi="Arial"/>
          <w:sz w:val="15"/>
          <w:szCs w:val="15"/>
          <w:color w:val="auto"/>
        </w:rPr>
      </w:pPr>
    </w:p>
    <w:p>
      <w:pPr>
        <w:ind w:left="1380" w:right="360" w:hanging="575"/>
        <w:spacing w:after="0" w:line="274"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result in a breach or violation of, or constitute a default under, any material agreement or instrument to which we are a party or by which we are bound;</w:t>
      </w:r>
    </w:p>
    <w:p>
      <w:pPr>
        <w:spacing w:after="0" w:line="80" w:lineRule="exact"/>
        <w:rPr>
          <w:rFonts w:ascii="Arial" w:cs="Arial" w:eastAsia="Arial" w:hAnsi="Arial"/>
          <w:sz w:val="17"/>
          <w:szCs w:val="17"/>
          <w:color w:val="auto"/>
        </w:rPr>
      </w:pPr>
    </w:p>
    <w:p>
      <w:pPr>
        <w:jc w:val="both"/>
        <w:ind w:left="1380" w:hanging="575"/>
        <w:spacing w:after="0" w:line="261"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91" w:lineRule="exact"/>
        <w:rPr>
          <w:rFonts w:ascii="Arial" w:cs="Arial" w:eastAsia="Arial" w:hAnsi="Arial"/>
          <w:sz w:val="17"/>
          <w:szCs w:val="17"/>
          <w:color w:val="auto"/>
        </w:rPr>
      </w:pPr>
    </w:p>
    <w:p>
      <w:pPr>
        <w:ind w:left="1380" w:right="480" w:hanging="575"/>
        <w:spacing w:after="0" w:line="274"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shall have delivered to the trustee an agreement whereby we irrevocably agree to forfeit our rights, if any, to extend the interest payment periods on such debt securities pursuant to the indenture;</w:t>
      </w:r>
    </w:p>
    <w:p>
      <w:pPr>
        <w:spacing w:after="0" w:line="80" w:lineRule="exact"/>
        <w:rPr>
          <w:rFonts w:ascii="Arial" w:cs="Arial" w:eastAsia="Arial" w:hAnsi="Arial"/>
          <w:sz w:val="17"/>
          <w:szCs w:val="17"/>
          <w:color w:val="auto"/>
        </w:rPr>
      </w:pPr>
    </w:p>
    <w:p>
      <w:pPr>
        <w:ind w:left="1380" w:right="120" w:hanging="575"/>
        <w:spacing w:after="0" w:line="285"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73" w:lineRule="exact"/>
        <w:rPr>
          <w:rFonts w:ascii="Arial" w:cs="Arial" w:eastAsia="Arial" w:hAnsi="Arial"/>
          <w:sz w:val="16"/>
          <w:szCs w:val="16"/>
          <w:color w:val="auto"/>
        </w:rPr>
      </w:pPr>
    </w:p>
    <w:p>
      <w:pPr>
        <w:ind w:left="1380" w:right="380" w:hanging="575"/>
        <w:spacing w:after="0" w:line="274"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with respect to the legal defeasance or covenant defeasance have been complied with; and</w:t>
      </w:r>
    </w:p>
    <w:p>
      <w:pPr>
        <w:spacing w:after="0" w:line="80" w:lineRule="exact"/>
        <w:rPr>
          <w:rFonts w:ascii="Arial" w:cs="Arial" w:eastAsia="Arial" w:hAnsi="Arial"/>
          <w:sz w:val="17"/>
          <w:szCs w:val="17"/>
          <w:color w:val="auto"/>
        </w:rPr>
      </w:pPr>
    </w:p>
    <w:p>
      <w:pPr>
        <w:ind w:left="1380" w:hanging="575"/>
        <w:spacing w:after="0" w:line="255"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 Merger or Sale of Assets</w:t>
      </w:r>
    </w:p>
    <w:p>
      <w:pPr>
        <w:spacing w:after="0" w:line="121" w:lineRule="exact"/>
        <w:rPr>
          <w:sz w:val="20"/>
          <w:szCs w:val="20"/>
          <w:color w:val="auto"/>
        </w:rPr>
      </w:pPr>
    </w:p>
    <w:p>
      <w:pPr>
        <w:ind w:right="300" w:firstLine="799"/>
        <w:spacing w:after="0" w:line="274" w:lineRule="auto"/>
        <w:rPr>
          <w:sz w:val="20"/>
          <w:szCs w:val="20"/>
          <w:color w:val="auto"/>
        </w:rPr>
      </w:pPr>
      <w:r>
        <w:rPr>
          <w:rFonts w:ascii="Arial" w:cs="Arial" w:eastAsia="Arial" w:hAnsi="Arial"/>
          <w:sz w:val="17"/>
          <w:szCs w:val="17"/>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80" w:lineRule="exact"/>
        <w:rPr>
          <w:sz w:val="20"/>
          <w:szCs w:val="20"/>
          <w:color w:val="auto"/>
        </w:rPr>
      </w:pPr>
    </w:p>
    <w:p>
      <w:pPr>
        <w:ind w:left="1380" w:right="20" w:hanging="575"/>
        <w:spacing w:after="0" w:line="255"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95" w:lineRule="exact"/>
        <w:rPr>
          <w:rFonts w:ascii="Arial" w:cs="Arial" w:eastAsia="Arial" w:hAnsi="Arial"/>
          <w:sz w:val="17"/>
          <w:szCs w:val="17"/>
          <w:color w:val="auto"/>
        </w:rPr>
      </w:pPr>
    </w:p>
    <w:p>
      <w:pPr>
        <w:ind w:left="1380" w:right="220" w:hanging="575"/>
        <w:spacing w:after="0" w:line="274"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that, after notice or lapse of time or both, would become an event of default, shall have occurred and be continuing;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100" w:hanging="575"/>
        <w:spacing w:after="0" w:line="261"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6" w:lineRule="exact"/>
        <w:rPr>
          <w:sz w:val="20"/>
          <w:szCs w:val="20"/>
          <w:color w:val="auto"/>
        </w:rPr>
      </w:pPr>
    </w:p>
    <w:p>
      <w:pPr>
        <w:ind w:right="240" w:firstLine="799"/>
        <w:spacing w:after="0" w:line="261" w:lineRule="auto"/>
        <w:rPr>
          <w:sz w:val="20"/>
          <w:szCs w:val="20"/>
          <w:color w:val="auto"/>
        </w:rPr>
      </w:pPr>
      <w:r>
        <w:rPr>
          <w:rFonts w:ascii="Arial" w:cs="Arial" w:eastAsia="Arial" w:hAnsi="Arial"/>
          <w:sz w:val="17"/>
          <w:szCs w:val="17"/>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w:t>
      </w:r>
    </w:p>
    <w:p>
      <w:pPr>
        <w:spacing w:after="0" w:line="121" w:lineRule="exact"/>
        <w:rPr>
          <w:sz w:val="20"/>
          <w:szCs w:val="20"/>
          <w:color w:val="auto"/>
        </w:rPr>
      </w:pPr>
    </w:p>
    <w:p>
      <w:pPr>
        <w:ind w:firstLine="799"/>
        <w:spacing w:after="0" w:line="290" w:lineRule="auto"/>
        <w:rPr>
          <w:sz w:val="20"/>
          <w:szCs w:val="20"/>
          <w:color w:val="auto"/>
        </w:rPr>
      </w:pPr>
      <w:r>
        <w:rPr>
          <w:rFonts w:ascii="Arial" w:cs="Arial" w:eastAsia="Arial" w:hAnsi="Arial"/>
          <w:sz w:val="15"/>
          <w:szCs w:val="15"/>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without the consent of the holder of each outstanding debt security so affected, no such supplemental indenture may:</w:t>
      </w:r>
    </w:p>
    <w:p>
      <w:pPr>
        <w:spacing w:after="0" w:line="75" w:lineRule="exact"/>
        <w:rPr>
          <w:sz w:val="20"/>
          <w:szCs w:val="20"/>
          <w:color w:val="auto"/>
        </w:rPr>
      </w:pPr>
    </w:p>
    <w:p>
      <w:pPr>
        <w:ind w:left="1380" w:hanging="575"/>
        <w:spacing w:after="0" w:line="271"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85" w:lineRule="exact"/>
        <w:rPr>
          <w:rFonts w:ascii="Arial" w:cs="Arial" w:eastAsia="Arial" w:hAnsi="Arial"/>
          <w:sz w:val="16"/>
          <w:szCs w:val="16"/>
          <w:color w:val="auto"/>
        </w:rPr>
      </w:pPr>
    </w:p>
    <w:p>
      <w:pPr>
        <w:ind w:left="1380" w:right="220" w:hanging="575"/>
        <w:spacing w:after="0" w:line="261"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91" w:lineRule="exact"/>
        <w:rPr>
          <w:rFonts w:ascii="Arial" w:cs="Arial" w:eastAsia="Arial" w:hAnsi="Arial"/>
          <w:sz w:val="17"/>
          <w:szCs w:val="17"/>
          <w:color w:val="auto"/>
        </w:rPr>
      </w:pPr>
    </w:p>
    <w:p>
      <w:pPr>
        <w:jc w:val="both"/>
        <w:ind w:left="1380" w:right="140" w:hanging="575"/>
        <w:spacing w:after="0" w:line="261"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91" w:lineRule="exact"/>
        <w:rPr>
          <w:rFonts w:ascii="Arial" w:cs="Arial" w:eastAsia="Arial" w:hAnsi="Arial"/>
          <w:sz w:val="17"/>
          <w:szCs w:val="17"/>
          <w:color w:val="auto"/>
        </w:rPr>
      </w:pPr>
    </w:p>
    <w:p>
      <w:pPr>
        <w:ind w:left="1380" w:hanging="57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modify any of the above provisions.</w:t>
      </w:r>
    </w:p>
    <w:p>
      <w:pPr>
        <w:spacing w:after="0" w:line="223" w:lineRule="exact"/>
        <w:rPr>
          <w:sz w:val="20"/>
          <w:szCs w:val="20"/>
          <w:color w:val="auto"/>
        </w:rPr>
      </w:pPr>
    </w:p>
    <w:p>
      <w:pPr>
        <w:ind w:right="480" w:firstLine="799"/>
        <w:spacing w:after="0" w:line="274" w:lineRule="auto"/>
        <w:rPr>
          <w:sz w:val="20"/>
          <w:szCs w:val="20"/>
          <w:color w:val="auto"/>
        </w:rPr>
      </w:pPr>
      <w:r>
        <w:rPr>
          <w:rFonts w:ascii="Arial" w:cs="Arial" w:eastAsia="Arial" w:hAnsi="Arial"/>
          <w:sz w:val="17"/>
          <w:szCs w:val="17"/>
          <w:color w:val="auto"/>
        </w:rPr>
        <w:t>The indenture contains provisions permitting us and the trustee to enter into supplemental indentures, without the consent of the holders of any debt securities, for any of the following purposes:</w:t>
      </w:r>
    </w:p>
    <w:p>
      <w:pPr>
        <w:spacing w:after="0" w:line="80" w:lineRule="exact"/>
        <w:rPr>
          <w:sz w:val="20"/>
          <w:szCs w:val="20"/>
          <w:color w:val="auto"/>
        </w:rPr>
      </w:pPr>
    </w:p>
    <w:p>
      <w:pPr>
        <w:ind w:left="1380" w:right="40" w:hanging="575"/>
        <w:spacing w:after="0" w:line="274"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evidence the succession of another person to us and the assumption by any such successor of the covenants applicable to us under the indenture and in the debt securities; or</w:t>
      </w:r>
    </w:p>
    <w:p>
      <w:pPr>
        <w:spacing w:after="0" w:line="80" w:lineRule="exact"/>
        <w:rPr>
          <w:rFonts w:ascii="Arial" w:cs="Arial" w:eastAsia="Arial" w:hAnsi="Arial"/>
          <w:sz w:val="17"/>
          <w:szCs w:val="17"/>
          <w:color w:val="auto"/>
        </w:rPr>
      </w:pPr>
    </w:p>
    <w:p>
      <w:pPr>
        <w:ind w:left="1380" w:right="420" w:hanging="575"/>
        <w:spacing w:after="0" w:line="274"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to the covenants applicable to us for the benefit of the holders of all or any series of debt securities, or to surrender any right or power conferred upon us under the indenture; or</w:t>
      </w:r>
    </w:p>
    <w:p>
      <w:pPr>
        <w:spacing w:after="0" w:line="80" w:lineRule="exact"/>
        <w:rPr>
          <w:rFonts w:ascii="Arial" w:cs="Arial" w:eastAsia="Arial" w:hAnsi="Arial"/>
          <w:sz w:val="17"/>
          <w:szCs w:val="17"/>
          <w:color w:val="auto"/>
        </w:rPr>
      </w:pPr>
    </w:p>
    <w:p>
      <w:pPr>
        <w:ind w:left="1380" w:hanging="575"/>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debt securities; or</w:t>
      </w:r>
    </w:p>
    <w:p>
      <w:pPr>
        <w:spacing w:after="0" w:line="128" w:lineRule="exact"/>
        <w:rPr>
          <w:rFonts w:ascii="Arial" w:cs="Arial" w:eastAsia="Arial" w:hAnsi="Arial"/>
          <w:sz w:val="17"/>
          <w:szCs w:val="17"/>
          <w:color w:val="auto"/>
        </w:rPr>
      </w:pPr>
    </w:p>
    <w:p>
      <w:pPr>
        <w:ind w:left="1380" w:right="80" w:hanging="575"/>
        <w:spacing w:after="0" w:line="261"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60" w:hanging="575"/>
        <w:spacing w:after="0" w:line="30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to change or eliminate any of the provisions of the indenture, or to add any new provision to the indenture, in respect of one or more series of debt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185" w:lineRule="exact"/>
        <w:rPr>
          <w:rFonts w:ascii="Arial" w:cs="Arial" w:eastAsia="Arial" w:hAnsi="Arial"/>
          <w:sz w:val="15"/>
          <w:szCs w:val="15"/>
          <w:color w:val="auto"/>
        </w:rPr>
      </w:pPr>
    </w:p>
    <w:p>
      <w:pPr>
        <w:ind w:left="1380" w:right="42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add collateral security with respect to the debt securities of any series and to provide for the terms and conditions of release or substitution thereof; or</w:t>
      </w:r>
    </w:p>
    <w:p>
      <w:pPr>
        <w:spacing w:after="0" w:line="201" w:lineRule="exact"/>
        <w:rPr>
          <w:rFonts w:ascii="Arial" w:cs="Arial" w:eastAsia="Arial" w:hAnsi="Arial"/>
          <w:sz w:val="17"/>
          <w:szCs w:val="17"/>
          <w:color w:val="auto"/>
        </w:rPr>
      </w:pPr>
    </w:p>
    <w:p>
      <w:pPr>
        <w:ind w:left="1380" w:right="58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establish the issuance of and establish the form, terms and conditions of any additional debt securities of any series or tranche thereof as permitted by the indenture; or</w:t>
      </w:r>
    </w:p>
    <w:p>
      <w:pPr>
        <w:spacing w:after="0" w:line="201" w:lineRule="exact"/>
        <w:rPr>
          <w:rFonts w:ascii="Arial" w:cs="Arial" w:eastAsia="Arial" w:hAnsi="Arial"/>
          <w:sz w:val="17"/>
          <w:szCs w:val="17"/>
          <w:color w:val="auto"/>
        </w:rPr>
      </w:pPr>
    </w:p>
    <w:p>
      <w:pPr>
        <w:ind w:left="1380" w:hanging="575"/>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 or</w:t>
      </w:r>
    </w:p>
    <w:p>
      <w:pPr>
        <w:spacing w:after="0" w:line="250" w:lineRule="exact"/>
        <w:rPr>
          <w:rFonts w:ascii="Arial" w:cs="Arial" w:eastAsia="Arial" w:hAnsi="Arial"/>
          <w:sz w:val="17"/>
          <w:szCs w:val="17"/>
          <w:color w:val="auto"/>
        </w:rPr>
      </w:pPr>
    </w:p>
    <w:p>
      <w:pPr>
        <w:ind w:left="1380" w:right="20" w:hanging="575"/>
        <w:spacing w:after="0" w:line="261"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13" w:lineRule="exact"/>
        <w:rPr>
          <w:rFonts w:ascii="Arial" w:cs="Arial" w:eastAsia="Arial" w:hAnsi="Arial"/>
          <w:sz w:val="17"/>
          <w:szCs w:val="17"/>
          <w:color w:val="auto"/>
        </w:rPr>
      </w:pPr>
    </w:p>
    <w:p>
      <w:pPr>
        <w:ind w:left="1380" w:hanging="575"/>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provide for a separate trustee or co-trustee; or</w:t>
      </w:r>
    </w:p>
    <w:p>
      <w:pPr>
        <w:spacing w:after="0" w:line="250" w:lineRule="exact"/>
        <w:rPr>
          <w:rFonts w:ascii="Arial" w:cs="Arial" w:eastAsia="Arial" w:hAnsi="Arial"/>
          <w:sz w:val="17"/>
          <w:szCs w:val="17"/>
          <w:color w:val="auto"/>
        </w:rPr>
      </w:pPr>
    </w:p>
    <w:p>
      <w:pPr>
        <w:ind w:left="1380" w:right="240" w:hanging="575"/>
        <w:spacing w:after="0" w:line="31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78" w:lineRule="exact"/>
        <w:rPr>
          <w:rFonts w:ascii="Arial" w:cs="Arial" w:eastAsia="Arial" w:hAnsi="Arial"/>
          <w:sz w:val="15"/>
          <w:szCs w:val="15"/>
          <w:color w:val="auto"/>
        </w:rPr>
      </w:pPr>
    </w:p>
    <w:p>
      <w:pPr>
        <w:ind w:left="1380" w:right="40" w:hanging="575"/>
        <w:spacing w:after="0" w:line="31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action shall not adversely affect the interests of the holders of debt securities of such series or tranche or any other series of debt securities in any material respect; or</w:t>
      </w:r>
    </w:p>
    <w:p>
      <w:pPr>
        <w:spacing w:after="0" w:line="178" w:lineRule="exact"/>
        <w:rPr>
          <w:rFonts w:ascii="Arial" w:cs="Arial" w:eastAsia="Arial" w:hAnsi="Arial"/>
          <w:sz w:val="15"/>
          <w:szCs w:val="15"/>
          <w:color w:val="auto"/>
        </w:rPr>
      </w:pPr>
    </w:p>
    <w:p>
      <w:pPr>
        <w:ind w:left="1380" w:right="460" w:hanging="575"/>
        <w:spacing w:after="0" w:line="342" w:lineRule="auto"/>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56" w:lineRule="exact"/>
        <w:rPr>
          <w:rFonts w:ascii="Arial" w:cs="Arial" w:eastAsia="Arial" w:hAnsi="Arial"/>
          <w:sz w:val="15"/>
          <w:szCs w:val="15"/>
          <w:color w:val="auto"/>
        </w:rPr>
      </w:pPr>
    </w:p>
    <w:p>
      <w:pPr>
        <w:ind w:left="1380" w:right="60" w:hanging="575"/>
        <w:spacing w:after="0" w:line="274"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201" w:lineRule="exact"/>
        <w:rPr>
          <w:rFonts w:ascii="Arial" w:cs="Arial" w:eastAsia="Arial" w:hAnsi="Arial"/>
          <w:sz w:val="17"/>
          <w:szCs w:val="17"/>
          <w:color w:val="auto"/>
        </w:rPr>
      </w:pPr>
    </w:p>
    <w:p>
      <w:pPr>
        <w:jc w:val="both"/>
        <w:ind w:left="1380" w:right="320" w:hanging="575"/>
        <w:spacing w:after="0" w:line="261"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to make any other provisions with respect to matters or questions arising under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6" w:lineRule="exact"/>
        <w:rPr>
          <w:sz w:val="20"/>
          <w:szCs w:val="20"/>
          <w:color w:val="auto"/>
        </w:rPr>
      </w:pPr>
    </w:p>
    <w:p>
      <w:pPr>
        <w:ind w:right="80" w:firstLine="799"/>
        <w:spacing w:after="0" w:line="342" w:lineRule="auto"/>
        <w:rPr>
          <w:sz w:val="20"/>
          <w:szCs w:val="20"/>
          <w:color w:val="auto"/>
        </w:rPr>
      </w:pPr>
      <w:r>
        <w:rPr>
          <w:rFonts w:ascii="Arial" w:cs="Arial" w:eastAsia="Arial" w:hAnsi="Arial"/>
          <w:sz w:val="15"/>
          <w:szCs w:val="15"/>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121" w:lineRule="exact"/>
        <w:rPr>
          <w:sz w:val="20"/>
          <w:szCs w:val="20"/>
          <w:color w:val="auto"/>
        </w:rPr>
      </w:pPr>
    </w:p>
    <w:p>
      <w:pPr>
        <w:ind w:right="240" w:firstLine="799"/>
        <w:spacing w:after="0" w:line="274"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202" w:lineRule="exact"/>
        <w:rPr>
          <w:sz w:val="20"/>
          <w:szCs w:val="20"/>
          <w:color w:val="auto"/>
        </w:rPr>
      </w:pPr>
    </w:p>
    <w:p>
      <w:pPr>
        <w:ind w:left="1380" w:hanging="575"/>
        <w:spacing w:after="0" w:line="274"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default in the payment of interest on any debt security of that series when it becomes due and payable, and continuance of such default for a period of 30 days;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valid extension of the interest payment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period by us as permitted under the terms of any debt security of that series shall not constitute a failure to pay interest for this purpose;</w:t>
      </w:r>
    </w:p>
    <w:p>
      <w:pPr>
        <w:spacing w:after="0" w:line="154" w:lineRule="exact"/>
        <w:rPr>
          <w:sz w:val="20"/>
          <w:szCs w:val="20"/>
          <w:color w:val="auto"/>
        </w:rPr>
      </w:pPr>
    </w:p>
    <w:p>
      <w:pPr>
        <w:ind w:left="1480" w:right="120" w:hanging="675"/>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480" w:right="40" w:hanging="675"/>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75" w:lineRule="exact"/>
        <w:rPr>
          <w:rFonts w:ascii="Arial" w:cs="Arial" w:eastAsia="Arial" w:hAnsi="Arial"/>
          <w:sz w:val="18"/>
          <w:szCs w:val="18"/>
          <w:color w:val="auto"/>
        </w:rPr>
      </w:pPr>
    </w:p>
    <w:p>
      <w:pPr>
        <w:ind w:left="1480" w:right="80" w:hanging="675"/>
        <w:spacing w:after="0" w:line="25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93" w:lineRule="exact"/>
        <w:rPr>
          <w:rFonts w:ascii="Arial" w:cs="Arial" w:eastAsia="Arial" w:hAnsi="Arial"/>
          <w:sz w:val="18"/>
          <w:szCs w:val="18"/>
          <w:color w:val="auto"/>
        </w:rPr>
      </w:pPr>
    </w:p>
    <w:p>
      <w:pPr>
        <w:ind w:left="1480" w:hanging="675"/>
        <w:spacing w:after="0"/>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480" w:hanging="675"/>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2" w:lineRule="exact"/>
        <w:rPr>
          <w:sz w:val="20"/>
          <w:szCs w:val="20"/>
          <w:color w:val="auto"/>
        </w:rPr>
      </w:pPr>
    </w:p>
    <w:p>
      <w:pPr>
        <w:ind w:right="80" w:firstLine="799"/>
        <w:spacing w:after="0" w:line="288"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w:t>
      </w:r>
    </w:p>
    <w:p>
      <w:pPr>
        <w:ind w:firstLine="8"/>
        <w:spacing w:after="0" w:line="268" w:lineRule="auto"/>
        <w:tabs>
          <w:tab w:leader="none" w:pos="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82"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52" w:lineRule="exact"/>
        <w:rPr>
          <w:sz w:val="20"/>
          <w:szCs w:val="20"/>
          <w:color w:val="auto"/>
        </w:rPr>
      </w:pPr>
    </w:p>
    <w:p>
      <w:pPr>
        <w:ind w:left="1120" w:hanging="315"/>
        <w:spacing w:after="0"/>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120" w:hanging="315"/>
        <w:spacing w:after="0" w:line="277"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60" w:hanging="315"/>
        <w:spacing w:after="0" w:line="27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that if an event of default has occurred and is continuing with respect to more than one series of debt securities of equal ranking,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20" w:right="500" w:hanging="31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ind w:left="1120" w:right="140" w:hanging="315"/>
        <w:spacing w:after="0" w:line="286"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6"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5620" w:right="3500" w:hanging="4815"/>
        <w:spacing w:after="0" w:line="449" w:lineRule="auto"/>
        <w:tabs>
          <w:tab w:leader="none" w:pos="11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14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80" w:firstLine="799"/>
        <w:spacing w:after="0" w:line="297"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8" w:lineRule="exact"/>
        <w:rPr>
          <w:sz w:val="20"/>
          <w:szCs w:val="20"/>
          <w:color w:val="auto"/>
        </w:rPr>
      </w:pPr>
    </w:p>
    <w:p>
      <w:pPr>
        <w:jc w:val="both"/>
        <w:ind w:right="160" w:firstLine="799"/>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7" w:lineRule="exact"/>
        <w:rPr>
          <w:sz w:val="20"/>
          <w:szCs w:val="20"/>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jc w:val="both"/>
        <w:ind w:right="40" w:firstLine="799"/>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A global security may be exchanged for debt securities in physical, certificated form (which would be registered in such names as DTC shall direct) only if:</w:t>
      </w:r>
    </w:p>
    <w:p>
      <w:pPr>
        <w:spacing w:after="0" w:line="76" w:lineRule="exact"/>
        <w:rPr>
          <w:sz w:val="20"/>
          <w:szCs w:val="20"/>
          <w:color w:val="auto"/>
        </w:rPr>
      </w:pPr>
    </w:p>
    <w:p>
      <w:pPr>
        <w:ind w:left="1120" w:right="340" w:hanging="315"/>
        <w:spacing w:after="0" w:line="277"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380" w:firstLine="799"/>
        <w:spacing w:after="0" w:line="264"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exclusive right to vote for the election of directors and for all other purposes. Our common stockholders do not possess cumulative voting rights.</w:t>
      </w:r>
    </w:p>
    <w:p>
      <w:pPr>
        <w:spacing w:after="0" w:line="23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300" w:firstLine="799"/>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Jenner &amp; Block LLP.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7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3504565</wp:posOffset>
            </wp:positionV>
            <wp:extent cx="4528185" cy="634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3224530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3275965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Roman"/>
      <w:start w:val="2"/>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lowerRoman"/>
      <w:start w:val="1"/>
    </w:lvl>
    <w:lvl w:ilvl="1">
      <w:lvlJc w:val="left"/>
      <w:lvlText w:val="•"/>
      <w:numFmt w:val="bullet"/>
      <w:start w:val="1"/>
    </w:lvl>
  </w:abstractNum>
  <w:abstractNum w:abstractNumId="30">
    <w:nsid w:val="2463B9EA"/>
    <w:multiLevelType w:val="hybridMultilevel"/>
    <w:lvl w:ilvl="0">
      <w:lvlJc w:val="left"/>
      <w:lvlText w:val="(%1)"/>
      <w:numFmt w:val="lowerRoman"/>
      <w:start w:val="2"/>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1)"/>
      <w:numFmt w:val="lowerRoman"/>
      <w:start w:val="3"/>
    </w:lvl>
  </w:abstractNum>
  <w:abstractNum w:abstractNumId="33">
    <w:nsid w:val="2D517796"/>
    <w:multiLevelType w:val="hybridMultilevel"/>
    <w:lvl w:ilvl="0">
      <w:lvlJc w:val="left"/>
      <w:lvlText w:val="(%1)"/>
      <w:numFmt w:val="lowerRoman"/>
      <w:start w:val="1"/>
    </w:lvl>
  </w:abstractNum>
  <w:abstractNum w:abstractNumId="34">
    <w:nsid w:val="580BD78F"/>
    <w:multiLevelType w:val="hybridMultilevel"/>
    <w:lvl w:ilvl="0">
      <w:lvlJc w:val="left"/>
      <w:lvlText w:val="(%1)"/>
      <w:numFmt w:val="lowerRoman"/>
      <w:start w:val="1"/>
    </w:lvl>
  </w:abstractNum>
  <w:abstractNum w:abstractNumId="35">
    <w:nsid w:val="153EA438"/>
    <w:multiLevelType w:val="hybridMultilevel"/>
    <w:lvl w:ilvl="0">
      <w:lvlJc w:val="left"/>
      <w:lvlText w:val="(%1)"/>
      <w:numFmt w:val="lowerRoman"/>
      <w:start w:val="5"/>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1)"/>
      <w:numFmt w:val="lowerRoman"/>
      <w:start w:val="2"/>
    </w:lvl>
  </w:abstractNum>
  <w:abstractNum w:abstractNumId="38">
    <w:nsid w:val="6A2342EC"/>
    <w:multiLevelType w:val="hybridMultilevel"/>
    <w:lvl w:ilvl="0">
      <w:lvlJc w:val="left"/>
      <w:lvlText w:val="(%1)"/>
      <w:numFmt w:val="lowerRoman"/>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2019-12-07T16:27:08Z</dcterms:created>
  <dcterms:modified xsi:type="dcterms:W3CDTF">2019-12-07T16:27:08Z</dcterms:modified>
</cp:coreProperties>
</file>