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746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467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Davlin James A</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12/15/2011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3"/>
        <w:spacing w:after="0"/>
        <w:rPr>
          <w:sz w:val="20"/>
          <w:szCs w:val="20"/>
          <w:color w:val="auto"/>
        </w:rPr>
      </w:pPr>
      <w:r>
        <w:rPr>
          <w:rFonts w:ascii="Arial" w:cs="Arial" w:eastAsia="Arial" w:hAnsi="Arial"/>
          <w:sz w:val="17"/>
          <w:szCs w:val="17"/>
          <w:color w:val="0000FF"/>
        </w:rPr>
        <w:t>Vice President &amp; Treasurer</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51"/>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right"/>
              <w:ind w:right="171"/>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12/15/2011</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49"/>
              <w:spacing w:after="0"/>
              <w:rPr>
                <w:sz w:val="20"/>
                <w:szCs w:val="20"/>
                <w:color w:val="auto"/>
              </w:rPr>
            </w:pPr>
            <w:r>
              <w:rPr>
                <w:rFonts w:ascii="Arial" w:cs="Arial" w:eastAsia="Arial" w:hAnsi="Arial"/>
                <w:sz w:val="17"/>
                <w:szCs w:val="17"/>
                <w:color w:val="0000FF"/>
                <w:w w:val="92"/>
              </w:rPr>
              <w:t>59,172</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59,172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12/15/2011</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49"/>
              <w:spacing w:after="0"/>
              <w:rPr>
                <w:sz w:val="20"/>
                <w:szCs w:val="20"/>
                <w:color w:val="auto"/>
              </w:rPr>
            </w:pPr>
            <w:r>
              <w:rPr>
                <w:rFonts w:ascii="Arial" w:cs="Arial" w:eastAsia="Arial" w:hAnsi="Arial"/>
                <w:sz w:val="17"/>
                <w:szCs w:val="17"/>
                <w:color w:val="0000FF"/>
                <w:w w:val="92"/>
              </w:rPr>
              <w:t>24,882</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19.86</w:t>
            </w: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34,290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(2)</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12/15/2011</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69"/>
              <w:spacing w:after="0"/>
              <w:rPr>
                <w:sz w:val="20"/>
                <w:szCs w:val="20"/>
                <w:color w:val="auto"/>
              </w:rPr>
            </w:pPr>
            <w:r>
              <w:rPr>
                <w:rFonts w:ascii="Arial" w:cs="Arial" w:eastAsia="Arial" w:hAnsi="Arial"/>
                <w:sz w:val="17"/>
                <w:szCs w:val="17"/>
                <w:color w:val="0000FF"/>
                <w:w w:val="89"/>
              </w:rPr>
              <w:t>7,239</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41,529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12/15/2011</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69"/>
              <w:spacing w:after="0"/>
              <w:rPr>
                <w:sz w:val="20"/>
                <w:szCs w:val="20"/>
                <w:color w:val="auto"/>
              </w:rPr>
            </w:pPr>
            <w:r>
              <w:rPr>
                <w:rFonts w:ascii="Arial" w:cs="Arial" w:eastAsia="Arial" w:hAnsi="Arial"/>
                <w:sz w:val="17"/>
                <w:szCs w:val="17"/>
                <w:color w:val="0000FF"/>
                <w:w w:val="89"/>
              </w:rPr>
              <w:t>3,044</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19.86</w:t>
            </w: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38,485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0"/>
          </w:tcPr>
          <w:p>
            <w:pPr>
              <w:jc w:val="center"/>
              <w:ind w:left="50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38"/>
              <w:spacing w:after="0" w:line="134"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59,172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12/15/2011</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D</w:t>
            </w:r>
          </w:p>
        </w:tc>
        <w:tc>
          <w:tcPr>
            <w:tcW w:w="940" w:type="dxa"/>
            <w:vAlign w:val="bottom"/>
          </w:tcPr>
          <w:p>
            <w:pPr>
              <w:ind w:left="480"/>
              <w:spacing w:after="0" w:line="145" w:lineRule="exact"/>
              <w:rPr>
                <w:sz w:val="20"/>
                <w:szCs w:val="20"/>
                <w:color w:val="auto"/>
              </w:rPr>
            </w:pPr>
            <w:r>
              <w:rPr>
                <w:rFonts w:ascii="Arial" w:cs="Arial" w:eastAsia="Arial" w:hAnsi="Arial"/>
                <w:sz w:val="13"/>
                <w:szCs w:val="13"/>
                <w:color w:val="0000FF"/>
              </w:rPr>
              <w:t>59,172</w:t>
            </w: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(3)</w:t>
            </w:r>
          </w:p>
        </w:tc>
        <w:tc>
          <w:tcPr>
            <w:tcW w:w="740" w:type="dxa"/>
            <w:vAlign w:val="bottom"/>
          </w:tcPr>
          <w:p>
            <w:pPr>
              <w:ind w:left="240"/>
              <w:spacing w:after="0"/>
              <w:rPr>
                <w:sz w:val="20"/>
                <w:szCs w:val="20"/>
                <w:color w:val="auto"/>
              </w:rPr>
            </w:pPr>
            <w:r>
              <w:rPr>
                <w:rFonts w:ascii="Arial" w:cs="Arial" w:eastAsia="Arial" w:hAnsi="Arial"/>
                <w:sz w:val="11"/>
                <w:szCs w:val="11"/>
                <w:color w:val="008000"/>
              </w:rPr>
              <w:t>(3)</w:t>
            </w:r>
          </w:p>
        </w:tc>
        <w:tc>
          <w:tcPr>
            <w:tcW w:w="6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tcPr>
          <w:p>
            <w:pPr>
              <w:ind w:left="400"/>
              <w:spacing w:after="0" w:line="14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71"/>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granted under the Company's 2009 Long-Term Incentive Plan on December 15, 2011 upon the cancellation of the Restricted Stock Units ("RSUs") granted to the employee on October 3, 2011. These shares were fully vested upon grant but but one-half of the shares are subject to restrictions on sale until October 3, 2012, and the remaining one-half of the shares are subject to restrictions on sale until October 3, 2013.</w:t>
      </w:r>
    </w:p>
    <w:p>
      <w:pPr>
        <w:spacing w:after="0" w:line="22"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granted under the Company's 2009 Long-Term Incentive Plan on December 15, 2011. These shares were fully vested upon grant but two-thirds of the shares are subject to restrictions on sale until March 15, 2014, and the remaining one-third of the shares are subject to restrictions on sale until March 15, 2015.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RSUs were cancelled upon the issuance of the Common Stock reported above. The RSUs did not have an expiration or exercise date or a conversion or exercise price.</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12/19/2011</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Davlin</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118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2019-12-17T01:06:54Z</dcterms:created>
  <dcterms:modified xsi:type="dcterms:W3CDTF">2019-12-17T01:06:54Z</dcterms:modified>
</cp:coreProperties>
</file>