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PURSUANT TO SECTION 13 OR 15(d)</w:t>
      </w:r>
    </w:p>
    <w:p>
      <w:pPr>
        <w:jc w:val="center"/>
        <w:ind w:right="-2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420"/>
        <w:spacing w:after="0"/>
        <w:rPr>
          <w:sz w:val="20"/>
          <w:szCs w:val="20"/>
          <w:color w:val="auto"/>
        </w:rPr>
      </w:pPr>
      <w:r>
        <w:rPr>
          <w:rFonts w:ascii="Arial" w:cs="Arial" w:eastAsia="Arial" w:hAnsi="Arial"/>
          <w:sz w:val="19"/>
          <w:szCs w:val="19"/>
          <w:b w:val="1"/>
          <w:bCs w:val="1"/>
          <w:color w:val="auto"/>
        </w:rPr>
        <w:t>Date of Report (Date of earliest event reported) November 20,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179070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159385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3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520" w:space="720"/>
            <w:col w:w="2860" w:space="720"/>
            <w:col w:w="1920"/>
          </w:cols>
          <w:pgMar w:left="440" w:top="368" w:right="719" w:bottom="1440" w:gutter="0" w:footer="0" w:header="0"/>
          <w:type w:val="continuous"/>
        </w:sectPr>
      </w:pPr>
    </w:p>
    <w:p>
      <w:pPr>
        <w:spacing w:after="0" w:line="11"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040"/>
          </w:cols>
          <w:pgMar w:left="440" w:top="368" w:right="719" w:bottom="1440" w:gutter="0" w:footer="0" w:header="0"/>
          <w:type w:val="continuous"/>
        </w:sectPr>
      </w:pPr>
    </w:p>
    <w:p>
      <w:pPr>
        <w:spacing w:after="0" w:line="33"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sectPr>
          <w:pgSz w:w="11900" w:h="16838" w:orient="portrait"/>
          <w:cols w:equalWidth="0" w:num="2">
            <w:col w:w="7200" w:space="720"/>
            <w:col w:w="2820"/>
          </w:cols>
          <w:pgMar w:left="440" w:top="368" w:right="719" w:bottom="1440" w:gutter="0" w:footer="0" w:header="0"/>
          <w:type w:val="continuous"/>
        </w:sectPr>
      </w:pPr>
    </w:p>
    <w:p>
      <w:pPr>
        <w:ind w:left="16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300" w:space="720"/>
            <w:col w:w="2720"/>
          </w:cols>
          <w:pgMar w:left="440" w:top="368" w:right="719" w:bottom="1440" w:gutter="0" w:footer="0" w:header="0"/>
          <w:type w:val="continuous"/>
        </w:sectPr>
      </w:pPr>
    </w:p>
    <w:p>
      <w:pPr>
        <w:jc w:val="center"/>
        <w:ind w:right="-299"/>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20, 2018, the General Motors Company (the “Company”) Board of Directors approved a plan to accelerate the Company’s transformation for the future (the “Plan”). The Plan is expected to strengthen the Company’s core business, capitalize on the future of personal mobility, and drive significant cost efficiencies, and it consists, in relevant part, of (i) restructuring the Global Product Development Group, (ii) realigning current manufacturing capacity and utilization, and (iii) reducing salaried and contract staff and capital expenditures. These actions are expected to be substantially completed by the end of 2019.</w:t>
      </w:r>
    </w:p>
    <w:p>
      <w:pPr>
        <w:spacing w:after="0" w:line="18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expects to record pre-tax charges of $3.0 billion to $3.8 billion related to these actions, including up to $1.8 billion of non-cash accelerated asset write-downs and pension charges, and up to $2.0 billion of employee-related and other cash-based expenses. The majority of these charges will be considered special for EBIT-adjusted, EPS diluted-adjusted and Adjusted automotive free cash flow purposes. The majority of these charges will be incurred in the fourth quarter of 2018 and first quarter of 2019, with some additional costs incurred through the remainder of 2019. The Company expects the vast majority of these cash payments to be paid by the end of 2020.</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Current Report on Form 8-K includes “forward-looking statements” within the meaning of the Private Securities Litigation Reform Act of 1995. We caution readers not to place undue reliance on forward-looking statements. Statements including words such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may be used to identify forward-looking statements that represent our current judgment about possible future events. In making these statements we rely upon assumptions and analysis based on our experience and perception of historical trends, current conditions and expected future developments as well as other factors we consider appropriate under the circumstances. These statements are not guarantees of future performance; they involve risks and uncertainties, and actual events or results may differ materially from these statements. Potential risks and uncertainties that could cause actual results to differ from expected results include, among others, whether the Company will be able to implement the Plan as planned, whether the expected amount of the charges associated with the Plan will exceed the Company’s projections, and whether the Company will be able to realize the full amount of estimated savings from the Plan. Readers should also consult the other “risk factors” found in our Annual Report on Form 10-K for the year-ended December 31, 2017 and our subsequent filings with the U.S. Securities and Exchange Commission.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ectPr>
          <w:pgSz w:w="11900" w:h="16838" w:orient="portrait"/>
          <w:cols w:equalWidth="0" w:num="1">
            <w:col w:w="11000"/>
          </w:cols>
          <w:pgMar w:left="440" w:top="270" w:right="45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GENERAL MOTORS COMPANY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Rick E. Hansen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-130810</wp:posOffset>
            </wp:positionV>
            <wp:extent cx="3215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Assistant 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26, 2018</w:t>
      </w:r>
    </w:p>
    <w:sectPr>
      <w:pgSz w:w="11900" w:h="16838" w:orient="portrait"/>
      <w:cols w:equalWidth="0" w:num="1">
        <w:col w:w="10340"/>
      </w:cols>
      <w:pgMar w:left="440" w:top="27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2019-12-07T17:02:25Z</dcterms:created>
  <dcterms:modified xsi:type="dcterms:W3CDTF">2019-12-07T17:02:25Z</dcterms:modified>
</cp:coreProperties>
</file>