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697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Barra Mary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66"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03"/>
        <w:spacing w:after="0"/>
        <w:rPr>
          <w:sz w:val="20"/>
          <w:szCs w:val="20"/>
          <w:color w:val="auto"/>
        </w:rPr>
      </w:pPr>
      <w:r>
        <w:rPr>
          <w:rFonts w:ascii="Arial" w:cs="Arial" w:eastAsia="Arial" w:hAnsi="Arial"/>
          <w:sz w:val="18"/>
          <w:szCs w:val="18"/>
          <w:color w:val="0000FF"/>
        </w:rPr>
        <w:t>Chairman &amp; CEO</w:t>
      </w:r>
    </w:p>
    <w:p>
      <w:pPr>
        <w:spacing w:after="0" w:line="422"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DETROIT</w:t>
            </w:r>
          </w:p>
        </w:tc>
        <w:tc>
          <w:tcPr>
            <w:tcW w:w="1100" w:type="dxa"/>
            <w:vAlign w:val="bottom"/>
          </w:tcPr>
          <w:p>
            <w:pPr>
              <w:ind w:left="260"/>
              <w:spacing w:after="0"/>
              <w:rPr>
                <w:sz w:val="20"/>
                <w:szCs w:val="20"/>
                <w:color w:val="auto"/>
              </w:rPr>
            </w:pPr>
            <w:r>
              <w:rPr>
                <w:rFonts w:ascii="Arial" w:cs="Arial" w:eastAsia="Arial" w:hAnsi="Arial"/>
                <w:sz w:val="18"/>
                <w:szCs w:val="18"/>
                <w:color w:val="0000FF"/>
              </w:rPr>
              <w:t>MI</w:t>
            </w:r>
          </w:p>
        </w:tc>
        <w:tc>
          <w:tcPr>
            <w:tcW w:w="1680" w:type="dxa"/>
            <w:vAlign w:val="bottom"/>
          </w:tcPr>
          <w:p>
            <w:pPr>
              <w:ind w:left="420"/>
              <w:spacing w:after="0"/>
              <w:rPr>
                <w:sz w:val="20"/>
                <w:szCs w:val="20"/>
                <w:color w:val="auto"/>
              </w:rPr>
            </w:pPr>
            <w:r>
              <w:rPr>
                <w:rFonts w:ascii="Arial" w:cs="Arial" w:eastAsia="Arial" w:hAnsi="Arial"/>
                <w:sz w:val="18"/>
                <w:szCs w:val="18"/>
                <w:color w:val="0000FF"/>
              </w:rPr>
              <w:t>48265-3000</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jc w:val="center"/>
              <w:ind w:left="601"/>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820" w:type="dxa"/>
            <w:vAlign w:val="bottom"/>
            <w:tcBorders>
              <w:bottom w:val="single" w:sz="8" w:color="2C2C2C"/>
            </w:tcBorders>
          </w:tcPr>
          <w:p>
            <w:pPr>
              <w:jc w:val="center"/>
              <w:ind w:left="621"/>
              <w:spacing w:after="0"/>
              <w:rPr>
                <w:sz w:val="20"/>
                <w:szCs w:val="20"/>
                <w:color w:val="auto"/>
              </w:rPr>
            </w:pPr>
            <w:r>
              <w:rPr>
                <w:rFonts w:ascii="Arial" w:cs="Arial" w:eastAsia="Arial" w:hAnsi="Arial"/>
                <w:sz w:val="18"/>
                <w:szCs w:val="18"/>
                <w:color w:val="0000FF"/>
                <w:w w:val="88"/>
              </w:rPr>
              <w:t>12/31/2015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Borders>
              <w:bottom w:val="single" w:sz="8" w:color="2C2C2C"/>
            </w:tcBorders>
          </w:tcPr>
          <w:p>
            <w:pPr>
              <w:jc w:val="right"/>
              <w:ind w:right="61"/>
              <w:spacing w:after="0"/>
              <w:rPr>
                <w:sz w:val="20"/>
                <w:szCs w:val="20"/>
                <w:color w:val="auto"/>
              </w:rPr>
            </w:pPr>
            <w:r>
              <w:rPr>
                <w:rFonts w:ascii="Arial" w:cs="Arial" w:eastAsia="Arial" w:hAnsi="Arial"/>
                <w:sz w:val="18"/>
                <w:szCs w:val="18"/>
                <w:color w:val="0000FF"/>
              </w:rPr>
              <w:t>5,799</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Borders>
              <w:bottom w:val="single" w:sz="8" w:color="2C2C2C"/>
            </w:tcBorders>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73,464</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Borders>
              <w:bottom w:val="single" w:sz="8" w:color="2C2C2C"/>
            </w:tcBorders>
          </w:tcPr>
          <w:p>
            <w:pPr>
              <w:jc w:val="center"/>
              <w:ind w:left="621"/>
              <w:spacing w:after="0"/>
              <w:rPr>
                <w:sz w:val="20"/>
                <w:szCs w:val="20"/>
                <w:color w:val="auto"/>
              </w:rPr>
            </w:pPr>
            <w:r>
              <w:rPr>
                <w:rFonts w:ascii="Arial" w:cs="Arial" w:eastAsia="Arial" w:hAnsi="Arial"/>
                <w:sz w:val="18"/>
                <w:szCs w:val="18"/>
                <w:color w:val="0000FF"/>
                <w:w w:val="88"/>
              </w:rPr>
              <w:t>12/31/2015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6"/>
              <w:spacing w:after="0"/>
              <w:rPr>
                <w:sz w:val="20"/>
                <w:szCs w:val="20"/>
                <w:color w:val="auto"/>
              </w:rPr>
            </w:pPr>
            <w:r>
              <w:rPr>
                <w:rFonts w:ascii="Arial" w:cs="Arial" w:eastAsia="Arial" w:hAnsi="Arial"/>
                <w:sz w:val="14"/>
                <w:szCs w:val="14"/>
                <w:color w:val="0000FF"/>
                <w:w w:val="98"/>
              </w:rPr>
              <w:t>D</w:t>
            </w:r>
          </w:p>
        </w:tc>
        <w:tc>
          <w:tcPr>
            <w:tcW w:w="760" w:type="dxa"/>
            <w:vAlign w:val="bottom"/>
            <w:tcBorders>
              <w:bottom w:val="single" w:sz="8" w:color="2C2C2C"/>
            </w:tcBorders>
          </w:tcPr>
          <w:p>
            <w:pPr>
              <w:jc w:val="right"/>
              <w:ind w:right="61"/>
              <w:spacing w:after="0"/>
              <w:rPr>
                <w:sz w:val="20"/>
                <w:szCs w:val="20"/>
                <w:color w:val="auto"/>
              </w:rPr>
            </w:pPr>
            <w:r>
              <w:rPr>
                <w:rFonts w:ascii="Arial" w:cs="Arial" w:eastAsia="Arial" w:hAnsi="Arial"/>
                <w:sz w:val="18"/>
                <w:szCs w:val="18"/>
                <w:color w:val="0000FF"/>
              </w:rPr>
              <w:t>3,910</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69,554</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Borders>
              <w:bottom w:val="single" w:sz="8" w:color="2C2C2C"/>
            </w:tcBorders>
          </w:tcPr>
          <w:p>
            <w:pPr>
              <w:jc w:val="center"/>
              <w:ind w:left="621"/>
              <w:spacing w:after="0"/>
              <w:rPr>
                <w:sz w:val="20"/>
                <w:szCs w:val="20"/>
                <w:color w:val="auto"/>
              </w:rPr>
            </w:pPr>
            <w:r>
              <w:rPr>
                <w:rFonts w:ascii="Arial" w:cs="Arial" w:eastAsia="Arial" w:hAnsi="Arial"/>
                <w:sz w:val="18"/>
                <w:szCs w:val="18"/>
                <w:color w:val="0000FF"/>
                <w:w w:val="88"/>
              </w:rPr>
              <w:t>12/31/2015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right"/>
              <w:ind w:right="61"/>
              <w:spacing w:after="0"/>
              <w:rPr>
                <w:sz w:val="20"/>
                <w:szCs w:val="20"/>
                <w:color w:val="auto"/>
              </w:rPr>
            </w:pPr>
            <w:r>
              <w:rPr>
                <w:rFonts w:ascii="Arial" w:cs="Arial" w:eastAsia="Arial" w:hAnsi="Arial"/>
                <w:sz w:val="18"/>
                <w:szCs w:val="18"/>
                <w:color w:val="0000FF"/>
              </w:rPr>
              <w:t>1,889</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67,665</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(3)</w:t>
            </w:r>
          </w:p>
        </w:tc>
        <w:tc>
          <w:tcPr>
            <w:tcW w:w="1820" w:type="dxa"/>
            <w:vAlign w:val="bottom"/>
            <w:tcBorders>
              <w:bottom w:val="single" w:sz="8" w:color="2C2C2C"/>
            </w:tcBorders>
          </w:tcPr>
          <w:p>
            <w:pPr>
              <w:jc w:val="center"/>
              <w:ind w:left="621"/>
              <w:spacing w:after="0"/>
              <w:rPr>
                <w:sz w:val="20"/>
                <w:szCs w:val="20"/>
                <w:color w:val="auto"/>
              </w:rPr>
            </w:pPr>
            <w:r>
              <w:rPr>
                <w:rFonts w:ascii="Arial" w:cs="Arial" w:eastAsia="Arial" w:hAnsi="Arial"/>
                <w:sz w:val="18"/>
                <w:szCs w:val="18"/>
                <w:color w:val="0000FF"/>
                <w:w w:val="88"/>
              </w:rPr>
              <w:t>12/31/2015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Borders>
              <w:bottom w:val="single" w:sz="8" w:color="2C2C2C"/>
            </w:tcBorders>
          </w:tcPr>
          <w:p>
            <w:pPr>
              <w:jc w:val="right"/>
              <w:ind w:right="61"/>
              <w:spacing w:after="0"/>
              <w:rPr>
                <w:sz w:val="20"/>
                <w:szCs w:val="20"/>
                <w:color w:val="auto"/>
              </w:rPr>
            </w:pPr>
            <w:r>
              <w:rPr>
                <w:rFonts w:ascii="Arial" w:cs="Arial" w:eastAsia="Arial" w:hAnsi="Arial"/>
                <w:sz w:val="18"/>
                <w:szCs w:val="18"/>
                <w:color w:val="0000FF"/>
              </w:rPr>
              <w:t>7,372</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Borders>
              <w:bottom w:val="single" w:sz="8" w:color="2C2C2C"/>
            </w:tcBorders>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75,037</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Borders>
              <w:bottom w:val="single" w:sz="8" w:color="2C2C2C"/>
            </w:tcBorders>
          </w:tcPr>
          <w:p>
            <w:pPr>
              <w:jc w:val="center"/>
              <w:ind w:left="621"/>
              <w:spacing w:after="0"/>
              <w:rPr>
                <w:sz w:val="20"/>
                <w:szCs w:val="20"/>
                <w:color w:val="auto"/>
              </w:rPr>
            </w:pPr>
            <w:r>
              <w:rPr>
                <w:rFonts w:ascii="Arial" w:cs="Arial" w:eastAsia="Arial" w:hAnsi="Arial"/>
                <w:sz w:val="18"/>
                <w:szCs w:val="18"/>
                <w:color w:val="0000FF"/>
                <w:w w:val="88"/>
              </w:rPr>
              <w:t>12/31/2015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6"/>
              <w:spacing w:after="0"/>
              <w:rPr>
                <w:sz w:val="20"/>
                <w:szCs w:val="20"/>
                <w:color w:val="auto"/>
              </w:rPr>
            </w:pPr>
            <w:r>
              <w:rPr>
                <w:rFonts w:ascii="Arial" w:cs="Arial" w:eastAsia="Arial" w:hAnsi="Arial"/>
                <w:sz w:val="14"/>
                <w:szCs w:val="14"/>
                <w:color w:val="0000FF"/>
                <w:w w:val="98"/>
              </w:rPr>
              <w:t>D</w:t>
            </w:r>
          </w:p>
        </w:tc>
        <w:tc>
          <w:tcPr>
            <w:tcW w:w="760" w:type="dxa"/>
            <w:vAlign w:val="bottom"/>
            <w:tcBorders>
              <w:bottom w:val="single" w:sz="8" w:color="2C2C2C"/>
            </w:tcBorders>
          </w:tcPr>
          <w:p>
            <w:pPr>
              <w:jc w:val="right"/>
              <w:ind w:right="61"/>
              <w:spacing w:after="0"/>
              <w:rPr>
                <w:sz w:val="20"/>
                <w:szCs w:val="20"/>
                <w:color w:val="auto"/>
              </w:rPr>
            </w:pPr>
            <w:r>
              <w:rPr>
                <w:rFonts w:ascii="Arial" w:cs="Arial" w:eastAsia="Arial" w:hAnsi="Arial"/>
                <w:sz w:val="18"/>
                <w:szCs w:val="18"/>
                <w:color w:val="0000FF"/>
              </w:rPr>
              <w:t>4,809</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70,228</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Borders>
              <w:bottom w:val="single" w:sz="8" w:color="2C2C2C"/>
            </w:tcBorders>
          </w:tcPr>
          <w:p>
            <w:pPr>
              <w:jc w:val="center"/>
              <w:ind w:left="621"/>
              <w:spacing w:after="0"/>
              <w:rPr>
                <w:sz w:val="20"/>
                <w:szCs w:val="20"/>
                <w:color w:val="auto"/>
              </w:rPr>
            </w:pPr>
            <w:r>
              <w:rPr>
                <w:rFonts w:ascii="Arial" w:cs="Arial" w:eastAsia="Arial" w:hAnsi="Arial"/>
                <w:sz w:val="18"/>
                <w:szCs w:val="18"/>
                <w:color w:val="0000FF"/>
                <w:w w:val="88"/>
              </w:rPr>
              <w:t>12/31/2015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right"/>
              <w:ind w:right="61"/>
              <w:spacing w:after="0"/>
              <w:rPr>
                <w:sz w:val="20"/>
                <w:szCs w:val="20"/>
                <w:color w:val="auto"/>
              </w:rPr>
            </w:pPr>
            <w:r>
              <w:rPr>
                <w:rFonts w:ascii="Arial" w:cs="Arial" w:eastAsia="Arial" w:hAnsi="Arial"/>
                <w:sz w:val="18"/>
                <w:szCs w:val="18"/>
                <w:color w:val="0000FF"/>
              </w:rPr>
              <w:t>2,563</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67,665</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6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bl>
    <w:p>
      <w:pPr>
        <w:spacing w:after="0" w:line="27" w:lineRule="exact"/>
        <w:rPr>
          <w:sz w:val="24"/>
          <w:szCs w:val="24"/>
          <w:color w:val="auto"/>
        </w:rPr>
      </w:pPr>
    </w:p>
    <w:tbl>
      <w:tblPr>
        <w:tblLayout w:type="fixed"/>
        <w:tblInd w:w="20" w:type="dxa"/>
        <w:tblCellMar>
          <w:top w:w="0" w:type="dxa"/>
          <w:left w:w="0" w:type="dxa"/>
          <w:bottom w:w="0" w:type="dxa"/>
          <w:right w:w="0" w:type="dxa"/>
        </w:tblCellMar>
      </w:tblPr>
      <w:tr>
        <w:trPr>
          <w:trHeight w:val="165"/>
        </w:trPr>
        <w:tc>
          <w:tcPr>
            <w:tcW w:w="780" w:type="dxa"/>
            <w:vAlign w:val="bottom"/>
          </w:tcPr>
          <w:p>
            <w:pPr>
              <w:ind w:left="60"/>
              <w:spacing w:after="0"/>
              <w:rPr>
                <w:sz w:val="20"/>
                <w:szCs w:val="20"/>
                <w:color w:val="auto"/>
              </w:rPr>
            </w:pPr>
            <w:r>
              <w:rPr>
                <w:rFonts w:ascii="Arial" w:cs="Arial" w:eastAsia="Arial" w:hAnsi="Arial"/>
                <w:sz w:val="14"/>
                <w:szCs w:val="14"/>
                <w:color w:val="0000FF"/>
              </w:rPr>
              <w:t>Salary</w:t>
            </w:r>
          </w:p>
        </w:tc>
        <w:tc>
          <w:tcPr>
            <w:tcW w:w="780" w:type="dxa"/>
            <w:vAlign w:val="bottom"/>
            <w:vMerge w:val="restart"/>
          </w:tcPr>
          <w:p>
            <w:pPr>
              <w:jc w:val="right"/>
              <w:ind w:right="17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2"/>
                <w:szCs w:val="22"/>
                <w:color w:val="008000"/>
                <w:vertAlign w:val="superscript"/>
              </w:rPr>
              <w:t>(2)</w:t>
            </w:r>
          </w:p>
        </w:tc>
        <w:tc>
          <w:tcPr>
            <w:tcW w:w="1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vMerge w:val="restart"/>
          </w:tcPr>
          <w:p>
            <w:pPr>
              <w:jc w:val="center"/>
              <w:ind w:left="52"/>
              <w:spacing w:after="0"/>
              <w:rPr>
                <w:sz w:val="20"/>
                <w:szCs w:val="20"/>
                <w:color w:val="auto"/>
              </w:rPr>
            </w:pPr>
            <w:r>
              <w:rPr>
                <w:rFonts w:ascii="Arial" w:cs="Arial" w:eastAsia="Arial" w:hAnsi="Arial"/>
                <w:sz w:val="14"/>
                <w:szCs w:val="14"/>
                <w:color w:val="0000FF"/>
                <w:w w:val="87"/>
              </w:rPr>
              <w:t>Common</w:t>
            </w:r>
          </w:p>
        </w:tc>
        <w:tc>
          <w:tcPr>
            <w:tcW w:w="660" w:type="dxa"/>
            <w:vAlign w:val="bottom"/>
            <w:vMerge w:val="restart"/>
          </w:tcPr>
          <w:p>
            <w:pPr>
              <w:jc w:val="right"/>
              <w:ind w:right="72"/>
              <w:spacing w:after="0"/>
              <w:rPr>
                <w:sz w:val="20"/>
                <w:szCs w:val="20"/>
                <w:color w:val="auto"/>
              </w:rPr>
            </w:pPr>
            <w:r>
              <w:rPr>
                <w:rFonts w:ascii="Arial" w:cs="Arial" w:eastAsia="Arial" w:hAnsi="Arial"/>
                <w:sz w:val="18"/>
                <w:szCs w:val="18"/>
                <w:color w:val="0000FF"/>
              </w:rPr>
              <w:t>5,799</w:t>
            </w:r>
          </w:p>
        </w:tc>
        <w:tc>
          <w:tcPr>
            <w:tcW w:w="720" w:type="dxa"/>
            <w:vAlign w:val="bottom"/>
            <w:vMerge w:val="restart"/>
          </w:tcPr>
          <w:p>
            <w:pPr>
              <w:jc w:val="right"/>
              <w:ind w:right="224"/>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780" w:type="dxa"/>
            <w:vAlign w:val="bottom"/>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780" w:type="dxa"/>
            <w:vAlign w:val="bottom"/>
            <w:vMerge w:val="continue"/>
          </w:tcPr>
          <w:p>
            <w:pPr>
              <w:spacing w:after="0"/>
              <w:rPr>
                <w:sz w:val="7"/>
                <w:szCs w:val="7"/>
                <w:color w:val="auto"/>
              </w:rPr>
            </w:pPr>
          </w:p>
        </w:tc>
        <w:tc>
          <w:tcPr>
            <w:tcW w:w="1640" w:type="dxa"/>
            <w:vAlign w:val="bottom"/>
            <w:vMerge w:val="restart"/>
          </w:tcPr>
          <w:p>
            <w:pPr>
              <w:jc w:val="right"/>
              <w:ind w:right="712"/>
              <w:spacing w:after="0" w:line="146" w:lineRule="exact"/>
              <w:rPr>
                <w:sz w:val="20"/>
                <w:szCs w:val="20"/>
                <w:color w:val="auto"/>
              </w:rPr>
            </w:pPr>
            <w:r>
              <w:rPr>
                <w:rFonts w:ascii="Arial" w:cs="Arial" w:eastAsia="Arial" w:hAnsi="Arial"/>
                <w:sz w:val="14"/>
                <w:szCs w:val="14"/>
                <w:color w:val="0000FF"/>
              </w:rPr>
              <w:t>12/31/2015</w:t>
            </w:r>
          </w:p>
        </w:tc>
        <w:tc>
          <w:tcPr>
            <w:tcW w:w="1360" w:type="dxa"/>
            <w:vAlign w:val="bottom"/>
            <w:vMerge w:val="restart"/>
          </w:tcPr>
          <w:p>
            <w:pPr>
              <w:ind w:left="780"/>
              <w:spacing w:after="0" w:line="146" w:lineRule="exact"/>
              <w:rPr>
                <w:sz w:val="20"/>
                <w:szCs w:val="20"/>
                <w:color w:val="auto"/>
              </w:rPr>
            </w:pPr>
            <w:r>
              <w:rPr>
                <w:rFonts w:ascii="Arial" w:cs="Arial" w:eastAsia="Arial" w:hAnsi="Arial"/>
                <w:sz w:val="14"/>
                <w:szCs w:val="14"/>
                <w:color w:val="0000FF"/>
              </w:rPr>
              <w:t>M</w:t>
            </w:r>
          </w:p>
        </w:tc>
        <w:tc>
          <w:tcPr>
            <w:tcW w:w="1000" w:type="dxa"/>
            <w:vAlign w:val="bottom"/>
            <w:vMerge w:val="restart"/>
          </w:tcPr>
          <w:p>
            <w:pPr>
              <w:jc w:val="right"/>
              <w:ind w:right="152"/>
              <w:spacing w:after="0" w:line="146" w:lineRule="exact"/>
              <w:rPr>
                <w:sz w:val="20"/>
                <w:szCs w:val="20"/>
                <w:color w:val="auto"/>
              </w:rPr>
            </w:pPr>
            <w:r>
              <w:rPr>
                <w:rFonts w:ascii="Arial" w:cs="Arial" w:eastAsia="Arial" w:hAnsi="Arial"/>
                <w:sz w:val="14"/>
                <w:szCs w:val="14"/>
                <w:color w:val="0000FF"/>
              </w:rPr>
              <w:t>5,799</w:t>
            </w:r>
          </w:p>
        </w:tc>
        <w:tc>
          <w:tcPr>
            <w:tcW w:w="660" w:type="dxa"/>
            <w:vAlign w:val="bottom"/>
            <w:vMerge w:val="restart"/>
          </w:tcPr>
          <w:p>
            <w:pPr>
              <w:jc w:val="right"/>
              <w:ind w:right="264"/>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jc w:val="right"/>
              <w:ind w:right="124"/>
              <w:spacing w:after="0"/>
              <w:rPr>
                <w:sz w:val="20"/>
                <w:szCs w:val="20"/>
                <w:color w:val="auto"/>
              </w:rPr>
            </w:pPr>
            <w:r>
              <w:rPr>
                <w:rFonts w:ascii="Arial" w:cs="Arial" w:eastAsia="Arial" w:hAnsi="Arial"/>
                <w:sz w:val="11"/>
                <w:szCs w:val="11"/>
                <w:color w:val="008000"/>
              </w:rPr>
              <w:t>(4)</w:t>
            </w:r>
          </w:p>
        </w:tc>
        <w:tc>
          <w:tcPr>
            <w:tcW w:w="7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20" w:type="dxa"/>
            <w:vAlign w:val="bottom"/>
            <w:vMerge w:val="restart"/>
          </w:tcPr>
          <w:p>
            <w:pPr>
              <w:jc w:val="right"/>
              <w:ind w:right="272"/>
              <w:spacing w:after="0" w:line="146" w:lineRule="exact"/>
              <w:rPr>
                <w:sz w:val="20"/>
                <w:szCs w:val="20"/>
                <w:color w:val="auto"/>
              </w:rPr>
            </w:pPr>
            <w:r>
              <w:rPr>
                <w:rFonts w:ascii="Arial" w:cs="Arial" w:eastAsia="Arial" w:hAnsi="Arial"/>
                <w:sz w:val="14"/>
                <w:szCs w:val="14"/>
                <w:color w:val="0000FF"/>
              </w:rPr>
              <w:t>5,799</w:t>
            </w:r>
          </w:p>
        </w:tc>
        <w:tc>
          <w:tcPr>
            <w:tcW w:w="154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0" w:type="dxa"/>
            <w:vAlign w:val="bottom"/>
          </w:tcPr>
          <w:p>
            <w:pPr>
              <w:spacing w:after="0"/>
              <w:rPr>
                <w:sz w:val="1"/>
                <w:szCs w:val="1"/>
                <w:color w:val="auto"/>
              </w:rPr>
            </w:pPr>
          </w:p>
        </w:tc>
      </w:tr>
      <w:tr>
        <w:trPr>
          <w:trHeight w:val="65"/>
        </w:trPr>
        <w:tc>
          <w:tcPr>
            <w:tcW w:w="7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80" w:type="dxa"/>
            <w:vAlign w:val="bottom"/>
            <w:vMerge w:val="restart"/>
          </w:tcPr>
          <w:p>
            <w:pPr>
              <w:jc w:val="center"/>
              <w:ind w:left="52"/>
              <w:spacing w:after="0"/>
              <w:rPr>
                <w:sz w:val="20"/>
                <w:szCs w:val="20"/>
                <w:color w:val="auto"/>
              </w:rPr>
            </w:pPr>
            <w:r>
              <w:rPr>
                <w:rFonts w:ascii="Arial" w:cs="Arial" w:eastAsia="Arial" w:hAnsi="Arial"/>
                <w:sz w:val="14"/>
                <w:szCs w:val="14"/>
                <w:color w:val="0000FF"/>
                <w:w w:val="85"/>
              </w:rPr>
              <w:t>Stock</w:t>
            </w:r>
          </w:p>
        </w:tc>
        <w:tc>
          <w:tcPr>
            <w:tcW w:w="6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780" w:type="dxa"/>
            <w:vAlign w:val="bottom"/>
            <w:vMerge w:val="restart"/>
          </w:tcPr>
          <w:p>
            <w:pPr>
              <w:ind w:left="60"/>
              <w:spacing w:after="0" w:line="242" w:lineRule="exact"/>
              <w:rPr>
                <w:sz w:val="20"/>
                <w:szCs w:val="20"/>
                <w:color w:val="auto"/>
              </w:rPr>
            </w:pPr>
            <w:r>
              <w:rPr>
                <w:rFonts w:ascii="Arial" w:cs="Arial" w:eastAsia="Arial" w:hAnsi="Arial"/>
                <w:sz w:val="27"/>
                <w:szCs w:val="27"/>
                <w:color w:val="0000FF"/>
                <w:vertAlign w:val="subscript"/>
              </w:rPr>
              <w:t>Units</w:t>
            </w:r>
            <w:r>
              <w:rPr>
                <w:rFonts w:ascii="Arial" w:cs="Arial" w:eastAsia="Arial" w:hAnsi="Arial"/>
                <w:sz w:val="11"/>
                <w:szCs w:val="11"/>
                <w:color w:val="008000"/>
              </w:rPr>
              <w:t>(1)(2)</w:t>
            </w:r>
          </w:p>
        </w:tc>
        <w:tc>
          <w:tcPr>
            <w:tcW w:w="7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780" w:type="dxa"/>
            <w:vAlign w:val="bottom"/>
            <w:tcBorders>
              <w:bottom w:val="single" w:sz="8" w:color="2C2C2C"/>
            </w:tcBorders>
            <w:vMerge w:val="continue"/>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64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5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80" w:type="dxa"/>
            <w:vAlign w:val="bottom"/>
          </w:tcPr>
          <w:p>
            <w:pPr>
              <w:ind w:left="60"/>
              <w:spacing w:after="0"/>
              <w:rPr>
                <w:sz w:val="20"/>
                <w:szCs w:val="20"/>
                <w:color w:val="auto"/>
              </w:rPr>
            </w:pPr>
            <w:r>
              <w:rPr>
                <w:rFonts w:ascii="Arial" w:cs="Arial" w:eastAsia="Arial" w:hAnsi="Arial"/>
                <w:sz w:val="14"/>
                <w:szCs w:val="14"/>
                <w:color w:val="0000FF"/>
              </w:rPr>
              <w:t>Salary</w:t>
            </w:r>
          </w:p>
        </w:tc>
        <w:tc>
          <w:tcPr>
            <w:tcW w:w="780" w:type="dxa"/>
            <w:vAlign w:val="bottom"/>
            <w:vMerge w:val="restart"/>
          </w:tcPr>
          <w:p>
            <w:pPr>
              <w:jc w:val="right"/>
              <w:ind w:right="17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2"/>
                <w:szCs w:val="22"/>
                <w:color w:val="008000"/>
                <w:vertAlign w:val="superscript"/>
              </w:rPr>
              <w:t>(2)</w:t>
            </w:r>
          </w:p>
        </w:tc>
        <w:tc>
          <w:tcPr>
            <w:tcW w:w="16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vMerge w:val="restart"/>
          </w:tcPr>
          <w:p>
            <w:pPr>
              <w:jc w:val="center"/>
              <w:ind w:left="52"/>
              <w:spacing w:after="0"/>
              <w:rPr>
                <w:sz w:val="20"/>
                <w:szCs w:val="20"/>
                <w:color w:val="auto"/>
              </w:rPr>
            </w:pPr>
            <w:r>
              <w:rPr>
                <w:rFonts w:ascii="Arial" w:cs="Arial" w:eastAsia="Arial" w:hAnsi="Arial"/>
                <w:sz w:val="14"/>
                <w:szCs w:val="14"/>
                <w:color w:val="0000FF"/>
                <w:w w:val="87"/>
              </w:rPr>
              <w:t>Common</w:t>
            </w:r>
          </w:p>
        </w:tc>
        <w:tc>
          <w:tcPr>
            <w:tcW w:w="660" w:type="dxa"/>
            <w:vAlign w:val="bottom"/>
            <w:vMerge w:val="restart"/>
          </w:tcPr>
          <w:p>
            <w:pPr>
              <w:jc w:val="right"/>
              <w:ind w:right="72"/>
              <w:spacing w:after="0"/>
              <w:rPr>
                <w:sz w:val="20"/>
                <w:szCs w:val="20"/>
                <w:color w:val="auto"/>
              </w:rPr>
            </w:pPr>
            <w:r>
              <w:rPr>
                <w:rFonts w:ascii="Arial" w:cs="Arial" w:eastAsia="Arial" w:hAnsi="Arial"/>
                <w:sz w:val="18"/>
                <w:szCs w:val="18"/>
                <w:color w:val="0000FF"/>
              </w:rPr>
              <w:t>7,372</w:t>
            </w:r>
          </w:p>
        </w:tc>
        <w:tc>
          <w:tcPr>
            <w:tcW w:w="720" w:type="dxa"/>
            <w:vAlign w:val="bottom"/>
            <w:vMerge w:val="restart"/>
          </w:tcPr>
          <w:p>
            <w:pPr>
              <w:jc w:val="right"/>
              <w:ind w:right="224"/>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9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780" w:type="dxa"/>
            <w:vAlign w:val="bottom"/>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780" w:type="dxa"/>
            <w:vAlign w:val="bottom"/>
            <w:vMerge w:val="continue"/>
          </w:tcPr>
          <w:p>
            <w:pPr>
              <w:spacing w:after="0"/>
              <w:rPr>
                <w:sz w:val="7"/>
                <w:szCs w:val="7"/>
                <w:color w:val="auto"/>
              </w:rPr>
            </w:pPr>
          </w:p>
        </w:tc>
        <w:tc>
          <w:tcPr>
            <w:tcW w:w="1640" w:type="dxa"/>
            <w:vAlign w:val="bottom"/>
            <w:vMerge w:val="restart"/>
          </w:tcPr>
          <w:p>
            <w:pPr>
              <w:jc w:val="right"/>
              <w:ind w:right="712"/>
              <w:spacing w:after="0" w:line="146" w:lineRule="exact"/>
              <w:rPr>
                <w:sz w:val="20"/>
                <w:szCs w:val="20"/>
                <w:color w:val="auto"/>
              </w:rPr>
            </w:pPr>
            <w:r>
              <w:rPr>
                <w:rFonts w:ascii="Arial" w:cs="Arial" w:eastAsia="Arial" w:hAnsi="Arial"/>
                <w:sz w:val="14"/>
                <w:szCs w:val="14"/>
                <w:color w:val="0000FF"/>
              </w:rPr>
              <w:t>12/31/2015</w:t>
            </w:r>
          </w:p>
        </w:tc>
        <w:tc>
          <w:tcPr>
            <w:tcW w:w="1360" w:type="dxa"/>
            <w:vAlign w:val="bottom"/>
            <w:vMerge w:val="restart"/>
          </w:tcPr>
          <w:p>
            <w:pPr>
              <w:ind w:left="780"/>
              <w:spacing w:after="0" w:line="146" w:lineRule="exact"/>
              <w:rPr>
                <w:sz w:val="20"/>
                <w:szCs w:val="20"/>
                <w:color w:val="auto"/>
              </w:rPr>
            </w:pPr>
            <w:r>
              <w:rPr>
                <w:rFonts w:ascii="Arial" w:cs="Arial" w:eastAsia="Arial" w:hAnsi="Arial"/>
                <w:sz w:val="14"/>
                <w:szCs w:val="14"/>
                <w:color w:val="0000FF"/>
              </w:rPr>
              <w:t>M</w:t>
            </w:r>
          </w:p>
        </w:tc>
        <w:tc>
          <w:tcPr>
            <w:tcW w:w="1000" w:type="dxa"/>
            <w:vAlign w:val="bottom"/>
            <w:vMerge w:val="restart"/>
          </w:tcPr>
          <w:p>
            <w:pPr>
              <w:jc w:val="right"/>
              <w:ind w:right="152"/>
              <w:spacing w:after="0" w:line="146" w:lineRule="exact"/>
              <w:rPr>
                <w:sz w:val="20"/>
                <w:szCs w:val="20"/>
                <w:color w:val="auto"/>
              </w:rPr>
            </w:pPr>
            <w:r>
              <w:rPr>
                <w:rFonts w:ascii="Arial" w:cs="Arial" w:eastAsia="Arial" w:hAnsi="Arial"/>
                <w:sz w:val="14"/>
                <w:szCs w:val="14"/>
                <w:color w:val="0000FF"/>
              </w:rPr>
              <w:t>7,372</w:t>
            </w:r>
          </w:p>
        </w:tc>
        <w:tc>
          <w:tcPr>
            <w:tcW w:w="660" w:type="dxa"/>
            <w:vAlign w:val="bottom"/>
            <w:vMerge w:val="restart"/>
          </w:tcPr>
          <w:p>
            <w:pPr>
              <w:jc w:val="right"/>
              <w:ind w:right="264"/>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jc w:val="right"/>
              <w:ind w:right="124"/>
              <w:spacing w:after="0"/>
              <w:rPr>
                <w:sz w:val="20"/>
                <w:szCs w:val="20"/>
                <w:color w:val="auto"/>
              </w:rPr>
            </w:pPr>
            <w:r>
              <w:rPr>
                <w:rFonts w:ascii="Arial" w:cs="Arial" w:eastAsia="Arial" w:hAnsi="Arial"/>
                <w:sz w:val="11"/>
                <w:szCs w:val="11"/>
                <w:color w:val="008000"/>
              </w:rPr>
              <w:t>(4)</w:t>
            </w:r>
          </w:p>
        </w:tc>
        <w:tc>
          <w:tcPr>
            <w:tcW w:w="7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20" w:type="dxa"/>
            <w:vAlign w:val="bottom"/>
            <w:vMerge w:val="restart"/>
          </w:tcPr>
          <w:p>
            <w:pPr>
              <w:jc w:val="right"/>
              <w:ind w:right="392"/>
              <w:spacing w:after="0" w:line="146" w:lineRule="exact"/>
              <w:rPr>
                <w:sz w:val="20"/>
                <w:szCs w:val="20"/>
                <w:color w:val="auto"/>
              </w:rPr>
            </w:pPr>
            <w:r>
              <w:rPr>
                <w:rFonts w:ascii="Arial" w:cs="Arial" w:eastAsia="Arial" w:hAnsi="Arial"/>
                <w:sz w:val="14"/>
                <w:szCs w:val="14"/>
                <w:color w:val="0000FF"/>
              </w:rPr>
              <w:t>0</w:t>
            </w:r>
          </w:p>
        </w:tc>
        <w:tc>
          <w:tcPr>
            <w:tcW w:w="154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0" w:type="dxa"/>
            <w:vAlign w:val="bottom"/>
          </w:tcPr>
          <w:p>
            <w:pPr>
              <w:spacing w:after="0"/>
              <w:rPr>
                <w:sz w:val="1"/>
                <w:szCs w:val="1"/>
                <w:color w:val="auto"/>
              </w:rPr>
            </w:pPr>
          </w:p>
        </w:tc>
      </w:tr>
      <w:tr>
        <w:trPr>
          <w:trHeight w:val="65"/>
        </w:trPr>
        <w:tc>
          <w:tcPr>
            <w:tcW w:w="7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80" w:type="dxa"/>
            <w:vAlign w:val="bottom"/>
            <w:vMerge w:val="restart"/>
          </w:tcPr>
          <w:p>
            <w:pPr>
              <w:jc w:val="center"/>
              <w:ind w:left="52"/>
              <w:spacing w:after="0"/>
              <w:rPr>
                <w:sz w:val="20"/>
                <w:szCs w:val="20"/>
                <w:color w:val="auto"/>
              </w:rPr>
            </w:pPr>
            <w:r>
              <w:rPr>
                <w:rFonts w:ascii="Arial" w:cs="Arial" w:eastAsia="Arial" w:hAnsi="Arial"/>
                <w:sz w:val="14"/>
                <w:szCs w:val="14"/>
                <w:color w:val="0000FF"/>
                <w:w w:val="85"/>
              </w:rPr>
              <w:t>Stock</w:t>
            </w:r>
          </w:p>
        </w:tc>
        <w:tc>
          <w:tcPr>
            <w:tcW w:w="6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780" w:type="dxa"/>
            <w:vAlign w:val="bottom"/>
            <w:vMerge w:val="restart"/>
          </w:tcPr>
          <w:p>
            <w:pPr>
              <w:ind w:left="60"/>
              <w:spacing w:after="0"/>
              <w:rPr>
                <w:sz w:val="20"/>
                <w:szCs w:val="20"/>
                <w:color w:val="auto"/>
              </w:rPr>
            </w:pPr>
            <w:r>
              <w:rPr>
                <w:rFonts w:ascii="Arial" w:cs="Arial" w:eastAsia="Arial" w:hAnsi="Arial"/>
                <w:sz w:val="27"/>
                <w:szCs w:val="27"/>
                <w:color w:val="0000FF"/>
                <w:vertAlign w:val="subscript"/>
              </w:rPr>
              <w:t>Units</w:t>
            </w:r>
            <w:r>
              <w:rPr>
                <w:rFonts w:ascii="Arial" w:cs="Arial" w:eastAsia="Arial" w:hAnsi="Arial"/>
                <w:sz w:val="11"/>
                <w:szCs w:val="11"/>
                <w:color w:val="008000"/>
              </w:rPr>
              <w:t>(2)(3)</w:t>
            </w:r>
          </w:p>
        </w:tc>
        <w:tc>
          <w:tcPr>
            <w:tcW w:w="7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78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4"/>
          <w:szCs w:val="24"/>
          <w:color w:val="auto"/>
        </w:rPr>
      </w:pPr>
    </w:p>
    <w:p>
      <w:pPr>
        <w:ind w:left="40" w:right="2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December 31, 2013 pursuant to the Company's Salary Stock Plan (the "GMSSP") and vested upon grant. The portion of this award currently payable was settled on December 31, 2015 in cash, less a portion withheld for taxes.</w:t>
      </w:r>
    </w:p>
    <w:p>
      <w:pPr>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Common Stock. Grants of SSUs are fully vested when made and will be settled in three equal, annual installments beginning one year after the date of grant. The GMSSP gives the Reporting Person the option of having a settlement made by delivery of shares of the Common Stock or by the delivery of cash in an amount equal to the fair market value of the Common Stock as of the applicable anniversary date of the SSU's grant. Under the GMSSP, the fair value of the Common Stock is the average of the high and low trading prices for the Common Stock as reported to the New York Stock Exchange, on which it is listed, on the date of the transaction, which was $34.15.</w:t>
      </w:r>
    </w:p>
    <w:p>
      <w:pPr>
        <w:spacing w:after="0" w:line="8" w:lineRule="exact"/>
        <w:rPr>
          <w:rFonts w:ascii="Arial" w:cs="Arial" w:eastAsia="Arial" w:hAnsi="Arial"/>
          <w:sz w:val="12"/>
          <w:szCs w:val="12"/>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December 31, 2012 pursuant to the GMSSP. The portion of this award currently payable was settled on December 31, 2015 in cash, less a portion withheld for taxes.</w:t>
      </w:r>
    </w:p>
    <w:p>
      <w:pPr>
        <w:sectPr>
          <w:pgSz w:w="11900" w:h="16838" w:orient="portrait"/>
          <w:cols w:equalWidth="0" w:num="1">
            <w:col w:w="11520"/>
          </w:cols>
          <w:pgMar w:left="240" w:top="226" w:right="139" w:bottom="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4. 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Attorney-In-Fact for Ms. Barra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6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67"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5"/>
          <w:szCs w:val="15"/>
          <w:color w:val="0000FF"/>
        </w:rPr>
        <w:t>01/05/2016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60" w:space="100"/>
            <w:col w:w="2360"/>
          </w:cols>
          <w:pgMar w:left="240" w:top="226" w:right="139" w:bottom="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2019-12-08T18:27:01Z</dcterms:created>
  <dcterms:modified xsi:type="dcterms:W3CDTF">2019-12-08T18:27:01Z</dcterms:modified>
</cp:coreProperties>
</file>