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612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252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63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Millikin Michael P</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12/31/2011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78"/>
        <w:spacing w:after="0"/>
        <w:rPr>
          <w:sz w:val="20"/>
          <w:szCs w:val="20"/>
          <w:color w:val="auto"/>
        </w:rPr>
      </w:pPr>
      <w:r>
        <w:rPr>
          <w:rFonts w:ascii="Arial" w:cs="Arial" w:eastAsia="Arial" w:hAnsi="Arial"/>
          <w:sz w:val="17"/>
          <w:szCs w:val="17"/>
          <w:color w:val="0000FF"/>
        </w:rPr>
        <w:t>Senior Vice President &amp; GC</w:t>
      </w:r>
    </w:p>
    <w:p>
      <w:pPr>
        <w:spacing w:after="0" w:line="451" w:lineRule="exact"/>
        <w:rPr>
          <w:sz w:val="24"/>
          <w:szCs w:val="24"/>
          <w:color w:val="auto"/>
        </w:rPr>
      </w:pPr>
    </w:p>
    <w:p>
      <w:pPr>
        <w:sectPr>
          <w:pgSz w:w="11900" w:h="16838" w:orient="portrait"/>
          <w:cols w:equalWidth="0" w:num="3">
            <w:col w:w="3340" w:space="720"/>
            <w:col w:w="3262" w:space="720"/>
            <w:col w:w="3478"/>
          </w:cols>
          <w:pgMar w:left="240" w:top="225" w:right="139" w:bottom="635"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6"/>
          </w:tcPr>
          <w:p>
            <w:pPr>
              <w:jc w:val="center"/>
              <w:ind w:right="51"/>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6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5"/>
              </w:rPr>
              <w:t>1,866</w:t>
            </w:r>
            <w:r>
              <w:rPr>
                <w:rFonts w:ascii="Arial" w:cs="Arial" w:eastAsia="Arial" w:hAnsi="Arial"/>
                <w:sz w:val="22"/>
                <w:szCs w:val="22"/>
                <w:color w:val="008000"/>
                <w:w w:val="85"/>
                <w:vertAlign w:val="superscript"/>
              </w:rPr>
              <w:t>(2)</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53,018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91"/>
              </w:rPr>
              <w:t>677</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20.21</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52,341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2,170</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54,511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91"/>
              </w:rPr>
              <w:t>787</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20.21</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53,724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(5)</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92"/>
              </w:rPr>
              <w:t>25,421</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79,145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gridSpan w:val="10"/>
          </w:tcPr>
          <w:p>
            <w:pPr>
              <w:jc w:val="center"/>
              <w:ind w:left="4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center"/>
              <w:ind w:right="39"/>
              <w:spacing w:after="0"/>
              <w:rPr>
                <w:sz w:val="20"/>
                <w:szCs w:val="20"/>
                <w:color w:val="auto"/>
              </w:rPr>
            </w:pPr>
            <w:r>
              <w:rPr>
                <w:rFonts w:ascii="Arial" w:cs="Arial" w:eastAsia="Arial" w:hAnsi="Arial"/>
                <w:sz w:val="13"/>
                <w:szCs w:val="13"/>
                <w:color w:val="0000FF"/>
              </w:rPr>
              <w:t>1,866</w:t>
            </w:r>
            <w:r>
              <w:rPr>
                <w:rFonts w:ascii="Arial" w:cs="Arial" w:eastAsia="Arial" w:hAnsi="Arial"/>
                <w:sz w:val="22"/>
                <w:szCs w:val="22"/>
                <w:color w:val="008000"/>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5"/>
              </w:rPr>
              <w:t>1,866</w:t>
            </w:r>
            <w:r>
              <w:rPr>
                <w:rFonts w:ascii="Arial" w:cs="Arial" w:eastAsia="Arial" w:hAnsi="Arial"/>
                <w:sz w:val="22"/>
                <w:szCs w:val="22"/>
                <w:color w:val="008000"/>
                <w:w w:val="85"/>
                <w:vertAlign w:val="superscript"/>
              </w:rPr>
              <w:t>(2)</w:t>
            </w:r>
          </w:p>
        </w:tc>
        <w:tc>
          <w:tcPr>
            <w:tcW w:w="60" w:type="dxa"/>
            <w:vAlign w:val="bottom"/>
          </w:tcPr>
          <w:p>
            <w:pPr>
              <w:spacing w:after="0"/>
              <w:rPr>
                <w:sz w:val="16"/>
                <w:szCs w:val="16"/>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12/31/2011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00" w:type="dxa"/>
            <w:vAlign w:val="bottom"/>
          </w:tcPr>
          <w:p>
            <w:pPr>
              <w:ind w:left="260"/>
              <w:spacing w:after="0"/>
              <w:rPr>
                <w:sz w:val="20"/>
                <w:szCs w:val="20"/>
                <w:color w:val="auto"/>
              </w:rPr>
            </w:pPr>
            <w:r>
              <w:rPr>
                <w:rFonts w:ascii="Arial" w:cs="Arial" w:eastAsia="Arial" w:hAnsi="Arial"/>
                <w:sz w:val="13"/>
                <w:szCs w:val="13"/>
                <w:color w:val="0000FF"/>
                <w:w w:val="98"/>
              </w:rPr>
              <w:t>1,866</w:t>
            </w:r>
          </w:p>
        </w:tc>
        <w:tc>
          <w:tcPr>
            <w:tcW w:w="300" w:type="dxa"/>
            <w:vAlign w:val="bottom"/>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right"/>
              <w:ind w:right="151"/>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ind w:right="53"/>
              <w:spacing w:after="0"/>
              <w:rPr>
                <w:sz w:val="20"/>
                <w:szCs w:val="20"/>
                <w:color w:val="auto"/>
              </w:rPr>
            </w:pPr>
            <w:r>
              <w:rPr>
                <w:rFonts w:ascii="Arial" w:cs="Arial" w:eastAsia="Arial" w:hAnsi="Arial"/>
                <w:sz w:val="17"/>
                <w:szCs w:val="17"/>
                <w:color w:val="0000FF"/>
              </w:rPr>
              <w:t>2,170</w:t>
            </w:r>
          </w:p>
        </w:tc>
        <w:tc>
          <w:tcPr>
            <w:tcW w:w="60" w:type="dxa"/>
            <w:vAlign w:val="bottom"/>
          </w:tcPr>
          <w:p>
            <w:pPr>
              <w:spacing w:after="0"/>
              <w:rPr>
                <w:sz w:val="16"/>
                <w:szCs w:val="16"/>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restart"/>
          </w:tcPr>
          <w:p>
            <w:pPr>
              <w:jc w:val="right"/>
              <w:ind w:right="153"/>
              <w:spacing w:after="0" w:line="142" w:lineRule="exact"/>
              <w:rPr>
                <w:sz w:val="20"/>
                <w:szCs w:val="20"/>
                <w:color w:val="auto"/>
              </w:rPr>
            </w:pPr>
            <w:r>
              <w:rPr>
                <w:rFonts w:ascii="Arial" w:cs="Arial" w:eastAsia="Arial" w:hAnsi="Arial"/>
                <w:sz w:val="13"/>
                <w:szCs w:val="13"/>
                <w:color w:val="0000FF"/>
              </w:rPr>
              <w:t>12/31/2011</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D</w:t>
            </w:r>
          </w:p>
        </w:tc>
        <w:tc>
          <w:tcPr>
            <w:tcW w:w="180" w:type="dxa"/>
            <w:vAlign w:val="bottom"/>
          </w:tcPr>
          <w:p>
            <w:pPr>
              <w:spacing w:after="0"/>
              <w:rPr>
                <w:sz w:val="6"/>
                <w:szCs w:val="6"/>
                <w:color w:val="auto"/>
              </w:rPr>
            </w:pPr>
          </w:p>
        </w:tc>
        <w:tc>
          <w:tcPr>
            <w:tcW w:w="940" w:type="dxa"/>
            <w:vAlign w:val="bottom"/>
            <w:vMerge w:val="restart"/>
          </w:tcPr>
          <w:p>
            <w:pPr>
              <w:jc w:val="right"/>
              <w:ind w:right="119"/>
              <w:spacing w:after="0" w:line="142" w:lineRule="exact"/>
              <w:rPr>
                <w:sz w:val="20"/>
                <w:szCs w:val="20"/>
                <w:color w:val="auto"/>
              </w:rPr>
            </w:pPr>
            <w:r>
              <w:rPr>
                <w:rFonts w:ascii="Arial" w:cs="Arial" w:eastAsia="Arial" w:hAnsi="Arial"/>
                <w:sz w:val="13"/>
                <w:szCs w:val="13"/>
                <w:color w:val="0000FF"/>
              </w:rPr>
              <w:t>2,170</w:t>
            </w: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restart"/>
          </w:tcPr>
          <w:p>
            <w:pPr>
              <w:ind w:left="260"/>
              <w:spacing w:after="0" w:line="142" w:lineRule="exact"/>
              <w:rPr>
                <w:sz w:val="20"/>
                <w:szCs w:val="20"/>
                <w:color w:val="auto"/>
              </w:rPr>
            </w:pPr>
            <w:r>
              <w:rPr>
                <w:rFonts w:ascii="Arial" w:cs="Arial" w:eastAsia="Arial" w:hAnsi="Arial"/>
                <w:sz w:val="13"/>
                <w:szCs w:val="13"/>
                <w:color w:val="0000FF"/>
                <w:w w:val="98"/>
              </w:rPr>
              <w:t>4,338</w:t>
            </w:r>
          </w:p>
        </w:tc>
        <w:tc>
          <w:tcPr>
            <w:tcW w:w="300" w:type="dxa"/>
            <w:vAlign w:val="bottom"/>
          </w:tcPr>
          <w:p>
            <w:pPr>
              <w:spacing w:after="0"/>
              <w:rPr>
                <w:sz w:val="6"/>
                <w:szCs w:val="6"/>
                <w:color w:val="auto"/>
              </w:rPr>
            </w:pPr>
          </w:p>
        </w:tc>
        <w:tc>
          <w:tcPr>
            <w:tcW w:w="68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issued on December 31, 2009 pursuant to the Company's Salary Stock Plan (the "GMSSP") and vested upon grant. The portion of this award currently payable was settled on December 31, 2011 in shares of the Company's Common Stock, less a portion withheld for taxes.</w:t>
      </w:r>
    </w:p>
    <w:p>
      <w:pPr>
        <w:ind w:left="40" w:right="16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31, 2009 the employee received a grant of 1,866 SSUs, of which 622 SSUs were scheduled to be payable on December 31,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5,598 SSUs granted on December 31, 2009, of which 1,866 SSUs became payable on December 31, 2011.</w:t>
      </w:r>
    </w:p>
    <w:p>
      <w:pPr>
        <w:spacing w:after="0" w:line="28" w:lineRule="exact"/>
        <w:rPr>
          <w:rFonts w:ascii="Arial" w:cs="Arial" w:eastAsia="Arial" w:hAnsi="Arial"/>
          <w:sz w:val="13"/>
          <w:szCs w:val="13"/>
          <w:color w:val="008000"/>
        </w:rPr>
      </w:pPr>
    </w:p>
    <w:p>
      <w:pPr>
        <w:ind w:left="40" w:right="30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$20.21.</w:t>
      </w:r>
    </w:p>
    <w:p>
      <w:pPr>
        <w:spacing w:after="0" w:line="25" w:lineRule="exact"/>
        <w:rPr>
          <w:rFonts w:ascii="Arial" w:cs="Arial" w:eastAsia="Arial" w:hAnsi="Arial"/>
          <w:sz w:val="13"/>
          <w:szCs w:val="13"/>
          <w:color w:val="008000"/>
        </w:rPr>
      </w:pPr>
    </w:p>
    <w:p>
      <w:pPr>
        <w:ind w:left="40" w:right="2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issued on December 31, 2010 pursuant to the GMSSP and vested upon grant. The portion of this award currently payable was settled on December 31, 2011 in shares of Common Stock, less a portion withheld for taxes.</w:t>
      </w:r>
    </w:p>
    <w:p>
      <w:pPr>
        <w:spacing w:after="0" w:line="15" w:lineRule="exact"/>
        <w:rPr>
          <w:rFonts w:ascii="Arial" w:cs="Arial" w:eastAsia="Arial" w:hAnsi="Arial"/>
          <w:sz w:val="13"/>
          <w:szCs w:val="13"/>
          <w:color w:val="008000"/>
        </w:rPr>
      </w:pPr>
    </w:p>
    <w:p>
      <w:pPr>
        <w:ind w:left="40" w:right="20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December 31, 2011 pursuant to the GMSSP and were fully vested upon grant. The SSUs will be delivered in the form of shares of Common Stock in three equal, annual installments beginning on December 31, 2012.</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01/04/2012</w:t>
            </w:r>
          </w:p>
        </w:tc>
        <w:tc>
          <w:tcPr>
            <w:tcW w:w="0" w:type="dxa"/>
            <w:vAlign w:val="bottom"/>
          </w:tcPr>
          <w:p>
            <w:pPr>
              <w:spacing w:after="0"/>
              <w:rPr>
                <w:sz w:val="1"/>
                <w:szCs w:val="1"/>
                <w:color w:val="auto"/>
              </w:rPr>
            </w:pPr>
          </w:p>
        </w:tc>
      </w:tr>
      <w:tr>
        <w:trPr>
          <w:trHeight w:val="91"/>
        </w:trPr>
        <w:tc>
          <w:tcPr>
            <w:tcW w:w="2280" w:type="dxa"/>
            <w:vAlign w:val="bottom"/>
            <w:gridSpan w:val="3"/>
            <w:vMerge w:val="restart"/>
          </w:tcPr>
          <w:p>
            <w:pPr>
              <w:spacing w:after="0" w:line="193" w:lineRule="exact"/>
              <w:rPr>
                <w:sz w:val="20"/>
                <w:szCs w:val="20"/>
                <w:color w:val="auto"/>
              </w:rPr>
            </w:pPr>
            <w:r>
              <w:rPr>
                <w:rFonts w:ascii="Arial" w:cs="Arial" w:eastAsia="Arial" w:hAnsi="Arial"/>
                <w:sz w:val="17"/>
                <w:szCs w:val="17"/>
                <w:color w:val="0000FF"/>
              </w:rPr>
              <w:t>fact for Mr. Millikin</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6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2019-12-17T01:18:34Z</dcterms:created>
  <dcterms:modified xsi:type="dcterms:W3CDTF">2019-12-17T01:18:34Z</dcterms:modified>
</cp:coreProperties>
</file>