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October 27, 2021</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182" w:right="559" w:bottom="1440" w:gutter="0" w:footer="0" w:header="0"/>
        </w:sectPr>
      </w:pPr>
    </w:p>
    <w:p>
      <w:pPr>
        <w:spacing w:after="0" w:line="98"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67" w:lineRule="exact"/>
        <w:rPr>
          <w:sz w:val="24"/>
          <w:szCs w:val="24"/>
          <w:color w:val="auto"/>
        </w:rPr>
      </w:pPr>
    </w:p>
    <w:p>
      <w:pPr>
        <w:sectPr>
          <w:pgSz w:w="11900" w:h="16838" w:orient="portrait"/>
          <w:cols w:equalWidth="0" w:num="3">
            <w:col w:w="4780" w:space="720"/>
            <w:col w:w="2820" w:space="720"/>
            <w:col w:w="2000"/>
          </w:cols>
          <w:pgMar w:left="300" w:top="1182"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182"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3"/>
          <w:szCs w:val="13"/>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20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82" w:right="559" w:bottom="1440" w:gutter="0" w:footer="0" w:header="0"/>
          <w:type w:val="continuous"/>
        </w:sectPr>
      </w:pPr>
    </w:p>
    <w:p>
      <w:pPr>
        <w:spacing w:after="0" w:line="7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0"/>
              </w:rPr>
              <w:t>Trading Symbol(s)</w:t>
            </w:r>
          </w:p>
        </w:tc>
        <w:tc>
          <w:tcPr>
            <w:tcW w:w="2600" w:type="dxa"/>
            <w:vAlign w:val="bottom"/>
            <w:gridSpan w:val="2"/>
          </w:tcPr>
          <w:p>
            <w:pPr>
              <w:jc w:val="center"/>
              <w:ind w:left="276"/>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567690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82"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October 27, 2021 General Motors Company (GM) issued a news release and supplemental materials on the subject of its 2021 third quarter earnings. The news release and supplemental materials are attached as Exhibit 99.1 and Exhibit 99.2.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Charts furnished to securities analysts in connection with GM's 2021 third quarter earnings release are available on GM's website at www.gm.com/investors/earnings-releases.html.</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3"/>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gridSpan w:val="2"/>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8420" w:type="dxa"/>
            <w:vAlign w:val="bottom"/>
            <w:gridSpan w:val="6"/>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News Release Dated October 27, 2021</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8420" w:type="dxa"/>
            <w:vAlign w:val="bottom"/>
            <w:gridSpan w:val="6"/>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Financial Highlights Dated October 27, 2021</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6"/>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Arial" w:cs="Arial" w:eastAsia="Arial" w:hAnsi="Arial"/>
                <w:sz w:val="14"/>
                <w:szCs w:val="14"/>
                <w:color w:val="auto"/>
              </w:rPr>
              <w:t>Date: October 27, 2021</w:t>
            </w:r>
          </w:p>
        </w:tc>
        <w:tc>
          <w:tcPr>
            <w:tcW w:w="5140" w:type="dxa"/>
            <w:vAlign w:val="bottom"/>
          </w:tcPr>
          <w:p>
            <w:pPr>
              <w:ind w:left="20"/>
              <w:spacing w:after="0" w:line="12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71"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segment profit (loss)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60" w:type="dxa"/>
            <w:vAlign w:val="bottom"/>
            <w:gridSpan w:val="5"/>
          </w:tcPr>
          <w:p>
            <w:pPr>
              <w:ind w:left="980"/>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1"/>
                <w:szCs w:val="11"/>
                <w:color w:val="auto"/>
              </w:rPr>
            </w:pPr>
          </w:p>
        </w:tc>
        <w:tc>
          <w:tcPr>
            <w:tcW w:w="3160" w:type="dxa"/>
            <w:vAlign w:val="bottom"/>
            <w:gridSpan w:val="4"/>
          </w:tcPr>
          <w:p>
            <w:pPr>
              <w:jc w:val="right"/>
              <w:ind w:right="1156"/>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44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September 30, 2021</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September 30, 2021</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296"/>
              <w:spacing w:after="0"/>
              <w:rPr>
                <w:sz w:val="20"/>
                <w:szCs w:val="20"/>
                <w:color w:val="auto"/>
              </w:rPr>
            </w:pPr>
            <w:r>
              <w:rPr>
                <w:rFonts w:ascii="Arial" w:cs="Arial" w:eastAsia="Arial" w:hAnsi="Arial"/>
                <w:sz w:val="10"/>
                <w:szCs w:val="10"/>
                <w:b w:val="1"/>
                <w:bCs w:val="1"/>
                <w:color w:val="auto"/>
              </w:rPr>
              <w:t>September 30, 2020</w:t>
            </w:r>
          </w:p>
        </w:tc>
      </w:tr>
      <w:tr>
        <w:trPr>
          <w:trHeight w:val="165"/>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stockholders(a)</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3,581</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1,132</w:t>
            </w: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4420" w:type="dxa"/>
            <w:vAlign w:val="bottom"/>
          </w:tcPr>
          <w:p>
            <w:pPr>
              <w:ind w:left="120"/>
              <w:spacing w:after="0"/>
              <w:rPr>
                <w:sz w:val="20"/>
                <w:szCs w:val="20"/>
                <w:color w:val="auto"/>
              </w:rPr>
            </w:pPr>
            <w:r>
              <w:rPr>
                <w:rFonts w:ascii="Arial" w:cs="Arial" w:eastAsia="Arial" w:hAnsi="Arial"/>
                <w:sz w:val="13"/>
                <w:szCs w:val="13"/>
                <w:color w:val="auto"/>
              </w:rPr>
              <w:t>Cadillac dealer strategy(b)</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GMI restructuring(c)</w:t>
            </w: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r>
      <w:tr>
        <w:trPr>
          <w:trHeight w:val="180"/>
        </w:trPr>
        <w:tc>
          <w:tcPr>
            <w:tcW w:w="4420" w:type="dxa"/>
            <w:vAlign w:val="bottom"/>
          </w:tcPr>
          <w:p>
            <w:pPr>
              <w:ind w:left="120"/>
              <w:spacing w:after="0"/>
              <w:rPr>
                <w:sz w:val="20"/>
                <w:szCs w:val="20"/>
                <w:color w:val="auto"/>
              </w:rPr>
            </w:pPr>
            <w:r>
              <w:rPr>
                <w:rFonts w:ascii="Arial" w:cs="Arial" w:eastAsia="Arial" w:hAnsi="Arial"/>
                <w:sz w:val="13"/>
                <w:szCs w:val="13"/>
                <w:color w:val="auto"/>
              </w:rPr>
              <w:t>GM Korea wage litigation(d)</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8"/>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w:t>
            </w:r>
          </w:p>
        </w:tc>
      </w:tr>
      <w:tr>
        <w:trPr>
          <w:trHeight w:val="16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EBIT(loss)-adjusted</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11,456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5,998</w:t>
            </w:r>
          </w:p>
        </w:tc>
      </w:tr>
      <w:tr>
        <w:trPr>
          <w:trHeight w:val="152"/>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segments</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68"/>
        </w:trPr>
        <w:tc>
          <w:tcPr>
            <w:tcW w:w="4420" w:type="dxa"/>
            <w:vAlign w:val="bottom"/>
          </w:tcPr>
          <w:p>
            <w:pPr>
              <w:ind w:left="120"/>
              <w:spacing w:after="0"/>
              <w:rPr>
                <w:sz w:val="20"/>
                <w:szCs w:val="20"/>
                <w:color w:val="auto"/>
              </w:rPr>
            </w:pPr>
            <w:r>
              <w:rPr>
                <w:rFonts w:ascii="Arial" w:cs="Arial" w:eastAsia="Arial" w:hAnsi="Arial"/>
                <w:sz w:val="13"/>
                <w:szCs w:val="13"/>
                <w:color w:val="auto"/>
              </w:rPr>
              <w:t>GM North America (GMNA)</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4,366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8,153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6,459</w:t>
            </w:r>
          </w:p>
        </w:tc>
      </w:tr>
      <w:tr>
        <w:trPr>
          <w:trHeight w:val="172"/>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International (GMI)</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r>
      <w:tr>
        <w:trPr>
          <w:trHeight w:val="168"/>
        </w:trPr>
        <w:tc>
          <w:tcPr>
            <w:tcW w:w="4420" w:type="dxa"/>
            <w:vAlign w:val="bottom"/>
          </w:tcPr>
          <w:p>
            <w:pPr>
              <w:ind w:left="100"/>
              <w:spacing w:after="0"/>
              <w:rPr>
                <w:sz w:val="20"/>
                <w:szCs w:val="20"/>
                <w:color w:val="auto"/>
              </w:rPr>
            </w:pPr>
            <w:r>
              <w:rPr>
                <w:rFonts w:ascii="Arial" w:cs="Arial" w:eastAsia="Arial" w:hAnsi="Arial"/>
                <w:sz w:val="13"/>
                <w:szCs w:val="13"/>
                <w:color w:val="auto"/>
              </w:rPr>
              <w:t>Cruise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(627)</w:t>
            </w:r>
          </w:p>
        </w:tc>
      </w:tr>
      <w:tr>
        <w:trPr>
          <w:trHeight w:val="170"/>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Financial(e)</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w:t>
            </w:r>
          </w:p>
        </w:tc>
      </w:tr>
      <w:tr>
        <w:trPr>
          <w:trHeight w:val="160"/>
        </w:trPr>
        <w:tc>
          <w:tcPr>
            <w:tcW w:w="4420" w:type="dxa"/>
            <w:vAlign w:val="bottom"/>
          </w:tcPr>
          <w:p>
            <w:pPr>
              <w:ind w:left="20"/>
              <w:spacing w:after="0"/>
              <w:rPr>
                <w:sz w:val="20"/>
                <w:szCs w:val="20"/>
                <w:color w:val="auto"/>
              </w:rPr>
            </w:pPr>
            <w:r>
              <w:rPr>
                <w:rFonts w:ascii="Arial" w:cs="Arial" w:eastAsia="Arial" w:hAnsi="Arial"/>
                <w:sz w:val="13"/>
                <w:szCs w:val="13"/>
                <w:color w:val="auto"/>
              </w:rPr>
              <w:t>Total operating segments</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3,161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5,379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11,714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6,684</w:t>
            </w: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eliminations(f)</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w:t>
            </w:r>
          </w:p>
        </w:tc>
      </w:tr>
      <w:tr>
        <w:trPr>
          <w:trHeight w:val="163"/>
        </w:trPr>
        <w:tc>
          <w:tcPr>
            <w:tcW w:w="4420" w:type="dxa"/>
            <w:vAlign w:val="bottom"/>
          </w:tcPr>
          <w:p>
            <w:pPr>
              <w:ind w:left="20"/>
              <w:spacing w:after="0"/>
              <w:rPr>
                <w:sz w:val="20"/>
                <w:szCs w:val="20"/>
                <w:color w:val="auto"/>
              </w:rPr>
            </w:pPr>
            <w:r>
              <w:rPr>
                <w:rFonts w:ascii="Arial" w:cs="Arial" w:eastAsia="Arial" w:hAnsi="Arial"/>
                <w:sz w:val="13"/>
                <w:szCs w:val="13"/>
                <w:color w:val="auto"/>
              </w:rPr>
              <w:t>EBIT(loss)-adjusted</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11,456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5,998</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240" w:hanging="235"/>
        <w:spacing w:after="0" w:line="221" w:lineRule="auto"/>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jc w:val="both"/>
        <w:ind w:left="260" w:hanging="255"/>
        <w:spacing w:after="0" w:line="228" w:lineRule="auto"/>
        <w:tabs>
          <w:tab w:leader="none" w:pos="254"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supplier claims in the three months ended September 30, 2020 and dealer restructurings, asset impairments, inventory provisions, employee separation charges and sales allowances in the nine months ended September 30, 2020 in Australia, New Zealand and Thailand.</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Supreme Court of Korea decisions related to our salaried workers.</w:t>
      </w: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60" w:lineRule="auto"/>
        <w:tabs>
          <w:tab w:leader="none" w:pos="25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132"/>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5"/>
          </w:tcPr>
          <w:p>
            <w:pPr>
              <w:ind w:left="260"/>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1"/>
                <w:szCs w:val="11"/>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4"/>
          </w:tcPr>
          <w:p>
            <w:pPr>
              <w:jc w:val="right"/>
              <w:ind w:right="377"/>
              <w:spacing w:after="0"/>
              <w:rPr>
                <w:sz w:val="20"/>
                <w:szCs w:val="20"/>
                <w:color w:val="auto"/>
              </w:rPr>
            </w:pPr>
            <w:r>
              <w:rPr>
                <w:rFonts w:ascii="Arial" w:cs="Arial" w:eastAsia="Arial" w:hAnsi="Arial"/>
                <w:sz w:val="10"/>
                <w:szCs w:val="10"/>
                <w:b w:val="1"/>
                <w:bCs w:val="1"/>
                <w:color w:val="auto"/>
              </w:rPr>
              <w:t>December 31,</w:t>
            </w:r>
          </w:p>
        </w:tc>
      </w:tr>
      <w:tr>
        <w:trPr>
          <w:trHeight w:val="129"/>
        </w:trPr>
        <w:tc>
          <w:tcPr>
            <w:tcW w:w="45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2019</w:t>
            </w:r>
          </w:p>
        </w:tc>
      </w:tr>
      <w:tr>
        <w:trPr>
          <w:trHeight w:val="165"/>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(163)</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Cadillac dealer strategy(a)</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GMI restructuring(b)</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4540" w:type="dxa"/>
            <w:vAlign w:val="bottom"/>
          </w:tcPr>
          <w:p>
            <w:pPr>
              <w:ind w:left="100"/>
              <w:spacing w:after="0"/>
              <w:rPr>
                <w:sz w:val="20"/>
                <w:szCs w:val="20"/>
                <w:color w:val="auto"/>
              </w:rPr>
            </w:pPr>
            <w:r>
              <w:rPr>
                <w:rFonts w:ascii="Arial" w:cs="Arial" w:eastAsia="Arial" w:hAnsi="Arial"/>
                <w:sz w:val="13"/>
                <w:szCs w:val="13"/>
                <w:color w:val="auto"/>
              </w:rPr>
              <w:t>GM Korea Wage Litigation(c)</w:t>
            </w:r>
          </w:p>
        </w:tc>
        <w:tc>
          <w:tcPr>
            <w:tcW w:w="1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Ignition switch recall and related legal matters(d)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Pr>
          <w:p>
            <w:pPr>
              <w:ind w:left="100"/>
              <w:spacing w:after="0"/>
              <w:rPr>
                <w:sz w:val="20"/>
                <w:szCs w:val="20"/>
                <w:color w:val="auto"/>
              </w:rPr>
            </w:pPr>
            <w:r>
              <w:rPr>
                <w:rFonts w:ascii="Arial" w:cs="Arial" w:eastAsia="Arial" w:hAnsi="Arial"/>
                <w:sz w:val="13"/>
                <w:szCs w:val="13"/>
                <w:color w:val="auto"/>
              </w:rPr>
              <w:t>Transformation activities(e)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w:t>
            </w:r>
          </w:p>
        </w:tc>
      </w:tr>
      <w:tr>
        <w:trPr>
          <w:trHeight w:val="170"/>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FAW-GM divestiture(f)</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0"/>
        </w:trPr>
        <w:tc>
          <w:tcPr>
            <w:tcW w:w="454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358</w:t>
            </w:r>
          </w:p>
        </w:tc>
      </w:tr>
      <w:tr>
        <w:trPr>
          <w:trHeight w:val="18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40" w:hanging="235"/>
        <w:spacing w:after="0" w:line="223" w:lineRule="auto"/>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jc w:val="both"/>
        <w:ind w:left="260" w:hanging="255"/>
        <w:spacing w:after="0" w:line="226"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supplier claims in the three months ended September 30, 2020, inventory provisions in the three months ended June 30, 2020, asset impairments, dealer restructurings, employee separation charges and sales allowances in Australia, New Zealand and Thailand in the three months ended March 31, 2020, and employee separation charges in the three months ended December 31, 2020.</w:t>
      </w:r>
    </w:p>
    <w:p>
      <w:pPr>
        <w:spacing w:after="0" w:line="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Supreme Court of Korea decisions related to our salaried workers.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ind w:left="260" w:hanging="255"/>
        <w:spacing w:after="0" w:line="241"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accelerate our transformation for the future to strengthen our core business, capitalize on the future of personal mobility and drive significant cost efficiencies. The adjustments primarily consist of accelerated depreciation and employee separation charges in the three months ended December 31, 2019.</w:t>
      </w:r>
    </w:p>
    <w:p>
      <w:pPr>
        <w:ind w:left="260" w:hanging="255"/>
        <w:spacing w:after="0" w:line="260" w:lineRule="auto"/>
        <w:tabs>
          <w:tab w:leader="none" w:pos="25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Nine Months Ended</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32"/>
        </w:trPr>
        <w:tc>
          <w:tcPr>
            <w:tcW w:w="4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240"/>
              <w:spacing w:after="0"/>
              <w:rPr>
                <w:sz w:val="20"/>
                <w:szCs w:val="20"/>
                <w:color w:val="auto"/>
              </w:rPr>
            </w:pPr>
            <w:r>
              <w:rPr>
                <w:rFonts w:ascii="Arial" w:cs="Arial" w:eastAsia="Arial" w:hAnsi="Arial"/>
                <w:sz w:val="10"/>
                <w:szCs w:val="10"/>
                <w:b w:val="1"/>
                <w:bCs w:val="1"/>
                <w:color w:val="auto"/>
              </w:rPr>
              <w:t>September 30, 2021</w:t>
            </w:r>
          </w:p>
        </w:tc>
        <w:tc>
          <w:tcPr>
            <w:tcW w:w="180" w:type="dxa"/>
            <w:vAlign w:val="bottom"/>
          </w:tcPr>
          <w:p>
            <w:pPr>
              <w:spacing w:after="0"/>
              <w:rPr>
                <w:sz w:val="11"/>
                <w:szCs w:val="11"/>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220"/>
              <w:spacing w:after="0"/>
              <w:rPr>
                <w:sz w:val="20"/>
                <w:szCs w:val="20"/>
                <w:color w:val="auto"/>
              </w:rPr>
            </w:pPr>
            <w:r>
              <w:rPr>
                <w:rFonts w:ascii="Arial" w:cs="Arial" w:eastAsia="Arial" w:hAnsi="Arial"/>
                <w:sz w:val="10"/>
                <w:szCs w:val="10"/>
                <w:b w:val="1"/>
                <w:bCs w:val="1"/>
                <w:color w:val="auto"/>
              </w:rPr>
              <w:t>September 30, 2021</w:t>
            </w:r>
          </w:p>
        </w:tc>
        <w:tc>
          <w:tcPr>
            <w:tcW w:w="160" w:type="dxa"/>
            <w:vAlign w:val="bottom"/>
          </w:tcPr>
          <w:p>
            <w:pPr>
              <w:spacing w:after="0"/>
              <w:rPr>
                <w:sz w:val="11"/>
                <w:szCs w:val="11"/>
                <w:color w:val="auto"/>
              </w:rPr>
            </w:pPr>
          </w:p>
        </w:tc>
        <w:tc>
          <w:tcPr>
            <w:tcW w:w="1540" w:type="dxa"/>
            <w:vAlign w:val="bottom"/>
            <w:gridSpan w:val="4"/>
          </w:tcPr>
          <w:p>
            <w:pPr>
              <w:ind w:left="220"/>
              <w:spacing w:after="0"/>
              <w:rPr>
                <w:sz w:val="20"/>
                <w:szCs w:val="20"/>
                <w:color w:val="auto"/>
              </w:rPr>
            </w:pPr>
            <w:r>
              <w:rPr>
                <w:rFonts w:ascii="Arial" w:cs="Arial" w:eastAsia="Arial" w:hAnsi="Arial"/>
                <w:sz w:val="10"/>
                <w:szCs w:val="10"/>
                <w:b w:val="1"/>
                <w:bCs w:val="1"/>
                <w:color w:val="auto"/>
              </w:rPr>
              <w:t>September 30, 2020</w:t>
            </w:r>
          </w:p>
        </w:tc>
      </w:tr>
      <w:tr>
        <w:trPr>
          <w:trHeight w:val="114"/>
        </w:trPr>
        <w:tc>
          <w:tcPr>
            <w:tcW w:w="4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8"/>
                <w:szCs w:val="8"/>
                <w:b w:val="1"/>
                <w:bCs w:val="1"/>
                <w:color w:val="auto"/>
              </w:rPr>
              <w:t>Per Share</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0"/>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41"/>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8"/>
                <w:szCs w:val="8"/>
                <w:b w:val="1"/>
                <w:bCs w:val="1"/>
                <w:color w:val="auto"/>
              </w:rPr>
              <w:t>Per Share</w:t>
            </w:r>
          </w:p>
        </w:tc>
      </w:tr>
      <w:tr>
        <w:trPr>
          <w:trHeight w:val="16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2,375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center"/>
              <w:ind w:left="221"/>
              <w:spacing w:after="0"/>
              <w:rPr>
                <w:sz w:val="20"/>
                <w:szCs w:val="20"/>
                <w:color w:val="auto"/>
              </w:rPr>
            </w:pPr>
            <w:r>
              <w:rPr>
                <w:rFonts w:ascii="Arial" w:cs="Arial" w:eastAsia="Arial" w:hAnsi="Arial"/>
                <w:sz w:val="13"/>
                <w:szCs w:val="13"/>
                <w:color w:val="auto"/>
              </w:rPr>
              <w:t>1.62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4,005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8,141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5.55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3,446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center"/>
              <w:ind w:left="240"/>
              <w:spacing w:after="0"/>
              <w:rPr>
                <w:sz w:val="20"/>
                <w:szCs w:val="20"/>
                <w:color w:val="auto"/>
              </w:rPr>
            </w:pPr>
            <w:r>
              <w:rPr>
                <w:rFonts w:ascii="Arial" w:cs="Arial" w:eastAsia="Arial" w:hAnsi="Arial"/>
                <w:sz w:val="13"/>
                <w:szCs w:val="13"/>
                <w:color w:val="auto"/>
                <w:w w:val="94"/>
              </w:rPr>
              <w:t>2.40</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left="221"/>
              <w:spacing w:after="0"/>
              <w:rPr>
                <w:sz w:val="20"/>
                <w:szCs w:val="20"/>
                <w:color w:val="auto"/>
              </w:rPr>
            </w:pPr>
            <w:r>
              <w:rPr>
                <w:rFonts w:ascii="Arial" w:cs="Arial" w:eastAsia="Arial" w:hAnsi="Arial"/>
                <w:sz w:val="13"/>
                <w:szCs w:val="13"/>
                <w:color w:val="auto"/>
              </w:rPr>
              <w:t>0.11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left="240"/>
              <w:spacing w:after="0"/>
              <w:rPr>
                <w:sz w:val="20"/>
                <w:szCs w:val="20"/>
                <w:color w:val="auto"/>
              </w:rPr>
            </w:pPr>
            <w:r>
              <w:rPr>
                <w:rFonts w:ascii="Arial" w:cs="Arial" w:eastAsia="Arial" w:hAnsi="Arial"/>
                <w:sz w:val="13"/>
                <w:szCs w:val="13"/>
                <w:color w:val="auto"/>
                <w:w w:val="94"/>
              </w:rPr>
              <w:t>0.46</w:t>
            </w:r>
          </w:p>
        </w:tc>
      </w:tr>
      <w:tr>
        <w:trPr>
          <w:trHeight w:val="17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221"/>
              <w:spacing w:after="0"/>
              <w:rPr>
                <w:sz w:val="20"/>
                <w:szCs w:val="20"/>
                <w:color w:val="auto"/>
              </w:rPr>
            </w:pPr>
            <w:r>
              <w:rPr>
                <w:rFonts w:ascii="Arial" w:cs="Arial" w:eastAsia="Arial" w:hAnsi="Arial"/>
                <w:sz w:val="13"/>
                <w:szCs w:val="13"/>
                <w:color w:val="auto"/>
                <w:w w:val="99"/>
              </w:rPr>
              <w:t>(0.03)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220"/>
              <w:spacing w:after="0"/>
              <w:rPr>
                <w:sz w:val="20"/>
                <w:szCs w:val="20"/>
                <w:color w:val="auto"/>
              </w:rPr>
            </w:pPr>
            <w:r>
              <w:rPr>
                <w:rFonts w:ascii="Arial" w:cs="Arial" w:eastAsia="Arial" w:hAnsi="Arial"/>
                <w:sz w:val="13"/>
                <w:szCs w:val="13"/>
                <w:color w:val="auto"/>
                <w:w w:val="99"/>
              </w:rPr>
              <w:t>(0.06)</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Tax adjustment(c)</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left="221"/>
              <w:spacing w:after="0"/>
              <w:rPr>
                <w:sz w:val="20"/>
                <w:szCs w:val="20"/>
                <w:color w:val="auto"/>
              </w:rPr>
            </w:pPr>
            <w:r>
              <w:rPr>
                <w:rFonts w:ascii="Arial" w:cs="Arial" w:eastAsia="Arial" w:hAnsi="Arial"/>
                <w:sz w:val="13"/>
                <w:szCs w:val="13"/>
                <w:color w:val="auto"/>
                <w:w w:val="99"/>
              </w:rPr>
              <w:t>(0.18)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left="240"/>
              <w:spacing w:after="0"/>
              <w:rPr>
                <w:sz w:val="20"/>
                <w:szCs w:val="20"/>
                <w:color w:val="auto"/>
              </w:rPr>
            </w:pPr>
            <w:r>
              <w:rPr>
                <w:rFonts w:ascii="Arial" w:cs="Arial" w:eastAsia="Arial" w:hAnsi="Arial"/>
                <w:sz w:val="13"/>
                <w:szCs w:val="13"/>
                <w:color w:val="auto"/>
                <w:w w:val="94"/>
              </w:rPr>
              <w:t>0.16</w:t>
            </w:r>
          </w:p>
        </w:tc>
      </w:tr>
      <w:tr>
        <w:trPr>
          <w:trHeight w:val="18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2,223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center"/>
              <w:ind w:left="221"/>
              <w:spacing w:after="0"/>
              <w:rPr>
                <w:sz w:val="20"/>
                <w:szCs w:val="20"/>
                <w:color w:val="auto"/>
              </w:rPr>
            </w:pPr>
            <w:r>
              <w:rPr>
                <w:rFonts w:ascii="Arial" w:cs="Arial" w:eastAsia="Arial" w:hAnsi="Arial"/>
                <w:sz w:val="13"/>
                <w:szCs w:val="13"/>
                <w:color w:val="auto"/>
              </w:rPr>
              <w:t>1.52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4,067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8,400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5.73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4,257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center"/>
              <w:ind w:left="240"/>
              <w:spacing w:after="0"/>
              <w:rPr>
                <w:sz w:val="20"/>
                <w:szCs w:val="20"/>
                <w:color w:val="auto"/>
              </w:rPr>
            </w:pPr>
            <w:r>
              <w:rPr>
                <w:rFonts w:ascii="Arial" w:cs="Arial" w:eastAsia="Arial" w:hAnsi="Arial"/>
                <w:sz w:val="13"/>
                <w:szCs w:val="13"/>
                <w:color w:val="auto"/>
                <w:w w:val="94"/>
              </w:rPr>
              <w:t>2.96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jc w:val="both"/>
        <w:ind w:left="260" w:hanging="255"/>
        <w:spacing w:after="0" w:line="250" w:lineRule="auto"/>
        <w:tabs>
          <w:tab w:leader="none" w:pos="25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consist of tax benefit related to a deduction for an investment in a subsidiary in the three months ended September 30, 2021 and tax expense related to the establishment of a valuation allowance against Cruise deferred tax assets in the nine months ended September 30, 2021, and tax expense related to the establishment of a valuation allowance against deferred tax assets that are considered no longer realizable for GM in Australia and New Zealand for the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0"/>
                <w:szCs w:val="10"/>
                <w:b w:val="1"/>
                <w:bCs w:val="1"/>
                <w:color w:val="auto"/>
              </w:rPr>
              <w:t>Nine Months Ended</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32"/>
        </w:trPr>
        <w:tc>
          <w:tcPr>
            <w:tcW w:w="1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6"/>
              </w:rPr>
              <w:t>September 30, 2021</w:t>
            </w: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8"/>
              </w:rPr>
              <w:t>September 30, 2020</w:t>
            </w: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rPr>
              <w:t>September 30, 2021</w:t>
            </w: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8"/>
              </w:rPr>
              <w:t>September 30, 2020</w:t>
            </w:r>
          </w:p>
        </w:tc>
        <w:tc>
          <w:tcPr>
            <w:tcW w:w="700" w:type="dxa"/>
            <w:vAlign w:val="bottom"/>
            <w:tcBorders>
              <w:bottom w:val="single" w:sz="8" w:color="auto"/>
            </w:tcBorders>
          </w:tcPr>
          <w:p>
            <w:pPr>
              <w:spacing w:after="0"/>
              <w:rPr>
                <w:sz w:val="11"/>
                <w:szCs w:val="11"/>
                <w:color w:val="auto"/>
              </w:rPr>
            </w:pPr>
          </w:p>
        </w:tc>
      </w:tr>
      <w:tr>
        <w:trPr>
          <w:trHeight w:val="90"/>
        </w:trPr>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ind w:right="102"/>
              <w:spacing w:after="0" w:line="91"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ind w:right="102"/>
              <w:spacing w:after="0" w:line="91"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06"/>
        </w:trPr>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122"/>
              <w:spacing w:after="0" w:line="106" w:lineRule="exact"/>
              <w:rPr>
                <w:sz w:val="20"/>
                <w:szCs w:val="20"/>
                <w:color w:val="auto"/>
              </w:rPr>
            </w:pPr>
            <w:r>
              <w:rPr>
                <w:rFonts w:ascii="Arial" w:cs="Arial" w:eastAsia="Arial" w:hAnsi="Arial"/>
                <w:sz w:val="10"/>
                <w:szCs w:val="10"/>
                <w:b w:val="1"/>
                <w:bCs w:val="1"/>
                <w:color w:val="auto"/>
              </w:rPr>
              <w:t>before</w:t>
            </w:r>
          </w:p>
        </w:tc>
        <w:tc>
          <w:tcPr>
            <w:tcW w:w="100" w:type="dxa"/>
            <w:vAlign w:val="bottom"/>
          </w:tcPr>
          <w:p>
            <w:pPr>
              <w:spacing w:after="0"/>
              <w:rPr>
                <w:sz w:val="9"/>
                <w:szCs w:val="9"/>
                <w:color w:val="auto"/>
              </w:rPr>
            </w:pPr>
          </w:p>
        </w:tc>
        <w:tc>
          <w:tcPr>
            <w:tcW w:w="860" w:type="dxa"/>
            <w:vAlign w:val="bottom"/>
            <w:gridSpan w:val="4"/>
          </w:tcPr>
          <w:p>
            <w:pPr>
              <w:ind w:left="80"/>
              <w:spacing w:after="0" w:line="106" w:lineRule="exact"/>
              <w:rPr>
                <w:sz w:val="20"/>
                <w:szCs w:val="20"/>
                <w:color w:val="auto"/>
              </w:rPr>
            </w:pPr>
            <w:r>
              <w:rPr>
                <w:rFonts w:ascii="Arial" w:cs="Arial" w:eastAsia="Arial" w:hAnsi="Arial"/>
                <w:sz w:val="10"/>
                <w:szCs w:val="10"/>
                <w:b w:val="1"/>
                <w:bCs w:val="1"/>
                <w:color w:val="auto"/>
              </w:rPr>
              <w:t>Income tax</w:t>
            </w:r>
          </w:p>
        </w:tc>
        <w:tc>
          <w:tcPr>
            <w:tcW w:w="8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Effective tax</w:t>
            </w:r>
          </w:p>
        </w:tc>
        <w:tc>
          <w:tcPr>
            <w:tcW w:w="120" w:type="dxa"/>
            <w:vAlign w:val="bottom"/>
          </w:tcPr>
          <w:p>
            <w:pPr>
              <w:spacing w:after="0"/>
              <w:rPr>
                <w:sz w:val="9"/>
                <w:szCs w:val="9"/>
                <w:color w:val="auto"/>
              </w:rPr>
            </w:pPr>
          </w:p>
        </w:tc>
        <w:tc>
          <w:tcPr>
            <w:tcW w:w="540" w:type="dxa"/>
            <w:vAlign w:val="bottom"/>
          </w:tcPr>
          <w:p>
            <w:pPr>
              <w:jc w:val="right"/>
              <w:ind w:right="122"/>
              <w:spacing w:after="0" w:line="106" w:lineRule="exact"/>
              <w:rPr>
                <w:sz w:val="20"/>
                <w:szCs w:val="20"/>
                <w:color w:val="auto"/>
              </w:rPr>
            </w:pPr>
            <w:r>
              <w:rPr>
                <w:rFonts w:ascii="Arial" w:cs="Arial" w:eastAsia="Arial" w:hAnsi="Arial"/>
                <w:sz w:val="10"/>
                <w:szCs w:val="10"/>
                <w:b w:val="1"/>
                <w:bCs w:val="1"/>
                <w:color w:val="auto"/>
              </w:rPr>
              <w:t>before</w:t>
            </w:r>
          </w:p>
        </w:tc>
        <w:tc>
          <w:tcPr>
            <w:tcW w:w="100" w:type="dxa"/>
            <w:vAlign w:val="bottom"/>
          </w:tcPr>
          <w:p>
            <w:pPr>
              <w:spacing w:after="0"/>
              <w:rPr>
                <w:sz w:val="9"/>
                <w:szCs w:val="9"/>
                <w:color w:val="auto"/>
              </w:rPr>
            </w:pPr>
          </w:p>
        </w:tc>
        <w:tc>
          <w:tcPr>
            <w:tcW w:w="880" w:type="dxa"/>
            <w:vAlign w:val="bottom"/>
            <w:gridSpan w:val="4"/>
          </w:tcPr>
          <w:p>
            <w:pPr>
              <w:ind w:left="80"/>
              <w:spacing w:after="0" w:line="106" w:lineRule="exact"/>
              <w:rPr>
                <w:sz w:val="20"/>
                <w:szCs w:val="20"/>
                <w:color w:val="auto"/>
              </w:rPr>
            </w:pPr>
            <w:r>
              <w:rPr>
                <w:rFonts w:ascii="Arial" w:cs="Arial" w:eastAsia="Arial" w:hAnsi="Arial"/>
                <w:sz w:val="10"/>
                <w:szCs w:val="10"/>
                <w:b w:val="1"/>
                <w:bCs w:val="1"/>
                <w:color w:val="auto"/>
              </w:rPr>
              <w:t>Income tax</w:t>
            </w:r>
          </w:p>
        </w:tc>
        <w:tc>
          <w:tcPr>
            <w:tcW w:w="8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Effective tax</w:t>
            </w:r>
          </w:p>
        </w:tc>
        <w:tc>
          <w:tcPr>
            <w:tcW w:w="80" w:type="dxa"/>
            <w:vAlign w:val="bottom"/>
          </w:tcPr>
          <w:p>
            <w:pPr>
              <w:spacing w:after="0"/>
              <w:rPr>
                <w:sz w:val="9"/>
                <w:szCs w:val="9"/>
                <w:color w:val="auto"/>
              </w:rPr>
            </w:pPr>
          </w:p>
        </w:tc>
        <w:tc>
          <w:tcPr>
            <w:tcW w:w="640" w:type="dxa"/>
            <w:vAlign w:val="bottom"/>
          </w:tcPr>
          <w:p>
            <w:pPr>
              <w:jc w:val="right"/>
              <w:ind w:right="5"/>
              <w:spacing w:after="0"/>
              <w:rPr>
                <w:sz w:val="20"/>
                <w:szCs w:val="20"/>
                <w:color w:val="auto"/>
              </w:rPr>
            </w:pPr>
            <w:r>
              <w:rPr>
                <w:rFonts w:ascii="Arial" w:cs="Arial" w:eastAsia="Arial" w:hAnsi="Arial"/>
                <w:sz w:val="8"/>
                <w:szCs w:val="8"/>
                <w:b w:val="1"/>
                <w:bCs w:val="1"/>
                <w:color w:val="auto"/>
              </w:rPr>
              <w:t>Income before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8"/>
                <w:szCs w:val="8"/>
                <w:b w:val="1"/>
                <w:bCs w:val="1"/>
                <w:color w:val="auto"/>
              </w:rPr>
              <w:t>Income tax</w:t>
            </w:r>
          </w:p>
        </w:tc>
        <w:tc>
          <w:tcPr>
            <w:tcW w:w="820" w:type="dxa"/>
            <w:vAlign w:val="bottom"/>
            <w:gridSpan w:val="2"/>
          </w:tcPr>
          <w:p>
            <w:pPr>
              <w:ind w:left="40"/>
              <w:spacing w:after="0" w:line="106" w:lineRule="exact"/>
              <w:rPr>
                <w:sz w:val="20"/>
                <w:szCs w:val="20"/>
                <w:color w:val="auto"/>
              </w:rPr>
            </w:pPr>
            <w:r>
              <w:rPr>
                <w:rFonts w:ascii="Arial" w:cs="Arial" w:eastAsia="Arial" w:hAnsi="Arial"/>
                <w:sz w:val="10"/>
                <w:szCs w:val="10"/>
                <w:b w:val="1"/>
                <w:bCs w:val="1"/>
                <w:color w:val="auto"/>
              </w:rPr>
              <w:t>Effective tax</w:t>
            </w:r>
          </w:p>
        </w:tc>
        <w:tc>
          <w:tcPr>
            <w:tcW w:w="700" w:type="dxa"/>
            <w:vAlign w:val="bottom"/>
            <w:gridSpan w:val="2"/>
          </w:tcPr>
          <w:p>
            <w:pPr>
              <w:jc w:val="right"/>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ind w:left="20"/>
              <w:spacing w:after="0"/>
              <w:rPr>
                <w:sz w:val="20"/>
                <w:szCs w:val="20"/>
                <w:color w:val="auto"/>
              </w:rPr>
            </w:pPr>
            <w:r>
              <w:rPr>
                <w:rFonts w:ascii="Arial" w:cs="Arial" w:eastAsia="Arial" w:hAnsi="Arial"/>
                <w:sz w:val="8"/>
                <w:szCs w:val="8"/>
                <w:b w:val="1"/>
                <w:bCs w:val="1"/>
                <w:color w:val="auto"/>
              </w:rPr>
              <w:t>Income tax</w:t>
            </w:r>
          </w:p>
        </w:tc>
        <w:tc>
          <w:tcPr>
            <w:tcW w:w="700" w:type="dxa"/>
            <w:vAlign w:val="bottom"/>
          </w:tcPr>
          <w:p>
            <w:pPr>
              <w:jc w:val="right"/>
              <w:ind w:right="43"/>
              <w:spacing w:after="0" w:line="106" w:lineRule="exact"/>
              <w:rPr>
                <w:sz w:val="20"/>
                <w:szCs w:val="20"/>
                <w:color w:val="auto"/>
              </w:rPr>
            </w:pPr>
            <w:r>
              <w:rPr>
                <w:rFonts w:ascii="Arial" w:cs="Arial" w:eastAsia="Arial" w:hAnsi="Arial"/>
                <w:sz w:val="10"/>
                <w:szCs w:val="10"/>
                <w:b w:val="1"/>
                <w:bCs w:val="1"/>
                <w:color w:val="auto"/>
                <w:w w:val="98"/>
              </w:rPr>
              <w:t>Effective tax</w:t>
            </w:r>
          </w:p>
        </w:tc>
      </w:tr>
      <w:tr>
        <w:trPr>
          <w:trHeight w:val="127"/>
        </w:trPr>
        <w:tc>
          <w:tcPr>
            <w:tcW w:w="15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7"/>
              </w:rPr>
              <w:t>income taxes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9"/>
              </w:rPr>
              <w:t>expense</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rate</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7"/>
              </w:rPr>
              <w:t>income taxes</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w w:val="99"/>
              </w:rPr>
              <w:t>expense</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rate</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8"/>
                <w:szCs w:val="8"/>
                <w:b w:val="1"/>
                <w:bCs w:val="1"/>
                <w:color w:val="auto"/>
              </w:rPr>
              <w:t>income taxes</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3"/>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rate</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8"/>
                <w:szCs w:val="8"/>
                <w:b w:val="1"/>
                <w:bCs w:val="1"/>
                <w:color w:val="auto"/>
              </w:rPr>
              <w:t>income taxes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3"/>
              <w:spacing w:after="0"/>
              <w:rPr>
                <w:sz w:val="20"/>
                <w:szCs w:val="20"/>
                <w:color w:val="auto"/>
              </w:rPr>
            </w:pPr>
            <w:r>
              <w:rPr>
                <w:rFonts w:ascii="Arial" w:cs="Arial" w:eastAsia="Arial" w:hAnsi="Arial"/>
                <w:sz w:val="8"/>
                <w:szCs w:val="8"/>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rate</w:t>
            </w:r>
          </w:p>
        </w:tc>
      </w:tr>
      <w:tr>
        <w:trPr>
          <w:trHeight w:val="160"/>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2,538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2,300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24.3 %</w:t>
            </w:r>
          </w:p>
        </w:tc>
      </w:tr>
      <w:tr>
        <w:trPr>
          <w:trHeight w:val="168"/>
        </w:trPr>
        <w:tc>
          <w:tcPr>
            <w:tcW w:w="152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3"/>
        </w:trPr>
        <w:tc>
          <w:tcPr>
            <w:tcW w:w="152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
              <w:spacing w:after="0"/>
              <w:rPr>
                <w:sz w:val="20"/>
                <w:szCs w:val="20"/>
                <w:color w:val="auto"/>
              </w:rPr>
            </w:pPr>
            <w:r>
              <w:rPr>
                <w:rFonts w:ascii="Arial" w:cs="Arial" w:eastAsia="Arial" w:hAnsi="Arial"/>
                <w:sz w:val="13"/>
                <w:szCs w:val="13"/>
                <w:color w:val="auto"/>
              </w:rPr>
              <w:t>2,696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17.1 %</w:t>
            </w: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4,981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10,761</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21.4 %</w:t>
            </w:r>
          </w:p>
        </w:tc>
        <w:tc>
          <w:tcPr>
            <w:tcW w:w="80" w:type="dxa"/>
            <w:vAlign w:val="bottom"/>
          </w:tcPr>
          <w:p>
            <w:pPr>
              <w:spacing w:after="0"/>
              <w:rPr>
                <w:sz w:val="14"/>
                <w:szCs w:val="14"/>
                <w:color w:val="auto"/>
              </w:rPr>
            </w:pPr>
          </w:p>
        </w:tc>
        <w:tc>
          <w:tcPr>
            <w:tcW w:w="200" w:type="dxa"/>
            <w:vAlign w:val="bottom"/>
          </w:tcPr>
          <w:p>
            <w:pPr>
              <w:jc w:val="right"/>
              <w:ind w:right="4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5,313</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
              <w:spacing w:after="0"/>
              <w:rPr>
                <w:sz w:val="20"/>
                <w:szCs w:val="20"/>
                <w:color w:val="auto"/>
              </w:rPr>
            </w:pPr>
            <w:r>
              <w:rPr>
                <w:rFonts w:ascii="Arial" w:cs="Arial" w:eastAsia="Arial" w:hAnsi="Arial"/>
                <w:sz w:val="13"/>
                <w:szCs w:val="13"/>
                <w:color w:val="auto"/>
              </w:rPr>
              <w:t>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18.4 %</w:t>
            </w:r>
          </w:p>
        </w:tc>
      </w:tr>
      <w:tr>
        <w:trPr>
          <w:trHeight w:val="20"/>
        </w:trPr>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line="241"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190"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0"/>
                <w:szCs w:val="10"/>
                <w:b w:val="1"/>
                <w:bCs w:val="1"/>
                <w:color w:val="auto"/>
              </w:rPr>
              <w:t>Four Quarters Ended</w:t>
            </w:r>
          </w:p>
        </w:tc>
      </w:tr>
      <w:tr>
        <w:trPr>
          <w:trHeight w:val="132"/>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2021</w:t>
            </w:r>
          </w:p>
        </w:tc>
        <w:tc>
          <w:tcPr>
            <w:tcW w:w="240" w:type="dxa"/>
            <w:vAlign w:val="bottom"/>
          </w:tcPr>
          <w:p>
            <w:pPr>
              <w:spacing w:after="0"/>
              <w:rPr>
                <w:sz w:val="11"/>
                <w:szCs w:val="11"/>
                <w:color w:val="auto"/>
              </w:rPr>
            </w:pPr>
          </w:p>
        </w:tc>
        <w:tc>
          <w:tcPr>
            <w:tcW w:w="1480" w:type="dxa"/>
            <w:vAlign w:val="bottom"/>
          </w:tcPr>
          <w:p>
            <w:pPr>
              <w:jc w:val="right"/>
              <w:ind w:right="340"/>
              <w:spacing w:after="0"/>
              <w:rPr>
                <w:sz w:val="20"/>
                <w:szCs w:val="20"/>
                <w:color w:val="auto"/>
              </w:rPr>
            </w:pPr>
            <w:r>
              <w:rPr>
                <w:rFonts w:ascii="Arial" w:cs="Arial" w:eastAsia="Arial" w:hAnsi="Arial"/>
                <w:sz w:val="10"/>
                <w:szCs w:val="10"/>
                <w:b w:val="1"/>
                <w:bCs w:val="1"/>
                <w:color w:val="auto"/>
              </w:rPr>
              <w:t>September 30, 2020</w:t>
            </w:r>
          </w:p>
        </w:tc>
      </w:tr>
      <w:tr>
        <w:trPr>
          <w:trHeight w:val="16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rPr>
              <w:t>11.1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Pr>
          <w:p>
            <w:pPr>
              <w:ind w:left="1060"/>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100"/>
              <w:spacing w:after="0"/>
              <w:rPr>
                <w:sz w:val="20"/>
                <w:szCs w:val="20"/>
                <w:color w:val="auto"/>
              </w:rPr>
            </w:pPr>
            <w:r>
              <w:rPr>
                <w:rFonts w:ascii="Arial" w:cs="Arial" w:eastAsia="Arial" w:hAnsi="Arial"/>
                <w:sz w:val="13"/>
                <w:szCs w:val="13"/>
                <w:color w:val="auto"/>
              </w:rPr>
              <w:t>42.5</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w w:val="98"/>
              </w:rPr>
              <w:t>21.2 %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4"/>
          </w:tcPr>
          <w:p>
            <w:pPr>
              <w:ind w:left="1040"/>
              <w:spacing w:after="0"/>
              <w:rPr>
                <w:sz w:val="20"/>
                <w:szCs w:val="20"/>
                <w:color w:val="auto"/>
              </w:rPr>
            </w:pPr>
            <w:r>
              <w:rPr>
                <w:rFonts w:ascii="Arial" w:cs="Arial" w:eastAsia="Arial" w:hAnsi="Arial"/>
                <w:sz w:val="10"/>
                <w:szCs w:val="10"/>
                <w:b w:val="1"/>
                <w:bCs w:val="1"/>
                <w:color w:val="auto"/>
              </w:rPr>
              <w:t>Four Quarters Ended</w:t>
            </w:r>
          </w:p>
        </w:tc>
      </w:tr>
      <w:tr>
        <w:trPr>
          <w:trHeight w:val="132"/>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2021</w:t>
            </w:r>
          </w:p>
        </w:tc>
        <w:tc>
          <w:tcPr>
            <w:tcW w:w="240" w:type="dxa"/>
            <w:vAlign w:val="bottom"/>
          </w:tcPr>
          <w:p>
            <w:pPr>
              <w:spacing w:after="0"/>
              <w:rPr>
                <w:sz w:val="11"/>
                <w:szCs w:val="11"/>
                <w:color w:val="auto"/>
              </w:rPr>
            </w:pPr>
          </w:p>
        </w:tc>
        <w:tc>
          <w:tcPr>
            <w:tcW w:w="1480" w:type="dxa"/>
            <w:vAlign w:val="bottom"/>
          </w:tcPr>
          <w:p>
            <w:pPr>
              <w:jc w:val="right"/>
              <w:ind w:right="338"/>
              <w:spacing w:after="0"/>
              <w:rPr>
                <w:sz w:val="20"/>
                <w:szCs w:val="20"/>
                <w:color w:val="auto"/>
              </w:rPr>
            </w:pPr>
            <w:r>
              <w:rPr>
                <w:rFonts w:ascii="Arial" w:cs="Arial" w:eastAsia="Arial" w:hAnsi="Arial"/>
                <w:sz w:val="10"/>
                <w:szCs w:val="10"/>
                <w:b w:val="1"/>
                <w:bCs w:val="1"/>
                <w:color w:val="auto"/>
              </w:rPr>
              <w:t>September 30, 2020</w:t>
            </w:r>
          </w:p>
        </w:tc>
      </w:tr>
      <w:tr>
        <w:trPr>
          <w:trHeight w:val="16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rPr>
              <w:t>15.2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6.1</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Pr>
          <w:p>
            <w:pPr>
              <w:ind w:left="1060"/>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98"/>
              <w:spacing w:after="0"/>
              <w:rPr>
                <w:sz w:val="20"/>
                <w:szCs w:val="20"/>
                <w:color w:val="auto"/>
              </w:rPr>
            </w:pPr>
            <w:r>
              <w:rPr>
                <w:rFonts w:ascii="Arial" w:cs="Arial" w:eastAsia="Arial" w:hAnsi="Arial"/>
                <w:sz w:val="13"/>
                <w:szCs w:val="13"/>
                <w:color w:val="auto"/>
              </w:rPr>
              <w:t>42.5</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27.0</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260" w:type="dxa"/>
            <w:vAlign w:val="bottom"/>
          </w:tcPr>
          <w:p>
            <w:pPr>
              <w:spacing w:after="0"/>
              <w:rPr>
                <w:sz w:val="14"/>
                <w:szCs w:val="14"/>
                <w:color w:val="auto"/>
              </w:rPr>
            </w:pPr>
          </w:p>
        </w:tc>
        <w:tc>
          <w:tcPr>
            <w:tcW w:w="1480" w:type="dxa"/>
            <w:vAlign w:val="bottom"/>
          </w:tcPr>
          <w:p>
            <w:pPr>
              <w:ind w:left="1060"/>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98"/>
              <w:spacing w:after="0"/>
              <w:rPr>
                <w:sz w:val="20"/>
                <w:szCs w:val="20"/>
                <w:color w:val="auto"/>
              </w:rPr>
            </w:pPr>
            <w:r>
              <w:rPr>
                <w:rFonts w:ascii="Arial" w:cs="Arial" w:eastAsia="Arial" w:hAnsi="Arial"/>
                <w:sz w:val="13"/>
                <w:szCs w:val="13"/>
                <w:color w:val="auto"/>
              </w:rPr>
              <w:t>17.4</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(24.1)</w:t>
            </w:r>
          </w:p>
        </w:tc>
      </w:tr>
      <w:tr>
        <w:trPr>
          <w:trHeight w:val="163"/>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62.8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w w:val="98"/>
              </w:rPr>
              <w:t>23.5 %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 for adjustment details.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80" w:type="dxa"/>
            <w:vAlign w:val="bottom"/>
            <w:gridSpan w:val="5"/>
          </w:tcPr>
          <w:p>
            <w:pPr>
              <w:ind w:left="82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1"/>
                <w:szCs w:val="11"/>
                <w:color w:val="auto"/>
              </w:rPr>
            </w:pPr>
          </w:p>
        </w:tc>
        <w:tc>
          <w:tcPr>
            <w:tcW w:w="2780" w:type="dxa"/>
            <w:vAlign w:val="bottom"/>
            <w:gridSpan w:val="4"/>
          </w:tcPr>
          <w:p>
            <w:pPr>
              <w:jc w:val="right"/>
              <w:ind w:right="958"/>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5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2021</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2021</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September 30, 2020</w:t>
            </w:r>
          </w:p>
        </w:tc>
      </w:tr>
      <w:tr>
        <w:trPr>
          <w:trHeight w:val="165"/>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2,276</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(3,292)</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Cadillac dealer strategy</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Add: GMI restructuring</w:t>
            </w:r>
          </w:p>
        </w:tc>
        <w:tc>
          <w:tcPr>
            <w:tcW w:w="1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251</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 Korea Wage Litigation</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Less: GM Brazil indirect tax recoveries</w:t>
            </w:r>
          </w:p>
        </w:tc>
        <w:tc>
          <w:tcPr>
            <w:tcW w:w="1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8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automotive free cash flow</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7"/>
                <w:szCs w:val="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7"/>
                <w:szCs w:val="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7"/>
                <w:szCs w:val="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September 30,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20,554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23,424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3,354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26,779</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1,684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1,829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1,859</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1,554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3,081</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323</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Three Months Ended September 30,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29,128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32,066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3,421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35,480</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841</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138</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980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992</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1,814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3,158</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309</w:t>
            </w:r>
          </w:p>
        </w:tc>
        <w:tc>
          <w:tcPr>
            <w:tcW w:w="0" w:type="dxa"/>
            <w:vAlign w:val="bottom"/>
          </w:tcPr>
          <w:p>
            <w:pPr>
              <w:spacing w:after="0"/>
              <w:rPr>
                <w:sz w:val="1"/>
                <w:szCs w:val="1"/>
                <w:color w:val="auto"/>
              </w:rPr>
            </w:pPr>
          </w:p>
        </w:tc>
      </w:tr>
      <w:tr>
        <w:trPr>
          <w:trHeight w:val="286"/>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Nine Months Ended September 30,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74,443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8,721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83,231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10,187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93,420</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3,860</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362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4,235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4,310</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4,272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4,801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9,110</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858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1,015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20"/>
                <w:szCs w:val="20"/>
                <w:color w:val="auto"/>
              </w:rPr>
            </w:pPr>
            <w:r>
              <w:rPr>
                <w:rFonts w:ascii="Arial" w:cs="Arial" w:eastAsia="Arial" w:hAnsi="Arial"/>
                <w:sz w:val="8"/>
                <w:szCs w:val="8"/>
                <w:b w:val="1"/>
                <w:bCs w:val="1"/>
                <w:color w:val="auto"/>
              </w:rPr>
              <w:t>Nine Months Ended September 30,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66,563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7,692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74,576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10,405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center"/>
              <w:ind w:left="431"/>
              <w:spacing w:after="0"/>
              <w:rPr>
                <w:sz w:val="20"/>
                <w:szCs w:val="20"/>
                <w:color w:val="auto"/>
              </w:rPr>
            </w:pPr>
            <w:r>
              <w:rPr>
                <w:rFonts w:ascii="Arial" w:cs="Arial" w:eastAsia="Arial" w:hAnsi="Arial"/>
                <w:sz w:val="10"/>
                <w:szCs w:val="10"/>
                <w:color w:val="auto"/>
              </w:rPr>
              <w:t>(93)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84,967</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2,703</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574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3,292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26</w:t>
            </w:r>
          </w:p>
        </w:tc>
        <w:tc>
          <w:tcPr>
            <w:tcW w:w="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3,328</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4,017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5,567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9,614</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101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3"/>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center"/>
              <w:ind w:left="311"/>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389</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line="250" w:lineRule="auto"/>
        <w:tabs>
          <w:tab w:leader="none" w:pos="249"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Automotive China equity income of $270 million and $262 million in the three months ended September 30, 2021 and 2020 and $854 million and $264 million in the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6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84"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2021, 29.1% of our wholesale vehicle sales volume was generated outside the U.S. The following table summarizes wholesale vehicle sales by automotive segment (vehicles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3060" w:type="dxa"/>
            <w:vAlign w:val="bottom"/>
            <w:tcBorders>
              <w:bottom w:val="single" w:sz="8" w:color="auto"/>
            </w:tcBorders>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44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2021</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2020</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September 30, 2020</w:t>
            </w:r>
          </w:p>
        </w:tc>
      </w:tr>
      <w:tr>
        <w:trPr>
          <w:trHeight w:val="16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423</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1,729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113</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388</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w:t>
            </w:r>
          </w:p>
        </w:tc>
      </w:tr>
      <w:tr>
        <w:trPr>
          <w:trHeight w:val="18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536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839"/>
        </w:trPr>
        <w:tc>
          <w:tcPr>
            <w:tcW w:w="4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3480" w:type="dxa"/>
            <w:vAlign w:val="bottom"/>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380" w:type="dxa"/>
            <w:vAlign w:val="bottom"/>
            <w:gridSpan w:val="3"/>
          </w:tcPr>
          <w:p>
            <w:pPr>
              <w:jc w:val="right"/>
              <w:ind w:right="1157"/>
              <w:spacing w:after="0"/>
              <w:rPr>
                <w:sz w:val="20"/>
                <w:szCs w:val="20"/>
                <w:color w:val="auto"/>
              </w:rPr>
            </w:pPr>
            <w:r>
              <w:rPr>
                <w:rFonts w:ascii="Arial" w:cs="Arial" w:eastAsia="Arial" w:hAnsi="Arial"/>
                <w:sz w:val="10"/>
                <w:szCs w:val="10"/>
                <w:b w:val="1"/>
                <w:bCs w:val="1"/>
                <w:color w:val="auto"/>
              </w:rPr>
              <w:t>Nine Months Ended</w:t>
            </w:r>
          </w:p>
        </w:tc>
      </w:tr>
      <w:tr>
        <w:trPr>
          <w:trHeight w:val="127"/>
        </w:trPr>
        <w:tc>
          <w:tcPr>
            <w:tcW w:w="4420" w:type="dxa"/>
            <w:vAlign w:val="bottom"/>
          </w:tcPr>
          <w:p>
            <w:pPr>
              <w:spacing w:after="0"/>
              <w:rPr>
                <w:sz w:val="11"/>
                <w:szCs w:val="11"/>
                <w:color w:val="auto"/>
              </w:rPr>
            </w:pPr>
          </w:p>
        </w:tc>
        <w:tc>
          <w:tcPr>
            <w:tcW w:w="1740" w:type="dxa"/>
            <w:vAlign w:val="bottom"/>
            <w:tcBorders>
              <w:top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September 30, 2021</w:t>
            </w:r>
          </w:p>
        </w:tc>
        <w:tc>
          <w:tcPr>
            <w:tcW w:w="164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1740" w:type="dxa"/>
            <w:vAlign w:val="bottom"/>
            <w:tcBorders>
              <w:top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September 30, 2021</w:t>
            </w:r>
          </w:p>
        </w:tc>
        <w:tc>
          <w:tcPr>
            <w:tcW w:w="164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2020</w:t>
            </w:r>
          </w:p>
        </w:tc>
      </w:tr>
      <w:tr>
        <w:trPr>
          <w:trHeight w:val="156"/>
        </w:trPr>
        <w:tc>
          <w:tcPr>
            <w:tcW w:w="442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17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68"/>
        </w:trPr>
        <w:tc>
          <w:tcPr>
            <w:tcW w:w="4420" w:type="dxa"/>
            <w:vAlign w:val="bottom"/>
          </w:tcPr>
          <w:p>
            <w:pPr>
              <w:ind w:left="180"/>
              <w:spacing w:after="0"/>
              <w:rPr>
                <w:sz w:val="20"/>
                <w:szCs w:val="20"/>
                <w:color w:val="auto"/>
              </w:rPr>
            </w:pPr>
            <w:r>
              <w:rPr>
                <w:rFonts w:ascii="Arial" w:cs="Arial" w:eastAsia="Arial" w:hAnsi="Arial"/>
                <w:sz w:val="13"/>
                <w:szCs w:val="13"/>
                <w:color w:val="auto"/>
              </w:rPr>
              <w:t>Chevrolet – Trucks</w:t>
            </w:r>
          </w:p>
        </w:tc>
        <w:tc>
          <w:tcPr>
            <w:tcW w:w="164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616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607</w:t>
            </w:r>
          </w:p>
        </w:tc>
      </w:tr>
      <w:tr>
        <w:trPr>
          <w:trHeight w:val="17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168"/>
        </w:trPr>
        <w:tc>
          <w:tcPr>
            <w:tcW w:w="4420" w:type="dxa"/>
            <w:vAlign w:val="bottom"/>
          </w:tcPr>
          <w:p>
            <w:pPr>
              <w:ind w:left="180"/>
              <w:spacing w:after="0"/>
              <w:rPr>
                <w:sz w:val="20"/>
                <w:szCs w:val="20"/>
                <w:color w:val="auto"/>
              </w:rPr>
            </w:pPr>
            <w:r>
              <w:rPr>
                <w:rFonts w:ascii="Arial" w:cs="Arial" w:eastAsia="Arial" w:hAnsi="Arial"/>
                <w:sz w:val="13"/>
                <w:szCs w:val="13"/>
                <w:color w:val="auto"/>
              </w:rPr>
              <w:t>Cadillac</w:t>
            </w:r>
          </w:p>
        </w:tc>
        <w:tc>
          <w:tcPr>
            <w:tcW w:w="16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7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168"/>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r>
      <w:tr>
        <w:trPr>
          <w:trHeight w:val="163"/>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r>
      <w:tr>
        <w:trPr>
          <w:trHeight w:val="163"/>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2,049</w:t>
            </w:r>
          </w:p>
        </w:tc>
      </w:tr>
      <w:tr>
        <w:trPr>
          <w:trHeight w:val="148"/>
        </w:trPr>
        <w:tc>
          <w:tcPr>
            <w:tcW w:w="4420" w:type="dxa"/>
            <w:vAlign w:val="bottom"/>
          </w:tcPr>
          <w:p>
            <w:pPr>
              <w:ind w:left="20"/>
              <w:spacing w:after="0" w:line="146" w:lineRule="exact"/>
              <w:rPr>
                <w:sz w:val="20"/>
                <w:szCs w:val="20"/>
                <w:color w:val="auto"/>
              </w:rPr>
            </w:pPr>
            <w:r>
              <w:rPr>
                <w:rFonts w:ascii="Arial" w:cs="Arial" w:eastAsia="Arial" w:hAnsi="Arial"/>
                <w:sz w:val="13"/>
                <w:szCs w:val="13"/>
                <w:color w:val="auto"/>
              </w:rPr>
              <w:t>Asia/Pacific, Middle East and Africa</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7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r>
      <w:tr>
        <w:trPr>
          <w:trHeight w:val="168"/>
        </w:trPr>
        <w:tc>
          <w:tcPr>
            <w:tcW w:w="4420" w:type="dxa"/>
            <w:vAlign w:val="bottom"/>
          </w:tcPr>
          <w:p>
            <w:pPr>
              <w:ind w:left="180"/>
              <w:spacing w:after="0"/>
              <w:rPr>
                <w:sz w:val="20"/>
                <w:szCs w:val="20"/>
                <w:color w:val="auto"/>
              </w:rPr>
            </w:pPr>
            <w:r>
              <w:rPr>
                <w:rFonts w:ascii="Arial" w:cs="Arial" w:eastAsia="Arial" w:hAnsi="Arial"/>
                <w:sz w:val="13"/>
                <w:szCs w:val="13"/>
                <w:color w:val="auto"/>
              </w:rPr>
              <w:t>Wuling</w:t>
            </w:r>
          </w:p>
        </w:tc>
        <w:tc>
          <w:tcPr>
            <w:tcW w:w="164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722</w:t>
            </w:r>
          </w:p>
        </w:tc>
      </w:tr>
      <w:tr>
        <w:trPr>
          <w:trHeight w:val="17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r>
      <w:tr>
        <w:trPr>
          <w:trHeight w:val="168"/>
        </w:trPr>
        <w:tc>
          <w:tcPr>
            <w:tcW w:w="4420" w:type="dxa"/>
            <w:vAlign w:val="bottom"/>
          </w:tcPr>
          <w:p>
            <w:pPr>
              <w:ind w:left="180"/>
              <w:spacing w:after="0"/>
              <w:rPr>
                <w:sz w:val="20"/>
                <w:szCs w:val="20"/>
                <w:color w:val="auto"/>
              </w:rPr>
            </w:pPr>
            <w:r>
              <w:rPr>
                <w:rFonts w:ascii="Arial" w:cs="Arial" w:eastAsia="Arial" w:hAnsi="Arial"/>
                <w:sz w:val="13"/>
                <w:szCs w:val="13"/>
                <w:color w:val="auto"/>
              </w:rPr>
              <w:t>Baojun</w:t>
            </w:r>
          </w:p>
        </w:tc>
        <w:tc>
          <w:tcPr>
            <w:tcW w:w="16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276</w:t>
            </w:r>
          </w:p>
        </w:tc>
      </w:tr>
      <w:tr>
        <w:trPr>
          <w:trHeight w:val="17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68"/>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63"/>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w:t>
            </w: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r>
      <w:tr>
        <w:trPr>
          <w:trHeight w:val="163"/>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w:t>
            </w: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3060" w:type="dxa"/>
            <w:vAlign w:val="bottom"/>
            <w:tcBorders>
              <w:bottom w:val="single" w:sz="8" w:color="auto"/>
            </w:tcBorders>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Borders>
              <w:bottom w:val="single" w:sz="8" w:color="auto"/>
            </w:tcBorders>
            <w:gridSpan w:val="3"/>
          </w:tcPr>
          <w:p>
            <w:pPr>
              <w:jc w:val="right"/>
              <w:ind w:right="1161"/>
              <w:spacing w:after="0"/>
              <w:rPr>
                <w:sz w:val="20"/>
                <w:szCs w:val="20"/>
                <w:color w:val="auto"/>
              </w:rPr>
            </w:pPr>
            <w:r>
              <w:rPr>
                <w:rFonts w:ascii="Arial" w:cs="Arial" w:eastAsia="Arial" w:hAnsi="Arial"/>
                <w:sz w:val="10"/>
                <w:szCs w:val="10"/>
                <w:b w:val="1"/>
                <w:bCs w:val="1"/>
                <w:color w:val="auto"/>
              </w:rPr>
              <w:t>Nine Months Ended</w:t>
            </w:r>
          </w:p>
        </w:tc>
      </w:tr>
      <w:tr>
        <w:trPr>
          <w:trHeight w:val="132"/>
        </w:trPr>
        <w:tc>
          <w:tcPr>
            <w:tcW w:w="44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2021</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2020</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September 30, 2020</w:t>
            </w:r>
          </w:p>
        </w:tc>
      </w:tr>
      <w:tr>
        <w:trPr>
          <w:trHeight w:val="16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275</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974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952</w:t>
            </w:r>
          </w:p>
        </w:tc>
      </w:tr>
      <w:tr>
        <w:trPr>
          <w:trHeight w:val="165"/>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20" w:type="dxa"/>
            <w:vAlign w:val="bottom"/>
          </w:tcPr>
          <w:p>
            <w:pPr>
              <w:jc w:val="center"/>
              <w:spacing w:after="0"/>
              <w:rPr>
                <w:sz w:val="20"/>
                <w:szCs w:val="20"/>
                <w:color w:val="auto"/>
              </w:rPr>
            </w:pPr>
            <w:r>
              <w:rPr>
                <w:rFonts w:ascii="Arial" w:cs="Arial" w:eastAsia="Arial" w:hAnsi="Arial"/>
                <w:sz w:val="13"/>
                <w:szCs w:val="13"/>
                <w:color w:val="auto"/>
                <w:w w:val="92"/>
              </w:rPr>
              <w:t>349</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Arial" w:cs="Arial" w:eastAsia="Arial" w:hAnsi="Arial"/>
                <w:sz w:val="13"/>
                <w:szCs w:val="13"/>
                <w:color w:val="auto"/>
              </w:rPr>
              <w:t>1,180</w:t>
            </w:r>
          </w:p>
        </w:tc>
        <w:tc>
          <w:tcPr>
            <w:tcW w:w="100" w:type="dxa"/>
            <w:vAlign w:val="bottom"/>
          </w:tcPr>
          <w:p>
            <w:pPr>
              <w:spacing w:after="0"/>
              <w:rPr>
                <w:sz w:val="14"/>
                <w:szCs w:val="14"/>
                <w:color w:val="auto"/>
              </w:rPr>
            </w:pPr>
          </w:p>
        </w:tc>
        <w:tc>
          <w:tcPr>
            <w:tcW w:w="1640" w:type="dxa"/>
            <w:vAlign w:val="bottom"/>
          </w:tcPr>
          <w:p>
            <w:pPr>
              <w:jc w:val="right"/>
              <w:ind w:right="1"/>
              <w:spacing w:after="0"/>
              <w:rPr>
                <w:sz w:val="20"/>
                <w:szCs w:val="20"/>
                <w:color w:val="auto"/>
              </w:rPr>
            </w:pPr>
            <w:r>
              <w:rPr>
                <w:rFonts w:ascii="Arial" w:cs="Arial" w:eastAsia="Arial" w:hAnsi="Arial"/>
                <w:sz w:val="13"/>
                <w:szCs w:val="13"/>
                <w:color w:val="auto"/>
              </w:rPr>
              <w:t>995</w:t>
            </w:r>
          </w:p>
        </w:tc>
      </w:tr>
      <w:tr>
        <w:trPr>
          <w:trHeight w:val="721"/>
        </w:trPr>
        <w:tc>
          <w:tcPr>
            <w:tcW w:w="4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200" w:type="dxa"/>
            <w:vAlign w:val="bottom"/>
          </w:tcPr>
          <w:p>
            <w:pPr>
              <w:spacing w:after="0"/>
              <w:rPr>
                <w:sz w:val="11"/>
                <w:szCs w:val="11"/>
                <w:color w:val="auto"/>
              </w:rPr>
            </w:pPr>
          </w:p>
        </w:tc>
        <w:tc>
          <w:tcPr>
            <w:tcW w:w="3600" w:type="dxa"/>
            <w:vAlign w:val="bottom"/>
            <w:gridSpan w:val="4"/>
          </w:tcPr>
          <w:p>
            <w:pPr>
              <w:ind w:left="1260"/>
              <w:spacing w:after="0"/>
              <w:rPr>
                <w:sz w:val="20"/>
                <w:szCs w:val="20"/>
                <w:color w:val="auto"/>
              </w:rPr>
            </w:pPr>
            <w:r>
              <w:rPr>
                <w:rFonts w:ascii="Arial" w:cs="Arial" w:eastAsia="Arial" w:hAnsi="Arial"/>
                <w:sz w:val="10"/>
                <w:szCs w:val="10"/>
                <w:b w:val="1"/>
                <w:bCs w:val="1"/>
                <w:color w:val="auto"/>
              </w:rPr>
              <w:t>Three Months Ended</w:t>
            </w:r>
          </w:p>
        </w:tc>
        <w:tc>
          <w:tcPr>
            <w:tcW w:w="3480" w:type="dxa"/>
            <w:vAlign w:val="bottom"/>
            <w:gridSpan w:val="3"/>
          </w:tcPr>
          <w:p>
            <w:pPr>
              <w:jc w:val="right"/>
              <w:ind w:right="1218"/>
              <w:spacing w:after="0"/>
              <w:rPr>
                <w:sz w:val="20"/>
                <w:szCs w:val="20"/>
                <w:color w:val="auto"/>
              </w:rPr>
            </w:pPr>
            <w:r>
              <w:rPr>
                <w:rFonts w:ascii="Arial" w:cs="Arial" w:eastAsia="Arial" w:hAnsi="Arial"/>
                <w:sz w:val="10"/>
                <w:szCs w:val="10"/>
                <w:b w:val="1"/>
                <w:bCs w:val="1"/>
                <w:color w:val="auto"/>
              </w:rPr>
              <w:t>Nine Months Ended</w:t>
            </w:r>
          </w:p>
        </w:tc>
      </w:tr>
      <w:tr>
        <w:trPr>
          <w:trHeight w:val="127"/>
        </w:trPr>
        <w:tc>
          <w:tcPr>
            <w:tcW w:w="4200" w:type="dxa"/>
            <w:vAlign w:val="bottom"/>
          </w:tcPr>
          <w:p>
            <w:pPr>
              <w:spacing w:after="0"/>
              <w:rPr>
                <w:sz w:val="11"/>
                <w:szCs w:val="11"/>
                <w:color w:val="auto"/>
              </w:rPr>
            </w:pPr>
          </w:p>
        </w:tc>
        <w:tc>
          <w:tcPr>
            <w:tcW w:w="18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September 30, 2021</w:t>
            </w:r>
          </w:p>
        </w:tc>
        <w:tc>
          <w:tcPr>
            <w:tcW w:w="170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178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September 30, 2021</w:t>
            </w:r>
          </w:p>
        </w:tc>
        <w:tc>
          <w:tcPr>
            <w:tcW w:w="170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September 30, 2020</w:t>
            </w:r>
          </w:p>
        </w:tc>
      </w:tr>
      <w:tr>
        <w:trPr>
          <w:trHeight w:val="156"/>
        </w:trPr>
        <w:tc>
          <w:tcPr>
            <w:tcW w:w="420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r>
      <w:tr>
        <w:trPr>
          <w:trHeight w:val="17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r>
      <w:tr>
        <w:trPr>
          <w:trHeight w:val="168"/>
        </w:trPr>
        <w:tc>
          <w:tcPr>
            <w:tcW w:w="4200" w:type="dxa"/>
            <w:vAlign w:val="bottom"/>
          </w:tcPr>
          <w:p>
            <w:pPr>
              <w:ind w:left="140"/>
              <w:spacing w:after="0"/>
              <w:rPr>
                <w:sz w:val="20"/>
                <w:szCs w:val="20"/>
                <w:color w:val="auto"/>
              </w:rPr>
            </w:pPr>
            <w:r>
              <w:rPr>
                <w:rFonts w:ascii="Arial" w:cs="Arial" w:eastAsia="Arial" w:hAnsi="Arial"/>
                <w:sz w:val="13"/>
                <w:szCs w:val="13"/>
                <w:color w:val="auto"/>
              </w:rPr>
              <w:t>United States – Trucks</w:t>
            </w:r>
          </w:p>
        </w:tc>
        <w:tc>
          <w:tcPr>
            <w:tcW w:w="1700" w:type="dxa"/>
            <w:vAlign w:val="bottom"/>
          </w:tcPr>
          <w:p>
            <w:pPr>
              <w:jc w:val="right"/>
              <w:spacing w:after="0"/>
              <w:rPr>
                <w:sz w:val="20"/>
                <w:szCs w:val="20"/>
                <w:color w:val="auto"/>
              </w:rPr>
            </w:pPr>
            <w:r>
              <w:rPr>
                <w:rFonts w:ascii="Arial" w:cs="Arial" w:eastAsia="Arial" w:hAnsi="Arial"/>
                <w:sz w:val="13"/>
                <w:szCs w:val="13"/>
                <w:color w:val="auto"/>
              </w:rPr>
              <w:t>28.7 %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29.8 %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29.8 %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30.2 %</w:t>
            </w:r>
          </w:p>
        </w:tc>
      </w:tr>
      <w:tr>
        <w:trPr>
          <w:trHeight w:val="17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14.0 %</w:t>
            </w:r>
          </w:p>
        </w:tc>
      </w:tr>
      <w:tr>
        <w:trPr>
          <w:trHeight w:val="168"/>
        </w:trPr>
        <w:tc>
          <w:tcPr>
            <w:tcW w:w="4200" w:type="dxa"/>
            <w:vAlign w:val="bottom"/>
          </w:tcPr>
          <w:p>
            <w:pPr>
              <w:ind w:left="140"/>
              <w:spacing w:after="0"/>
              <w:rPr>
                <w:sz w:val="20"/>
                <w:szCs w:val="20"/>
                <w:color w:val="auto"/>
              </w:rPr>
            </w:pPr>
            <w:r>
              <w:rPr>
                <w:rFonts w:ascii="Arial" w:cs="Arial" w:eastAsia="Arial" w:hAnsi="Arial"/>
                <w:sz w:val="13"/>
                <w:szCs w:val="13"/>
                <w:color w:val="auto"/>
              </w:rPr>
              <w:t>Total United States</w:t>
            </w:r>
          </w:p>
        </w:tc>
        <w:tc>
          <w:tcPr>
            <w:tcW w:w="1700" w:type="dxa"/>
            <w:vAlign w:val="bottom"/>
          </w:tcPr>
          <w:p>
            <w:pPr>
              <w:jc w:val="right"/>
              <w:spacing w:after="0"/>
              <w:rPr>
                <w:sz w:val="20"/>
                <w:szCs w:val="20"/>
                <w:color w:val="auto"/>
              </w:rPr>
            </w:pPr>
            <w:r>
              <w:rPr>
                <w:rFonts w:ascii="Arial" w:cs="Arial" w:eastAsia="Arial" w:hAnsi="Arial"/>
                <w:sz w:val="13"/>
                <w:szCs w:val="13"/>
                <w:color w:val="auto"/>
              </w:rPr>
              <w:t>12.8 %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14.8 %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16.8 %</w:t>
            </w:r>
          </w:p>
        </w:tc>
      </w:tr>
      <w:tr>
        <w:trPr>
          <w:trHeight w:val="17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r>
      <w:tr>
        <w:trPr>
          <w:trHeight w:val="168"/>
        </w:trPr>
        <w:tc>
          <w:tcPr>
            <w:tcW w:w="4200" w:type="dxa"/>
            <w:vAlign w:val="bottom"/>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1700" w:type="dxa"/>
            <w:vAlign w:val="bottom"/>
          </w:tcPr>
          <w:p>
            <w:pPr>
              <w:jc w:val="right"/>
              <w:spacing w:after="0"/>
              <w:rPr>
                <w:sz w:val="20"/>
                <w:szCs w:val="20"/>
                <w:color w:val="auto"/>
              </w:rPr>
            </w:pPr>
            <w:r>
              <w:rPr>
                <w:rFonts w:ascii="Arial" w:cs="Arial" w:eastAsia="Arial" w:hAnsi="Arial"/>
                <w:sz w:val="13"/>
                <w:szCs w:val="13"/>
                <w:color w:val="auto"/>
              </w:rPr>
              <w:t>6.9 %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7.9 %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7.3 %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7.9 %</w:t>
            </w:r>
          </w:p>
        </w:tc>
      </w:tr>
      <w:tr>
        <w:trPr>
          <w:trHeight w:val="17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14.7 %</w:t>
            </w: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700" w:type="dxa"/>
            <w:vAlign w:val="bottom"/>
          </w:tcPr>
          <w:p>
            <w:pPr>
              <w:jc w:val="right"/>
              <w:spacing w:after="0"/>
              <w:rPr>
                <w:sz w:val="20"/>
                <w:szCs w:val="20"/>
                <w:color w:val="auto"/>
              </w:rPr>
            </w:pPr>
            <w:r>
              <w:rPr>
                <w:rFonts w:ascii="Arial" w:cs="Arial" w:eastAsia="Arial" w:hAnsi="Arial"/>
                <w:sz w:val="13"/>
                <w:szCs w:val="13"/>
                <w:color w:val="auto"/>
              </w:rPr>
              <w:t>8.4 %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10.4 %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9.4 %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10.6 %</w:t>
            </w: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r>
      <w:tr>
        <w:trPr>
          <w:trHeight w:val="85"/>
        </w:trPr>
        <w:tc>
          <w:tcPr>
            <w:tcW w:w="4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r>
      <w:tr>
        <w:trPr>
          <w:trHeight w:val="85"/>
        </w:trPr>
        <w:tc>
          <w:tcPr>
            <w:tcW w:w="4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85.1 %</w:t>
            </w:r>
          </w:p>
        </w:tc>
      </w:tr>
      <w:tr>
        <w:trPr>
          <w:trHeight w:val="717"/>
        </w:trPr>
        <w:tc>
          <w:tcPr>
            <w:tcW w:w="4200" w:type="dxa"/>
            <w:vAlign w:val="bottom"/>
          </w:tcPr>
          <w:p>
            <w:pPr>
              <w:spacing w:after="0"/>
              <w:rPr>
                <w:sz w:val="24"/>
                <w:szCs w:val="24"/>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3"/>
                <w:szCs w:val="13"/>
                <w:color w:val="auto"/>
              </w:rPr>
              <w:t>9</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9" w:name="page20"/>
    <w:bookmarkEnd w:id="19"/>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(In millions) (Unaudited)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6"/>
          </w:tcPr>
          <w:p>
            <w:pPr>
              <w:ind w:left="400"/>
              <w:spacing w:after="0"/>
              <w:rPr>
                <w:sz w:val="20"/>
                <w:szCs w:val="20"/>
                <w:color w:val="auto"/>
              </w:rPr>
            </w:pPr>
            <w:r>
              <w:rPr>
                <w:rFonts w:ascii="Arial" w:cs="Arial" w:eastAsia="Arial" w:hAnsi="Arial"/>
                <w:sz w:val="8"/>
                <w:szCs w:val="8"/>
                <w:b w:val="1"/>
                <w:bCs w:val="1"/>
                <w:color w:val="auto"/>
              </w:rPr>
              <w:t>Three Months Ended September 30, 2021</w:t>
            </w: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7"/>
          </w:tcPr>
          <w:p>
            <w:pPr>
              <w:ind w:left="20"/>
              <w:spacing w:after="0"/>
              <w:rPr>
                <w:sz w:val="20"/>
                <w:szCs w:val="20"/>
                <w:color w:val="auto"/>
              </w:rPr>
            </w:pPr>
            <w:r>
              <w:rPr>
                <w:rFonts w:ascii="Arial" w:cs="Arial" w:eastAsia="Arial" w:hAnsi="Arial"/>
                <w:sz w:val="8"/>
                <w:szCs w:val="8"/>
                <w:b w:val="1"/>
                <w:bCs w:val="1"/>
                <w:color w:val="auto"/>
              </w:rPr>
              <w:t>Three Months Ended September 30, 2020</w:t>
            </w: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5"/>
              <w:spacing w:after="0"/>
              <w:rPr>
                <w:sz w:val="20"/>
                <w:szCs w:val="20"/>
                <w:color w:val="auto"/>
              </w:rPr>
            </w:pPr>
            <w:r>
              <w:rPr>
                <w:rFonts w:ascii="Arial" w:cs="Arial" w:eastAsia="Arial" w:hAnsi="Arial"/>
                <w:sz w:val="8"/>
                <w:szCs w:val="8"/>
                <w:b w:val="1"/>
                <w:bCs w:val="1"/>
                <w:color w:val="auto"/>
              </w:rPr>
              <w:t>Automotive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25"/>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8"/>
                <w:szCs w:val="8"/>
                <w:b w:val="1"/>
                <w:bCs w:val="1"/>
                <w:color w:val="auto"/>
              </w:rPr>
              <w:t>GM Financial</w:t>
            </w:r>
          </w:p>
        </w:tc>
        <w:tc>
          <w:tcPr>
            <w:tcW w:w="16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540" w:type="dxa"/>
            <w:vAlign w:val="bottom"/>
          </w:tcPr>
          <w:p>
            <w:pPr>
              <w:jc w:val="right"/>
              <w:ind w:right="24"/>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64"/>
              <w:spacing w:after="0"/>
              <w:rPr>
                <w:sz w:val="20"/>
                <w:szCs w:val="20"/>
                <w:color w:val="auto"/>
              </w:rPr>
            </w:pPr>
            <w:r>
              <w:rPr>
                <w:rFonts w:ascii="Arial" w:cs="Arial" w:eastAsia="Arial" w:hAnsi="Arial"/>
                <w:sz w:val="8"/>
                <w:szCs w:val="8"/>
                <w:b w:val="1"/>
                <w:bCs w:val="1"/>
                <w:color w:val="auto"/>
              </w:rPr>
              <w:t>Automotive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138"/>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4"/>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0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23,424</w:t>
            </w: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23,426</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1"/>
                <w:szCs w:val="11"/>
                <w:color w:val="auto"/>
              </w:rPr>
              <w:t>32,066</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32,067</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7"/>
              <w:spacing w:after="0"/>
              <w:rPr>
                <w:sz w:val="20"/>
                <w:szCs w:val="20"/>
                <w:color w:val="auto"/>
              </w:rPr>
            </w:pPr>
            <w:r>
              <w:rPr>
                <w:rFonts w:ascii="Arial" w:cs="Arial" w:eastAsia="Arial" w:hAnsi="Arial"/>
                <w:sz w:val="11"/>
                <w:szCs w:val="11"/>
                <w:color w:val="auto"/>
              </w:rPr>
              <w:t>3,354</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74"/>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1"/>
                <w:szCs w:val="11"/>
                <w:color w:val="auto"/>
              </w:rPr>
              <w:t>3,353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7"/>
              <w:spacing w:after="0"/>
              <w:rPr>
                <w:sz w:val="20"/>
                <w:szCs w:val="20"/>
                <w:color w:val="auto"/>
              </w:rPr>
            </w:pPr>
            <w:r>
              <w:rPr>
                <w:rFonts w:ascii="Arial" w:cs="Arial" w:eastAsia="Arial" w:hAnsi="Arial"/>
                <w:sz w:val="11"/>
                <w:szCs w:val="11"/>
                <w:color w:val="auto"/>
              </w:rPr>
              <w:t>3,421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8"/>
              </w:rPr>
              <w:t>(8)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3,413</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23,424</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3,354</w:t>
            </w:r>
          </w:p>
        </w:tc>
        <w:tc>
          <w:tcPr>
            <w:tcW w:w="8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26,779</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1"/>
                <w:szCs w:val="11"/>
                <w:color w:val="auto"/>
              </w:rPr>
              <w:t>32,066</w:t>
            </w: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26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3,421</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35,480</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0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20,391</w:t>
            </w: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282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74"/>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20,672</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1"/>
                <w:szCs w:val="11"/>
                <w:color w:val="auto"/>
              </w:rPr>
              <w:t>26,980</w:t>
            </w: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27,169</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tcPr>
          <w:p>
            <w:pPr>
              <w:ind w:left="120"/>
              <w:spacing w:after="0" w:line="102" w:lineRule="exact"/>
              <w:rPr>
                <w:sz w:val="20"/>
                <w:szCs w:val="20"/>
                <w:color w:val="auto"/>
              </w:rPr>
            </w:pPr>
            <w:r>
              <w:rPr>
                <w:rFonts w:ascii="Arial" w:cs="Arial" w:eastAsia="Arial" w:hAnsi="Arial"/>
                <w:sz w:val="10"/>
                <w:szCs w:val="10"/>
                <w:color w:val="auto"/>
                <w:w w:val="99"/>
              </w:rPr>
              <w:t>GM Financial interest, operating and other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0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jc w:val="right"/>
              <w:ind w:right="127"/>
              <w:spacing w:after="0"/>
              <w:rPr>
                <w:sz w:val="20"/>
                <w:szCs w:val="20"/>
                <w:color w:val="auto"/>
              </w:rPr>
            </w:pPr>
            <w:r>
              <w:rPr>
                <w:rFonts w:ascii="Arial" w:cs="Arial" w:eastAsia="Arial" w:hAnsi="Arial"/>
                <w:sz w:val="11"/>
                <w:szCs w:val="11"/>
                <w:color w:val="auto"/>
              </w:rPr>
              <w:t>2,314</w:t>
            </w:r>
          </w:p>
        </w:tc>
        <w:tc>
          <w:tcPr>
            <w:tcW w:w="800" w:type="dxa"/>
            <w:vAlign w:val="bottom"/>
          </w:tcPr>
          <w:p>
            <w:pPr>
              <w:spacing w:after="0"/>
              <w:rPr>
                <w:sz w:val="8"/>
                <w:szCs w:val="8"/>
                <w:color w:val="auto"/>
              </w:rPr>
            </w:pP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2,314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13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27"/>
              <w:spacing w:after="0"/>
              <w:rPr>
                <w:sz w:val="20"/>
                <w:szCs w:val="20"/>
                <w:color w:val="auto"/>
              </w:rPr>
            </w:pPr>
            <w:r>
              <w:rPr>
                <w:rFonts w:ascii="Arial" w:cs="Arial" w:eastAsia="Arial" w:hAnsi="Arial"/>
                <w:sz w:val="11"/>
                <w:szCs w:val="11"/>
                <w:color w:val="auto"/>
              </w:rPr>
              <w:t>2,260</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w w:val="88"/>
              </w:rPr>
              <w:t>(1)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2,259</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120"/>
              <w:spacing w:after="0" w:line="102" w:lineRule="exact"/>
              <w:rPr>
                <w:sz w:val="20"/>
                <w:szCs w:val="20"/>
                <w:color w:val="auto"/>
              </w:rPr>
            </w:pPr>
            <w:r>
              <w:rPr>
                <w:rFonts w:ascii="Arial" w:cs="Arial" w:eastAsia="Arial" w:hAnsi="Arial"/>
                <w:sz w:val="10"/>
                <w:szCs w:val="10"/>
                <w:color w:val="auto"/>
              </w:rPr>
              <w:t>Automotive and other selling, general and</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2,095</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25"/>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tcBorders>
              <w:right w:val="single" w:sz="8" w:color="CCEEFF"/>
            </w:tcBorders>
            <w:gridSpan w:val="2"/>
            <w:vMerge w:val="restart"/>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8"/>
                <w:szCs w:val="8"/>
                <w:color w:val="auto"/>
              </w:rPr>
            </w:pPr>
          </w:p>
        </w:tc>
        <w:tc>
          <w:tcPr>
            <w:tcW w:w="5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2,148</w:t>
            </w: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tcBorders>
              <w:right w:val="single" w:sz="8" w:color="CCEEFF"/>
            </w:tcBorders>
            <w:gridSpan w:val="2"/>
            <w:vMerge w:val="restart"/>
            <w:shd w:val="clear" w:color="auto" w:fill="CCEEFF"/>
          </w:tcPr>
          <w:p>
            <w:pPr>
              <w:jc w:val="right"/>
              <w:ind w:right="137"/>
              <w:spacing w:after="0"/>
              <w:rPr>
                <w:sz w:val="20"/>
                <w:szCs w:val="20"/>
                <w:color w:val="auto"/>
              </w:rPr>
            </w:pPr>
            <w:r>
              <w:rPr>
                <w:rFonts w:ascii="Arial" w:cs="Arial" w:eastAsia="Arial" w:hAnsi="Arial"/>
                <w:sz w:val="11"/>
                <w:szCs w:val="11"/>
                <w:color w:val="auto"/>
              </w:rPr>
              <w:t>1,565</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gridSpan w:val="2"/>
            <w:vMerge w:val="restart"/>
            <w:shd w:val="clear" w:color="auto" w:fill="CCEEFF"/>
          </w:tcPr>
          <w:p>
            <w:pPr>
              <w:jc w:val="right"/>
              <w:ind w:right="38"/>
              <w:spacing w:after="0"/>
              <w:rPr>
                <w:sz w:val="20"/>
                <w:szCs w:val="20"/>
                <w:color w:val="auto"/>
              </w:rPr>
            </w:pPr>
            <w:r>
              <w:rPr>
                <w:rFonts w:ascii="Arial" w:cs="Arial" w:eastAsia="Arial" w:hAnsi="Arial"/>
                <w:sz w:val="11"/>
                <w:szCs w:val="11"/>
                <w:color w:val="auto"/>
              </w:rPr>
              <w:t>63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8"/>
                <w:szCs w:val="8"/>
                <w:color w:val="auto"/>
              </w:rPr>
            </w:pPr>
          </w:p>
        </w:tc>
        <w:tc>
          <w:tcPr>
            <w:tcW w:w="300" w:type="dxa"/>
            <w:vAlign w:val="bottom"/>
            <w:tcBorders>
              <w:right w:val="single" w:sz="8" w:color="CCEEFF"/>
            </w:tcBorders>
            <w:shd w:val="clear" w:color="auto" w:fill="CCEEFF"/>
          </w:tcPr>
          <w:p>
            <w:pPr>
              <w:spacing w:after="0"/>
              <w:rPr>
                <w:sz w:val="8"/>
                <w:szCs w:val="8"/>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1,628</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22,486</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335</w:t>
            </w:r>
          </w:p>
        </w:tc>
        <w:tc>
          <w:tcPr>
            <w:tcW w:w="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7"/>
              <w:spacing w:after="0"/>
              <w:rPr>
                <w:sz w:val="20"/>
                <w:szCs w:val="20"/>
                <w:color w:val="auto"/>
              </w:rPr>
            </w:pPr>
            <w:r>
              <w:rPr>
                <w:rFonts w:ascii="Arial" w:cs="Arial" w:eastAsia="Arial" w:hAnsi="Arial"/>
                <w:sz w:val="11"/>
                <w:szCs w:val="11"/>
                <w:color w:val="auto"/>
              </w:rPr>
              <w:t>2,314</w:t>
            </w:r>
          </w:p>
        </w:tc>
        <w:tc>
          <w:tcPr>
            <w:tcW w:w="8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74"/>
              </w:rPr>
              <w:t>(1)</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25,134</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37"/>
              <w:spacing w:after="0"/>
              <w:rPr>
                <w:sz w:val="20"/>
                <w:szCs w:val="20"/>
                <w:color w:val="auto"/>
              </w:rPr>
            </w:pPr>
            <w:r>
              <w:rPr>
                <w:rFonts w:ascii="Arial" w:cs="Arial" w:eastAsia="Arial" w:hAnsi="Arial"/>
                <w:sz w:val="11"/>
                <w:szCs w:val="11"/>
                <w:color w:val="auto"/>
              </w:rPr>
              <w:t>28,545</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8"/>
              <w:spacing w:after="0"/>
              <w:rPr>
                <w:sz w:val="20"/>
                <w:szCs w:val="20"/>
                <w:color w:val="auto"/>
              </w:rPr>
            </w:pPr>
            <w:r>
              <w:rPr>
                <w:rFonts w:ascii="Arial" w:cs="Arial" w:eastAsia="Arial" w:hAnsi="Arial"/>
                <w:sz w:val="11"/>
                <w:szCs w:val="11"/>
                <w:color w:val="auto"/>
              </w:rPr>
              <w:t>253</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rPr>
              <w:t>2,260</w:t>
            </w: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8"/>
              </w:rPr>
              <w:t>(2)</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31,056</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938</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1,040</w:t>
            </w:r>
          </w:p>
        </w:tc>
        <w:tc>
          <w:tcPr>
            <w:tcW w:w="80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1,645</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1"/>
                <w:szCs w:val="11"/>
                <w:color w:val="auto"/>
              </w:rPr>
              <w:t>3,521</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1,161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4,424</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7"/>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1"/>
                <w:szCs w:val="11"/>
                <w:color w:val="auto"/>
              </w:rPr>
              <w:t>333</w:t>
            </w:r>
          </w:p>
        </w:tc>
        <w:tc>
          <w:tcPr>
            <w:tcW w:w="120" w:type="dxa"/>
            <w:vAlign w:val="bottom"/>
          </w:tcPr>
          <w:p>
            <w:pPr>
              <w:spacing w:after="0"/>
              <w:rPr>
                <w:sz w:val="12"/>
                <w:szCs w:val="12"/>
                <w:color w:val="auto"/>
              </w:rPr>
            </w:pPr>
          </w:p>
        </w:tc>
        <w:tc>
          <w:tcPr>
            <w:tcW w:w="480" w:type="dxa"/>
            <w:vAlign w:val="bottom"/>
            <w:gridSpan w:val="2"/>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8"/>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Interest income and other non-operating</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tcBorders>
              <w:right w:val="single" w:sz="8" w:color="CCEEFF"/>
            </w:tcBorders>
            <w:gridSpan w:val="2"/>
            <w:vMerge w:val="restart"/>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8"/>
                <w:szCs w:val="8"/>
                <w:color w:val="auto"/>
              </w:rPr>
            </w:pPr>
          </w:p>
        </w:tc>
        <w:tc>
          <w:tcPr>
            <w:tcW w:w="460" w:type="dxa"/>
            <w:vAlign w:val="bottom"/>
            <w:tcBorders>
              <w:right w:val="single" w:sz="8" w:color="CCEEFF"/>
            </w:tcBorders>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800</w:t>
            </w: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tcBorders>
              <w:right w:val="single" w:sz="8" w:color="CCEEFF"/>
            </w:tcBorders>
            <w:gridSpan w:val="2"/>
            <w:vMerge w:val="restart"/>
            <w:shd w:val="clear" w:color="auto" w:fill="CCEEFF"/>
          </w:tcPr>
          <w:p>
            <w:pPr>
              <w:jc w:val="right"/>
              <w:ind w:right="137"/>
              <w:spacing w:after="0"/>
              <w:rPr>
                <w:sz w:val="20"/>
                <w:szCs w:val="20"/>
                <w:color w:val="auto"/>
              </w:rPr>
            </w:pPr>
            <w:r>
              <w:rPr>
                <w:rFonts w:ascii="Arial" w:cs="Arial" w:eastAsia="Arial" w:hAnsi="Arial"/>
                <w:sz w:val="11"/>
                <w:szCs w:val="11"/>
                <w:color w:val="auto"/>
              </w:rPr>
              <w:t>471</w:t>
            </w:r>
          </w:p>
        </w:tc>
        <w:tc>
          <w:tcPr>
            <w:tcW w:w="120" w:type="dxa"/>
            <w:vAlign w:val="bottom"/>
            <w:shd w:val="clear" w:color="auto" w:fill="CCEEFF"/>
          </w:tcPr>
          <w:p>
            <w:pPr>
              <w:spacing w:after="0"/>
              <w:rPr>
                <w:sz w:val="8"/>
                <w:szCs w:val="8"/>
                <w:color w:val="auto"/>
              </w:rPr>
            </w:pPr>
          </w:p>
        </w:tc>
        <w:tc>
          <w:tcPr>
            <w:tcW w:w="480" w:type="dxa"/>
            <w:vAlign w:val="bottom"/>
            <w:tcBorders>
              <w:right w:val="single" w:sz="8" w:color="CCEEFF"/>
            </w:tcBorders>
            <w:gridSpan w:val="2"/>
            <w:vMerge w:val="restart"/>
            <w:shd w:val="clear" w:color="auto" w:fill="CCEEFF"/>
          </w:tcPr>
          <w:p>
            <w:pPr>
              <w:jc w:val="right"/>
              <w:ind w:right="38"/>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8"/>
                <w:szCs w:val="8"/>
                <w:color w:val="auto"/>
              </w:rPr>
            </w:pPr>
          </w:p>
        </w:tc>
        <w:tc>
          <w:tcPr>
            <w:tcW w:w="300" w:type="dxa"/>
            <w:vAlign w:val="bottom"/>
            <w:tcBorders>
              <w:right w:val="single" w:sz="8" w:color="CCEEFF"/>
            </w:tcBorders>
            <w:shd w:val="clear" w:color="auto" w:fill="CCEEFF"/>
          </w:tcPr>
          <w:p>
            <w:pPr>
              <w:spacing w:after="0"/>
              <w:rPr>
                <w:sz w:val="8"/>
                <w:szCs w:val="8"/>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0"/>
                <w:szCs w:val="10"/>
                <w:color w:val="auto"/>
                <w:w w:val="71"/>
              </w:rPr>
              <w:t>22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499</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1"/>
                <w:szCs w:val="11"/>
                <w:color w:val="auto"/>
              </w:rPr>
              <w:t>53</w:t>
            </w:r>
          </w:p>
        </w:tc>
        <w:tc>
          <w:tcPr>
            <w:tcW w:w="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323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309</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1,753</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1"/>
                <w:szCs w:val="11"/>
                <w:color w:val="auto"/>
              </w:rPr>
              <w:t>1,093</w:t>
            </w:r>
          </w:p>
        </w:tc>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2,538</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1"/>
                <w:szCs w:val="11"/>
                <w:color w:val="auto"/>
              </w:rPr>
              <w:t>3,922</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1,207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4,905</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152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887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2,386</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4,018</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40" w:type="dxa"/>
            <w:vAlign w:val="bottom"/>
            <w:tcBorders>
              <w:bottom w:val="single" w:sz="8" w:color="CCEEFF"/>
            </w:tcBorders>
            <w:gridSpan w:val="3"/>
          </w:tcPr>
          <w:p>
            <w:pPr>
              <w:ind w:left="20"/>
              <w:spacing w:after="0"/>
              <w:rPr>
                <w:sz w:val="20"/>
                <w:szCs w:val="20"/>
                <w:color w:val="auto"/>
              </w:rPr>
            </w:pPr>
            <w:r>
              <w:rPr>
                <w:rFonts w:ascii="Arial" w:cs="Arial" w:eastAsia="Arial" w:hAnsi="Arial"/>
                <w:sz w:val="10"/>
                <w:szCs w:val="10"/>
                <w:color w:val="auto"/>
              </w:rPr>
              <w:t>Net loss attributable to noncontrolling interests</w:t>
            </w: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3"/>
                <w:szCs w:val="13"/>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attributable to stockholders</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1"/>
                <w:szCs w:val="11"/>
                <w:color w:val="auto"/>
              </w:rPr>
              <w:t>2,420</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attributable to common</w:t>
            </w: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30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2,375</w:t>
            </w: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0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4,005</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6"/>
          </w:tcPr>
          <w:p>
            <w:pPr>
              <w:ind w:left="300"/>
              <w:spacing w:after="0"/>
              <w:rPr>
                <w:sz w:val="20"/>
                <w:szCs w:val="20"/>
                <w:color w:val="auto"/>
              </w:rPr>
            </w:pPr>
            <w:r>
              <w:rPr>
                <w:rFonts w:ascii="Arial" w:cs="Arial" w:eastAsia="Arial" w:hAnsi="Arial"/>
                <w:sz w:val="8"/>
                <w:szCs w:val="8"/>
                <w:b w:val="1"/>
                <w:bCs w:val="1"/>
                <w:color w:val="auto"/>
              </w:rPr>
              <w:t>Nine Months Ended September 30, 2021</w:t>
            </w: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8"/>
          </w:tcPr>
          <w:p>
            <w:pPr>
              <w:ind w:left="260"/>
              <w:spacing w:after="0"/>
              <w:rPr>
                <w:sz w:val="20"/>
                <w:szCs w:val="20"/>
                <w:color w:val="auto"/>
              </w:rPr>
            </w:pPr>
            <w:r>
              <w:rPr>
                <w:rFonts w:ascii="Arial" w:cs="Arial" w:eastAsia="Arial" w:hAnsi="Arial"/>
                <w:sz w:val="8"/>
                <w:szCs w:val="8"/>
                <w:b w:val="1"/>
                <w:bCs w:val="1"/>
                <w:color w:val="auto"/>
              </w:rPr>
              <w:t>Nine Months Ended September 30, 2020</w:t>
            </w:r>
          </w:p>
        </w:tc>
        <w:tc>
          <w:tcPr>
            <w:tcW w:w="3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185"/>
              <w:spacing w:after="0"/>
              <w:rPr>
                <w:sz w:val="20"/>
                <w:szCs w:val="20"/>
                <w:color w:val="auto"/>
              </w:rPr>
            </w:pPr>
            <w:r>
              <w:rPr>
                <w:rFonts w:ascii="Arial" w:cs="Arial" w:eastAsia="Arial" w:hAnsi="Arial"/>
                <w:sz w:val="8"/>
                <w:szCs w:val="8"/>
                <w:b w:val="1"/>
                <w:bCs w:val="1"/>
                <w:color w:val="auto"/>
                <w:w w:val="99"/>
              </w:rPr>
              <w:t>Automotive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45"/>
              <w:spacing w:after="0"/>
              <w:rPr>
                <w:sz w:val="20"/>
                <w:szCs w:val="20"/>
                <w:color w:val="auto"/>
              </w:rPr>
            </w:pPr>
            <w:r>
              <w:rPr>
                <w:rFonts w:ascii="Arial" w:cs="Arial" w:eastAsia="Arial" w:hAnsi="Arial"/>
                <w:sz w:val="8"/>
                <w:szCs w:val="8"/>
                <w:b w:val="1"/>
                <w:bCs w:val="1"/>
                <w:color w:val="auto"/>
              </w:rPr>
              <w:t>Cruise</w:t>
            </w:r>
          </w:p>
        </w:tc>
        <w:tc>
          <w:tcPr>
            <w:tcW w:w="700" w:type="dxa"/>
            <w:vAlign w:val="bottom"/>
            <w:gridSpan w:val="3"/>
          </w:tcPr>
          <w:p>
            <w:pPr>
              <w:jc w:val="right"/>
              <w:ind w:right="84"/>
              <w:spacing w:after="0"/>
              <w:rPr>
                <w:sz w:val="20"/>
                <w:szCs w:val="20"/>
                <w:color w:val="auto"/>
              </w:rPr>
            </w:pPr>
            <w:r>
              <w:rPr>
                <w:rFonts w:ascii="Arial" w:cs="Arial" w:eastAsia="Arial" w:hAnsi="Arial"/>
                <w:sz w:val="8"/>
                <w:szCs w:val="8"/>
                <w:b w:val="1"/>
                <w:bCs w:val="1"/>
                <w:color w:val="auto"/>
              </w:rPr>
              <w:t>GM Financial</w:t>
            </w:r>
          </w:p>
        </w:tc>
        <w:tc>
          <w:tcPr>
            <w:tcW w:w="1260" w:type="dxa"/>
            <w:vAlign w:val="bottom"/>
            <w:gridSpan w:val="3"/>
          </w:tcPr>
          <w:p>
            <w:pPr>
              <w:jc w:val="right"/>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84"/>
              <w:spacing w:after="0"/>
              <w:rPr>
                <w:sz w:val="20"/>
                <w:szCs w:val="20"/>
                <w:color w:val="auto"/>
              </w:rPr>
            </w:pPr>
            <w:r>
              <w:rPr>
                <w:rFonts w:ascii="Arial" w:cs="Arial" w:eastAsia="Arial" w:hAnsi="Arial"/>
                <w:sz w:val="8"/>
                <w:szCs w:val="8"/>
                <w:b w:val="1"/>
                <w:bCs w:val="1"/>
                <w:color w:val="auto"/>
              </w:rPr>
              <w:t>Automotive</w:t>
            </w:r>
          </w:p>
        </w:tc>
        <w:tc>
          <w:tcPr>
            <w:tcW w:w="160" w:type="dxa"/>
            <w:vAlign w:val="bottom"/>
          </w:tcPr>
          <w:p>
            <w:pPr>
              <w:spacing w:after="0"/>
              <w:rPr>
                <w:sz w:val="10"/>
                <w:szCs w:val="10"/>
                <w:color w:val="auto"/>
              </w:rPr>
            </w:pPr>
          </w:p>
        </w:tc>
        <w:tc>
          <w:tcPr>
            <w:tcW w:w="600" w:type="dxa"/>
            <w:vAlign w:val="bottom"/>
            <w:gridSpan w:val="3"/>
          </w:tcPr>
          <w:p>
            <w:pPr>
              <w:ind w:left="20"/>
              <w:spacing w:after="0"/>
              <w:rPr>
                <w:sz w:val="20"/>
                <w:szCs w:val="20"/>
                <w:color w:val="auto"/>
              </w:rPr>
            </w:pPr>
            <w:r>
              <w:rPr>
                <w:rFonts w:ascii="Arial" w:cs="Arial" w:eastAsia="Arial" w:hAnsi="Arial"/>
                <w:sz w:val="8"/>
                <w:szCs w:val="8"/>
                <w:b w:val="1"/>
                <w:bCs w:val="1"/>
                <w:color w:val="auto"/>
              </w:rPr>
              <w:t>Cruise</w:t>
            </w:r>
          </w:p>
        </w:tc>
        <w:tc>
          <w:tcPr>
            <w:tcW w:w="700" w:type="dxa"/>
            <w:vAlign w:val="bottom"/>
            <w:gridSpan w:val="3"/>
          </w:tcPr>
          <w:p>
            <w:pPr>
              <w:jc w:val="right"/>
              <w:ind w:right="104"/>
              <w:spacing w:after="0"/>
              <w:rPr>
                <w:sz w:val="20"/>
                <w:szCs w:val="20"/>
                <w:color w:val="auto"/>
              </w:rPr>
            </w:pPr>
            <w:r>
              <w:rPr>
                <w:rFonts w:ascii="Arial" w:cs="Arial" w:eastAsia="Arial" w:hAnsi="Arial"/>
                <w:sz w:val="8"/>
                <w:szCs w:val="8"/>
                <w:b w:val="1"/>
                <w:bCs w:val="1"/>
                <w:color w:val="auto"/>
              </w:rPr>
              <w:t>GM Financial</w:t>
            </w:r>
          </w:p>
        </w:tc>
        <w:tc>
          <w:tcPr>
            <w:tcW w:w="1260" w:type="dxa"/>
            <w:vAlign w:val="bottom"/>
            <w:gridSpan w:val="4"/>
          </w:tcPr>
          <w:p>
            <w:pPr>
              <w:jc w:val="right"/>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8"/>
                <w:szCs w:val="8"/>
                <w:b w:val="1"/>
                <w:bCs w:val="1"/>
                <w:color w:val="auto"/>
              </w:rPr>
              <w:t>Combined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8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0"/>
                <w:szCs w:val="10"/>
                <w:color w:val="auto"/>
              </w:rPr>
              <w:t>Automotive</w:t>
            </w:r>
          </w:p>
        </w:tc>
        <w:tc>
          <w:tcPr>
            <w:tcW w:w="1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83,231</w:t>
            </w:r>
          </w:p>
        </w:tc>
        <w:tc>
          <w:tcPr>
            <w:tcW w:w="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87"/>
              <w:spacing w:after="0"/>
              <w:rPr>
                <w:sz w:val="20"/>
                <w:szCs w:val="20"/>
                <w:color w:val="auto"/>
              </w:rPr>
            </w:pPr>
            <w:r>
              <w:rPr>
                <w:rFonts w:ascii="Arial" w:cs="Arial" w:eastAsia="Arial" w:hAnsi="Arial"/>
                <w:sz w:val="11"/>
                <w:szCs w:val="11"/>
                <w:color w:val="auto"/>
              </w:rPr>
              <w:t>— $</w:t>
            </w:r>
          </w:p>
        </w:tc>
        <w:tc>
          <w:tcPr>
            <w:tcW w:w="8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83,237</w:t>
            </w:r>
          </w:p>
        </w:tc>
        <w:tc>
          <w:tcPr>
            <w:tcW w:w="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74,576</w:t>
            </w:r>
          </w:p>
        </w:tc>
        <w:tc>
          <w:tcPr>
            <w:tcW w:w="16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79 $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7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8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74,580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60"/>
              <w:spacing w:after="0"/>
              <w:rPr>
                <w:sz w:val="20"/>
                <w:szCs w:val="20"/>
                <w:color w:val="auto"/>
              </w:rPr>
            </w:pPr>
            <w:r>
              <w:rPr>
                <w:rFonts w:ascii="Arial" w:cs="Arial" w:eastAsia="Arial" w:hAnsi="Arial"/>
                <w:sz w:val="10"/>
                <w:szCs w:val="10"/>
                <w:color w:val="auto"/>
              </w:rPr>
              <w:t>GM Financial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10,187</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10,183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10,405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10,387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net sales and revenue</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83,231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81</w:t>
            </w: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10,187</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93,420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74,576</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10,405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84,967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Costs and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72,232</w:t>
            </w: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822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73,053</w:t>
            </w: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66,779</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561</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67,339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tcPr>
          <w:p>
            <w:pPr>
              <w:ind w:left="120"/>
              <w:spacing w:after="0" w:line="102" w:lineRule="exact"/>
              <w:rPr>
                <w:sz w:val="20"/>
                <w:szCs w:val="20"/>
                <w:color w:val="auto"/>
              </w:rPr>
            </w:pPr>
            <w:r>
              <w:rPr>
                <w:rFonts w:ascii="Arial" w:cs="Arial" w:eastAsia="Arial" w:hAnsi="Arial"/>
                <w:sz w:val="10"/>
                <w:szCs w:val="10"/>
                <w:color w:val="auto"/>
                <w:w w:val="99"/>
              </w:rPr>
              <w:t>GM Financial interest, operating and other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4"/>
              <w:spacing w:after="0"/>
              <w:rPr>
                <w:sz w:val="20"/>
                <w:szCs w:val="20"/>
                <w:color w:val="auto"/>
              </w:rPr>
            </w:pPr>
            <w:r>
              <w:rPr>
                <w:rFonts w:ascii="Arial" w:cs="Arial" w:eastAsia="Arial" w:hAnsi="Arial"/>
                <w:sz w:val="11"/>
                <w:szCs w:val="11"/>
                <w:color w:val="auto"/>
              </w:rPr>
              <w:t>6,488</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6,487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vMerge w:val="restart"/>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8,855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8,853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120"/>
              <w:spacing w:after="0" w:line="102" w:lineRule="exact"/>
              <w:rPr>
                <w:sz w:val="20"/>
                <w:szCs w:val="20"/>
                <w:color w:val="auto"/>
              </w:rPr>
            </w:pPr>
            <w:r>
              <w:rPr>
                <w:rFonts w:ascii="Arial" w:cs="Arial" w:eastAsia="Arial" w:hAnsi="Arial"/>
                <w:sz w:val="10"/>
                <w:szCs w:val="10"/>
                <w:color w:val="auto"/>
              </w:rPr>
              <w:t>Automotive and other selling, general and</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5,886</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6,076</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4,718</w:t>
            </w:r>
          </w:p>
        </w:tc>
        <w:tc>
          <w:tcPr>
            <w:tcW w:w="16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4,908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78,118</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1,012</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6,488</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85,616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71,497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8,855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81,100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5,113</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(931)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3,699</w:t>
            </w: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7,804</w:t>
            </w: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3,079</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1,550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0"/>
                <w:szCs w:val="10"/>
                <w:color w:val="auto"/>
              </w:rPr>
              <w:t>Automotive interest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725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723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838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823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Interest income and other non-operating</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2,303</w:t>
            </w:r>
          </w:p>
        </w:tc>
        <w:tc>
          <w:tcPr>
            <w:tcW w:w="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right w:val="single" w:sz="8" w:color="CCEEFF"/>
            </w:tcBorders>
            <w:vMerge w:val="restart"/>
            <w:shd w:val="clear" w:color="auto" w:fill="CCEEFF"/>
          </w:tcPr>
          <w:p>
            <w:pPr>
              <w:jc w:val="right"/>
              <w:ind w:right="85"/>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2,383</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1,131</w:t>
            </w:r>
          </w:p>
        </w:tc>
        <w:tc>
          <w:tcPr>
            <w:tcW w:w="16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Borders>
              <w:right w:val="single" w:sz="8" w:color="CCEEFF"/>
            </w:tcBorders>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1,223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0"/>
                <w:szCs w:val="10"/>
                <w:color w:val="auto"/>
              </w:rPr>
              <w:t>Equity 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858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Arial" w:cs="Arial" w:eastAsia="Arial" w:hAnsi="Arial"/>
                <w:sz w:val="11"/>
                <w:szCs w:val="11"/>
                <w:color w:val="auto"/>
              </w:rPr>
              <w:t>157</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276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9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389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7,549</w:t>
            </w:r>
          </w:p>
        </w:tc>
        <w:tc>
          <w:tcPr>
            <w:tcW w:w="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3,856</w:t>
            </w:r>
          </w:p>
        </w:tc>
        <w:tc>
          <w:tcPr>
            <w:tcW w:w="160" w:type="dxa"/>
            <w:vAlign w:val="bottom"/>
            <w:tcBorders>
              <w:right w:val="single" w:sz="8" w:color="CCEEFF"/>
            </w:tcBorders>
            <w:shd w:val="clear" w:color="auto" w:fill="CCEEFF"/>
          </w:tcPr>
          <w:p>
            <w:pPr>
              <w:jc w:val="right"/>
              <w:ind w:right="87"/>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10,479</w:t>
            </w:r>
          </w:p>
        </w:tc>
        <w:tc>
          <w:tcPr>
            <w:tcW w:w="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3,648</w:t>
            </w:r>
          </w:p>
        </w:tc>
        <w:tc>
          <w:tcPr>
            <w:tcW w:w="16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5"/>
                <w:szCs w:val="5"/>
                <w:color w:val="auto"/>
                <w:w w:val="70"/>
              </w:rPr>
              <w:t>$</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1,663</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20"/>
              <w:spacing w:after="0"/>
              <w:rPr>
                <w:sz w:val="20"/>
                <w:szCs w:val="20"/>
                <w:color w:val="auto"/>
              </w:rPr>
            </w:pPr>
            <w:r>
              <w:rPr>
                <w:rFonts w:ascii="Arial" w:cs="Arial" w:eastAsia="Arial" w:hAnsi="Arial"/>
                <w:sz w:val="10"/>
                <w:szCs w:val="10"/>
                <w:color w:val="auto"/>
              </w:rPr>
              <w:t>Income tax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2,300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8,179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3,524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240" w:type="dxa"/>
            <w:vAlign w:val="bottom"/>
            <w:tcBorders>
              <w:bottom w:val="single" w:sz="8" w:color="CCEEFF"/>
            </w:tcBorders>
            <w:gridSpan w:val="3"/>
          </w:tcPr>
          <w:p>
            <w:pPr>
              <w:ind w:left="20"/>
              <w:spacing w:after="0"/>
              <w:rPr>
                <w:sz w:val="20"/>
                <w:szCs w:val="20"/>
                <w:color w:val="auto"/>
              </w:rPr>
            </w:pPr>
            <w:r>
              <w:rPr>
                <w:rFonts w:ascii="Arial" w:cs="Arial" w:eastAsia="Arial" w:hAnsi="Arial"/>
                <w:sz w:val="10"/>
                <w:szCs w:val="10"/>
                <w:color w:val="auto"/>
              </w:rPr>
              <w:t>Net loss attributable to noncontrolling interests</w:t>
            </w: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3"/>
                <w:szCs w:val="13"/>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attributable to stockholders</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8,278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1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30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8,141</w:t>
            </w:r>
          </w:p>
        </w:tc>
        <w:tc>
          <w:tcPr>
            <w:tcW w:w="10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0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3,446</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-484505</wp:posOffset>
            </wp:positionV>
            <wp:extent cx="7080885" cy="100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0096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60"/>
          </w:cols>
          <w:pgMar w:left="220" w:top="698" w:right="319" w:bottom="1440" w:gutter="0" w:footer="0" w:header="0"/>
        </w:sectPr>
      </w:pPr>
    </w:p>
    <w:bookmarkStart w:id="20" w:name="page21"/>
    <w:bookmarkEnd w:id="20"/>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4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960" w:type="dxa"/>
            <w:vAlign w:val="bottom"/>
            <w:tcBorders>
              <w:bottom w:val="single" w:sz="8" w:color="auto"/>
            </w:tcBorders>
            <w:gridSpan w:val="3"/>
          </w:tcPr>
          <w:p>
            <w:pPr>
              <w:jc w:val="right"/>
              <w:ind w:right="978"/>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1"/>
                <w:szCs w:val="11"/>
                <w:color w:val="auto"/>
              </w:rPr>
            </w:pPr>
          </w:p>
        </w:tc>
        <w:tc>
          <w:tcPr>
            <w:tcW w:w="2960" w:type="dxa"/>
            <w:vAlign w:val="bottom"/>
            <w:tcBorders>
              <w:bottom w:val="single" w:sz="8" w:color="auto"/>
            </w:tcBorders>
            <w:gridSpan w:val="3"/>
          </w:tcPr>
          <w:p>
            <w:pPr>
              <w:jc w:val="right"/>
              <w:ind w:right="1018"/>
              <w:spacing w:after="0"/>
              <w:rPr>
                <w:sz w:val="20"/>
                <w:szCs w:val="20"/>
                <w:color w:val="auto"/>
              </w:rPr>
            </w:pPr>
            <w:r>
              <w:rPr>
                <w:rFonts w:ascii="Arial" w:cs="Arial" w:eastAsia="Arial" w:hAnsi="Arial"/>
                <w:sz w:val="10"/>
                <w:szCs w:val="10"/>
                <w:b w:val="1"/>
                <w:bCs w:val="1"/>
                <w:color w:val="auto"/>
              </w:rPr>
              <w:t>Nine Months Ended</w:t>
            </w:r>
          </w:p>
        </w:tc>
      </w:tr>
      <w:tr>
        <w:trPr>
          <w:trHeight w:val="127"/>
        </w:trPr>
        <w:tc>
          <w:tcPr>
            <w:tcW w:w="4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September 30, 2020</w:t>
            </w:r>
          </w:p>
        </w:tc>
        <w:tc>
          <w:tcPr>
            <w:tcW w:w="100" w:type="dxa"/>
            <w:vAlign w:val="bottom"/>
          </w:tcPr>
          <w:p>
            <w:pPr>
              <w:spacing w:after="0"/>
              <w:rPr>
                <w:sz w:val="11"/>
                <w:szCs w:val="11"/>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September 30, 2021</w:t>
            </w:r>
          </w:p>
        </w:tc>
        <w:tc>
          <w:tcPr>
            <w:tcW w:w="80" w:type="dxa"/>
            <w:vAlign w:val="bottom"/>
          </w:tcPr>
          <w:p>
            <w:pPr>
              <w:spacing w:after="0"/>
              <w:rPr>
                <w:sz w:val="11"/>
                <w:szCs w:val="11"/>
                <w:color w:val="auto"/>
              </w:rPr>
            </w:pPr>
          </w:p>
        </w:tc>
        <w:tc>
          <w:tcPr>
            <w:tcW w:w="144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September 30, 2020</w:t>
            </w:r>
          </w:p>
        </w:tc>
      </w:tr>
      <w:tr>
        <w:trPr>
          <w:trHeight w:val="137"/>
        </w:trPr>
        <w:tc>
          <w:tcPr>
            <w:tcW w:w="408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70"/>
        </w:trPr>
        <w:tc>
          <w:tcPr>
            <w:tcW w:w="4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attributable to stockholders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3,581</w:t>
            </w:r>
          </w:p>
        </w:tc>
      </w:tr>
      <w:tr>
        <w:trPr>
          <w:trHeight w:val="170"/>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w:t>
            </w:r>
          </w:p>
        </w:tc>
        <w:tc>
          <w:tcPr>
            <w:tcW w:w="11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r>
      <w:tr>
        <w:trPr>
          <w:trHeight w:val="185"/>
        </w:trPr>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attributable to common stockholders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70"/>
        </w:trPr>
        <w:tc>
          <w:tcPr>
            <w:tcW w:w="4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1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r>
      <w:tr>
        <w:trPr>
          <w:trHeight w:val="85"/>
        </w:trPr>
        <w:tc>
          <w:tcPr>
            <w:tcW w:w="4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70"/>
        </w:trPr>
        <w:tc>
          <w:tcPr>
            <w:tcW w:w="4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per common share</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r>
      <w:tr>
        <w:trPr>
          <w:trHeight w:val="149"/>
        </w:trPr>
        <w:tc>
          <w:tcPr>
            <w:tcW w:w="408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70"/>
        </w:trPr>
        <w:tc>
          <w:tcPr>
            <w:tcW w:w="4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attributable to common stockholders – diluted</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3,446</w:t>
            </w:r>
          </w:p>
        </w:tc>
      </w:tr>
      <w:tr>
        <w:trPr>
          <w:trHeight w:val="85"/>
        </w:trPr>
        <w:tc>
          <w:tcPr>
            <w:tcW w:w="4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70"/>
        </w:trPr>
        <w:tc>
          <w:tcPr>
            <w:tcW w:w="4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1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r>
      <w:tr>
        <w:trPr>
          <w:trHeight w:val="85"/>
        </w:trPr>
        <w:tc>
          <w:tcPr>
            <w:tcW w:w="4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70"/>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Diluted earnings per common share</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r>
      <w:tr>
        <w:trPr>
          <w:trHeight w:val="172"/>
        </w:trPr>
        <w:tc>
          <w:tcPr>
            <w:tcW w:w="4080" w:type="dxa"/>
            <w:vAlign w:val="bottom"/>
          </w:tcPr>
          <w:p>
            <w:pPr>
              <w:spacing w:after="0"/>
              <w:rPr>
                <w:sz w:val="20"/>
                <w:szCs w:val="20"/>
                <w:color w:val="auto"/>
              </w:rPr>
            </w:pPr>
            <w:r>
              <w:rPr>
                <w:rFonts w:ascii="Arial" w:cs="Arial" w:eastAsia="Arial" w:hAnsi="Arial"/>
                <w:sz w:val="11"/>
                <w:szCs w:val="11"/>
                <w:color w:val="auto"/>
              </w:rPr>
              <w:t>Potentially dilutive securities(a)</w:t>
            </w:r>
          </w:p>
        </w:tc>
        <w:tc>
          <w:tcPr>
            <w:tcW w:w="1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31</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40" w:hanging="255"/>
        <w:spacing w:after="0" w:line="260" w:lineRule="auto"/>
        <w:tabs>
          <w:tab w:leader="none" w:pos="329"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(RSUs) at September 30, 2021 and 2020 were excluded from the computation of diluted earnings per share (EPS) because the securities would have had an antidilutive effect.</w:t>
      </w:r>
    </w:p>
    <w:p>
      <w:pPr>
        <w:spacing w:after="0" w:line="200" w:lineRule="exact"/>
        <w:rPr>
          <w:sz w:val="20"/>
          <w:szCs w:val="20"/>
          <w:color w:val="auto"/>
        </w:rPr>
      </w:pP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60"/>
          </w:cols>
          <w:pgMar w:left="220" w:top="698" w:right="319" w:bottom="1440" w:gutter="0" w:footer="0" w:header="0"/>
        </w:sectPr>
      </w:pPr>
    </w:p>
    <w:bookmarkStart w:id="21" w:name="page22"/>
    <w:bookmarkEnd w:id="21"/>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September 30, 2021</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2020</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13"/>
        </w:trPr>
        <w:tc>
          <w:tcPr>
            <w:tcW w:w="2260" w:type="dxa"/>
            <w:vAlign w:val="bottom"/>
          </w:tcPr>
          <w:p>
            <w:pPr>
              <w:ind w:left="940"/>
              <w:spacing w:after="0" w:line="113" w:lineRule="exact"/>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4,865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17,365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19,992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4,792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6,575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8,103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9,046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717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8,035</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GM Financial receivables, net(c)</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25,277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25,093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26,607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26,209</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10,235</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4,126</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6,133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5,524</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7,407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40,270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34,984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77,791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42,342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38,228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80,924</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34,645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34,645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w w:val="99"/>
              </w:rPr>
              <w:t>Equity in net assets of nonconsolidated affiliates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7,585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1,649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9,234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6,825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8,406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39,365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39,637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37,325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37,632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3,047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1,340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5,126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3,152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5,230</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39,657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39,657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22,245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23,853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24,136</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8,203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1,711</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10,222</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805</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7,264</w:t>
            </w:r>
          </w:p>
        </w:tc>
        <w:tc>
          <w:tcPr>
            <w:tcW w:w="0" w:type="dxa"/>
            <w:vAlign w:val="bottom"/>
          </w:tcPr>
          <w:p>
            <w:pPr>
              <w:spacing w:after="0"/>
              <w:rPr>
                <w:sz w:val="1"/>
                <w:szCs w:val="1"/>
                <w:color w:val="auto"/>
              </w:rPr>
            </w:pPr>
          </w:p>
        </w:tc>
      </w:tr>
      <w:tr>
        <w:trPr>
          <w:trHeight w:val="129"/>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80,850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78,757</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160,766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77,284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75,182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154,270</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121,120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4,912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113,741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238,557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Accounts payable (principally trade)(b)</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18,411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128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957</w:t>
            </w:r>
          </w:p>
        </w:tc>
        <w:tc>
          <w:tcPr>
            <w:tcW w:w="10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(850)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18,648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19,928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93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867</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19,928</w:t>
            </w:r>
          </w:p>
        </w:tc>
        <w:tc>
          <w:tcPr>
            <w:tcW w:w="0" w:type="dxa"/>
            <w:vAlign w:val="bottom"/>
          </w:tcPr>
          <w:p>
            <w:pPr>
              <w:spacing w:after="0"/>
              <w:rPr>
                <w:sz w:val="1"/>
                <w:szCs w:val="1"/>
                <w:color w:val="auto"/>
              </w:rPr>
            </w:pPr>
          </w:p>
        </w:tc>
      </w:tr>
      <w:tr>
        <w:trPr>
          <w:trHeight w:val="109"/>
        </w:trPr>
        <w:tc>
          <w:tcPr>
            <w:tcW w:w="22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Short-term debt and current portion of long-term</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 (c)</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1,276</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34,343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34,343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14,969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3,403</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18,484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18,751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4,218</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23,069</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38,704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71,951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40,353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40,722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79,910</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16,364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16,372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16,193</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57,762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57,762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6,111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6,111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6,277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6,277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12,902</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12,591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2,162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15,218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11,151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13,447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45,884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59,929</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106,285</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46,519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58,602</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105,607</w:t>
            </w:r>
          </w:p>
        </w:tc>
        <w:tc>
          <w:tcPr>
            <w:tcW w:w="0" w:type="dxa"/>
            <w:vAlign w:val="bottom"/>
          </w:tcPr>
          <w:p>
            <w:pPr>
              <w:spacing w:after="0"/>
              <w:rPr>
                <w:sz w:val="1"/>
                <w:szCs w:val="1"/>
                <w:color w:val="auto"/>
              </w:rPr>
            </w:pPr>
          </w:p>
        </w:tc>
      </w:tr>
      <w:tr>
        <w:trPr>
          <w:trHeight w:val="121"/>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79,922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98,633</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178,236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86,872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99,325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185,517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Additional paid-in capital(d)</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1,611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26,926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26,551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1,730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26,542</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Retained earnings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14,776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40,212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17,444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13,640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31,962</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(11,729)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(1,278)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(13,003)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(12,213)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(1,284)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(13,488)</w:t>
            </w:r>
          </w:p>
        </w:tc>
        <w:tc>
          <w:tcPr>
            <w:tcW w:w="0" w:type="dxa"/>
            <w:vAlign w:val="bottom"/>
          </w:tcPr>
          <w:p>
            <w:pPr>
              <w:spacing w:after="0"/>
              <w:rPr>
                <w:sz w:val="1"/>
                <w:szCs w:val="1"/>
                <w:color w:val="auto"/>
              </w:rPr>
            </w:pPr>
          </w:p>
        </w:tc>
      </w:tr>
      <w:tr>
        <w:trPr>
          <w:trHeight w:val="136"/>
        </w:trPr>
        <w:tc>
          <w:tcPr>
            <w:tcW w:w="22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40,259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15,108</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54,150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31,796</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45,030</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Noncontrolling interests(d)</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3,530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6,171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959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4,647</w:t>
            </w:r>
          </w:p>
        </w:tc>
        <w:tc>
          <w:tcPr>
            <w:tcW w:w="0" w:type="dxa"/>
            <w:vAlign w:val="bottom"/>
          </w:tcPr>
          <w:p>
            <w:pPr>
              <w:spacing w:after="0"/>
              <w:rPr>
                <w:sz w:val="1"/>
                <w:szCs w:val="1"/>
                <w:color w:val="auto"/>
              </w:rPr>
            </w:pPr>
          </w:p>
        </w:tc>
      </w:tr>
      <w:tr>
        <w:trPr>
          <w:trHeight w:val="129"/>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41,198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4,036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15,108</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60,321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32,754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2,861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49,677</w:t>
            </w:r>
          </w:p>
        </w:tc>
        <w:tc>
          <w:tcPr>
            <w:tcW w:w="0" w:type="dxa"/>
            <w:vAlign w:val="bottom"/>
          </w:tcPr>
          <w:p>
            <w:pPr>
              <w:spacing w:after="0"/>
              <w:rPr>
                <w:sz w:val="1"/>
                <w:szCs w:val="1"/>
                <w:color w:val="auto"/>
              </w:rPr>
            </w:pPr>
          </w:p>
        </w:tc>
      </w:tr>
      <w:tr>
        <w:trPr>
          <w:trHeight w:val="136"/>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121,120</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113,741</w:t>
            </w: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(1,216)</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238,557</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119,625</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Pr>
          <w:p>
            <w:pPr>
              <w:spacing w:after="0"/>
              <w:rPr>
                <w:sz w:val="11"/>
                <w:szCs w:val="1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1"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0"/>
          <w:szCs w:val="10"/>
          <w:color w:val="auto"/>
        </w:rPr>
      </w:pPr>
      <w:r>
        <w:rPr>
          <w:rFonts w:ascii="Arial" w:cs="Arial" w:eastAsia="Arial" w:hAnsi="Arial"/>
          <w:sz w:val="10"/>
          <w:szCs w:val="10"/>
          <w:color w:val="auto"/>
        </w:rPr>
        <w:t>Amounts may not sum due to rounding.</w:t>
      </w:r>
    </w:p>
    <w:p>
      <w:pPr>
        <w:spacing w:after="0" w:line="1" w:lineRule="exact"/>
        <w:rPr>
          <w:rFonts w:ascii="Arial" w:cs="Arial" w:eastAsia="Arial" w:hAnsi="Arial"/>
          <w:sz w:val="10"/>
          <w:szCs w:val="10"/>
          <w:color w:val="auto"/>
        </w:rPr>
      </w:pPr>
    </w:p>
    <w:p>
      <w:pPr>
        <w:ind w:left="260" w:hanging="255"/>
        <w:spacing w:after="0" w:line="243" w:lineRule="auto"/>
        <w:tabs>
          <w:tab w:leader="none" w:pos="253" w:val="left"/>
        </w:tabs>
        <w:numPr>
          <w:ilvl w:val="0"/>
          <w:numId w:val="9"/>
        </w:numPr>
        <w:rPr>
          <w:rFonts w:ascii="Arial" w:cs="Arial" w:eastAsia="Arial" w:hAnsi="Arial"/>
          <w:sz w:val="10"/>
          <w:szCs w:val="10"/>
          <w:color w:val="auto"/>
        </w:rPr>
      </w:pPr>
      <w:r>
        <w:rPr>
          <w:rFonts w:ascii="Arial" w:cs="Arial" w:eastAsia="Arial" w:hAnsi="Arial"/>
          <w:sz w:val="10"/>
          <w:szCs w:val="10"/>
          <w:color w:val="auto"/>
        </w:rPr>
        <w:t>Eliminations primarily include: GM Financial accounts and notes receivable of $332 million offset by Automotive accounts payable and Automotive accounts receivable of $470 million offset by GM Financial accounts payable at September 30, 2021; and GM Financial accounts and notes receivable of $643 million offset by Automotive accounts payable and Automotive accounts receivable of $268 million offset by GM Financial accounts payable at December 31, 2020.</w:t>
      </w:r>
    </w:p>
    <w:p>
      <w:pPr>
        <w:ind w:left="260" w:hanging="255"/>
        <w:spacing w:after="0"/>
        <w:tabs>
          <w:tab w:leader="none" w:pos="260" w:val="left"/>
        </w:tabs>
        <w:numPr>
          <w:ilvl w:val="0"/>
          <w:numId w:val="9"/>
        </w:numPr>
        <w:rPr>
          <w:rFonts w:ascii="Arial" w:cs="Arial" w:eastAsia="Arial" w:hAnsi="Arial"/>
          <w:sz w:val="10"/>
          <w:szCs w:val="10"/>
          <w:color w:val="auto"/>
        </w:rPr>
      </w:pPr>
      <w:r>
        <w:rPr>
          <w:rFonts w:ascii="Arial" w:cs="Arial" w:eastAsia="Arial" w:hAnsi="Arial"/>
          <w:sz w:val="10"/>
          <w:szCs w:val="10"/>
          <w:color w:val="auto"/>
        </w:rPr>
        <w:t>Eliminations include GM Financial loan receivable of $184 million and $398 million offset by an Automotive loan payable at September 30, 2021 and December 31, 2020.</w:t>
      </w:r>
    </w:p>
    <w:p>
      <w:pPr>
        <w:spacing w:after="0" w:line="1" w:lineRule="exact"/>
        <w:rPr>
          <w:rFonts w:ascii="Arial" w:cs="Arial" w:eastAsia="Arial" w:hAnsi="Arial"/>
          <w:sz w:val="10"/>
          <w:szCs w:val="10"/>
          <w:color w:val="auto"/>
        </w:rPr>
      </w:pPr>
    </w:p>
    <w:p>
      <w:pPr>
        <w:ind w:left="260" w:hanging="255"/>
        <w:spacing w:after="0"/>
        <w:tabs>
          <w:tab w:leader="none" w:pos="260" w:val="left"/>
        </w:tabs>
        <w:numPr>
          <w:ilvl w:val="0"/>
          <w:numId w:val="9"/>
        </w:numPr>
        <w:rPr>
          <w:rFonts w:ascii="Arial" w:cs="Arial" w:eastAsia="Arial" w:hAnsi="Arial"/>
          <w:sz w:val="10"/>
          <w:szCs w:val="10"/>
          <w:color w:val="auto"/>
        </w:rPr>
      </w:pPr>
      <w:r>
        <w:rPr>
          <w:rFonts w:ascii="Arial" w:cs="Arial" w:eastAsia="Arial" w:hAnsi="Arial"/>
          <w:sz w:val="10"/>
          <w:szCs w:val="10"/>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698" w:right="319" w:bottom="1440" w:gutter="0" w:footer="0" w:header="0"/>
        </w:sectPr>
      </w:pPr>
    </w:p>
    <w:bookmarkStart w:id="22" w:name="page23"/>
    <w:bookmarkEnd w:id="22"/>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ind w:left="300"/>
              <w:spacing w:after="0"/>
              <w:rPr>
                <w:sz w:val="20"/>
                <w:szCs w:val="20"/>
                <w:color w:val="auto"/>
              </w:rPr>
            </w:pPr>
            <w:r>
              <w:rPr>
                <w:rFonts w:ascii="Arial" w:cs="Arial" w:eastAsia="Arial" w:hAnsi="Arial"/>
                <w:sz w:val="10"/>
                <w:szCs w:val="10"/>
                <w:b w:val="1"/>
                <w:bCs w:val="1"/>
                <w:color w:val="auto"/>
              </w:rPr>
              <w:t>Nine Months Ended September 30, 2021</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6"/>
          </w:tcPr>
          <w:p>
            <w:pPr>
              <w:ind w:left="280"/>
              <w:spacing w:after="0"/>
              <w:rPr>
                <w:sz w:val="20"/>
                <w:szCs w:val="20"/>
                <w:color w:val="auto"/>
              </w:rPr>
            </w:pPr>
            <w:r>
              <w:rPr>
                <w:rFonts w:ascii="Arial" w:cs="Arial" w:eastAsia="Arial" w:hAnsi="Arial"/>
                <w:sz w:val="10"/>
                <w:szCs w:val="10"/>
                <w:b w:val="1"/>
                <w:bCs w:val="1"/>
                <w:color w:val="auto"/>
              </w:rPr>
              <w:t>Nine Months Ended September 30, 2020</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740" w:type="dxa"/>
            <w:vAlign w:val="bottom"/>
            <w:gridSpan w:val="3"/>
          </w:tcPr>
          <w:p>
            <w:pPr>
              <w:ind w:left="6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36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2,900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1,244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3,524</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Depreciation and impairment of Equipment on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operating leases, net</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4,757</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4,757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5,515</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5,518</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Depreciation, amortization and impairment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charges on Property, net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4,357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4,217</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Foreign currency remeasurement and transaction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(gains) losses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Undistributed earnings of nonconsolidated</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affiliates, net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(610)</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(754)</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316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115</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1,963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214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700</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Change in other operating assets and liabilities(b)</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(9,980)</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133</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3,193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(8,683)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(912)</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2,263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(2,805)</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operating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5,628</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3,186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8,379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2,276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5,998</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2,272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9,977</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(4,235)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(4,310)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(3,328)</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acquisitions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(3,477)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(12,190)</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Available-for-sale marketable securities,</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liquidations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5,597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2,656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8,236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5,260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1,776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7,018</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finance receivables,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(25,470)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(22,419)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(22,294)</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Principal collections and recoveries on finance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receivables(b)</w:t>
            </w: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23,446</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(5,149)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18,297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17,932</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(3,310)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14,622</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(16,698)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(10,468)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(10,468)</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15,513</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15,513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9,937</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9,937</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investing activities(d)</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1,084</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investing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(2,684)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(882)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(3,242)</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(4,131)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(10,939)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(7,273)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(1,227)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(5,040)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(3,278)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(16,819)</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Net increase (decrease) in short-term debt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3,205</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3,203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579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580</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8"/>
              </w:rPr>
              <w:t>Proceeds from issuance of debt (original maturities</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greater than three months)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34,476</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34,843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43,685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64,931</w:t>
            </w:r>
          </w:p>
        </w:tc>
        <w:tc>
          <w:tcPr>
            <w:tcW w:w="0" w:type="dxa"/>
            <w:vAlign w:val="bottom"/>
          </w:tcPr>
          <w:p>
            <w:pPr>
              <w:spacing w:after="0"/>
              <w:rPr>
                <w:sz w:val="1"/>
                <w:szCs w:val="1"/>
                <w:color w:val="auto"/>
              </w:rPr>
            </w:pPr>
          </w:p>
        </w:tc>
      </w:tr>
      <w:tr>
        <w:trPr>
          <w:trHeight w:val="101"/>
        </w:trPr>
        <w:tc>
          <w:tcPr>
            <w:tcW w:w="2360" w:type="dxa"/>
            <w:vAlign w:val="bottom"/>
          </w:tcPr>
          <w:p>
            <w:pPr>
              <w:ind w:left="120"/>
              <w:spacing w:after="0" w:line="102" w:lineRule="exact"/>
              <w:rPr>
                <w:sz w:val="20"/>
                <w:szCs w:val="20"/>
                <w:color w:val="auto"/>
              </w:rPr>
            </w:pPr>
            <w:r>
              <w:rPr>
                <w:rFonts w:ascii="Arial" w:cs="Arial" w:eastAsia="Arial" w:hAnsi="Arial"/>
                <w:sz w:val="10"/>
                <w:szCs w:val="10"/>
                <w:color w:val="auto"/>
              </w:rPr>
              <w:t>Payments on debt (original maturities greater than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(37,197)</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159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(38,266)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(6,704)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(44,100)</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(50,659)</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issuance of preferred stock(d)</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w:t>
            </w:r>
          </w:p>
        </w:tc>
        <w:tc>
          <w:tcPr>
            <w:tcW w:w="0" w:type="dxa"/>
            <w:vAlign w:val="bottom"/>
          </w:tcPr>
          <w:p>
            <w:pPr>
              <w:spacing w:after="0"/>
              <w:rPr>
                <w:sz w:val="1"/>
                <w:szCs w:val="1"/>
                <w:color w:val="auto"/>
              </w:rPr>
            </w:pPr>
          </w:p>
        </w:tc>
      </w:tr>
      <w:tr>
        <w:trPr>
          <w:trHeight w:val="131"/>
        </w:trPr>
        <w:tc>
          <w:tcPr>
            <w:tcW w:w="2360" w:type="dxa"/>
            <w:vAlign w:val="bottom"/>
          </w:tcPr>
          <w:p>
            <w:pPr>
              <w:ind w:left="120"/>
              <w:spacing w:after="0"/>
              <w:rPr>
                <w:sz w:val="20"/>
                <w:szCs w:val="20"/>
                <w:color w:val="auto"/>
              </w:rPr>
            </w:pPr>
            <w:r>
              <w:rPr>
                <w:rFonts w:ascii="Arial" w:cs="Arial" w:eastAsia="Arial" w:hAnsi="Arial"/>
                <w:sz w:val="10"/>
                <w:szCs w:val="10"/>
                <w:color w:val="auto"/>
              </w:rPr>
              <w:t>Dividends paid(c)</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(1,920)</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1,800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(890)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800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(653)</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financing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w:t>
            </w: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financing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2,698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(1,568)</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945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1,212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13,537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(370)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1,005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14,159</w:t>
            </w: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Effect of exchange rate changes on cash, cash</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equivalents and restricted cash</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w:t>
            </w:r>
          </w:p>
        </w:tc>
        <w:tc>
          <w:tcPr>
            <w:tcW w:w="0" w:type="dxa"/>
            <w:vAlign w:val="bottom"/>
          </w:tcPr>
          <w:p>
            <w:pPr>
              <w:spacing w:after="0"/>
              <w:rPr>
                <w:sz w:val="1"/>
                <w:szCs w:val="1"/>
                <w:color w:val="auto"/>
              </w:rPr>
            </w:pPr>
          </w:p>
        </w:tc>
      </w:tr>
      <w:tr>
        <w:trPr>
          <w:trHeight w:val="81"/>
        </w:trPr>
        <w:tc>
          <w:tcPr>
            <w:tcW w:w="2360" w:type="dxa"/>
            <w:vAlign w:val="bottom"/>
          </w:tcPr>
          <w:p>
            <w:pPr>
              <w:ind w:left="120"/>
              <w:spacing w:after="0" w:line="82" w:lineRule="exact"/>
              <w:rPr>
                <w:sz w:val="20"/>
                <w:szCs w:val="20"/>
                <w:color w:val="auto"/>
              </w:rPr>
            </w:pPr>
            <w:r>
              <w:rPr>
                <w:rFonts w:ascii="Arial" w:cs="Arial" w:eastAsia="Arial" w:hAnsi="Arial"/>
                <w:sz w:val="9"/>
                <w:szCs w:val="9"/>
                <w:color w:val="auto"/>
              </w:rPr>
              <w:t>Net increase (decrease) in cash, cash equivalents</w:t>
            </w: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240"/>
              <w:spacing w:after="0"/>
              <w:rPr>
                <w:sz w:val="20"/>
                <w:szCs w:val="20"/>
                <w:color w:val="auto"/>
              </w:rPr>
            </w:pPr>
            <w:r>
              <w:rPr>
                <w:rFonts w:ascii="Arial" w:cs="Arial" w:eastAsia="Arial" w:hAnsi="Arial"/>
                <w:sz w:val="10"/>
                <w:szCs w:val="10"/>
                <w:color w:val="auto"/>
              </w:rPr>
              <w:t>and restricted cash</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(3,312)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1,071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775</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8,273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448</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6,913</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Cash, cash equivalents and restricted cash at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beginning of period</w:t>
            </w: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8,126</w:t>
            </w:r>
          </w:p>
        </w:tc>
        <w:tc>
          <w:tcPr>
            <w:tcW w:w="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23,117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13,487</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2,355</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7,102</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22,943</w:t>
            </w:r>
          </w:p>
        </w:tc>
        <w:tc>
          <w:tcPr>
            <w:tcW w:w="0" w:type="dxa"/>
            <w:vAlign w:val="bottom"/>
          </w:tcPr>
          <w:p>
            <w:pPr>
              <w:spacing w:after="0"/>
              <w:rPr>
                <w:sz w:val="1"/>
                <w:szCs w:val="1"/>
                <w:color w:val="auto"/>
              </w:rPr>
            </w:pPr>
          </w:p>
        </w:tc>
      </w:tr>
      <w:tr>
        <w:trPr>
          <w:trHeight w:val="75"/>
        </w:trPr>
        <w:tc>
          <w:tcPr>
            <w:tcW w:w="236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Cash, cash equivalents and restricted cash at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10,913</w:t>
            </w:r>
          </w:p>
        </w:tc>
        <w:tc>
          <w:tcPr>
            <w:tcW w:w="10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rPr>
              <w:t>1,838</w:t>
            </w:r>
          </w:p>
        </w:tc>
        <w:tc>
          <w:tcPr>
            <w:tcW w:w="100" w:type="dxa"/>
            <w:vAlign w:val="bottom"/>
          </w:tcPr>
          <w:p>
            <w:pPr>
              <w:spacing w:after="0"/>
              <w:rPr>
                <w:sz w:val="6"/>
                <w:szCs w:val="6"/>
                <w:color w:val="auto"/>
              </w:rPr>
            </w:pPr>
          </w:p>
        </w:tc>
        <w:tc>
          <w:tcPr>
            <w:tcW w:w="160" w:type="dxa"/>
            <w:vAlign w:val="bottom"/>
            <w:vMerge w:val="restart"/>
          </w:tcPr>
          <w:p>
            <w:pPr>
              <w:jc w:val="right"/>
              <w:ind w:right="53"/>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8,901</w:t>
            </w:r>
          </w:p>
        </w:tc>
        <w:tc>
          <w:tcPr>
            <w:tcW w:w="80" w:type="dxa"/>
            <w:vAlign w:val="bottom"/>
          </w:tcPr>
          <w:p>
            <w:pPr>
              <w:spacing w:after="0"/>
              <w:rPr>
                <w:sz w:val="6"/>
                <w:szCs w:val="6"/>
                <w:color w:val="auto"/>
              </w:rPr>
            </w:pPr>
          </w:p>
        </w:tc>
        <w:tc>
          <w:tcPr>
            <w:tcW w:w="86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21,651</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21,760</w:t>
            </w:r>
          </w:p>
        </w:tc>
        <w:tc>
          <w:tcPr>
            <w:tcW w:w="100" w:type="dxa"/>
            <w:vAlign w:val="bottom"/>
          </w:tcPr>
          <w:p>
            <w:pPr>
              <w:spacing w:after="0"/>
              <w:rPr>
                <w:sz w:val="6"/>
                <w:szCs w:val="6"/>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545</w:t>
            </w:r>
          </w:p>
        </w:tc>
        <w:tc>
          <w:tcPr>
            <w:tcW w:w="8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11"/>
              <w:spacing w:after="0"/>
              <w:rPr>
                <w:sz w:val="20"/>
                <w:szCs w:val="20"/>
                <w:color w:val="auto"/>
              </w:rPr>
            </w:pPr>
            <w:r>
              <w:rPr>
                <w:rFonts w:ascii="Arial" w:cs="Arial" w:eastAsia="Arial" w:hAnsi="Arial"/>
                <w:sz w:val="10"/>
                <w:szCs w:val="10"/>
                <w:color w:val="auto"/>
              </w:rPr>
              <w:t>7,551</w:t>
            </w:r>
          </w:p>
        </w:tc>
        <w:tc>
          <w:tcPr>
            <w:tcW w:w="10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0"/>
                <w:szCs w:val="10"/>
                <w:color w:val="auto"/>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29,856</w:t>
            </w:r>
          </w:p>
        </w:tc>
        <w:tc>
          <w:tcPr>
            <w:tcW w:w="0" w:type="dxa"/>
            <w:vAlign w:val="bottom"/>
          </w:tcPr>
          <w:p>
            <w:pPr>
              <w:spacing w:after="0"/>
              <w:rPr>
                <w:sz w:val="1"/>
                <w:szCs w:val="1"/>
                <w:color w:val="auto"/>
              </w:rPr>
            </w:pPr>
          </w:p>
        </w:tc>
      </w:tr>
      <w:tr>
        <w:trPr>
          <w:trHeight w:val="117"/>
        </w:trPr>
        <w:tc>
          <w:tcPr>
            <w:tcW w:w="236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1"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Amounts may not sum due to rounding.</w:t>
      </w:r>
    </w:p>
    <w:p>
      <w:pPr>
        <w:spacing w:after="0" w:line="1" w:lineRule="exact"/>
        <w:rPr>
          <w:rFonts w:ascii="Arial" w:cs="Arial" w:eastAsia="Arial" w:hAnsi="Arial"/>
          <w:sz w:val="10"/>
          <w:szCs w:val="10"/>
          <w:color w:val="auto"/>
        </w:rPr>
      </w:pPr>
    </w:p>
    <w:p>
      <w:pPr>
        <w:ind w:left="260" w:hanging="255"/>
        <w:spacing w:after="0" w:line="243" w:lineRule="auto"/>
        <w:tabs>
          <w:tab w:leader="none" w:pos="253"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Includes reclassifications of $4.9 billion and $2.9 billion in the nine months ended September 30, 2021 and 2020 for purchases/collections of wholesale finance receivables resulting from vehicles sold by GM to dealers that have arranged their inventory floor plan financing through GM Financial.</w:t>
      </w:r>
    </w:p>
    <w:p>
      <w:pPr>
        <w:ind w:left="260" w:hanging="255"/>
        <w:spacing w:after="0"/>
        <w:tabs>
          <w:tab w:leader="none" w:pos="2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Eliminations include dividends issued by GM Financial to Automotive.</w:t>
      </w:r>
    </w:p>
    <w:p>
      <w:pPr>
        <w:spacing w:after="0" w:line="1" w:lineRule="exact"/>
        <w:rPr>
          <w:rFonts w:ascii="Arial" w:cs="Arial" w:eastAsia="Arial" w:hAnsi="Arial"/>
          <w:sz w:val="10"/>
          <w:szCs w:val="10"/>
          <w:color w:val="auto"/>
        </w:rPr>
      </w:pPr>
    </w:p>
    <w:p>
      <w:pPr>
        <w:ind w:left="260" w:hanging="255"/>
        <w:spacing w:after="0"/>
        <w:tabs>
          <w:tab w:leader="none" w:pos="2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Eliminations include $1.0 billion in the nine months ended September 30, 2021 for Automotive investments in Cruise Preferred Shares.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2021-10-27T08:16:42Z</dcterms:created>
  <dcterms:modified xsi:type="dcterms:W3CDTF">2021-10-27T08:16:42Z</dcterms:modified>
</cp:coreProperties>
</file>