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79,694,526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79,839,592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79,839,592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72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General Motors Co.</w:t>
      </w:r>
    </w:p>
    <w:p>
      <w:pPr>
        <w:spacing w:after="0" w:line="12" w:lineRule="exact"/>
        <w:rPr>
          <w:rFonts w:ascii="Arial" w:cs="Arial" w:eastAsia="Arial" w:hAnsi="Arial"/>
          <w:sz w:val="19"/>
          <w:szCs w:val="19"/>
          <w:b w:val="1"/>
          <w:bCs w:val="1"/>
          <w:color w:val="auto"/>
        </w:rPr>
      </w:pPr>
    </w:p>
    <w:p>
      <w:pPr>
        <w:jc w:val="both"/>
        <w:ind w:left="1580" w:right="514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300 Renaissance Center, Detroit, MI 48265-3000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580" w:right="73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37045V100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40"/>
            <w:col w:w="870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79,839,592 **</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5.5%</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2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20" w:right="78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79,694,526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79,839,592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500" w:space="280"/>
            <w:col w:w="4240"/>
          </w:cols>
          <w:pgMar w:left="400" w:top="423" w:right="479" w:bottom="0" w:gutter="0" w:footer="0" w:header="0"/>
          <w:type w:val="continuous"/>
        </w:sectPr>
      </w:pPr>
    </w:p>
    <w:p>
      <w:pPr>
        <w:ind w:right="10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40"/>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World Investors." CWI is deemed to be the beneficial owner of 79,839,592 shares or 5.5% of the 1,451,860,294 shares believed to be outstanding.</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2022-02-12T02:25:41Z</dcterms:created>
  <dcterms:modified xsi:type="dcterms:W3CDTF">2022-02-12T02:25:41Z</dcterms:modified>
</cp:coreProperties>
</file>