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84" w:space="720"/>
            <w:col w:w="312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On July 28, 2022, General Motors Company (the “Company”) entered into an Underwriting Agreement (the “Underwriting Agreement”) with Barclays Capital Inc., BNP Paribas Securities Corp., BofA Securities, Inc., Citigroup Global Markets Inc., Credit Agricole Securities (USA) Inc., Goldman Sachs &amp; Co. LLC, J.P. Morgan Securities LLC and Morgan Stanley &amp; Co. LLC, each acting as representative of the several other underwriters named therein (collectively, the “Underwriters”), pursuant to which the Company agreed to sell to the Underwriters, and the Underwriters agreed to purchase from the Company, $2.25 billion aggregate principal amount of the Company’s senior notes, consisting of $1.0 billion aggregate principal amount of</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5.400% Senior Notes due 2029 (the “2029 Notes”) and $1.25 billion aggregate principal amount of 5.600% Senior Notes due 2032 (the “2032 Notes” and, together with the 2029 Notes, the “Notes”).</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August 2, 2022, the Company closed the offering of the Notes. The 2029 Notes and the 2032 Notes were each issued as a separate series of debt securities pursuant to the indenture, dated as of September 27, 2013 (the “Base Indenture”), between the Company and The Bank of New York Mellon, as trustee (the “Trustee”), as supplemented by a seventh supplemental indenture, dated as of August 2, 2022 (the “Seventh Supplemental Indenture”), between the Company and the Trustee. The Base Indenture, as supplemented by the Seventh Supplemental Indenture (the “Indenture”), governs the terms of the Notes.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Indenture contains covenants that will limit (i) the ability of the Company and certain of its subsidiaries to incur indebtedness secured by certain principal domestic manufacturing properties or by any shares of stock or indebtedness of certain manufacturing subsidiaries and to enter into certain sale and leaseback transactions with respect to certain principal domestic manufacturing properties and (ii) the ability of the Company to enter into certain mergers or certain conveyances, transfers or leases of all or substantially all of its properties and assets.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intends to allocate an amount equal to the net proceeds from this offering to finance or refinance, in whole or in part, one or more new or existing green projects, assets or activities undertaken or owned by the Company that meet one or more of the eligibility criteria described in the Company’s Sustainable Finance Framework.</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offering and sale of the Notes was made pursuant to the Company’s effective shelf registration statement on Form S-3 (File No. 333-236276) filed with the Securities and Exchange Commission.</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foregoing description of the Underwriting Agreement, Base Indenture and Seventh Supplemental Indenture does not constitute a complete summary of these documents and is qualified by reference in its entirety to the full text of the Underwriting Agreement, Base Indenture and Seventh Supplemental Indenture, which are filed herewith as Exhibit 1.1, Exhibit 4.1 and Exhibit 4.2, respectively, and incorporated herein by reference.</w:t>
      </w:r>
    </w:p>
    <w:p>
      <w:pPr>
        <w:sectPr>
          <w:pgSz w:w="11900" w:h="16838" w:orient="portrait"/>
          <w:cols w:equalWidth="0" w:num="1">
            <w:col w:w="11000"/>
          </w:cols>
          <w:pgMar w:left="440" w:top="297"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16"/>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92"/>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40" w:type="dxa"/>
            <w:vAlign w:val="bottom"/>
            <w:gridSpan w:val="12"/>
          </w:tcPr>
          <w:p>
            <w:pPr>
              <w:ind w:left="1380"/>
              <w:spacing w:after="0"/>
              <w:rPr>
                <w:sz w:val="20"/>
                <w:szCs w:val="20"/>
                <w:color w:val="auto"/>
              </w:rPr>
            </w:pPr>
            <w:r>
              <w:rPr>
                <w:rFonts w:ascii="Arial" w:cs="Arial" w:eastAsia="Arial" w:hAnsi="Arial"/>
                <w:sz w:val="18"/>
                <w:szCs w:val="18"/>
                <w:b w:val="1"/>
                <w:bCs w:val="1"/>
                <w:color w:val="auto"/>
              </w:rPr>
              <w:t>EXHIBIT</w:t>
            </w:r>
          </w:p>
        </w:tc>
      </w:tr>
      <w:tr>
        <w:trPr>
          <w:trHeight w:val="20"/>
        </w:trPr>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00" w:type="dxa"/>
            <w:vAlign w:val="bottom"/>
            <w:gridSpan w:val="9"/>
          </w:tcPr>
          <w:p>
            <w:pPr>
              <w:spacing w:after="0"/>
              <w:rPr>
                <w:sz w:val="20"/>
                <w:szCs w:val="20"/>
                <w:color w:val="auto"/>
              </w:rPr>
            </w:pPr>
            <w:r>
              <w:rPr>
                <w:rFonts w:ascii="Arial" w:cs="Arial" w:eastAsia="Arial" w:hAnsi="Arial"/>
                <w:sz w:val="14"/>
                <w:szCs w:val="14"/>
                <w:color w:val="auto"/>
              </w:rPr>
              <w:t>Description</w:t>
            </w:r>
          </w:p>
        </w:tc>
      </w:tr>
      <w:tr>
        <w:trPr>
          <w:trHeight w:val="20"/>
        </w:trPr>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6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93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Underwriting Agreement, dated July 28, 2022, by and among General Motors Company, as issuer, and Barclays Capital Inc., BNP</w:t>
              </w:r>
            </w:hyperlink>
          </w:p>
        </w:tc>
        <w:tc>
          <w:tcPr>
            <w:tcW w:w="28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60" w:type="dxa"/>
            <w:vAlign w:val="bottom"/>
            <w:gridSpan w:val="15"/>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Paribas Securities Corp., BofA Securities, Inc., Citigroup Global Markets Inc., Credit Agricole Securities (USA) Inc., Goldman</w:t>
              </w:r>
            </w:hyperlink>
          </w:p>
        </w:tc>
      </w:tr>
      <w:tr>
        <w:trPr>
          <w:trHeight w:val="20"/>
        </w:trPr>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60" w:type="dxa"/>
            <w:vAlign w:val="bottom"/>
            <w:gridSpan w:val="15"/>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Sachs &amp; Co. LLC, J.P. Morgan Securities LLC and Morgan Stanley &amp; Co. LLC, each acting as representative of the several other</w:t>
              </w:r>
            </w:hyperlink>
          </w:p>
        </w:tc>
      </w:tr>
      <w:tr>
        <w:trPr>
          <w:trHeight w:val="196"/>
        </w:trPr>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underwriters named therein</w:t>
              </w:r>
            </w:hyperlink>
          </w:p>
        </w:tc>
        <w:tc>
          <w:tcPr>
            <w:tcW w:w="7340" w:type="dxa"/>
            <w:vAlign w:val="bottom"/>
            <w:tcBorders>
              <w:top w:val="single" w:sz="8" w:color="0000EE"/>
            </w:tcBorders>
            <w:gridSpan w:val="11"/>
          </w:tcPr>
          <w:p>
            <w:pPr>
              <w:spacing w:after="0"/>
              <w:rPr>
                <w:sz w:val="17"/>
                <w:szCs w:val="17"/>
                <w:color w:val="auto"/>
              </w:rPr>
            </w:pPr>
          </w:p>
        </w:tc>
        <w:tc>
          <w:tcPr>
            <w:tcW w:w="340" w:type="dxa"/>
            <w:vAlign w:val="bottom"/>
            <w:gridSpan w:val="2"/>
          </w:tcPr>
          <w:p>
            <w:pPr>
              <w:spacing w:after="0"/>
              <w:rPr>
                <w:sz w:val="17"/>
                <w:szCs w:val="17"/>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9080" w:type="dxa"/>
            <w:vAlign w:val="bottom"/>
            <w:tcBorders>
              <w:bottom w:val="single" w:sz="8" w:color="0000EE"/>
            </w:tcBorders>
            <w:gridSpan w:val="10"/>
          </w:tcPr>
          <w:p>
            <w:pPr>
              <w:spacing w:after="0"/>
              <w:rPr>
                <w:rFonts w:ascii="Arial" w:cs="Arial" w:eastAsia="Arial" w:hAnsi="Arial"/>
                <w:sz w:val="18"/>
                <w:szCs w:val="18"/>
                <w:color w:val="0000EE"/>
                <w:w w:val="90"/>
              </w:rPr>
            </w:pPr>
            <w:hyperlink r:id="rId18">
              <w:r>
                <w:rPr>
                  <w:rFonts w:ascii="Arial" w:cs="Arial" w:eastAsia="Arial" w:hAnsi="Arial"/>
                  <w:sz w:val="18"/>
                  <w:szCs w:val="18"/>
                  <w:color w:val="0000EE"/>
                  <w:w w:val="90"/>
                </w:rPr>
                <w:t>Indenture dated as of September 27, 2013, between General Motors Company and The Bank of New York Mellon, as Trustee,</w:t>
              </w:r>
            </w:hyperlink>
          </w:p>
        </w:tc>
        <w:tc>
          <w:tcPr>
            <w:tcW w:w="580" w:type="dxa"/>
            <w:vAlign w:val="bottom"/>
            <w:gridSpan w:val="5"/>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incorporated herein by reference to Exhibit 4.2 to the Registration Statement on Form S-3 of General Motors Company filed April 30,</w:t>
              </w:r>
            </w:hyperlink>
          </w:p>
        </w:tc>
      </w:tr>
      <w:tr>
        <w:trPr>
          <w:trHeight w:val="196"/>
        </w:trPr>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gridSpan w:val="2"/>
          </w:tcPr>
          <w:p>
            <w:pPr>
              <w:ind w:left="280"/>
              <w:spacing w:after="0" w:line="196" w:lineRule="exact"/>
              <w:rPr>
                <w:rFonts w:ascii="Arial" w:cs="Arial" w:eastAsia="Arial" w:hAnsi="Arial"/>
                <w:sz w:val="18"/>
                <w:szCs w:val="18"/>
                <w:color w:val="0000EE"/>
                <w:w w:val="84"/>
              </w:rPr>
            </w:pPr>
            <w:hyperlink r:id="rId18">
              <w:r>
                <w:rPr>
                  <w:rFonts w:ascii="Arial" w:cs="Arial" w:eastAsia="Arial" w:hAnsi="Arial"/>
                  <w:sz w:val="18"/>
                  <w:szCs w:val="18"/>
                  <w:color w:val="0000EE"/>
                  <w:w w:val="84"/>
                </w:rPr>
                <w:t>2014</w:t>
              </w:r>
            </w:hyperlink>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92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Seventh Supplemental Indenture, dated as of August 2, 2022, to the Indenture, dated as of September 27, 2013, between General</w:t>
              </w:r>
            </w:hyperlink>
          </w:p>
        </w:tc>
        <w:tc>
          <w:tcPr>
            <w:tcW w:w="400" w:type="dxa"/>
            <w:vAlign w:val="bottom"/>
            <w:gridSpan w:val="3"/>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60" w:type="dxa"/>
            <w:vAlign w:val="bottom"/>
            <w:gridSpan w:val="1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Motors Company, as issuer, and The Bank of New York Mellon, as Trustee</w:t>
              </w:r>
            </w:hyperlink>
          </w:p>
        </w:tc>
      </w:tr>
      <w:tr>
        <w:trPr>
          <w:trHeight w:val="20"/>
        </w:trPr>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66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Form of General Motors Company 5.400% Senior Notes due 2029 (included in Exhibit 4.2)</w:t>
              </w:r>
            </w:hyperlink>
          </w:p>
        </w:tc>
        <w:tc>
          <w:tcPr>
            <w:tcW w:w="3040" w:type="dxa"/>
            <w:vAlign w:val="bottom"/>
            <w:gridSpan w:val="6"/>
          </w:tcPr>
          <w:p>
            <w:pPr>
              <w:spacing w:after="0"/>
              <w:rPr>
                <w:sz w:val="24"/>
                <w:szCs w:val="24"/>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66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Form of General Motors Company 5.600% Senior Notes due 2032 (included in Exhibit 4.2)</w:t>
              </w:r>
            </w:hyperlink>
          </w:p>
        </w:tc>
        <w:tc>
          <w:tcPr>
            <w:tcW w:w="3040" w:type="dxa"/>
            <w:vAlign w:val="bottom"/>
            <w:gridSpan w:val="6"/>
          </w:tcPr>
          <w:p>
            <w:pPr>
              <w:spacing w:after="0"/>
              <w:rPr>
                <w:sz w:val="24"/>
                <w:szCs w:val="24"/>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9660" w:type="dxa"/>
            <w:vAlign w:val="bottom"/>
            <w:gridSpan w:val="1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Opinion of King &amp; Spalding LLP</w:t>
              </w:r>
            </w:hyperlink>
          </w:p>
        </w:tc>
      </w:tr>
      <w:tr>
        <w:trPr>
          <w:trHeight w:val="20"/>
        </w:trPr>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r>
      <w:tr>
        <w:trPr>
          <w:trHeight w:val="304"/>
        </w:trPr>
        <w:tc>
          <w:tcPr>
            <w:tcW w:w="1040" w:type="dxa"/>
            <w:vAlign w:val="bottom"/>
            <w:gridSpan w:val="3"/>
          </w:tcPr>
          <w:p>
            <w:pPr>
              <w:spacing w:after="0"/>
              <w:rPr>
                <w:sz w:val="20"/>
                <w:szCs w:val="20"/>
                <w:color w:val="auto"/>
              </w:rPr>
            </w:pPr>
            <w:r>
              <w:rPr>
                <w:rFonts w:ascii="Arial" w:cs="Arial" w:eastAsia="Arial" w:hAnsi="Arial"/>
                <w:sz w:val="18"/>
                <w:szCs w:val="18"/>
                <w:color w:val="auto"/>
              </w:rPr>
              <w:t>Exhibit 23.1</w:t>
            </w:r>
          </w:p>
        </w:tc>
        <w:tc>
          <w:tcPr>
            <w:tcW w:w="280" w:type="dxa"/>
            <w:vAlign w:val="bottom"/>
          </w:tcPr>
          <w:p>
            <w:pPr>
              <w:spacing w:after="0"/>
              <w:rPr>
                <w:sz w:val="24"/>
                <w:szCs w:val="24"/>
                <w:color w:val="auto"/>
              </w:rPr>
            </w:pPr>
          </w:p>
        </w:tc>
        <w:tc>
          <w:tcPr>
            <w:tcW w:w="42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83">
              <w:r>
                <w:rPr>
                  <w:rFonts w:ascii="Arial" w:cs="Arial" w:eastAsia="Arial" w:hAnsi="Arial"/>
                  <w:sz w:val="18"/>
                  <w:szCs w:val="18"/>
                  <w:color w:val="0000EE"/>
                  <w:w w:val="93"/>
                </w:rPr>
                <w:t>Consent of King &amp; Spalding LLP (included in Exhibit 5.1)</w:t>
              </w:r>
            </w:hyperlink>
          </w:p>
        </w:tc>
        <w:tc>
          <w:tcPr>
            <w:tcW w:w="5420" w:type="dxa"/>
            <w:vAlign w:val="bottom"/>
            <w:gridSpan w:val="10"/>
          </w:tcPr>
          <w:p>
            <w:pPr>
              <w:spacing w:after="0"/>
              <w:rPr>
                <w:sz w:val="24"/>
                <w:szCs w:val="24"/>
                <w:color w:val="auto"/>
              </w:rPr>
            </w:pPr>
          </w:p>
        </w:tc>
      </w:tr>
      <w:tr>
        <w:trPr>
          <w:trHeight w:val="345"/>
        </w:trPr>
        <w:tc>
          <w:tcPr>
            <w:tcW w:w="1040" w:type="dxa"/>
            <w:vAlign w:val="bottom"/>
            <w:gridSpan w:val="3"/>
          </w:tcPr>
          <w:p>
            <w:pPr>
              <w:spacing w:after="0"/>
              <w:rPr>
                <w:sz w:val="20"/>
                <w:szCs w:val="20"/>
                <w:color w:val="auto"/>
              </w:rPr>
            </w:pPr>
            <w:r>
              <w:rPr>
                <w:rFonts w:ascii="Arial" w:cs="Arial" w:eastAsia="Arial" w:hAnsi="Arial"/>
                <w:sz w:val="18"/>
                <w:szCs w:val="18"/>
                <w:color w:val="auto"/>
              </w:rPr>
              <w:t>Exhibit 104</w:t>
            </w:r>
          </w:p>
        </w:tc>
        <w:tc>
          <w:tcPr>
            <w:tcW w:w="280" w:type="dxa"/>
            <w:vAlign w:val="bottom"/>
          </w:tcPr>
          <w:p>
            <w:pPr>
              <w:spacing w:after="0"/>
              <w:rPr>
                <w:sz w:val="24"/>
                <w:szCs w:val="24"/>
                <w:color w:val="auto"/>
              </w:rPr>
            </w:pPr>
          </w:p>
        </w:tc>
        <w:tc>
          <w:tcPr>
            <w:tcW w:w="9660" w:type="dxa"/>
            <w:vAlign w:val="bottom"/>
            <w:gridSpan w:val="1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rPr>
          <w:sz w:val="20"/>
          <w:szCs w:val="20"/>
          <w:color w:val="auto"/>
        </w:rPr>
        <w:sectPr>
          <w:pgSz w:w="11900" w:h="16838" w:orient="portrait"/>
          <w:cols w:equalWidth="0" w:num="1">
            <w:col w:w="10980"/>
          </w:cols>
          <w:pgMar w:left="440" w:top="297"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MOTORS COMPANY (Registrant)</w:t>
            </w:r>
          </w:p>
        </w:tc>
      </w:tr>
      <w:tr>
        <w:trPr>
          <w:trHeight w:val="432"/>
        </w:trPr>
        <w:tc>
          <w:tcPr>
            <w:tcW w:w="35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 Kim</w:t>
            </w:r>
          </w:p>
        </w:tc>
      </w:tr>
      <w:tr>
        <w:trPr>
          <w:trHeight w:val="209"/>
        </w:trPr>
        <w:tc>
          <w:tcPr>
            <w:tcW w:w="3520" w:type="dxa"/>
            <w:vAlign w:val="bottom"/>
          </w:tcPr>
          <w:p>
            <w:pPr>
              <w:spacing w:after="0"/>
              <w:rPr>
                <w:sz w:val="20"/>
                <w:szCs w:val="20"/>
                <w:color w:val="auto"/>
              </w:rPr>
            </w:pPr>
            <w:r>
              <w:rPr>
                <w:rFonts w:ascii="Arial" w:cs="Arial" w:eastAsia="Arial" w:hAnsi="Arial"/>
                <w:sz w:val="18"/>
                <w:szCs w:val="18"/>
                <w:color w:val="auto"/>
              </w:rPr>
              <w:t>Date: August 2, 2022</w:t>
            </w:r>
          </w:p>
        </w:tc>
        <w:tc>
          <w:tcPr>
            <w:tcW w:w="2640" w:type="dxa"/>
            <w:vAlign w:val="bottom"/>
          </w:tcPr>
          <w:p>
            <w:pPr>
              <w:ind w:left="2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S. Kim</w:t>
            </w:r>
          </w:p>
        </w:tc>
      </w:tr>
      <w:tr>
        <w:trPr>
          <w:trHeight w:val="230"/>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Assistant Corporate Secretary</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5.400% Senior Notes due 2029</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5.600% Senior Notes due 2032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AGRICOLE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hereto</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BNP Paribas Securities Corp.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787 Seventh Avenue, 3rd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10013</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Credit Agricole Securities (USA)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1301 Avenue of the Americas, 17th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ectPr>
          <w:pgSz w:w="11900" w:h="16838" w:orient="portrait"/>
          <w:cols w:equalWidth="0" w:num="1">
            <w:col w:w="11020"/>
          </w:cols>
          <w:pgMar w:left="440" w:top="121" w:right="43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 Goldman Sachs &amp; Co.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10282</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10179</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General Motors Company,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 hereto (collectively,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Barclays Capital Inc., BNP Paribas Securities Corp., BofA Securities, Inc., Citigroup Global Markets Inc., Credit Agricole Securities (USA) Inc., Goldman Sachs &amp; Co. LLC, J.P. Morgan Securities LLC and Morgan Stanley &amp; Co. LLC are acting as representatives (each, a “</w:t>
      </w:r>
      <w:r>
        <w:rPr>
          <w:rFonts w:ascii="Arial" w:cs="Arial" w:eastAsia="Arial" w:hAnsi="Arial"/>
          <w:sz w:val="17"/>
          <w:szCs w:val="17"/>
          <w:b w:val="1"/>
          <w:bCs w:val="1"/>
          <w:color w:val="auto"/>
        </w:rPr>
        <w:t>Representative</w:t>
      </w:r>
      <w:r>
        <w:rPr>
          <w:rFonts w:ascii="Arial" w:cs="Arial" w:eastAsia="Arial" w:hAnsi="Arial"/>
          <w:sz w:val="17"/>
          <w:szCs w:val="17"/>
          <w:color w:val="auto"/>
        </w:rPr>
        <w:t>” and together, the “</w:t>
      </w:r>
      <w:r>
        <w:rPr>
          <w:rFonts w:ascii="Arial" w:cs="Arial" w:eastAsia="Arial" w:hAnsi="Arial"/>
          <w:sz w:val="17"/>
          <w:szCs w:val="17"/>
          <w:b w:val="1"/>
          <w:bCs w:val="1"/>
          <w:color w:val="auto"/>
        </w:rPr>
        <w:t>Representatives</w:t>
      </w:r>
      <w:r>
        <w:rPr>
          <w:rFonts w:ascii="Arial" w:cs="Arial" w:eastAsia="Arial" w:hAnsi="Arial"/>
          <w:sz w:val="17"/>
          <w:szCs w:val="17"/>
          <w:color w:val="auto"/>
        </w:rPr>
        <w:t>”), $1,000,000,000 aggregate principal amount of its 5.400% Senior Notes due 2029 (the “</w:t>
      </w:r>
      <w:r>
        <w:rPr>
          <w:rFonts w:ascii="Arial" w:cs="Arial" w:eastAsia="Arial" w:hAnsi="Arial"/>
          <w:sz w:val="17"/>
          <w:szCs w:val="17"/>
          <w:b w:val="1"/>
          <w:bCs w:val="1"/>
          <w:color w:val="auto"/>
        </w:rPr>
        <w:t>2029 Securities</w:t>
      </w:r>
      <w:r>
        <w:rPr>
          <w:rFonts w:ascii="Arial" w:cs="Arial" w:eastAsia="Arial" w:hAnsi="Arial"/>
          <w:sz w:val="17"/>
          <w:szCs w:val="17"/>
          <w:color w:val="auto"/>
        </w:rPr>
        <w:t>”) and $1,250,000,000 aggregate principal amount of its 5.600% Senior Notes due 2032 (the “</w:t>
      </w:r>
      <w:r>
        <w:rPr>
          <w:rFonts w:ascii="Arial" w:cs="Arial" w:eastAsia="Arial" w:hAnsi="Arial"/>
          <w:sz w:val="17"/>
          <w:szCs w:val="17"/>
          <w:b w:val="1"/>
          <w:bCs w:val="1"/>
          <w:color w:val="auto"/>
        </w:rPr>
        <w:t>2032</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and, together with the 2029 Securities, the “</w:t>
      </w:r>
      <w:r>
        <w:rPr>
          <w:rFonts w:ascii="Arial" w:cs="Arial" w:eastAsia="Arial" w:hAnsi="Arial"/>
          <w:sz w:val="17"/>
          <w:szCs w:val="17"/>
          <w:b w:val="1"/>
          <w:bCs w:val="1"/>
          <w:color w:val="auto"/>
        </w:rPr>
        <w:t>Securities</w:t>
      </w:r>
      <w:r>
        <w:rPr>
          <w:rFonts w:ascii="Arial" w:cs="Arial" w:eastAsia="Arial" w:hAnsi="Arial"/>
          <w:sz w:val="17"/>
          <w:szCs w:val="17"/>
          <w:color w:val="auto"/>
        </w:rPr>
        <w:t>”) all to be issued pursuant to the provisions of an Indenture dated as of September 27,</w:t>
      </w:r>
      <w:r>
        <w:rPr>
          <w:rFonts w:ascii="Arial" w:cs="Arial" w:eastAsia="Arial" w:hAnsi="Arial"/>
          <w:sz w:val="17"/>
          <w:szCs w:val="17"/>
          <w:b w:val="1"/>
          <w:bCs w:val="1"/>
          <w:color w:val="auto"/>
        </w:rPr>
        <w:t xml:space="preserve"> </w:t>
      </w:r>
      <w:r>
        <w:rPr>
          <w:rFonts w:ascii="Arial" w:cs="Arial" w:eastAsia="Arial" w:hAnsi="Arial"/>
          <w:sz w:val="17"/>
          <w:szCs w:val="17"/>
          <w:color w:val="auto"/>
        </w:rPr>
        <w:t>2013 (as defined below) (the “</w:t>
      </w:r>
      <w:r>
        <w:rPr>
          <w:rFonts w:ascii="Arial" w:cs="Arial" w:eastAsia="Arial" w:hAnsi="Arial"/>
          <w:sz w:val="17"/>
          <w:szCs w:val="17"/>
          <w:b w:val="1"/>
          <w:bCs w:val="1"/>
          <w:color w:val="auto"/>
        </w:rPr>
        <w:t>Base Indenture</w:t>
      </w:r>
      <w:r>
        <w:rPr>
          <w:rFonts w:ascii="Arial" w:cs="Arial" w:eastAsia="Arial" w:hAnsi="Arial"/>
          <w:sz w:val="17"/>
          <w:szCs w:val="17"/>
          <w:color w:val="auto"/>
        </w:rPr>
        <w:t>”) between the Company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supplemented by a supplemental indenture to be dated as of the Closing Date (the “</w:t>
      </w:r>
      <w:r>
        <w:rPr>
          <w:rFonts w:ascii="Arial" w:cs="Arial" w:eastAsia="Arial" w:hAnsi="Arial"/>
          <w:sz w:val="17"/>
          <w:szCs w:val="17"/>
          <w:b w:val="1"/>
          <w:bCs w:val="1"/>
          <w:color w:val="auto"/>
        </w:rPr>
        <w:t>Seventh 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the Trustee.</w:t>
      </w:r>
    </w:p>
    <w:p>
      <w:pPr>
        <w:spacing w:after="0" w:line="17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(File No. 333-236276) on Form S-3, relating to certain securities of the Company (the “</w:t>
      </w:r>
      <w:r>
        <w:rPr>
          <w:rFonts w:ascii="Arial" w:cs="Arial" w:eastAsia="Arial" w:hAnsi="Arial"/>
          <w:sz w:val="17"/>
          <w:szCs w:val="17"/>
          <w:b w:val="1"/>
          <w:bCs w:val="1"/>
          <w:color w:val="auto"/>
        </w:rPr>
        <w:t>Shelf Securities</w:t>
      </w:r>
      <w:r>
        <w:rPr>
          <w:rFonts w:ascii="Arial" w:cs="Arial" w:eastAsia="Arial" w:hAnsi="Arial"/>
          <w:sz w:val="17"/>
          <w:szCs w:val="17"/>
          <w:color w:val="auto"/>
        </w:rPr>
        <w:t>”), including the Securities, to be sold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(together with the rules and regulations of the Commission promulgated thereunder,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covering the Shelf Securities dated February 5, 2020 in the form first used to confirm 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Basic Prospectus</w:t>
      </w:r>
      <w:r>
        <w:rPr>
          <w:rFonts w:ascii="Arial" w:cs="Arial" w:eastAsia="Arial" w:hAnsi="Arial"/>
          <w:sz w:val="17"/>
          <w:szCs w:val="17"/>
          <w:color w:val="auto"/>
        </w:rPr>
        <w:t>.” The Basic Prospectus, as supplemented by the prospectus supplement specifically relating to the Securities in the form first used to confirm 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and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any preliminary form of the Prospectus (including any preliminary prospectus supplement and the Basic Prospectus attached thereto) filed with the Commission pursuant to Rule 424(b) under the Securities Act.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 w:name="page7"/>
    <w:bookmarkEnd w:id="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w:t>
      </w:r>
      <w:r>
        <w:rPr>
          <w:rFonts w:ascii="Arial" w:cs="Arial" w:eastAsia="Arial" w:hAnsi="Arial"/>
          <w:sz w:val="16"/>
          <w:szCs w:val="16"/>
          <w:b w:val="1"/>
          <w:bCs w:val="1"/>
          <w:color w:val="auto"/>
        </w:rPr>
        <w:t>Permitted Free Writing Prospectus</w:t>
      </w:r>
      <w:r>
        <w:rPr>
          <w:rFonts w:ascii="Arial" w:cs="Arial" w:eastAsia="Arial" w:hAnsi="Arial"/>
          <w:sz w:val="16"/>
          <w:szCs w:val="16"/>
          <w:color w:val="auto"/>
        </w:rPr>
        <w:t>” as used herein means the documents identified as such in Schedule II hereto and any other “</w:t>
      </w:r>
      <w:r>
        <w:rPr>
          <w:rFonts w:ascii="Arial" w:cs="Arial" w:eastAsia="Arial" w:hAnsi="Arial"/>
          <w:sz w:val="16"/>
          <w:szCs w:val="16"/>
          <w:b w:val="1"/>
          <w:bCs w:val="1"/>
          <w:color w:val="auto"/>
        </w:rPr>
        <w:t>free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writing prospectus</w:t>
      </w:r>
      <w:r>
        <w:rPr>
          <w:rFonts w:ascii="Arial" w:cs="Arial" w:eastAsia="Arial" w:hAnsi="Arial"/>
          <w:sz w:val="16"/>
          <w:szCs w:val="16"/>
          <w:color w:val="auto"/>
        </w:rPr>
        <w:t>” (as defined in Rule 405 under the Securities Act) that the Representatives and the Company shall hereafter agree in writing to treat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Disclosure Package. The term “</w:t>
      </w:r>
      <w:r>
        <w:rPr>
          <w:rFonts w:ascii="Arial" w:cs="Arial" w:eastAsia="Arial" w:hAnsi="Arial"/>
          <w:sz w:val="16"/>
          <w:szCs w:val="16"/>
          <w:b w:val="1"/>
          <w:bCs w:val="1"/>
          <w:color w:val="auto"/>
        </w:rPr>
        <w:t>Disclosure Package</w:t>
      </w:r>
      <w:r>
        <w:rPr>
          <w:rFonts w:ascii="Arial" w:cs="Arial" w:eastAsia="Arial" w:hAnsi="Arial"/>
          <w:sz w:val="16"/>
          <w:szCs w:val="16"/>
          <w:color w:val="auto"/>
        </w:rPr>
        <w:t>” as used herein means the Preliminary Prospectus dated July 28, 2022 together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term sheet set forth in Annex II-A hereto and any other Permitted Free Writing Prospectuses. “</w:t>
      </w:r>
      <w:r>
        <w:rPr>
          <w:rFonts w:ascii="Arial" w:cs="Arial" w:eastAsia="Arial" w:hAnsi="Arial"/>
          <w:sz w:val="17"/>
          <w:szCs w:val="17"/>
          <w:b w:val="1"/>
          <w:bCs w:val="1"/>
          <w:color w:val="auto"/>
        </w:rPr>
        <w:t>Initial Sale Time</w:t>
      </w:r>
      <w:r>
        <w:rPr>
          <w:rFonts w:ascii="Arial" w:cs="Arial" w:eastAsia="Arial" w:hAnsi="Arial"/>
          <w:sz w:val="17"/>
          <w:szCs w:val="17"/>
          <w:color w:val="auto"/>
        </w:rPr>
        <w:t>” shall mean 5:30 P.M. Eastern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Standard Time on the date of this Agreement. As used herein, the terms “Registration Statement,” “Basic Prospectus,” “Preliminary Prospectus,”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“Disclosure Package” and “Prospectus” shall include the documents, if any, incorporated by reference therein as of the date hereof. The terms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supplement</w:t>
      </w:r>
      <w:r>
        <w:rPr>
          <w:rFonts w:ascii="Arial" w:cs="Arial" w:eastAsia="Arial" w:hAnsi="Arial"/>
          <w:sz w:val="16"/>
          <w:szCs w:val="16"/>
          <w:color w:val="auto"/>
        </w:rPr>
        <w:t>,” “</w:t>
      </w:r>
      <w:r>
        <w:rPr>
          <w:rFonts w:ascii="Arial" w:cs="Arial" w:eastAsia="Arial" w:hAnsi="Arial"/>
          <w:sz w:val="16"/>
          <w:szCs w:val="16"/>
          <w:b w:val="1"/>
          <w:bCs w:val="1"/>
          <w:color w:val="auto"/>
        </w:rPr>
        <w:t>amendment</w:t>
      </w:r>
      <w:r>
        <w:rPr>
          <w:rFonts w:ascii="Arial" w:cs="Arial" w:eastAsia="Arial" w:hAnsi="Arial"/>
          <w:sz w:val="16"/>
          <w:szCs w:val="16"/>
          <w:color w:val="auto"/>
        </w:rPr>
        <w:t>” and “</w:t>
      </w:r>
      <w:r>
        <w:rPr>
          <w:rFonts w:ascii="Arial" w:cs="Arial" w:eastAsia="Arial" w:hAnsi="Arial"/>
          <w:sz w:val="16"/>
          <w:szCs w:val="16"/>
          <w:b w:val="1"/>
          <w:bCs w:val="1"/>
          <w:color w:val="auto"/>
        </w:rPr>
        <w:t>amend</w:t>
      </w:r>
      <w:r>
        <w:rPr>
          <w:rFonts w:ascii="Arial" w:cs="Arial" w:eastAsia="Arial" w:hAnsi="Arial"/>
          <w:sz w:val="16"/>
          <w:szCs w:val="16"/>
          <w:color w:val="auto"/>
        </w:rPr>
        <w:t>” as used herein with respect to the Registration Statement, the Basic Prospectus, the Preliminary Prospectus,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Disclosure Package or the Prospectus shall include all documents subsequently filed by the Company with the Commission pursuant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that are deemed to be incorporated by reference therein.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The Company hereby agrees to sell to the several Underwriters, and each Underwriter, upon the basis of the representations and warranties herein contained, but subject to the conditions hereinafter stated, agrees, severally and not jointly, to purchase from the Company the respective principal amount of Securities set forth in Schedule I hereto opposite its name at a purchase price of 99.508% of the principal amount thereof in the case of the 2029 Securities and 99.306% of the principal amount thereof in the case of the 2032 Securities (in respect of each series of Securities, the “</w:t>
      </w:r>
      <w:r>
        <w:rPr>
          <w:rFonts w:ascii="Arial" w:cs="Arial" w:eastAsia="Arial" w:hAnsi="Arial"/>
          <w:sz w:val="16"/>
          <w:szCs w:val="16"/>
          <w:b w:val="1"/>
          <w:bCs w:val="1"/>
          <w:color w:val="auto"/>
        </w:rPr>
        <w:t>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plus accrued interest, if any, from August 2, 2022, if settlement occurs after that date, to the Closing Date (as defined below).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color w:val="auto"/>
        </w:rPr>
        <w:t>The Company is advised by the Representatives that the Underwriters propose to make a public offering of their respective portions of the Securities as soon as practicable after this Agreement is entered into as in the Representatives’ judgment is advisable upon the basis of the terms and conditions set forth in this Agreement and the Disclosure Package and to be set forth in the Prospectus.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Company will deliver the Securities, against payment of the Purchase Price therefor plus accrued interest, if any, from August 2, 2022, if settlement occurs after that date, to the Closing Date (as defined below) in the form of one or more permanent global securities (the “</w:t>
      </w:r>
      <w:r>
        <w:rPr>
          <w:rFonts w:ascii="Arial" w:cs="Arial" w:eastAsia="Arial" w:hAnsi="Arial"/>
          <w:sz w:val="18"/>
          <w:szCs w:val="18"/>
          <w:b w:val="1"/>
          <w:bCs w:val="1"/>
          <w:color w:val="auto"/>
        </w:rPr>
        <w:t>Global</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deposited with the Trustee as custodian for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and registered in the name of Cede &amp; Co. as nominee</w:t>
      </w:r>
      <w:r>
        <w:rPr>
          <w:rFonts w:ascii="Arial" w:cs="Arial" w:eastAsia="Arial" w:hAnsi="Arial"/>
          <w:sz w:val="18"/>
          <w:szCs w:val="18"/>
          <w:b w:val="1"/>
          <w:bCs w:val="1"/>
          <w:color w:val="auto"/>
        </w:rPr>
        <w:t xml:space="preserve"> </w:t>
      </w:r>
      <w:r>
        <w:rPr>
          <w:rFonts w:ascii="Arial" w:cs="Arial" w:eastAsia="Arial" w:hAnsi="Arial"/>
          <w:sz w:val="18"/>
          <w:szCs w:val="18"/>
          <w:color w:val="auto"/>
        </w:rPr>
        <w:t>for DTC. Interests in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permanent Global Securities will be held only in book-entry form through DTC, except in the limited circumstances described in the Registration Statement, the Disclosure Package and the Prospectus. Payment for the Securities shall be made by the several Underwriters through the Representatives by wire transfer in immediately available funds to an account specified by the Company at 10:00 A.M. (New York time) on August 2, 2022, which date and time may be postponed by agreement between the Representatives and the Company or as provided in Article XV (such date and time of delivery and payment for the Securities being herein called the “</w:t>
      </w:r>
      <w:r>
        <w:rPr>
          <w:rFonts w:ascii="Arial" w:cs="Arial" w:eastAsia="Arial" w:hAnsi="Arial"/>
          <w:sz w:val="18"/>
          <w:szCs w:val="18"/>
          <w:b w:val="1"/>
          <w:bCs w:val="1"/>
          <w:color w:val="auto"/>
        </w:rPr>
        <w:t>Closing Date</w:t>
      </w:r>
      <w:r>
        <w:rPr>
          <w:rFonts w:ascii="Arial" w:cs="Arial" w:eastAsia="Arial" w:hAnsi="Arial"/>
          <w:sz w:val="18"/>
          <w:szCs w:val="18"/>
          <w:color w:val="auto"/>
        </w:rPr>
        <w:t>”), against delivery to the Trustee as custodian for DTC of the Global Securities representing all of the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225" w:lineRule="exact"/>
        <w:rPr>
          <w:sz w:val="20"/>
          <w:szCs w:val="20"/>
          <w:color w:val="auto"/>
        </w:rPr>
      </w:pPr>
    </w:p>
    <w:p>
      <w:pPr>
        <w:ind w:firstLine="436"/>
        <w:spacing w:after="0" w:line="287" w:lineRule="auto"/>
        <w:tabs>
          <w:tab w:leader="none" w:pos="685" w:val="left"/>
        </w:tabs>
        <w:numPr>
          <w:ilvl w:val="0"/>
          <w:numId w:val="2"/>
        </w:numPr>
        <w:rPr>
          <w:rFonts w:ascii="Arial" w:cs="Arial" w:eastAsia="Arial" w:hAnsi="Arial"/>
          <w:sz w:val="16"/>
          <w:szCs w:val="16"/>
          <w:color w:val="auto"/>
        </w:rPr>
      </w:pPr>
      <w:r>
        <w:rPr>
          <w:rFonts w:ascii="Arial" w:cs="Arial" w:eastAsia="Arial" w:hAnsi="Arial"/>
          <w:sz w:val="16"/>
          <w:szCs w:val="16"/>
          <w:color w:val="auto"/>
        </w:rPr>
        <w:t>(i) No stop order suspending the effectiveness of the Registration Statement in the United States shall be in effect and no proceedings for such purpose shall be pending before or threatened by the Commission; (ii) there shall have been no material adverse change (not in the ordinary course of business) or any material development involving a prospective material adverse change (not in the ordinary course of business) in the financial condition of the Company and its subsidiaries, taken as a whole, in each case, from that set forth in the Registration Statement, the Disclosure Package and the Prospectus; (iii) the representations and warranties of the Company in this Agreement that are subject to any limitation as to “materiality” or “material adverse effect” shall be true and correct in all respects on and as of the Closing Date with the same effect as if made on the Closing Date, and the representations and warranties of the Company in this Agreement that are not subject to any limitation as to “materiality” or “material adverse effect” shall be true and correct in all material respects on and as of the Closing Date with the same effect as if made on the Closing Date; and (iv) the Representatives shall have received on the Closing Date a certificate, dated the Closing Date and signed by an executive officer, including without limitation the Treasurer or Assistant Treasurer of the Company (acting on behalf of the Company and without personal liability), to the foregoing effect. The officer making such certificate may rely upon the best of his knowledge as to proceedings threatened or prospective changes.</w:t>
      </w:r>
    </w:p>
    <w:p>
      <w:pPr>
        <w:spacing w:after="0" w:line="171" w:lineRule="exact"/>
        <w:rPr>
          <w:rFonts w:ascii="Arial" w:cs="Arial" w:eastAsia="Arial" w:hAnsi="Arial"/>
          <w:sz w:val="16"/>
          <w:szCs w:val="16"/>
          <w:color w:val="auto"/>
        </w:rPr>
      </w:pPr>
    </w:p>
    <w:p>
      <w:pPr>
        <w:ind w:right="40" w:firstLine="436"/>
        <w:spacing w:after="0" w:line="271" w:lineRule="auto"/>
        <w:tabs>
          <w:tab w:leader="none" w:pos="695"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the Company has rated debt outstanding, subsequent to the execution and delivery of this Agreement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 Section 3(a)(62) of the Exchange Act. For the avoidance of doubt, any undrawn balance under the Third Amended and Restated 5-Year Revolving Credit Agreement, dated as of April 18, 2018, among the Company, General Motors Financial Company, Inc., General Motors do Brasil Ltda., GM Global Treasury Centre Limited, the other subsidiary borrowers from time to time parties thereto, the several lenders from time to time party thereto, JPMorgan Chase Bank, N.A., as administrative agent, and Citibank, N.A., as syndication agent, as amended through the date hereof, the Fourth Amended and Restated 3-Year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 w:name="page9"/>
    <w:bookmarkEnd w:id="8"/>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Revolving Credit Agreement, dated as of April 7, 2021, among the Company, General Motors Financial Company, Inc., General Motors do Brasil Ltda., the subsidiary borrowers from time to time parties thereto, the several lenders from time to time party thereto, JPMorgan Chase Bank, N.A., as administrative agent, and Citibank, N.A., as syndication agent and the Fourth Amended and Restated 364-Day Revolving Credit Agreement, dated as of April 5, 2022, among General Motors Company, General Motors Financial Company, Inc., the subsidiary borrowers from time to time parties thereto, the several lenders from time to time parties thereto, JPMorgan Chase Bank, N.A., as administrative agent, and Citibank, N.A., as syndication agent, shall not be considered outstanding debt for purposes of this clause (b).</w:t>
      </w:r>
    </w:p>
    <w:p>
      <w:pPr>
        <w:spacing w:after="0" w:line="192" w:lineRule="exact"/>
        <w:rPr>
          <w:sz w:val="20"/>
          <w:szCs w:val="20"/>
          <w:color w:val="auto"/>
        </w:rPr>
      </w:pPr>
    </w:p>
    <w:p>
      <w:pPr>
        <w:ind w:right="140" w:firstLine="436"/>
        <w:spacing w:after="0" w:line="259" w:lineRule="auto"/>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action shall have been taken and no statute, rule, regulation or order shall have been enacted, adopted or issued by any federal or state governmental or regulatory authority that would, as of the Closing Date, prevent the sale of the Securities by the Company in the United States; and no injunction or order of any federal or state court shall have been issued that would, as of the Closing Date, prevent the sale of the Securities by the Company in the United States.</w:t>
      </w:r>
    </w:p>
    <w:p>
      <w:pPr>
        <w:spacing w:after="0" w:line="186" w:lineRule="exact"/>
        <w:rPr>
          <w:rFonts w:ascii="Arial" w:cs="Arial" w:eastAsia="Arial" w:hAnsi="Arial"/>
          <w:sz w:val="18"/>
          <w:szCs w:val="18"/>
          <w:color w:val="auto"/>
        </w:rPr>
      </w:pPr>
    </w:p>
    <w:p>
      <w:pPr>
        <w:ind w:firstLine="436"/>
        <w:spacing w:after="0" w:line="263"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(i) an opinion of an attorney on the Legal Staff of the Company, dated the Closing Date, to the effect set forth in Exhibit A-1, and (ii) a Rule 10b-5 statement of an attorney on the Legal Staff of the Company, dated the Closing Date, to the effect set forth in Exhibit A-2.</w:t>
      </w:r>
    </w:p>
    <w:p>
      <w:pPr>
        <w:spacing w:after="0" w:line="183" w:lineRule="exact"/>
        <w:rPr>
          <w:rFonts w:ascii="Arial" w:cs="Arial" w:eastAsia="Arial" w:hAnsi="Arial"/>
          <w:sz w:val="18"/>
          <w:szCs w:val="18"/>
          <w:color w:val="auto"/>
        </w:rPr>
      </w:pPr>
    </w:p>
    <w:p>
      <w:pPr>
        <w:ind w:right="180" w:firstLine="436"/>
        <w:spacing w:after="0" w:line="277" w:lineRule="auto"/>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an opinion of counsel for the Company, dated the Closing Date, to the effect set forth in Exhibit A-3.</w:t>
      </w:r>
    </w:p>
    <w:p>
      <w:pPr>
        <w:spacing w:after="0" w:line="170" w:lineRule="exact"/>
        <w:rPr>
          <w:rFonts w:ascii="Arial" w:cs="Arial" w:eastAsia="Arial" w:hAnsi="Arial"/>
          <w:sz w:val="18"/>
          <w:szCs w:val="18"/>
          <w:color w:val="auto"/>
        </w:rPr>
      </w:pPr>
    </w:p>
    <w:p>
      <w:pPr>
        <w:ind w:right="180" w:firstLine="436"/>
        <w:spacing w:after="0" w:line="263" w:lineRule="auto"/>
        <w:tabs>
          <w:tab w:leader="none" w:pos="66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(i) an opinion of counsel for the Underwriters, dated the Closing Date, to the effect set forth in Exhibit B-1, and (ii) a Rule 10b-5 statement of counsel for the Underwriters, dated the Closing Date, to the effect set forth in Exhibit B-2.</w:t>
      </w:r>
    </w:p>
    <w:p>
      <w:pPr>
        <w:spacing w:after="0" w:line="183" w:lineRule="exact"/>
        <w:rPr>
          <w:rFonts w:ascii="Arial" w:cs="Arial" w:eastAsia="Arial" w:hAnsi="Arial"/>
          <w:sz w:val="18"/>
          <w:szCs w:val="18"/>
          <w:color w:val="auto"/>
        </w:rPr>
      </w:pPr>
    </w:p>
    <w:p>
      <w:pPr>
        <w:ind w:right="120" w:firstLine="436"/>
        <w:spacing w:after="0" w:line="308" w:lineRule="auto"/>
        <w:tabs>
          <w:tab w:leader="none" w:pos="69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Representatives shall have received on each of the date hereof and the Closing Date customary “comfort letters,” dated the date hereof or the Closing Date, as the case may be, in form and substance reasonably satisfactory to the Representatives, from Ernst &amp; Young LLP.</w:t>
      </w:r>
    </w:p>
    <w:p>
      <w:pPr>
        <w:spacing w:after="0" w:line="146" w:lineRule="exact"/>
        <w:rPr>
          <w:rFonts w:ascii="Arial" w:cs="Arial" w:eastAsia="Arial" w:hAnsi="Arial"/>
          <w:sz w:val="17"/>
          <w:szCs w:val="17"/>
          <w:color w:val="auto"/>
        </w:rPr>
      </w:pPr>
    </w:p>
    <w:p>
      <w:pPr>
        <w:ind w:right="220" w:firstLine="436"/>
        <w:spacing w:after="0" w:line="277"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(i) duly executed copies of the Indenture and (ii) specimen copies of the global notes representing the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225" w:lineRule="exact"/>
        <w:rPr>
          <w:sz w:val="20"/>
          <w:szCs w:val="20"/>
          <w:color w:val="auto"/>
        </w:rPr>
      </w:pPr>
    </w:p>
    <w:p>
      <w:pPr>
        <w:ind w:right="40" w:firstLine="436"/>
        <w:spacing w:after="0" w:line="279" w:lineRule="auto"/>
        <w:tabs>
          <w:tab w:leader="none" w:pos="685"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furnish the Representatives, upon written request, without charge, a copy of the Disclosure Package and the Registration Statement, including exhibits and materials, if any, incorporated by reference therein and, during the period beginning with the Initial Sale Time (and, in the case of the Prospectus, prior to 10:00 A.M. New York City time on the business day next succeeding the date of this Agreement) and ending on the later of the Closing Date, or such date as the Prospectus is no longer required by the Securities Act to be delivered in connection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initial offering or sale of the Securities (including in circumstances where such requirement may be satisfied pursuant to Rule 172) (the</w:t>
      </w:r>
    </w:p>
    <w:p>
      <w:pPr>
        <w:spacing w:after="0" w:line="3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 Delivery Period</w:t>
      </w:r>
      <w:r>
        <w:rPr>
          <w:rFonts w:ascii="Arial" w:cs="Arial" w:eastAsia="Arial" w:hAnsi="Arial"/>
          <w:sz w:val="18"/>
          <w:szCs w:val="18"/>
          <w:color w:val="auto"/>
        </w:rPr>
        <w:t>”), as many copies of the Disclosure Package, the Prospectus, any Permitted Free Writing Prospectuses, any documents incorporated by reference therein and any supplements and amendments thereto, as applicable, in all cases as the Representatives may reasonably request.</w:t>
      </w:r>
    </w:p>
    <w:p>
      <w:pPr>
        <w:spacing w:after="0" w:line="190" w:lineRule="exact"/>
        <w:rPr>
          <w:sz w:val="20"/>
          <w:szCs w:val="20"/>
          <w:color w:val="auto"/>
        </w:rPr>
      </w:pPr>
    </w:p>
    <w:p>
      <w:pPr>
        <w:ind w:firstLine="436"/>
        <w:spacing w:after="0" w:line="279" w:lineRule="auto"/>
        <w:tabs>
          <w:tab w:leader="none" w:pos="695"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Prospectus Delivery Period, (x) before amending or supplementing the Registration Statement, the Disclosure Package or the Prospectus (including by way of filing with the Commission any documents incorporated by reference therein), to furnish the Representatives a copy of each such proposed amendment or supplement, and (y) to notify the Representatives as promptly as practicable of the filing with the Commission of any such amendment or supplement to the Registration Statement, the Disclosure Package or the Prospectus.</w:t>
      </w:r>
    </w:p>
    <w:p>
      <w:pPr>
        <w:spacing w:after="0" w:line="171" w:lineRule="exact"/>
        <w:rPr>
          <w:rFonts w:ascii="Arial" w:cs="Arial" w:eastAsia="Arial" w:hAnsi="Arial"/>
          <w:sz w:val="17"/>
          <w:szCs w:val="17"/>
          <w:color w:val="auto"/>
        </w:rPr>
      </w:pPr>
    </w:p>
    <w:p>
      <w:pPr>
        <w:ind w:firstLine="436"/>
        <w:spacing w:after="0" w:line="268" w:lineRule="auto"/>
        <w:tabs>
          <w:tab w:leader="none" w:pos="685"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furnish to the Representatives, upon written request, copies of each amendment and supplement to the Registration Statement, the Disclosure Package or the Prospectus (including by way of filing with the Commission any documents incorporated by reference therein), in such quantities as the Representatives may from time to time reasonably request; and if, during the Prospectus Delivery Period, either (i) any event shall have occurred as a result of which the Registration Statement, the Disclosure Package or the Prospectus, in each case as then so amended or supplemented would, as determined by the Company, include any untrue statement of a material fact, or omit to state any material fact required to be stated therein or necessary in order to make the statements therein, in the light of the circumstances under which they were made, not misleading, or (ii) for any other reason, as determined by the Company, it shall be necessary to amend or supplement the Registration Statement, the Disclosure Package or the Prospectus, in each case as then so amended or supplemented, or to file under the Exchange Act any document incorporated by reference in the Registration Statement, the Disclosure Package or the Prospectus, as the case may be, in order to comply with the Securities Act or the Exchange Act, the Company will (A) notify the Underwriters to suspend offers and sales of the Securities and if notified by the Company, the Underwriters shall forthwith suspend such solicitation and cease using the Registration Statement, the Disclosure Package or the Prospectus, as the case may be and in each case as then amended or supplemented, and (B) promptly prepare and file with the Commission such document incorporated by reference in the Registration Statement, the Disclosure Package or the Prospectus, as the case may be, or promptly prepare an amendment or supplement to such Registration Statement, Disclosure Package or Prospectus, as applicable, which will correct such statement or omission or effect such compliance, and will provide to the Underwriters without charge a reasonable number of copies thereof as requested by the Underwriters, which the Underwriters shall use thereafter.</w:t>
      </w:r>
    </w:p>
    <w:p>
      <w:pPr>
        <w:spacing w:after="0" w:line="179" w:lineRule="exact"/>
        <w:rPr>
          <w:rFonts w:ascii="Arial" w:cs="Arial" w:eastAsia="Arial" w:hAnsi="Arial"/>
          <w:sz w:val="17"/>
          <w:szCs w:val="17"/>
          <w:color w:val="auto"/>
        </w:rPr>
      </w:pPr>
    </w:p>
    <w:p>
      <w:pPr>
        <w:ind w:right="120" w:firstLine="436"/>
        <w:spacing w:after="0" w:line="308" w:lineRule="auto"/>
        <w:tabs>
          <w:tab w:leader="none" w:pos="695"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0" w:name="page11"/>
    <w:bookmarkEnd w:id="10"/>
    <w:p>
      <w:pPr>
        <w:ind w:right="20" w:firstLine="436"/>
        <w:spacing w:after="0" w:line="255" w:lineRule="auto"/>
        <w:tabs>
          <w:tab w:leader="none" w:pos="685"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use its reasonable best efforts to cooperate with the Underwriters and their counsel in connection with the qualification or registration of the Securities for offer and sale under the securities or “Blue Sky” laws of such jurisdictions as the Representatives may reasonably request and to maintain such qualification in effect for as long as may be necessary to complete the sale of the Securities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connection therewith the Company shall not be required to qualify as a foreign corporation to do business, or to file a general consent to service of process, in any jurisdiction, or to take any other action that would subject it to general service of process or to taxation in respect of doing business in any jurisdiction in which it is not otherwise so subject.</w:t>
      </w:r>
    </w:p>
    <w:p>
      <w:pPr>
        <w:spacing w:after="0" w:line="192" w:lineRule="exact"/>
        <w:rPr>
          <w:rFonts w:ascii="Arial" w:cs="Arial" w:eastAsia="Arial" w:hAnsi="Arial"/>
          <w:sz w:val="18"/>
          <w:szCs w:val="18"/>
          <w:color w:val="auto"/>
        </w:rPr>
      </w:pPr>
    </w:p>
    <w:p>
      <w:pPr>
        <w:ind w:right="120" w:firstLine="436"/>
        <w:spacing w:after="0" w:line="270" w:lineRule="auto"/>
        <w:tabs>
          <w:tab w:leader="none" w:pos="66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will as promptly as practicable notify the Representatives of the issuance by the Commission of any order suspending the effectiveness of the Registration Statement or preventing or suspending the use of any Preliminary Prospectus, any of the Disclosure Package or the Prospectus or having the effect of ceasing or suspending trading in the Securities or the initiation or threatening of any proceeding for that purpose or pursuant to Section 8A of the Securities Act or the receipt by the Company of any notice with respect to any suspension of the qualification or distribution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Disclosure Package or the Prospectus or suspending any such qualification or distribution of the Securities, or having the effect of ceasing or suspending trading in the Securities, and, if any such order is issued, will use its reasonable best efforts as soon as practicable to obtain the withdrawal thereof.</w:t>
      </w:r>
    </w:p>
    <w:p>
      <w:pPr>
        <w:spacing w:after="0" w:line="180" w:lineRule="exact"/>
        <w:rPr>
          <w:rFonts w:ascii="Arial" w:cs="Arial" w:eastAsia="Arial" w:hAnsi="Arial"/>
          <w:sz w:val="17"/>
          <w:szCs w:val="17"/>
          <w:color w:val="auto"/>
        </w:rPr>
      </w:pPr>
    </w:p>
    <w:p>
      <w:pPr>
        <w:jc w:val="both"/>
        <w:ind w:right="600" w:firstLine="436"/>
        <w:spacing w:after="0" w:line="263"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during the Prospectus Delivery Period, will file timely (giving effect to any grace periods or extensions available under applicable Commission regulations) all documents required to be filed with the Commission pursuant to Sections 13(a), 13(c), 14 or 15(d) of the Exchange Act.</w:t>
      </w:r>
    </w:p>
    <w:p>
      <w:pPr>
        <w:spacing w:after="0" w:line="183" w:lineRule="exact"/>
        <w:rPr>
          <w:rFonts w:ascii="Arial" w:cs="Arial" w:eastAsia="Arial" w:hAnsi="Arial"/>
          <w:sz w:val="18"/>
          <w:szCs w:val="18"/>
          <w:color w:val="auto"/>
        </w:rPr>
      </w:pPr>
    </w:p>
    <w:p>
      <w:pPr>
        <w:jc w:val="both"/>
        <w:ind w:firstLine="436"/>
        <w:spacing w:after="0" w:line="311"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Without the prior written consent of the Representatives on behalf of the Underwriters, the Company will not, during the period beginning on the date hereof and continuing to and including the Closing Date, offer, sell, contract to sell or otherwise dispose of any debt securities of the Company or warrants to purchase debt securities of the Company substantially similar to the Securities (other than the sale of the Securities under this Agreement).</w:t>
      </w:r>
    </w:p>
    <w:p>
      <w:pPr>
        <w:spacing w:after="0" w:line="148" w:lineRule="exact"/>
        <w:rPr>
          <w:rFonts w:ascii="Arial" w:cs="Arial" w:eastAsia="Arial" w:hAnsi="Arial"/>
          <w:sz w:val="16"/>
          <w:szCs w:val="16"/>
          <w:color w:val="auto"/>
        </w:rPr>
      </w:pPr>
    </w:p>
    <w:p>
      <w:pPr>
        <w:ind w:right="40" w:firstLine="436"/>
        <w:spacing w:after="0" w:line="27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will (i) in respect of the Securities, promptly within the time periods specified therein, effect the filings required of it pursuant to Rule 424 and/or Rule 433 under the Securities Act, and (ii) take such steps as it deems necessary to ascertain promptly whether any Permitted Free Writing Prospectus transmitted for filing under Rule 433 of the Securities Act was received for filing by the Commission and, in the event that such Permitted Free Writing Prospectus was not so received, it will promptly file the relevant Permitted Free Writing Prospectus.</w:t>
      </w:r>
    </w:p>
    <w:p>
      <w:pPr>
        <w:spacing w:after="0" w:line="171" w:lineRule="exact"/>
        <w:rPr>
          <w:rFonts w:ascii="Arial" w:cs="Arial" w:eastAsia="Arial" w:hAnsi="Arial"/>
          <w:sz w:val="17"/>
          <w:szCs w:val="17"/>
          <w:color w:val="auto"/>
        </w:rPr>
      </w:pPr>
    </w:p>
    <w:p>
      <w:pPr>
        <w:ind w:right="80" w:firstLine="436"/>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will apply an amount equal to the net proceeds from the sale of the Securities as described in the Registration Statement and the Prospectus under the heading “Use of Proceeds”.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 w:name="page12"/>
    <w:bookmarkEnd w:id="11"/>
    <w:p>
      <w:pPr>
        <w:jc w:val="center"/>
        <w:ind w:right="41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VII.</w:t>
      </w:r>
    </w:p>
    <w:p>
      <w:pPr>
        <w:spacing w:after="0" w:line="225" w:lineRule="exact"/>
        <w:rPr>
          <w:sz w:val="20"/>
          <w:szCs w:val="20"/>
          <w:color w:val="auto"/>
        </w:rPr>
      </w:pPr>
    </w:p>
    <w:p>
      <w:pPr>
        <w:ind w:left="244" w:hanging="244"/>
        <w:spacing w:after="0"/>
        <w:tabs>
          <w:tab w:leader="none" w:pos="244"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the Underwriters, severally and not jointly, represents and warrants to, and agrees with, the Company that:</w:t>
      </w:r>
    </w:p>
    <w:p>
      <w:pPr>
        <w:spacing w:after="0" w:line="117" w:lineRule="exact"/>
        <w:rPr>
          <w:rFonts w:ascii="Arial" w:cs="Arial" w:eastAsia="Arial" w:hAnsi="Arial"/>
          <w:sz w:val="18"/>
          <w:szCs w:val="18"/>
          <w:color w:val="auto"/>
        </w:rPr>
      </w:pPr>
    </w:p>
    <w:p>
      <w:pPr>
        <w:ind w:left="644" w:hanging="221"/>
        <w:spacing w:after="0"/>
        <w:tabs>
          <w:tab w:leader="none" w:pos="644" w:val="left"/>
        </w:tabs>
        <w:numPr>
          <w:ilvl w:val="1"/>
          <w:numId w:val="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200" w:firstLine="419"/>
        <w:spacing w:after="0" w:line="257" w:lineRule="auto"/>
        <w:tabs>
          <w:tab w:leader="none" w:pos="691" w:val="left"/>
        </w:tabs>
        <w:numPr>
          <w:ilvl w:val="1"/>
          <w:numId w:val="7"/>
        </w:numPr>
        <w:rPr>
          <w:rFonts w:ascii="Arial" w:cs="Arial" w:eastAsia="Arial" w:hAnsi="Arial"/>
          <w:sz w:val="18"/>
          <w:szCs w:val="18"/>
          <w:color w:val="auto"/>
        </w:rPr>
      </w:pPr>
      <w:r>
        <w:rPr>
          <w:rFonts w:ascii="Arial" w:cs="Arial" w:eastAsia="Arial" w:hAnsi="Arial"/>
          <w:sz w:val="18"/>
          <w:szCs w:val="18"/>
          <w:color w:val="auto"/>
        </w:rPr>
        <w:t>(A) 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8"/>
          <w:szCs w:val="18"/>
          <w:b w:val="1"/>
          <w:bCs w:val="1"/>
          <w:color w:val="auto"/>
        </w:rPr>
        <w:t>FSMA</w:t>
      </w:r>
      <w:r>
        <w:rPr>
          <w:rFonts w:ascii="Arial" w:cs="Arial" w:eastAsia="Arial" w:hAnsi="Arial"/>
          <w:sz w:val="18"/>
          <w:szCs w:val="18"/>
          <w:color w:val="auto"/>
        </w:rPr>
        <w:t>”)) received by it in connection with the issue or sale of any Securities in circumstances in which Section 21(1) of the FSMA does not apply to the Company; and (B) it has complied and will comply with all applicable provisions of the FSMA with respect to anything done by it in relation to any Securities in, from or otherwise involving the United Kingdom;</w:t>
      </w:r>
    </w:p>
    <w:p>
      <w:pPr>
        <w:spacing w:after="0" w:line="79" w:lineRule="exact"/>
        <w:rPr>
          <w:rFonts w:ascii="Arial" w:cs="Arial" w:eastAsia="Arial" w:hAnsi="Arial"/>
          <w:sz w:val="18"/>
          <w:szCs w:val="18"/>
          <w:color w:val="auto"/>
        </w:rPr>
      </w:pPr>
    </w:p>
    <w:p>
      <w:pPr>
        <w:ind w:left="744" w:hanging="321"/>
        <w:spacing w:after="0"/>
        <w:tabs>
          <w:tab w:leader="none" w:pos="744" w:val="left"/>
        </w:tabs>
        <w:numPr>
          <w:ilvl w:val="1"/>
          <w:numId w:val="7"/>
        </w:numPr>
        <w:rPr>
          <w:rFonts w:ascii="Arial" w:cs="Arial" w:eastAsia="Arial" w:hAnsi="Arial"/>
          <w:sz w:val="17"/>
          <w:szCs w:val="17"/>
          <w:color w:val="auto"/>
        </w:rPr>
      </w:pPr>
      <w:r>
        <w:rPr>
          <w:rFonts w:ascii="Arial" w:cs="Arial" w:eastAsia="Arial" w:hAnsi="Arial"/>
          <w:sz w:val="17"/>
          <w:szCs w:val="17"/>
          <w:color w:val="auto"/>
        </w:rPr>
        <w:t>(A) it has not offered or sold and will not offer or sell in Hong Kong, by means of any document, any Securities other than (i) to</w:t>
      </w:r>
    </w:p>
    <w:p>
      <w:pPr>
        <w:spacing w:after="0" w:line="35"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professional investors</w:t>
      </w:r>
      <w:r>
        <w:rPr>
          <w:rFonts w:ascii="Arial" w:cs="Arial" w:eastAsia="Arial" w:hAnsi="Arial"/>
          <w:sz w:val="17"/>
          <w:szCs w:val="17"/>
          <w:color w:val="auto"/>
        </w:rPr>
        <w:t>” as defined in the Securities and Futures Ordinance (Cap. 571) of Hong Kong and any rules made under that Ordinance, or (ii) in other circumstances which do not result in the document being a “</w:t>
      </w:r>
      <w:r>
        <w:rPr>
          <w:rFonts w:ascii="Arial" w:cs="Arial" w:eastAsia="Arial" w:hAnsi="Arial"/>
          <w:sz w:val="17"/>
          <w:szCs w:val="17"/>
          <w:b w:val="1"/>
          <w:bCs w:val="1"/>
          <w:color w:val="auto"/>
        </w:rPr>
        <w:t>prospectus</w:t>
      </w:r>
      <w:r>
        <w:rPr>
          <w:rFonts w:ascii="Arial" w:cs="Arial" w:eastAsia="Arial" w:hAnsi="Arial"/>
          <w:sz w:val="17"/>
          <w:szCs w:val="17"/>
          <w:color w:val="auto"/>
        </w:rPr>
        <w:t>” as defined in the Companies Ordinance (Cap. 32) of Hong Kong or which do not constitute an offer or invitation to the public within the meaning of that Ordinance; and (B) it has not issued or had in its possession for the purposes of issue, and will not issue or have in its possession for the purposes of issue, whether in Hong Kong or elsewhere, any advertisement, invitation or document relating to the Securities,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71" w:lineRule="exact"/>
        <w:rPr>
          <w:sz w:val="20"/>
          <w:szCs w:val="20"/>
          <w:color w:val="auto"/>
        </w:rPr>
      </w:pPr>
    </w:p>
    <w:p>
      <w:pPr>
        <w:ind w:left="4" w:right="120" w:firstLine="419"/>
        <w:spacing w:after="0" w:line="274" w:lineRule="auto"/>
        <w:tabs>
          <w:tab w:leader="none" w:pos="73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Securities have not been and will not be registered under the Financial Instruments and Exchange Law of Japan (the “</w:t>
      </w:r>
      <w:r>
        <w:rPr>
          <w:rFonts w:ascii="Arial" w:cs="Arial" w:eastAsia="Arial" w:hAnsi="Arial"/>
          <w:sz w:val="17"/>
          <w:szCs w:val="17"/>
          <w:b w:val="1"/>
          <w:bCs w:val="1"/>
          <w:color w:val="auto"/>
        </w:rPr>
        <w:t>Financial</w:t>
      </w:r>
      <w:r>
        <w:rPr>
          <w:rFonts w:ascii="Arial" w:cs="Arial" w:eastAsia="Arial" w:hAnsi="Arial"/>
          <w:sz w:val="17"/>
          <w:szCs w:val="17"/>
          <w:color w:val="auto"/>
        </w:rPr>
        <w:t xml:space="preserve"> </w:t>
      </w:r>
      <w:r>
        <w:rPr>
          <w:rFonts w:ascii="Arial" w:cs="Arial" w:eastAsia="Arial" w:hAnsi="Arial"/>
          <w:sz w:val="17"/>
          <w:szCs w:val="17"/>
          <w:b w:val="1"/>
          <w:bCs w:val="1"/>
          <w:color w:val="auto"/>
        </w:rPr>
        <w:t>Instruments and Exchange Law</w:t>
      </w:r>
      <w:r>
        <w:rPr>
          <w:rFonts w:ascii="Arial" w:cs="Arial" w:eastAsia="Arial" w:hAnsi="Arial"/>
          <w:sz w:val="17"/>
          <w:szCs w:val="17"/>
          <w:color w:val="auto"/>
        </w:rPr>
        <w:t>”) and each Underwriter has agreed that it will not offer or sell any Securities, directly or indirectly, in Japan or</w:t>
      </w:r>
      <w:r>
        <w:rPr>
          <w:rFonts w:ascii="Arial" w:cs="Arial" w:eastAsia="Arial" w:hAnsi="Arial"/>
          <w:sz w:val="17"/>
          <w:szCs w:val="17"/>
          <w:b w:val="1"/>
          <w:bCs w:val="1"/>
          <w:color w:val="auto"/>
        </w:rPr>
        <w:t xml:space="preserve"> </w:t>
      </w:r>
      <w:r>
        <w:rPr>
          <w:rFonts w:ascii="Arial" w:cs="Arial" w:eastAsia="Arial" w:hAnsi="Arial"/>
          <w:sz w:val="17"/>
          <w:szCs w:val="17"/>
          <w:color w:val="auto"/>
        </w:rPr>
        <w:t>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876" w:top="274" w:right="459" w:bottom="1440" w:gutter="0" w:footer="0" w:header="0"/>
        </w:sectPr>
      </w:pPr>
    </w:p>
    <w:bookmarkStart w:id="12" w:name="page13"/>
    <w:bookmarkEnd w:id="12"/>
    <w:p>
      <w:pPr>
        <w:ind w:left="4" w:firstLine="419"/>
        <w:spacing w:after="0" w:line="268" w:lineRule="auto"/>
        <w:tabs>
          <w:tab w:leader="none" w:pos="681" w:val="left"/>
        </w:tabs>
        <w:numPr>
          <w:ilvl w:val="1"/>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Prospectus Supplement has not been registered as a prospectus with the Monetary Authority of Singapore. Accordingly, the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(A) to an institutional investor under Section 274 of the Securities and Futures Act, Chapter 289 of Singapore (the “</w:t>
      </w:r>
      <w:r>
        <w:rPr>
          <w:rFonts w:ascii="Arial" w:cs="Arial" w:eastAsia="Arial" w:hAnsi="Arial"/>
          <w:sz w:val="17"/>
          <w:szCs w:val="17"/>
          <w:b w:val="1"/>
          <w:bCs w:val="1"/>
          <w:color w:val="auto"/>
        </w:rPr>
        <w:t>SFA</w:t>
      </w:r>
      <w:r>
        <w:rPr>
          <w:rFonts w:ascii="Arial" w:cs="Arial" w:eastAsia="Arial" w:hAnsi="Arial"/>
          <w:sz w:val="17"/>
          <w:szCs w:val="17"/>
          <w:color w:val="auto"/>
        </w:rPr>
        <w:t>”), (B) to a relevant person pursuant to Section 275(1) of the SFA, or any person pursuant to Section 275(1A), and in accordance with the conditions, specified in Section 275 of the SFA, or (C) otherwise pursuant to, and in accordance with the conditions of, any other applicable provision of the SFA. Where the Securities are subscribed or purchased under Section 275 by a relevant person which is: (y) a corporation (which is not an accredited investor) the sole business of which is to hold investments and the entire share capital of which is owned by one or more individuals, each of whom is an accredited investor; or (z) a trust (where the trustee is not an accredited investor) whose sole purpose is to hold investments and each beneficiary is an accredited investor, securities (as defined in Section 239(1) of the SFA) of that corporation or the beneficiaries’ rights and interest in that trust shall not be transferable for 6 months after that corporation or that trust has acquired the Securities under Section 275 except: (1) to an institutional investor under Section 274 of the SFA or to a relevant person, or any person pursuant to Section 275(1A) or Section 276(4)(i)(B) of the SFA, and in accordance with the conditions, specified in Section 275 of the SFA; (2) where no consideration is given for the transfer; (3) by operation of law; (4) as specified in Section 276(7) of the SFA; or (5) as specified in Regulation 37A of the Securities and Futures (Offers of Investments) (Securities and Securities-based Derivatives Contracts) Regulations 2018 of Singapore.</w:t>
      </w:r>
    </w:p>
    <w:p>
      <w:pPr>
        <w:spacing w:after="0" w:line="179" w:lineRule="exact"/>
        <w:rPr>
          <w:rFonts w:ascii="Arial" w:cs="Arial" w:eastAsia="Arial" w:hAnsi="Arial"/>
          <w:sz w:val="17"/>
          <w:szCs w:val="17"/>
          <w:color w:val="auto"/>
        </w:rPr>
      </w:pPr>
    </w:p>
    <w:p>
      <w:pPr>
        <w:ind w:left="264" w:hanging="264"/>
        <w:spacing w:after="0"/>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the Underwriters, severally and not jointly, represents and warrants to, and agrees with, the Company that:</w:t>
      </w:r>
    </w:p>
    <w:p>
      <w:pPr>
        <w:spacing w:after="0" w:line="117" w:lineRule="exact"/>
        <w:rPr>
          <w:rFonts w:ascii="Arial" w:cs="Arial" w:eastAsia="Arial" w:hAnsi="Arial"/>
          <w:sz w:val="18"/>
          <w:szCs w:val="18"/>
          <w:color w:val="auto"/>
        </w:rPr>
      </w:pPr>
    </w:p>
    <w:p>
      <w:pPr>
        <w:ind w:left="4" w:firstLine="419"/>
        <w:spacing w:after="0" w:line="257" w:lineRule="auto"/>
        <w:tabs>
          <w:tab w:leader="none" w:pos="641" w:val="left"/>
        </w:tabs>
        <w:numPr>
          <w:ilvl w:val="1"/>
          <w:numId w:val="10"/>
        </w:numPr>
        <w:rPr>
          <w:rFonts w:ascii="Arial" w:cs="Arial" w:eastAsia="Arial" w:hAnsi="Arial"/>
          <w:sz w:val="18"/>
          <w:szCs w:val="18"/>
          <w:color w:val="auto"/>
        </w:rPr>
      </w:pPr>
      <w:r>
        <w:rPr>
          <w:rFonts w:ascii="Arial" w:cs="Arial" w:eastAsia="Arial" w:hAnsi="Arial"/>
          <w:sz w:val="18"/>
          <w:szCs w:val="18"/>
          <w:color w:val="auto"/>
        </w:rPr>
        <w:t>it has not made and will not make any offer relating to the Securities that would constitute a free writing prospectus (other than a free writing prospectus which (A) is a Permitted Free Writing Prospectus or (B) consists of the electronic roadshow slides and accompanying audio recording), without the prior written consent of the Company, and any free writing prospectus or Permitted Free Writing Prospectus prepared by or on behalf of such Underwriter will only be used by such Underwriter if it complies in all material respects with the requirements of the Securities Act;</w:t>
      </w:r>
    </w:p>
    <w:p>
      <w:pPr>
        <w:spacing w:after="0" w:line="80" w:lineRule="exact"/>
        <w:rPr>
          <w:sz w:val="20"/>
          <w:szCs w:val="20"/>
          <w:color w:val="auto"/>
        </w:rPr>
      </w:pPr>
    </w:p>
    <w:p>
      <w:pPr>
        <w:ind w:left="4" w:firstLine="419"/>
        <w:spacing w:after="0" w:line="286" w:lineRule="auto"/>
        <w:tabs>
          <w:tab w:leader="none" w:pos="6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(A) it is aware that, other than registering and qualifying the Securities under the Securities Act, qualifying the Indenture under the Trust Indenture Act (as defined below) and complying with any applicable U.S. state securities or “Blue Sky” laws, no action has been or will be taken by the Company that would permit the offer or sale of the Securities or possession or distribution of the Preliminary Prospectus, the Disclosure Package or the Prospectus, or any other offering material relating to the Securities, in any jurisdiction where action for that purpose is required and</w:t>
      </w:r>
    </w:p>
    <w:p>
      <w:pPr>
        <w:spacing w:after="0" w:line="1" w:lineRule="exact"/>
        <w:rPr>
          <w:rFonts w:ascii="Arial" w:cs="Arial" w:eastAsia="Arial" w:hAnsi="Arial"/>
          <w:sz w:val="16"/>
          <w:szCs w:val="16"/>
          <w:color w:val="auto"/>
        </w:rPr>
      </w:pPr>
    </w:p>
    <w:p>
      <w:pPr>
        <w:ind w:left="4" w:right="40" w:hanging="4"/>
        <w:spacing w:after="0" w:line="253" w:lineRule="auto"/>
        <w:tabs>
          <w:tab w:leader="none" w:pos="2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accordingly, it will observe all applicable laws and regulations in each jurisdiction in or from which it may directly or indirectly acquire, offer, sell or deliver Securities or have in its possession or distribute the Preliminary Prospectus, the Disclosure Package or the Prospectus or any other offering material relating to the Securities, and it will obtain any consent, approval or permission required by it for the purchase, offer or sale by it of Securities under the laws and regulations in force in any such jurisdiction to which it is subject or in which it makes such purchase, offer or sale;</w:t>
      </w:r>
    </w:p>
    <w:p>
      <w:pPr>
        <w:spacing w:after="0" w:line="12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4"/>
          </w:cols>
          <w:pgMar w:left="876" w:top="274" w:right="459" w:bottom="1440" w:gutter="0" w:footer="0" w:header="0"/>
        </w:sectPr>
      </w:pPr>
    </w:p>
    <w:bookmarkStart w:id="13" w:name="page14"/>
    <w:bookmarkEnd w:id="13"/>
    <w:p>
      <w:pPr>
        <w:ind w:left="420" w:right="600" w:firstLine="419"/>
        <w:spacing w:after="0" w:line="342" w:lineRule="auto"/>
        <w:tabs>
          <w:tab w:leader="none" w:pos="1158"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Company or any Underwriter shall have any responsibility for determining what compliance is necessary by any Underwriter or any other Underwriter or for the Underwriters or any other Underwriter obtaining such consents, approvals or permissions;</w:t>
      </w:r>
    </w:p>
    <w:p>
      <w:pPr>
        <w:spacing w:after="0" w:line="15" w:lineRule="exact"/>
        <w:rPr>
          <w:rFonts w:ascii="Arial" w:cs="Arial" w:eastAsia="Arial" w:hAnsi="Arial"/>
          <w:sz w:val="16"/>
          <w:szCs w:val="16"/>
          <w:color w:val="auto"/>
        </w:rPr>
      </w:pPr>
    </w:p>
    <w:p>
      <w:pPr>
        <w:ind w:left="420" w:right="40" w:firstLine="419"/>
        <w:spacing w:after="0" w:line="277" w:lineRule="auto"/>
        <w:tabs>
          <w:tab w:leader="none" w:pos="11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will take no action that will impose any obligations on the Company or the other Underwriters, except as specifically contemplated by this Agreement; and</w:t>
      </w:r>
    </w:p>
    <w:p>
      <w:pPr>
        <w:spacing w:after="0" w:line="62" w:lineRule="exact"/>
        <w:rPr>
          <w:rFonts w:ascii="Arial" w:cs="Arial" w:eastAsia="Arial" w:hAnsi="Arial"/>
          <w:sz w:val="18"/>
          <w:szCs w:val="18"/>
          <w:color w:val="auto"/>
        </w:rPr>
      </w:pPr>
    </w:p>
    <w:p>
      <w:pPr>
        <w:ind w:left="420" w:right="20" w:firstLine="419"/>
        <w:spacing w:after="0" w:line="259" w:lineRule="auto"/>
        <w:tabs>
          <w:tab w:leader="none" w:pos="10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without the Company’s consent, the Underwriters are not authorized to give any information or to make any representation not contained in the Preliminary Prospectus, the Disclosure Package or the Prospectus or any documents specifically referred to therein or in any free writing prospectus which (A) is a Permitted Free Writing Prospectus or (B) consists of the electronic roadshow slides and accompanying audio recording, in connection with the offer and sale of the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represents and warrants to each of the several Underwriters that:</w:t>
      </w:r>
    </w:p>
    <w:p>
      <w:pPr>
        <w:spacing w:after="0" w:line="225" w:lineRule="exact"/>
        <w:rPr>
          <w:sz w:val="20"/>
          <w:szCs w:val="20"/>
          <w:color w:val="auto"/>
        </w:rPr>
      </w:pPr>
    </w:p>
    <w:p>
      <w:pPr>
        <w:ind w:left="-20" w:firstLine="436"/>
        <w:spacing w:after="0" w:line="263" w:lineRule="auto"/>
        <w:tabs>
          <w:tab w:leader="none" w:pos="6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part of the Registration Statement, when such part became effective, did not contain, and each part, as amended or supplemented, will not contain any untrue statement of a material fact or omit to state a material fact required to be stated therein or necessary to make the statements therein not misleading.</w:t>
      </w:r>
    </w:p>
    <w:p>
      <w:pPr>
        <w:spacing w:after="0" w:line="183" w:lineRule="exact"/>
        <w:rPr>
          <w:rFonts w:ascii="Arial" w:cs="Arial" w:eastAsia="Arial" w:hAnsi="Arial"/>
          <w:sz w:val="18"/>
          <w:szCs w:val="18"/>
          <w:color w:val="auto"/>
        </w:rPr>
      </w:pPr>
    </w:p>
    <w:p>
      <w:pPr>
        <w:ind w:left="-20" w:right="600" w:firstLine="436"/>
        <w:spacing w:after="0" w:line="277" w:lineRule="auto"/>
        <w:tabs>
          <w:tab w:leader="none" w:pos="6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Registration Statement as of the date hereof does not contain any untrue statement of a material fact or omit to state a material fact required to be stated therein or necessary to make the statements therein not misleading.</w:t>
      </w:r>
    </w:p>
    <w:p>
      <w:pPr>
        <w:spacing w:after="0" w:line="170" w:lineRule="exact"/>
        <w:rPr>
          <w:rFonts w:ascii="Arial" w:cs="Arial" w:eastAsia="Arial" w:hAnsi="Arial"/>
          <w:sz w:val="18"/>
          <w:szCs w:val="18"/>
          <w:color w:val="auto"/>
        </w:rPr>
      </w:pPr>
    </w:p>
    <w:p>
      <w:pPr>
        <w:ind w:left="-20" w:right="120" w:firstLine="436"/>
        <w:spacing w:after="0" w:line="263" w:lineRule="auto"/>
        <w:tabs>
          <w:tab w:leader="none" w:pos="6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Preliminary Prospectus does not contain and the Prospectus, in the form used by the Underwriters to confirm sales and on the Closing Date, will not contain any untrue statement of a material fact or omit to state a material fact necessary to make the statements therein, in the light of the circumstances under which they were made, not misleading.</w:t>
      </w:r>
    </w:p>
    <w:p>
      <w:pPr>
        <w:spacing w:after="0" w:line="183" w:lineRule="exact"/>
        <w:rPr>
          <w:rFonts w:ascii="Arial" w:cs="Arial" w:eastAsia="Arial" w:hAnsi="Arial"/>
          <w:sz w:val="18"/>
          <w:szCs w:val="18"/>
          <w:color w:val="auto"/>
        </w:rPr>
      </w:pPr>
    </w:p>
    <w:p>
      <w:pPr>
        <w:ind w:left="-20" w:right="60" w:firstLine="436"/>
        <w:spacing w:after="0" w:line="279" w:lineRule="auto"/>
        <w:tabs>
          <w:tab w:leader="none" w:pos="6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At the Initial Sale Time, the Disclosure Package did not, and at the time of each sale of the Securities in connection with the offering when the Prospectus is not yet available to prospective purchasers and at the Closing Date, the Disclosure Package, as then amended or supplemented by the Company, if applicable, will not, contain any untrue statement of a material fact or omit to state a material fact required to be stated therein or necessary to make the statements therein, in the light of the circumstances under which they were made, not misleading.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4" w:right="459" w:bottom="1440" w:gutter="0" w:footer="0" w:header="0"/>
        </w:sectPr>
      </w:pPr>
    </w:p>
    <w:bookmarkStart w:id="14" w:name="page15"/>
    <w:bookmarkEnd w:id="14"/>
    <w:p>
      <w:pPr>
        <w:jc w:val="both"/>
        <w:ind w:right="200" w:firstLine="436"/>
        <w:spacing w:after="0" w:line="311" w:lineRule="auto"/>
        <w:tabs>
          <w:tab w:leader="none" w:pos="685"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Permitted Free Writing Prospectus, if any when considered together with the Disclosure Package, and any Additional Written Offering Communication (as defined below), when taken together with the Disclosure Package, does not contain any untrue statement of a material fact or omit to state a material fact necessary to make the statements therein, in the light of the circumstances under which they were made, not misleading.</w:t>
      </w:r>
    </w:p>
    <w:p>
      <w:pPr>
        <w:spacing w:after="0" w:line="148" w:lineRule="exact"/>
        <w:rPr>
          <w:rFonts w:ascii="Arial" w:cs="Arial" w:eastAsia="Arial" w:hAnsi="Arial"/>
          <w:sz w:val="16"/>
          <w:szCs w:val="16"/>
          <w:color w:val="auto"/>
        </w:rPr>
      </w:pPr>
    </w:p>
    <w:p>
      <w:pPr>
        <w:ind w:right="40" w:firstLine="436"/>
        <w:spacing w:after="0" w:line="301" w:lineRule="auto"/>
        <w:tabs>
          <w:tab w:leader="none" w:pos="6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Issuer Free Writing Prospectus (as defined in Rule 433 under the Securities Act), as supplemented and amended by and taken together with the Disclosure Package, conflicts in any material respect with the information contained in the Registration Statement and the Prospectus. Each Issuer Free Writing Prospectus that the Company has filed, or is required to file, pursuant to Rule 433(d) under the Securities Act or that was prepared by or on behalf of or used or referred to by the Company complies or will comply in all material respects with the Securities Act.</w:t>
      </w:r>
    </w:p>
    <w:p>
      <w:pPr>
        <w:spacing w:after="0" w:line="157" w:lineRule="exact"/>
        <w:rPr>
          <w:rFonts w:ascii="Arial" w:cs="Arial" w:eastAsia="Arial" w:hAnsi="Arial"/>
          <w:sz w:val="16"/>
          <w:szCs w:val="16"/>
          <w:color w:val="auto"/>
        </w:rPr>
      </w:pPr>
    </w:p>
    <w:p>
      <w:pPr>
        <w:ind w:firstLine="436"/>
        <w:spacing w:after="0" w:line="263"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the applicable effective date of the Registration Statement and any amendment thereto, the Registration Statement complied and as of the Closing Date will comply in all material respects with the Securities Act and the Trust Indenture Act of 1939, as amended, and the rules and regulations of the Commission thereunder (collectively, the “</w:t>
      </w:r>
      <w:r>
        <w:rPr>
          <w:rFonts w:ascii="Arial" w:cs="Arial" w:eastAsia="Arial" w:hAnsi="Arial"/>
          <w:sz w:val="18"/>
          <w:szCs w:val="18"/>
          <w:b w:val="1"/>
          <w:bCs w:val="1"/>
          <w:color w:val="auto"/>
        </w:rPr>
        <w:t>Trust Indenture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80" w:firstLine="436"/>
        <w:spacing w:after="0" w:line="263"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document, if any, filed or to be filed pursuant to the Exchange Act and incorporated by reference in the Registration Statement, the Disclosure Package or the Prospectus complied or will comply when so filed in all material respects with the Exchange Act and the applicable rules and regulations of the Commission thereunder.</w:t>
      </w:r>
    </w:p>
    <w:p>
      <w:pPr>
        <w:spacing w:after="0" w:line="183" w:lineRule="exact"/>
        <w:rPr>
          <w:rFonts w:ascii="Arial" w:cs="Arial" w:eastAsia="Arial" w:hAnsi="Arial"/>
          <w:sz w:val="18"/>
          <w:szCs w:val="18"/>
          <w:color w:val="auto"/>
        </w:rPr>
      </w:pPr>
    </w:p>
    <w:p>
      <w:pPr>
        <w:ind w:right="40" w:firstLine="436"/>
        <w:spacing w:after="0" w:line="25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for (i) any document not constituting a prospectus pursuant to Section 2(a)(10)(a) of the Securities Act or Rule 134 under the Securities Act, (ii) the Preliminary Prospectus, (iii) the Prospectus, (iv) the Permitted Free Writing Prospectuses identified in Schedule II hereto and (v) the electronic road show slides and accompanying audio recording, if any, furnished to you before first use (any such slides or audio recording,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Written Offering Communication</w:t>
      </w:r>
      <w:r>
        <w:rPr>
          <w:rFonts w:ascii="Arial" w:cs="Arial" w:eastAsia="Arial" w:hAnsi="Arial"/>
          <w:sz w:val="18"/>
          <w:szCs w:val="18"/>
          <w:color w:val="auto"/>
        </w:rPr>
        <w:t>”), the Company has not prepared, used or referred to, and will not, without your prior consent, prepare, use or refer</w:t>
      </w:r>
      <w:r>
        <w:rPr>
          <w:rFonts w:ascii="Arial" w:cs="Arial" w:eastAsia="Arial" w:hAnsi="Arial"/>
          <w:sz w:val="18"/>
          <w:szCs w:val="18"/>
          <w:b w:val="1"/>
          <w:bCs w:val="1"/>
          <w:color w:val="auto"/>
        </w:rPr>
        <w:t xml:space="preserve"> </w:t>
      </w:r>
      <w:r>
        <w:rPr>
          <w:rFonts w:ascii="Arial" w:cs="Arial" w:eastAsia="Arial" w:hAnsi="Arial"/>
          <w:sz w:val="18"/>
          <w:szCs w:val="18"/>
          <w:color w:val="auto"/>
        </w:rPr>
        <w:t>to, any “written communication” (as defined in Rule 405 under the Securities Act) that constitutes an offer to sell or solicitation of an offer to buy the Securities.</w:t>
      </w:r>
    </w:p>
    <w:p>
      <w:pPr>
        <w:spacing w:after="0" w:line="192"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Notwithstanding anything to the contrary in this Agreement, the representations and warranties set forth in the foregoing clauses (a)-(h) shall not apply to statements in or omissions from the Registration Statement, the Disclosure Package, the Prospectus or any Permitted Free Writing Prospectus (or any amendment or supplement to any of the foregoing) (i) made in reliance upon and in conformity with information furnished to the Company in writing by any Underwriter expressly for use therein, or (ii) any information contained in any free writing prospectus prepared by any Underwriter(s), except to the extent such information has been accurately extracted from the Registration Statement, the Disclosure Package or the Prospectus or any Permitted Free Writing Prospectus prepared by the Company, or otherwise provided in writing by the Company and included in such free writing prospectus prepared by or on behalf of any Underwriter(s).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5" w:name="page16"/>
    <w:bookmarkEnd w:id="15"/>
    <w:p>
      <w:pPr>
        <w:ind w:right="40" w:firstLine="436"/>
        <w:spacing w:after="0" w:line="29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financial statements (including the related notes thereto) of the Company and its consolidated subsidiaries included or incorporated by reference in the Registration Statement, the Disclosure Package or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except as may be expressly stated therein; and any supporting schedules included or incorporated by reference in the Registration Statement, the Disclosure Package or the Prospectus present fairly in all material respects the information required to be stated therein.</w:t>
      </w:r>
    </w:p>
    <w:p>
      <w:pPr>
        <w:spacing w:after="0" w:line="166" w:lineRule="exact"/>
        <w:rPr>
          <w:rFonts w:ascii="Arial" w:cs="Arial" w:eastAsia="Arial" w:hAnsi="Arial"/>
          <w:sz w:val="16"/>
          <w:szCs w:val="16"/>
          <w:color w:val="auto"/>
        </w:rPr>
      </w:pPr>
    </w:p>
    <w:p>
      <w:pPr>
        <w:ind w:firstLine="436"/>
        <w:spacing w:after="0" w:line="286"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in each case as otherwise disclosed or incorporated by reference in the Registration Statement, the Disclosure Package or the Prospectus, since the date of the most recent financial statements of the Company included or incorporated by reference in the Registration Statement, the Disclosure Package or the Prospectus, (i) there has not been any material change in the capital stock of the Company (other than the exercise of warrants described in the Registration Statement, the Disclosure Package or the Prospectus or the grant and/or exercise of options or other equity-based awards under existing equity incentive plans described in the Registration Statement, the Disclosure Package or the Prospectus), or long-term debt of the Company or any of the subsidiaries of the Company listed on Schedule III hereto (the “</w:t>
      </w:r>
      <w:r>
        <w:rPr>
          <w:rFonts w:ascii="Arial" w:cs="Arial" w:eastAsia="Arial" w:hAnsi="Arial"/>
          <w:sz w:val="16"/>
          <w:szCs w:val="16"/>
          <w:b w:val="1"/>
          <w:bCs w:val="1"/>
          <w:color w:val="auto"/>
        </w:rPr>
        <w:t>Subsidiaries</w:t>
      </w:r>
      <w:r>
        <w:rPr>
          <w:rFonts w:ascii="Arial" w:cs="Arial" w:eastAsia="Arial" w:hAnsi="Arial"/>
          <w:sz w:val="16"/>
          <w:szCs w:val="16"/>
          <w:color w:val="auto"/>
        </w:rPr>
        <w:t>”), or any dividend or distribution of any kind declared, set aside for payment, paid or made by the Company on any class of capital stock (other than regular quarterly dividends on the Company’s common stock), or any material adverse change in or affecting the business, properties, management, financial position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from fire, explosion, flood or other calamity, whether or not covered by insurance, or from any labor disturbance or dispute or any action, order or decree of any court or arbitrator or governmental or regulatory authority, except as would not have a material adverse effect on the Company and its subsidiaries, taken as a whole.</w:t>
      </w:r>
    </w:p>
    <w:p>
      <w:pPr>
        <w:spacing w:after="0" w:line="170" w:lineRule="exact"/>
        <w:rPr>
          <w:rFonts w:ascii="Arial" w:cs="Arial" w:eastAsia="Arial" w:hAnsi="Arial"/>
          <w:sz w:val="16"/>
          <w:szCs w:val="16"/>
          <w:color w:val="auto"/>
        </w:rPr>
      </w:pPr>
    </w:p>
    <w:p>
      <w:pPr>
        <w:ind w:firstLine="436"/>
        <w:spacing w:after="0" w:line="290"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pending or, to the knowledge of the Company, threatened legal or governmental proceedings to which the Company or any of its Subsidiaries is a party or to which any of the properties of the Company or any of its Subsidiaries is subject and that are required by the Securities Act to be disclosed in the Registration Statement, the Disclosure Package or the Prospectus have been accurately described or incorporated by reference therein in all material respects. There are no material regulations, contracts or other documents that are required to be described in the Registration Statement, the Disclosure Package or the Prospectus or to be filed as exhibits to the Company’s reports incorporated by reference therein filed by the Company with the Commission pursuant to the Exchange Act that are not described or incorporated by reference or filed as required. No litigation or proceeding is pending, or, to the knowledge of the Company, threatened to restrain or enjoin the power or ability of the Company to perform its obligations under this Agreement, the Indenture or the Securities or to consummate the transactions contemplated by the Disclosure Package or the Prospectus.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6" w:name="page17"/>
    <w:bookmarkEnd w:id="16"/>
    <w:p>
      <w:pPr>
        <w:ind w:left="4" w:firstLine="436"/>
        <w:spacing w:after="0" w:line="291" w:lineRule="auto"/>
        <w:tabs>
          <w:tab w:leader="none" w:pos="749" w:val="left"/>
        </w:tabs>
        <w:numPr>
          <w:ilvl w:val="1"/>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filed the Registration Statement with the Commission, and such Registration Statement has become effective under the Securities Act.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 The Company is not an “ineligible issuer,” as defined under the Securities Act, at the times specified in the Securities Act in connection with the offering of the Securities. No stop order suspending the effectiveness of the Registration Statement in the United States is in effect, and no proceedings for such purpose are pending before, or, to the knowledge of the Company, threatened by, the Commission.</w:t>
      </w:r>
    </w:p>
    <w:p>
      <w:pPr>
        <w:spacing w:after="0" w:line="166" w:lineRule="exact"/>
        <w:rPr>
          <w:rFonts w:ascii="Arial" w:cs="Arial" w:eastAsia="Arial" w:hAnsi="Arial"/>
          <w:sz w:val="16"/>
          <w:szCs w:val="16"/>
          <w:color w:val="auto"/>
        </w:rPr>
      </w:pPr>
    </w:p>
    <w:p>
      <w:pPr>
        <w:ind w:left="4" w:firstLine="436"/>
        <w:spacing w:after="0" w:line="290" w:lineRule="auto"/>
        <w:tabs>
          <w:tab w:leader="none" w:pos="699" w:val="left"/>
        </w:tabs>
        <w:numPr>
          <w:ilvl w:val="1"/>
          <w:numId w:val="17"/>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properties or assets of the Company or any of its Subsidiaries are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on the Company and its subsidiaries, taken as a whole, or on the power or ability of the Company to perform its obligations under this Agreement or to consummate the transactions contemplated by the Disclosure Package or the Prospectus.</w:t>
      </w:r>
    </w:p>
    <w:p>
      <w:pPr>
        <w:spacing w:after="0" w:line="165" w:lineRule="exact"/>
        <w:rPr>
          <w:rFonts w:ascii="Arial" w:cs="Arial" w:eastAsia="Arial" w:hAnsi="Arial"/>
          <w:sz w:val="16"/>
          <w:szCs w:val="16"/>
          <w:color w:val="auto"/>
        </w:rPr>
      </w:pPr>
    </w:p>
    <w:p>
      <w:pPr>
        <w:ind w:left="4" w:right="60" w:firstLine="436"/>
        <w:spacing w:after="0" w:line="257" w:lineRule="auto"/>
        <w:tabs>
          <w:tab w:leader="none" w:pos="699"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each of this Agreement, the Indenture and the Securities, do not and will not contravene or violate (i) any provision of applicable law, (ii) the certificate of incorporation or by-laws of the Company, (iii) any indenture, mortgage or other agreement or instrument binding upon the Company or any of its Subsidiaries that is material to the Company and its subsidiaries, taken as a whole, or (iv) any judgment, order or decree of any governmental body, agency or court having jurisdiction over the Company or any Subsidiary.</w:t>
      </w:r>
    </w:p>
    <w:p>
      <w:pPr>
        <w:spacing w:after="0" w:line="187" w:lineRule="exact"/>
        <w:rPr>
          <w:rFonts w:ascii="Arial" w:cs="Arial" w:eastAsia="Arial" w:hAnsi="Arial"/>
          <w:sz w:val="18"/>
          <w:szCs w:val="18"/>
          <w:color w:val="auto"/>
        </w:rPr>
      </w:pPr>
    </w:p>
    <w:p>
      <w:pPr>
        <w:ind w:left="4" w:right="60" w:firstLine="436"/>
        <w:spacing w:after="0" w:line="286" w:lineRule="auto"/>
        <w:tabs>
          <w:tab w:leader="none" w:pos="699" w:val="left"/>
        </w:tabs>
        <w:numPr>
          <w:ilvl w:val="1"/>
          <w:numId w:val="17"/>
        </w:numPr>
        <w:rPr>
          <w:rFonts w:ascii="Arial" w:cs="Arial" w:eastAsia="Arial" w:hAnsi="Arial"/>
          <w:sz w:val="16"/>
          <w:szCs w:val="16"/>
          <w:color w:val="auto"/>
        </w:rPr>
      </w:pPr>
      <w:r>
        <w:rPr>
          <w:rFonts w:ascii="Arial" w:cs="Arial" w:eastAsia="Arial" w:hAnsi="Arial"/>
          <w:sz w:val="16"/>
          <w:szCs w:val="16"/>
          <w:color w:val="auto"/>
        </w:rPr>
        <w:t>No material authorization, consent or approval of, or registration or filing with, any governmental or public body or regulatory authority in the United States is required on the part of the Company for the sale of the Securities in accordance with this Agreement or the performance by the Company of its obligations under this Agreement, the Indenture and the Securities, other than (i) the registration of the Securities under the Securities Act, (ii) the qualification of the Indenture under the Trust Indenture Act, (iii) compliance with the securities or “Blue Sky” laws of various jurisdictions,</w:t>
      </w:r>
    </w:p>
    <w:p>
      <w:pPr>
        <w:spacing w:after="0" w:line="1" w:lineRule="exact"/>
        <w:rPr>
          <w:rFonts w:ascii="Arial" w:cs="Arial" w:eastAsia="Arial" w:hAnsi="Arial"/>
          <w:sz w:val="16"/>
          <w:szCs w:val="16"/>
          <w:color w:val="auto"/>
        </w:rPr>
      </w:pPr>
    </w:p>
    <w:p>
      <w:pPr>
        <w:ind w:left="4" w:right="400" w:hanging="4"/>
        <w:spacing w:after="0" w:line="260" w:lineRule="auto"/>
        <w:tabs>
          <w:tab w:leader="none" w:pos="3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those required by the rules and regulations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or (v) those that have already been obtained.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17" w:name="page18"/>
    <w:bookmarkEnd w:id="17"/>
    <w:p>
      <w:pPr>
        <w:ind w:left="-20" w:firstLine="436"/>
        <w:spacing w:after="0" w:line="257" w:lineRule="auto"/>
        <w:tabs>
          <w:tab w:leader="none" w:pos="675"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been duly incorporated, is validly existing as a corporation in good standing under the laws of the State of Delaware, has the corporate power and authority to own its property and to conduct its business as described in the Disclosure Package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87" w:lineRule="exact"/>
        <w:rPr>
          <w:rFonts w:ascii="Arial" w:cs="Arial" w:eastAsia="Arial" w:hAnsi="Arial"/>
          <w:sz w:val="18"/>
          <w:szCs w:val="18"/>
          <w:color w:val="auto"/>
        </w:rPr>
      </w:pPr>
    </w:p>
    <w:p>
      <w:pPr>
        <w:ind w:left="-20" w:right="40" w:firstLine="436"/>
        <w:spacing w:after="0" w:line="257" w:lineRule="auto"/>
        <w:tabs>
          <w:tab w:leader="none" w:pos="6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has full power and authority to execute and deliver each of this Agreement, the Indenture and the Securities and to perform its obligations under each of this Agreement, the Indenture and the Securities; and all action required to be taken for the due and proper authorization, execution and delivery of each of this Agreement, the Indenture and the Securities (and the consummation of the transactions contemplated thereby) has been duly and validly taken (other than, in the case of the Seventh Supplemental Indenture and the Securities, the actual execution and delivery of such documents).</w:t>
      </w:r>
    </w:p>
    <w:p>
      <w:pPr>
        <w:spacing w:after="0" w:line="187" w:lineRule="exact"/>
        <w:rPr>
          <w:rFonts w:ascii="Arial" w:cs="Arial" w:eastAsia="Arial" w:hAnsi="Arial"/>
          <w:sz w:val="18"/>
          <w:szCs w:val="18"/>
          <w:color w:val="auto"/>
        </w:rPr>
      </w:pPr>
    </w:p>
    <w:p>
      <w:pPr>
        <w:ind w:left="-20" w:right="200" w:firstLine="436"/>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authorized and outstanding capitalization of the Company conforms in all material respects to the description thereof set forth in each of the Registration Statement, the Disclosure Package and the Prospectus.</w:t>
      </w:r>
    </w:p>
    <w:p>
      <w:pPr>
        <w:spacing w:after="0" w:line="170" w:lineRule="exact"/>
        <w:rPr>
          <w:rFonts w:ascii="Arial" w:cs="Arial" w:eastAsia="Arial" w:hAnsi="Arial"/>
          <w:sz w:val="18"/>
          <w:szCs w:val="18"/>
          <w:color w:val="auto"/>
        </w:rPr>
      </w:pPr>
    </w:p>
    <w:p>
      <w:pPr>
        <w:ind w:left="-20" w:right="20" w:firstLine="436"/>
        <w:spacing w:after="0" w:line="25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 Disclosure Package and the Prospectus) and are so owned free and clear of any lien, charge, encumbrance or security interest, except for such liens, charges, encumbrances or security interests that would not have a material adverse effect on the Company and its subsidiaries, taken as a whole.</w:t>
      </w:r>
    </w:p>
    <w:p>
      <w:pPr>
        <w:spacing w:after="0" w:line="187" w:lineRule="exact"/>
        <w:rPr>
          <w:rFonts w:ascii="Arial" w:cs="Arial" w:eastAsia="Arial" w:hAnsi="Arial"/>
          <w:sz w:val="18"/>
          <w:szCs w:val="18"/>
          <w:color w:val="auto"/>
        </w:rPr>
      </w:pPr>
    </w:p>
    <w:p>
      <w:pPr>
        <w:ind w:left="-20" w:right="60" w:firstLine="436"/>
        <w:spacing w:after="0" w:line="301" w:lineRule="auto"/>
        <w:tabs>
          <w:tab w:leader="none" w:pos="6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Securities have been duly authorized and, when executed, authenticated and issued in accordance with the provisions of the Indenture and delivered to and paid for by the Underwriters in accordance with the terms of this Agreement, will be valid and binding obligations of the Company, enforceable in accordance with their terms, subject to applicable bankruptcy, insolvency and similar laws affecting creditors’ rights generally and equitable principles of general applicability, and will be entitled to the benefits of the Indenture pursuant to which such Securities are to be issued.</w:t>
      </w:r>
    </w:p>
    <w:p>
      <w:pPr>
        <w:spacing w:after="0" w:line="157" w:lineRule="exact"/>
        <w:rPr>
          <w:rFonts w:ascii="Arial" w:cs="Arial" w:eastAsia="Arial" w:hAnsi="Arial"/>
          <w:sz w:val="16"/>
          <w:szCs w:val="16"/>
          <w:color w:val="auto"/>
        </w:rPr>
      </w:pPr>
    </w:p>
    <w:p>
      <w:pPr>
        <w:ind w:left="680" w:hanging="264"/>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0" w:right="40" w:firstLine="436"/>
        <w:spacing w:after="0" w:line="255" w:lineRule="auto"/>
        <w:tabs>
          <w:tab w:leader="none" w:pos="7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The Indenture has been duly authorized by the Company, (ii) upon effectiveness of the Registration Statement, the Indenture was duly qualified under the Trust Indenture Act, (iii) the Base Indenture is a valid and binding agreement of the Company, enforceable in accordance with its terms, subject to applicable bankruptcy, insolvency and similar laws affecting creditors’ rights generally and equitable principles of general applicability and (iv) the Seventh Supplemental Indenture will be, when executed and delivered by the Company and each other party thereto, a valid and binding agreement of the Company, enforceable in accordance with its terms, subject to applicable bankruptcy, insolvency and similar laws affecting creditors’ rights generally and equitable principles of general applicability.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18" w:name="page19"/>
    <w:bookmarkEnd w:id="18"/>
    <w:p>
      <w:pPr>
        <w:ind w:left="-80" w:right="40" w:firstLine="436"/>
        <w:spacing w:after="0" w:line="311" w:lineRule="auto"/>
        <w:tabs>
          <w:tab w:leader="none" w:pos="615"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disclosed in the Registration Statement, the Disclosure Package and the Prospectus, no person has the right to require the Company or any of its Subsidiaries to register any securities for sale under the Securities Act by reason of the issuance and sale of the Securities and the public offering thereof upon the terms and conditions set forth in this Agreement and the Disclosure Package and to be set forth in the Prospectus.</w:t>
      </w:r>
    </w:p>
    <w:p>
      <w:pPr>
        <w:spacing w:after="0" w:line="148" w:lineRule="exact"/>
        <w:rPr>
          <w:rFonts w:ascii="Arial" w:cs="Arial" w:eastAsia="Arial" w:hAnsi="Arial"/>
          <w:sz w:val="16"/>
          <w:szCs w:val="16"/>
          <w:color w:val="auto"/>
        </w:rPr>
      </w:pPr>
    </w:p>
    <w:p>
      <w:pPr>
        <w:ind w:left="-80" w:right="220" w:firstLine="436"/>
        <w:spacing w:after="0" w:line="286" w:lineRule="auto"/>
        <w:tabs>
          <w:tab w:leader="none" w:pos="6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has not, and will not, (i) used any free writing prospectus in connection with the offer or sale of the Securities other than a Permitted Free Writing Prospectus or (ii) used a Permitted Free Writing Prospectus except in compliance with Rule 433 under the Securities Act and otherwise in compliance with the Securities Act, in each case, without the prior consent of the Representatives.</w:t>
      </w:r>
    </w:p>
    <w:p>
      <w:pPr>
        <w:spacing w:after="0" w:line="165" w:lineRule="exact"/>
        <w:rPr>
          <w:rFonts w:ascii="Arial" w:cs="Arial" w:eastAsia="Arial" w:hAnsi="Arial"/>
          <w:sz w:val="17"/>
          <w:szCs w:val="17"/>
          <w:color w:val="auto"/>
        </w:rPr>
      </w:pPr>
    </w:p>
    <w:p>
      <w:pPr>
        <w:ind w:left="-80" w:right="80" w:firstLine="436"/>
        <w:spacing w:after="0" w:line="293" w:lineRule="auto"/>
        <w:tabs>
          <w:tab w:leader="none" w:pos="6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and its Subsidiaries own, license or otherwise possess, or can acquire on reasonable terms, adequate rights to use all material patents, patent rights, inventions, copyrights, trade secrets, trademarks, service marks and trade names currently employed by them in connection with the business now operated by them as described in the Registration Statement, the Disclosure Package and the Prospectus, except as such would not have a material adverse effect on the Company and its subsidiaries, taken as a whole; and neither the Company nor any of its Subsidiaries has received any notice of infringement of or conflict with asserted rights of others with respect to any of the foregoing, which, if determined adversely to the Company or its Subsidiaries, would have a material adverse effect on the Company and its subsidiaries, taken as a whole.</w:t>
      </w:r>
    </w:p>
    <w:p>
      <w:pPr>
        <w:spacing w:after="0" w:line="164" w:lineRule="exact"/>
        <w:rPr>
          <w:sz w:val="20"/>
          <w:szCs w:val="20"/>
          <w:color w:val="auto"/>
        </w:rPr>
      </w:pPr>
    </w:p>
    <w:p>
      <w:pPr>
        <w:ind w:left="-80" w:right="420" w:firstLine="436"/>
        <w:spacing w:after="0" w:line="263"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for matters that are described in the Registration Statement, the Disclosure Package and the Prospectus or that would not have a material adverse effect on the Company and its subsidiaries, taken as a whole, no labor dispute with the employees of the Company or any of its Subsidiaries exists or, to the knowledge of the Company, is imminent.</w:t>
      </w:r>
    </w:p>
    <w:p>
      <w:pPr>
        <w:spacing w:after="0" w:line="183" w:lineRule="exact"/>
        <w:rPr>
          <w:rFonts w:ascii="Arial" w:cs="Arial" w:eastAsia="Arial" w:hAnsi="Arial"/>
          <w:sz w:val="18"/>
          <w:szCs w:val="18"/>
          <w:color w:val="auto"/>
        </w:rPr>
      </w:pPr>
    </w:p>
    <w:p>
      <w:pPr>
        <w:ind w:left="-80" w:firstLine="436"/>
        <w:spacing w:after="0" w:line="269" w:lineRule="auto"/>
        <w:tabs>
          <w:tab w:leader="none" w:pos="705"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Except as would not give rise to any material liabilities under Environmental Laws, the Company represents to the best of its knowledge and belief that, except for matters that are described in the Registration Statement and the Disclosure Package: (i) the Company and its Subsidiaries are in material compliance with all applicable federal, state, local and foreign laws, rules and regulations relating to pollution or the protection of the environment, natural resources or human health or safety, including those relating to the generation, storage, treatment, use, handling, transportation, or Release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and its Subsidiaries are in material compliance with all permits, licenses, certificates or other authorizations or approvals required of them under applicable Environmental Laws to conduct their respective businesses, (iii) the Company and its Subsidiaries have not received notice of any liability under or relating to violation of, any Environmental Laws, including for the investigation or remediation of any Release of Hazardous Materials, (iv) there are no proceedings that are pending against the Company or any of its Subsidiaries under any Environmental Laws in which a governmental entity is also a party, other than such proceedings in which it is reasonably believed that no monetary sanctions in excess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0"/>
          </w:cols>
          <w:pgMar w:left="520" w:top="274" w:right="539" w:bottom="1440" w:gutter="0" w:footer="0" w:header="0"/>
        </w:sectPr>
      </w:pPr>
    </w:p>
    <w:bookmarkStart w:id="19" w:name="page20"/>
    <w:bookmarkEnd w:id="19"/>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$300,000 will be imposed, (v) the Company and its Subsidiaries are not aware of any facts or issues regarding compliance with Environmental Laws, or liabilities or other obligations under Environmental Laws, including the Release of Hazardous Materials, that could reasonably be expected to have a material effect on the capital expenditures, earnings or competitive position of the Company and its subsidiaries, taken as a whole, and (vi) none of the Company and its Subsidiaries anticipates material capital expenditures relating to any Environmental Laws. “</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Arial" w:cs="Arial" w:eastAsia="Arial" w:hAnsi="Arial"/>
          <w:sz w:val="17"/>
          <w:szCs w:val="17"/>
          <w:b w:val="1"/>
          <w:bCs w:val="1"/>
          <w:color w:val="auto"/>
        </w:rPr>
        <w:t>Release</w:t>
      </w:r>
      <w:r>
        <w:rPr>
          <w:rFonts w:ascii="Arial" w:cs="Arial" w:eastAsia="Arial" w:hAnsi="Arial"/>
          <w:sz w:val="17"/>
          <w:szCs w:val="17"/>
          <w:color w:val="auto"/>
        </w:rPr>
        <w:t>” means any spilling, leaking, seepage, pumping, pouring, emitting, emptying, discharging, injecting, escaping, leaching, dumping, disposing, depositing, dispersing, or migrating in, into or through the environment.</w:t>
      </w:r>
    </w:p>
    <w:p>
      <w:pPr>
        <w:spacing w:after="0" w:line="181" w:lineRule="exact"/>
        <w:rPr>
          <w:sz w:val="20"/>
          <w:szCs w:val="20"/>
          <w:color w:val="auto"/>
        </w:rPr>
      </w:pPr>
    </w:p>
    <w:p>
      <w:pPr>
        <w:ind w:firstLine="436"/>
        <w:spacing w:after="0" w:line="284" w:lineRule="auto"/>
        <w:tabs>
          <w:tab w:leader="none" w:pos="7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or the Prospectus or as would not have a material adverse effect on the Company and its subsidiaries, taken as a whole: (i) each employee benefit plan, within the meaning of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which is subject to ERISA, for which the Company or any member of its “Controlled Group” (defined as any organization which is a member of a controlled group of corporations within the meaning of Section 414(b) or (c)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would have any liability (other than a “multiemployer plan” within the meaning of Section 3(37) of ERISA)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the minimum funding standard of Section 412 of the Code or Section 302 of ERISA, as applicable, has been satisfied (without taking into account any funding variance pursuant to Section 412(c) of the Code or Section 302(c) of ERISA) and is reasonably expected to be satisfied in the future (without taking into account any funding variance pursuant to Section 412(c) of the Code or Section 302(c) of ERISA); (iv) no “reportable event” (within the meaning of Section 4043(c) of ERISA) has occurred or is reasonably expected to occur with respect to a Plan covered by Title IV of ERISA; (v) neither the Company nor any member of the Controlled Group has incurred, nor reasonably expects to incur, any liability under Title IV of ERISA with respect to the termination of, or withdrawal from, a Plan (other than contributions to the Plan or premiums to the Pension Benefit Guaranty Corporation, in the ordinary course and without default) in respect of a Plan (including a “multiemployer plan,” within the meaning of Section 4001(a)(3) of ERISA); (vi)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and its subsidiaries, taken as a whole; and (vii) there has not been and is not reasonably likely to be a material increase in the aggregate amount of contributions required to be made to all Plans by the Company and its subsidiaries in the current fiscal year of the Company and its subsidiaries compared to the amount of such contributions made in the Company and its subsidiaries’ most recently completed fiscal year.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0" w:name="page21"/>
    <w:bookmarkEnd w:id="20"/>
    <w:p>
      <w:pPr>
        <w:ind w:firstLine="436"/>
        <w:spacing w:after="0" w:line="284" w:lineRule="auto"/>
        <w:tabs>
          <w:tab w:leader="none" w:pos="785"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disclosed in the Registration Statement, the Disclosure Package and the Prospectus: (i) the Company maintains a system of “disclosure controls and procedures” (as such term is defined in Rule 13a-15(e) of the Exchange Act) that complies in all material respects with the requirements of the Exchange Act and has been designed to provide reasonable assurance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(ii) the Company has carried out an evaluation of the effectiveness of its disclosure controls and procedures as required by Rule 13a-15 of the Exchange Act. Except as disclosed in the Registration Statement, the Disclosure Package and the Prospectus, the Company maintains a system of “internal control over financial reporting” (as defined in Rule 13a-15(f) of the Exchange Act) that complies in all material respects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United States generally accepted accounting principles and include policies and procedures that: (A) pertain to the maintenance of records that, in reasonable detail, accurately and fairly reflect the transactions of and dispositions of the assets of the Company; (B) provide reasonable assurance that transactions are recorded as necessary to permit preparation of the consolidated financial statements of the Company and its subsidiaries in accordance with United States generally accepted accounting principles, and that the receipts and expenditures of the Company are being made only in accordance with authorizations of management and directors of the Company; and (C) provide reasonable assurance regarding the prevention or timely detection of unauthorized acquisition, use, or disposition of assets that could have a material effect on the consolidated financial statements of the Company and its subsidiaries. Except as disclosed in the Registration Statement, the Disclosure Package and the Prospectus, the Company is not aware of any material weaknesses in the Company’s internal control over financial reporting. The Company’s auditors and the Audit Committee of the Board of Directors of the Company have been advised of: (X) all significant deficiencies and material weaknesses in the design or operation of internal control over financial reporting that have materially adversely affected or are reasonably likely to materially adversely affect the Company’s ability to record, process, summarize and report financial information; and (Y) any fraud, whether or not material, that involves management or other employees who have a significant role in the Company’s internal control over financial reporting.</w:t>
      </w:r>
    </w:p>
    <w:p>
      <w:pPr>
        <w:spacing w:after="0" w:line="176" w:lineRule="exact"/>
        <w:rPr>
          <w:rFonts w:ascii="Arial" w:cs="Arial" w:eastAsia="Arial" w:hAnsi="Arial"/>
          <w:sz w:val="16"/>
          <w:szCs w:val="16"/>
          <w:color w:val="auto"/>
        </w:rPr>
      </w:pPr>
    </w:p>
    <w:p>
      <w:pPr>
        <w:ind w:right="260" w:firstLine="436"/>
        <w:spacing w:after="0" w:line="263" w:lineRule="auto"/>
        <w:tabs>
          <w:tab w:leader="none" w:pos="7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the Disclosure Package and the Prospectus fairly presents the information called for in all material respects and has been prepared in accordance with the Commission’s rules and guidelines applicable thereto.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1" w:name="page22"/>
    <w:bookmarkEnd w:id="21"/>
    <w:p>
      <w:pPr>
        <w:ind w:right="20" w:firstLine="436"/>
        <w:spacing w:after="0" w:line="253" w:lineRule="auto"/>
        <w:tabs>
          <w:tab w:leader="none" w:pos="722"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for matters that would not, either individually or collectively, materially adversely affect the Company’s results of operations and financial condition: (A) neither the Company nor any of its subsidiaries, nor to the Company’s knowledge, any director, officer, affiliate, agent, employee or representative acting on behalf of the Company or any of its subsidiaries, has violated any provision of the U.S. Foreign Corrupt Practices Act of 1977, as amended (the “</w:t>
      </w:r>
      <w:r>
        <w:rPr>
          <w:rFonts w:ascii="Arial" w:cs="Arial" w:eastAsia="Arial" w:hAnsi="Arial"/>
          <w:sz w:val="18"/>
          <w:szCs w:val="18"/>
          <w:b w:val="1"/>
          <w:bCs w:val="1"/>
          <w:color w:val="auto"/>
        </w:rPr>
        <w:t>FCPA</w:t>
      </w:r>
      <w:r>
        <w:rPr>
          <w:rFonts w:ascii="Arial" w:cs="Arial" w:eastAsia="Arial" w:hAnsi="Arial"/>
          <w:sz w:val="18"/>
          <w:szCs w:val="18"/>
          <w:color w:val="auto"/>
        </w:rPr>
        <w:t>”), and the rules and regulations thereunder, including, without limitation, by making use of the mails or any means or instrumentality of interstate commerce corruptly in furtherance of an offer, payment, promise to pay or authorization or approval of the payment or giving of any money, property, gifts or anything else of value to any “foreign official” (as such term is defined in the FCPA) or any foreign political party or party official or any candidate for foreign political office in contravention of the FCPA; and (B) the Company and its subsidiaries have conducted their businesses in compliance with the FCPA and have instituted and maintain policies and procedures reasonably designed to promote and achieve compliance therewith.</w:t>
      </w:r>
    </w:p>
    <w:p>
      <w:pPr>
        <w:spacing w:after="0" w:line="196" w:lineRule="exact"/>
        <w:rPr>
          <w:rFonts w:ascii="Arial" w:cs="Arial" w:eastAsia="Arial" w:hAnsi="Arial"/>
          <w:sz w:val="18"/>
          <w:szCs w:val="18"/>
          <w:color w:val="auto"/>
        </w:rPr>
      </w:pPr>
    </w:p>
    <w:p>
      <w:pPr>
        <w:ind w:firstLine="436"/>
        <w:spacing w:after="0" w:line="291" w:lineRule="auto"/>
        <w:tabs>
          <w:tab w:leader="none" w:pos="78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w:t>
      </w:r>
      <w:r>
        <w:rPr>
          <w:rFonts w:ascii="Arial" w:cs="Arial" w:eastAsia="Arial" w:hAnsi="Arial"/>
          <w:sz w:val="16"/>
          <w:szCs w:val="16"/>
          <w:color w:val="auto"/>
        </w:rPr>
        <w:t xml:space="preserve"> </w:t>
      </w:r>
      <w:r>
        <w:rPr>
          <w:rFonts w:ascii="Arial" w:cs="Arial" w:eastAsia="Arial" w:hAnsi="Arial"/>
          <w:sz w:val="16"/>
          <w:szCs w:val="16"/>
          <w:b w:val="1"/>
          <w:bCs w:val="1"/>
          <w:color w:val="auto"/>
        </w:rPr>
        <w:t>Laws</w:t>
      </w:r>
      <w:r>
        <w:rPr>
          <w:rFonts w:ascii="Arial" w:cs="Arial" w:eastAsia="Arial" w:hAnsi="Arial"/>
          <w:sz w:val="16"/>
          <w:szCs w:val="16"/>
          <w:color w:val="auto"/>
        </w:rPr>
        <w:t>”), and no action, suit or proceeding by or before any court or governmental agency, authority or body or any arbitrator involving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subsidiaries with respect to the Anti-Money Laundering Laws is pending or, to the knowledge of the Company, threatened.</w:t>
      </w:r>
    </w:p>
    <w:p>
      <w:pPr>
        <w:spacing w:after="0" w:line="166" w:lineRule="exact"/>
        <w:rPr>
          <w:rFonts w:ascii="Arial" w:cs="Arial" w:eastAsia="Arial" w:hAnsi="Arial"/>
          <w:sz w:val="16"/>
          <w:szCs w:val="16"/>
          <w:color w:val="auto"/>
        </w:rPr>
      </w:pPr>
    </w:p>
    <w:p>
      <w:pPr>
        <w:ind w:right="40" w:firstLine="436"/>
        <w:spacing w:after="0" w:line="270" w:lineRule="auto"/>
        <w:tabs>
          <w:tab w:leader="none" w:pos="785"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None of the Company, any of its subsidiaries or, to the knowledge of the Company, any director, officer, agent, employee or affiliate of the Company or of any of its subsidiaries (i) is an individual or entity (“</w:t>
      </w:r>
      <w:r>
        <w:rPr>
          <w:rFonts w:ascii="Arial" w:cs="Arial" w:eastAsia="Arial" w:hAnsi="Arial"/>
          <w:sz w:val="17"/>
          <w:szCs w:val="17"/>
          <w:b w:val="1"/>
          <w:bCs w:val="1"/>
          <w:color w:val="auto"/>
        </w:rPr>
        <w:t>Person</w:t>
      </w:r>
      <w:r>
        <w:rPr>
          <w:rFonts w:ascii="Arial" w:cs="Arial" w:eastAsia="Arial" w:hAnsi="Arial"/>
          <w:sz w:val="17"/>
          <w:szCs w:val="17"/>
          <w:color w:val="auto"/>
        </w:rPr>
        <w:t>”) that is, or is owned or controlled by a Person that is, the subject of any sanctions administered or enforced by the U.S. Department of Treasury’s Office of Foreign Assets Control,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or (ii) will, directly or indirectly, knowingly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80" w:lineRule="exact"/>
        <w:rPr>
          <w:rFonts w:ascii="Arial" w:cs="Arial" w:eastAsia="Arial" w:hAnsi="Arial"/>
          <w:sz w:val="17"/>
          <w:szCs w:val="17"/>
          <w:color w:val="auto"/>
        </w:rPr>
      </w:pPr>
    </w:p>
    <w:p>
      <w:pPr>
        <w:ind w:right="40" w:firstLine="436"/>
        <w:spacing w:after="0" w:line="279" w:lineRule="auto"/>
        <w:tabs>
          <w:tab w:leader="none" w:pos="705"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Except as otherwise disclosed in the Registration Statement, the Disclosure Package and the Prospectus, there is and has been no failure on the part of the Company or, to the knowledge of the Company, any of the Company’s directors or officers, in their capacities as such, to comply in all material respects with any applicable provision of the Sarbanes-Oxley Act of 2002 and the rules and regulations promulgated in connection therewith (the “</w:t>
      </w:r>
      <w:r>
        <w:rPr>
          <w:rFonts w:ascii="Arial" w:cs="Arial" w:eastAsia="Arial" w:hAnsi="Arial"/>
          <w:sz w:val="17"/>
          <w:szCs w:val="17"/>
          <w:b w:val="1"/>
          <w:bCs w:val="1"/>
          <w:color w:val="auto"/>
        </w:rPr>
        <w:t>Sarbanes-Oxley Act</w:t>
      </w:r>
      <w:r>
        <w:rPr>
          <w:rFonts w:ascii="Arial" w:cs="Arial" w:eastAsia="Arial" w:hAnsi="Arial"/>
          <w:sz w:val="17"/>
          <w:szCs w:val="17"/>
          <w:color w:val="auto"/>
        </w:rPr>
        <w:t>”), including Section 402 related to loans and Sections 302 and 906 related to certifications.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2" w:name="page23"/>
    <w:bookmarkEnd w:id="22"/>
    <w:p>
      <w:pPr>
        <w:jc w:val="both"/>
        <w:ind w:firstLine="436"/>
        <w:spacing w:after="0" w:line="263"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0" w:firstLine="436"/>
        <w:spacing w:after="0" w:line="286" w:lineRule="auto"/>
        <w:tabs>
          <w:tab w:leader="none" w:pos="78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To the knowledge of the Company, there has been no security breach, disclosure or outage of, or unauthorized access to, the Company’s or its subsidiaries’ information technology or computer systems, networks, hardware, software, websites or applications, personally identifiable or confidential data or databases thereof (including all personally identifiable or confidential data of their respective customers, employees, suppliers, and vendors, and any third party personally identifiable or confidential data, in each case that is maintained, processed or stored by the Company and its subsidiaries), equipment or technology (collectively, “</w:t>
      </w:r>
      <w:r>
        <w:rPr>
          <w:rFonts w:ascii="Arial" w:cs="Arial" w:eastAsia="Arial" w:hAnsi="Arial"/>
          <w:sz w:val="16"/>
          <w:szCs w:val="16"/>
          <w:b w:val="1"/>
          <w:bCs w:val="1"/>
          <w:color w:val="auto"/>
        </w:rPr>
        <w:t>IT Systems and Data</w:t>
      </w:r>
      <w:r>
        <w:rPr>
          <w:rFonts w:ascii="Arial" w:cs="Arial" w:eastAsia="Arial" w:hAnsi="Arial"/>
          <w:sz w:val="16"/>
          <w:szCs w:val="16"/>
          <w:color w:val="auto"/>
        </w:rPr>
        <w:t>”); (ii) neither the Company nor its subsidiaries have been notified of any security breach, disclosure or outage of, or unauthorized access to, their IT Systems and Data; and (iii) the Company and its subsidiaries have implemented reasonable controls, policies, procedures, and technological safeguards and backup and disaster recovery technology designed to maintain and protect the confidentiality, integrity, operation, redundancy and security of their IT Systems and Data that are reasonably consistent with generally accepted industry standards and practices, or as required by applicable regulatory standards, except with respect to clauses (i) and (ii), for any such security breach, disclosure, outage, or unauthorized access as would not, individually or in the aggregate, have a material adverse effect, or with respect to clause (iii), where the failure to do so would not, individually or in the aggregate, have a material adverse effect. The Company and its subsidiaries have complied, and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171"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The representations, warranties and covenants of the Company set forth in this Agreement shall survive the execution and delivery of this Agreement and the sale of the Securities by the Company. The Company acknowledges that the Underwriters and, for purposes of the opinions to be delivered to the Underwriters pursuant to Article V hereof, counsel for the Company and counsel for the Underwriters, will rely upon the accuracy and truth of the representations contained in this Agreement and hereby consents to such reliance.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IX.</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Except as provided in Article XVI, whether or not the transactions contemplated in this Agreement are consummated or this Agreement is terminated, the Company will be responsible for, and will pay or cause to be paid, all expenses incident to the performance of its obligations under this Agreement, including: (i) the fees, disbursements and expenses of the Company’s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 w:name="page24"/>
    <w:bookmarkEnd w:id="23"/>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counsel, subject to Article XVI hereof, and the Company’s accountants in connection with the issuance and sale of the Securities under the Securities Act and all other fees or expenses of the Company in connection with the preparation and filing of the Registration Statement, the Preliminary Prospectus, the Disclosure Package, the Prospectus, any free writing prospectus prepared by or on behalf of, used by, or referred to by the Company and any amendments and supplements to any of the foregoing, including any filing fees payable to the Commission relating to the Securities (within the time required by Rule 456(b)(1), as applicable),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or other taxes payable thereon, (iii) [RESERVED], (iv) [RESERVED], (v) any fees charged by rating agencies for the rating of the Securities, (vi) the cost of the preparation, issuance and delivery of the Securities, and the cost of printing certificates representing the Securities,</w:t>
      </w:r>
    </w:p>
    <w:p>
      <w:pPr>
        <w:spacing w:after="0" w:line="1" w:lineRule="exact"/>
        <w:rPr>
          <w:sz w:val="20"/>
          <w:szCs w:val="20"/>
          <w:color w:val="auto"/>
        </w:rPr>
      </w:pPr>
    </w:p>
    <w:p>
      <w:pPr>
        <w:ind w:left="4" w:hanging="4"/>
        <w:spacing w:after="0" w:line="267" w:lineRule="auto"/>
        <w:tabs>
          <w:tab w:leader="none" w:pos="35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costs and charges of the Trustee and any transfer agent, registrar or depositary, (viii) the costs and expenses of the Company relating to investor presentations or any “road show” undertaken in connection with the marketing of the offering of the Securities, including, without limitation, expenses associated with the preparation or dissemination of any electronic road show or the production of road show slides and graphics, fees and expenses of any consultants engaged by the Company in connection with the road show presentations, travel and lodging expenses of the representatives and officers of the Company and any such consultants, and the cost attributable to representatives and officers of the Company and any such consultants of any shared transportation in connection with the road show; and (ix) all other costs and expenses incident to the performance of the obligations of the Company hereunder for which provision is not otherwise made in this Article. It is understood, however, that except as provided in this Article IX, Article X and Article XVI, the Underwriters will pay all of their costs and expenses, including fees and disbursements of their counsel, transfer taxes payable on resale of any of the Securities by them, any advertising expenses connected with any offers they may make and their own costs and expenses relating to investor presentations and road show presentations, including travel and lodging expenses of the Representatives and their cost of any shared transportation in connection with the road show.</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The Company agrees to indemnify and hold harmless each Underwriter, its affiliates, each person, if any, who “controls” (within the meaning of either Section 15 of the Securities Act or Section 20 of the Exchange Act) such Underwriter and each of such Underwriter’s and such person’s officers and directors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any omission or alleged omission to state therein a material fact required to be stated therein or necessary to make the statements therein, in the light of the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4" w:name="page25"/>
    <w:bookmarkEnd w:id="24"/>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not be liable for any such loss, liability, cost, action or claim arising from any statements or omissions made in reliance on and in conformity with written information provided by an Underwriter to the Company or its representatives expressly for use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w:t>
      </w:r>
    </w:p>
    <w:p>
      <w:pPr>
        <w:spacing w:after="0" w:line="188"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Each Underwriter severally and not jointly agrees to indemnify and hold harmless the Company, its affiliates, each person, if any, who “controls” (within the meaning of either Section 15 of the Securities Act or Section 20 of the Exchange Act) the Company, and the Company’s and such person’s officers and directors from and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any omission or alleged omission to state therein a material fact required to be stated therein or necessary to make the statements therein in the light of the circumstances under which they were made, not misleading, in each case as to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only to the extent that such untrue statement or alleged untrue statement or omission or alleged omission (x) was made in reliance on and in conformity with written information furnished to the Company by the Underwriters expressly for use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(y) is contained in any free writing prospectus that is not a Permitted Free Writing Prospectus prepared by or on behalf of the Underwriter (except to the extent such information has been accurately extracted from the Prospectus, any Permitted Free Writing Prospectus prepared by or on behalf of the Company or any Additional Written Offering Communication). It is understood and agreed that for purposes of this Agreement, the only information expressly furnished to the Company by the Underwriters for use in the Registration Statement, the Disclosure Package (or any part thereof), the Prospectus or any Permitted Free Writing Prospectus (or any amendment or supplement to any of the foregoing) consists of (i) the names of the Underwriters set forth on the front and back cover of the Prospectus and the Preliminary Prospectus; (ii) the names of the Underwriters and respective principal amount of 2029 Securities and 2032 Securities set forth in the table of Underwriters immediately below the first paragraph of text under the caption “Underwriting” in the Prospectus and the Preliminary Prospectus; (iii) the paragraph of text under the caption “Underwriting” in the Prospectus and the Preliminary Prospectus that begins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5" w:name="page26"/>
    <w:bookmarkEnd w:id="2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underwriting agreement provides” and ends “or the offering may be terminated”; (iv) the paragraph of text under the caption “Underwriting” in the Prospectus and the Preliminary Prospectus concerning the terms of the offering by the Underwriters, which begins “The underwriters initially propose to offer the Notes” and ends “the underwriters’ right to reject any order in whole or in part”; (v) the three paragraphs of text under the caption “Underwriting” in the Prospectus and the Preliminary Prospectus concerning stabilization, over allotments and penalty bids by the Underwriters, which begin “In connection with the offering, the underwriters may purchase” and end “may discontinue them at any time”; (vi) the sentence of text under the caption “Underwriting” in the Prospectus and the Preliminary Prospectus that begins “The underwriters are full service financial institutions” and ends “hedging, financing and brokerage activities” and (vii) the paragraph of text under the caption “Underwriting” in the Prospectus and the Preliminary Prospectus that begins “In the ordinary course of their various business activities” and ends “short positions in such securities and instruments.”</w:t>
      </w:r>
    </w:p>
    <w:p>
      <w:pPr>
        <w:spacing w:after="0" w:line="165" w:lineRule="exact"/>
        <w:rPr>
          <w:sz w:val="20"/>
          <w:szCs w:val="20"/>
          <w:color w:val="auto"/>
        </w:rPr>
      </w:pPr>
    </w:p>
    <w:p>
      <w:pPr>
        <w:ind w:right="60" w:firstLine="440"/>
        <w:spacing w:after="0" w:line="284" w:lineRule="auto"/>
        <w:rPr>
          <w:sz w:val="20"/>
          <w:szCs w:val="20"/>
          <w:color w:val="auto"/>
        </w:rPr>
      </w:pPr>
      <w:r>
        <w:rPr>
          <w:rFonts w:ascii="Arial" w:cs="Arial" w:eastAsia="Arial" w:hAnsi="Arial"/>
          <w:sz w:val="16"/>
          <w:szCs w:val="16"/>
          <w:color w:val="auto"/>
        </w:rPr>
        <w:t>If any claim, demand, action or proceeding (including any governmental investigation) shall be brought or alleged against an indemnified party in respect of which indemnity is to be sought against an indemnifying party pursuant to the preceding paragraphs, the indemnified party shall promptly notify the indemnifying party in writing, and the indemnifying party, upon request of the indemnified party, shall retain counsel reasonably satisfactory to the indemnified party to represent the indemnified party and any others the indemnified party may designate in such proceeding and shall pay the reasonable fees and expenses of such counsel related to such proceeding; provided, however, that in the event the indemnifying party shall not have employed counsel reasonably satisfactory to the indemnified party to represent the indemnified party within a reasonable time after notice of any such proceeding, the indemnified party shall then be entitled to retain counsel reasonably satisfactory to itself and the indemnifying party shall pay the reasonable fees and disbursements of such counsel relating to the proceeding. In any such proceeding, any indemnified party shall have the right to retain its own counsel, but the reasonable fees and expenses of such counsel shall be at the expense of such indemnified party unless (i) the indemnifying party and the indemnified party shall have mutually agreed to the retention of such counsel, (ii) the indemnifying party has failed within a reasonable time to retain counsel reasonably satisfactory to such indemnified party pursuant to the preceding sentence or (iii)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Such firm shall be designated in writing by the indemnified party.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entitled to indemnification hereunder, unless such settlement includes an unconditional release of such indemnified party from all liability on claims that are the subject matter of such proceeding and does not include a statement as to an admission of fault, culpability or a failure to act by or on behalf of any indemnified party.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6" w:name="page27"/>
    <w:bookmarkEnd w:id="26"/>
    <w:p>
      <w:pPr>
        <w:ind w:left="4" w:right="8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indemnification provided for in this Article X is unavailable as a matter of law to an indemnified party in respect of any losses, claims, damages or liabilities referred to therein, then each indemnifying party, in lieu of indemnifying such indemnified party in respect of such losses, claims, damages or liabilities, shall contribute to the amount paid or payable by such indemnified party as a result of such losses, claims, damages or liabilities</w:t>
      </w:r>
    </w:p>
    <w:p>
      <w:pPr>
        <w:spacing w:after="0" w:line="2" w:lineRule="exact"/>
        <w:rPr>
          <w:sz w:val="20"/>
          <w:szCs w:val="20"/>
          <w:color w:val="auto"/>
        </w:rPr>
      </w:pPr>
    </w:p>
    <w:p>
      <w:pPr>
        <w:jc w:val="both"/>
        <w:ind w:left="4" w:hanging="4"/>
        <w:spacing w:after="0" w:line="281" w:lineRule="auto"/>
        <w:tabs>
          <w:tab w:leader="none" w:pos="219"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indemnifying party is the Company, in such proportion as is appropriate to reflect the relative benefit received by the Company on the one hand and the Underwriters on the other from the offering of the Securities, (ii) if an Underwriter is the indemnifying party, in such proportion as is appropriate to reflect the Underwriter’s relative fault on the one hand and that of the Company on the other hand in connection with the statements or omissions or alleged statements or omissions which resulted in such losses, claims, damages or liabilities, or (iii) if the allocation provided by clause (i) or clause</w:t>
      </w:r>
    </w:p>
    <w:p>
      <w:pPr>
        <w:spacing w:after="0" w:line="2" w:lineRule="exact"/>
        <w:rPr>
          <w:rFonts w:ascii="Arial" w:cs="Arial" w:eastAsia="Arial" w:hAnsi="Arial"/>
          <w:sz w:val="16"/>
          <w:szCs w:val="16"/>
          <w:color w:val="auto"/>
        </w:rPr>
      </w:pPr>
    </w:p>
    <w:p>
      <w:pPr>
        <w:ind w:left="4" w:right="20" w:hanging="4"/>
        <w:spacing w:after="0" w:line="286" w:lineRule="auto"/>
        <w:tabs>
          <w:tab w:leader="none" w:pos="26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above, as the case may be, is not permitted by applicable law, in such proportion as is appropriate to reflect not only the relative benefit referred to in clause (i) above or the relative fault referred to in clause (ii) above, as the case may be, but also such relative fault (in cases covered by clause (i)) or such relative benefit (in cases covered by clause (ii)) as well as any other relevant equitable considerations. The relative benefit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Prospectus. The relative fault of the Company on the one hand and of the Underwriters on the other shall be determined by reference to, among other things, and where applicable, whether the untrue statement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omissions.</w:t>
      </w:r>
    </w:p>
    <w:p>
      <w:pPr>
        <w:spacing w:after="0" w:line="172"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Article X were determined by pro rata allocation (even if the Underwriters were treated as one entity for such purpose) or by any other method of allocation which does not take account of the considerations referred to in the immediately preceding paragraph. The amounts paid or payable by an indemnified party as a result of the losses, claims, damages and liabilities referred to in the immediately preceding paragraph shall be deemed to include, subject to the limitations set forth above, any reasonable legal or other expenses reasonably incurred by such indemnified party in connection with investigating or defending any such action or claim. Notwithstanding the provisions of this paragraph, no Underwriter shall be required to contribute any amount in excess of the amount by which the total price at which the Securities underwritten by such Underwriter and distributed to the public were offered to the public exceeds the amount of any damages which such Underwriter has otherwise been required to pay by reason of such untrue or alleged untrue statement or omission or alleged omission. Notwithstanding the provisions of this Article X concerning contribution, no indemnifying party shall be required to make contribution in respect of such losses, claims, damages or liabilities in any circumstances in which such party would not have been required to provide indemnification. Nothing herein contained shall be deemed to constitute a waiver by an indemnified party of such</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7" w:name="page28"/>
    <w:bookmarkEnd w:id="27"/>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party’s rights, if any, to receive contribution pursuant to Section 11(f) of the Securities Act or other applicable law.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X are several, in proportion to the respective principal amounts of Securities purchased by each of such Underwriters, and not joint. The remedies provided for in this Article X are not exclusive and shall not limit any rights or remedies which may otherwise be available to any indemnified party at law or in equity.</w:t>
      </w:r>
    </w:p>
    <w:p>
      <w:pPr>
        <w:spacing w:after="0" w:line="176" w:lineRule="exact"/>
        <w:rPr>
          <w:sz w:val="20"/>
          <w:szCs w:val="20"/>
          <w:color w:val="auto"/>
        </w:rPr>
      </w:pPr>
    </w:p>
    <w:p>
      <w:pPr>
        <w:ind w:right="640" w:firstLine="440"/>
        <w:spacing w:after="0" w:line="257" w:lineRule="auto"/>
        <w:rPr>
          <w:sz w:val="20"/>
          <w:szCs w:val="20"/>
          <w:color w:val="auto"/>
        </w:rPr>
      </w:pPr>
      <w:r>
        <w:rPr>
          <w:rFonts w:ascii="Arial" w:cs="Arial" w:eastAsia="Arial" w:hAnsi="Arial"/>
          <w:sz w:val="18"/>
          <w:szCs w:val="18"/>
          <w:color w:val="auto"/>
        </w:rPr>
        <w:t>The indemnity and contribution agreements contained in this Article X and the representations and warranties of the Company and the Underwriters in this Agreement, shall remain operative and in full force and effect regardless of: (i) any termination of this Agreement; (ii) any investigation made by an indemnified party or on such party’s behalf or any person controlling an indemnified party or by or on behalf of the indemnifying party, its directors or officers or any person controlling the indemnifying party; and (iii) acceptance of and payment for any of the Securities.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 Representatives on behalf of the Underwriters may terminate this Agreement (upon consultation with the Company) at any time prior to the time on the Closing Date at which payment would otherwise be due under this Agreement to the Company if (i) in the opinion of the Representatives, a material disruption in securities settlement, payment or clearance services in the United States shall have occurred or there shall have been a change in national or international financial, political or economic conditions which in their view will have a material adverse effect on the success of the offering and distribution of the Securities or (ii) trading in securities generally on the New York Stock Exchange shall have been suspended generally or materially limited. In the event of any such termination and after consultation with the Company, the parties to this Agreement shall be released and discharged from their respective obligations under this Agreement without liability on the part of any Underwriter or on the part of the Company and each party will pay its own expenses.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XII.</w:t>
      </w:r>
    </w:p>
    <w:p>
      <w:pPr>
        <w:spacing w:after="0" w:line="225"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The Company and each Underwriter acknowledge and agree that each Underwriter is acting solely in the capacity of an arm’s length contractual counterparty to the Company with respect to the offering of the Securities contemplated by this Agreement (including in connection with determining the terms of the offering) and not as a fiduciary to, or an agent of, the Company or any other person. Each Underwriter represents and warrants to the Company that, except as previously disclosed in writing to the Company, neither the Underwriter nor any affiliate thereof, to the best of their respective knowledge, has any current arrangement with any third party which would permit such Underwriter or any such affiliate to benefit financially, directly or indirectly, from the Underwriter’s participation in the determination of the terms of the offering, including the pricing of the Securities. Additionally, each Underwriter is not advising the Company or any other person as to any legal, tax, investment, accounting or regulatory matters in any jurisdiction. The Company shall consult with its own advisors concerning such matters and shall be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28" w:name="page29"/>
    <w:bookmarkEnd w:id="28"/>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XIII.</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This Agreement shall be binding upon the Underwriters and the Company, and inure solely to the benefit of the Underwriters and the Company and any other person expressly entitled to indemnification hereunder and the respective personal representatives, successors and assigns of each, and no other person shall acquire or have any rights under or by virtue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XIV.</w:t>
      </w:r>
    </w:p>
    <w:p>
      <w:pPr>
        <w:spacing w:after="0" w:line="225" w:lineRule="exact"/>
        <w:rPr>
          <w:sz w:val="20"/>
          <w:szCs w:val="20"/>
          <w:color w:val="auto"/>
        </w:rPr>
      </w:pPr>
    </w:p>
    <w:p>
      <w:pPr>
        <w:ind w:right="100" w:firstLine="440"/>
        <w:spacing w:after="0" w:line="269" w:lineRule="auto"/>
        <w:rPr>
          <w:sz w:val="20"/>
          <w:szCs w:val="20"/>
          <w:color w:val="auto"/>
        </w:rPr>
      </w:pPr>
      <w:r>
        <w:rPr>
          <w:rFonts w:ascii="Arial" w:cs="Arial" w:eastAsia="Arial" w:hAnsi="Arial"/>
          <w:sz w:val="16"/>
          <w:szCs w:val="16"/>
          <w:color w:val="auto"/>
        </w:rPr>
        <w:t>Except as otherwise specifically provided herein, all statements, requests, notices and advices hereunder shall be in writing and if to an Underwriter shall be sufficient in all respects if delivered in person or sent by facsimile transmission (confirmed in writing), or registered mail to each Representative at its address or facsimile number below and if to the Company shall be sufficient in all respects if delivered by registered mail to the Company at 300 Renaissance Center, Detroit, Michigan 48265, marked for the attention of the Secretary, with a copy to King &amp; Spalding LLP, at 1180 Peachtree Street NE, Suite 1600, Atlanta, GA 30309, Attention: Keith M. Townsend, Esq. (facsimile: 404-572-5100). Notices shall be provided to Barclays Capital Inc., 745 Seventh Avenue, New York, New York 10019, Attention: Syndicate Registration (fax: 646-834-8133); BNP Paribas Securities Corp., at 787 Seventh Avenue,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Floor New York, New York 10019, Attention: Debt Syndicate Desk, email: DL.US.Debt.Syndicate.Support@us.bnpparibas.com; BofA Securities, Inc., 1540 Broadway, NY8-540-26-02, New York, New York 10036-4039, Fax: 212-901-7881, Attention: High Grade Debt Capital Markets Transaction Management/Legal, dg.hg_ua_notices@bofa.com ; Citigroup Global Markets Inc., 388 Greenwich Street, New York, New York 10013, Attention: General Counsel, Fax: 646-291-1469; Credit Agricole Securities (USA) Inc., at 1301 Avenue of the Americas, 17</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New York, New York 10019, Attention: Debt Capital Markets; Goldman Sachs &amp; Co. LLC, 200 West Street, New York, New York 10282, Attention: Registration Department; J.P. Morgan Securities LLC, 383 Madison Avenue, New York, New York 10179, Attention: Investment Grade Syndicate Desk, Fax: (212) 834-6081; and Morgan Stanley &amp; Co. LLC, 1585 Broadway, 29th Floor, New York, New York 10036, Attention: Investment Banking Division (fax: (212) 507-8999), with copies to Davis Polk &amp; Wardwell LLP, 450 Lexington Avenue, New York, New York, 10017, Attention: Joseph A. Hall, Esq. (facsimile: 212-701-5565). All notices hereunder shall be effective on receipt.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XV.</w:t>
      </w:r>
    </w:p>
    <w:p>
      <w:pPr>
        <w:spacing w:after="0" w:line="225"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If on the Closing Date any one or more Underwriters shall fail to purchase and pay for any of the Securities agreed to be purchased by such Underwriter or Underwriters hereunder on such date and such failure to purchase shall constitute a default in the performance of its or their obligations under this Agreement, the remaining Underwriters shall be obligated, severally, to take and pay for (in the respective proportions which the principal amount of Securities set forth opposite their names on Schedule I hereto bears to the aggregate principal amount of Securities set forth opposite the names of all of the remaining non-defaulting Underwriters) the Securities which the defaulting Underwriter or Underwriters agreed but failed to purchase on such date. Notwithstanding the foregoing, if the aggregate principal amount of Securities which the defaulting Underwriter or Underwriters agreed but failed to purchase on the Closing Date shall exceed 10% of the aggregate principal amount of Securities to be purchased on such date, after giving effect to any alternative arrangements for the purchase of such Securities that are satisfactory to the Representatives and the Company and which are made within thirty-six (36) hours after the Closing Date, the remaining Underwriters shall have the right to purchase all, but shall not be under any obligation to purchase any, of such Securities, and if such non-defaulting Underwriters do not purchase all of the Securities, this Agreement will terminate without liability to any non-defaulting Underwriter or the Company, except that the provisions of Article X shall not terminate and shall remain in effect. In the event of a default by any Underwriter as set forth in this Article XV, the Closing Date shall be postponed for such period, not exceeding five (5) business days, as the Representatives and the Company shall determine in order that the required changes in the Registration Statement, the Disclosure Package, the Prospectus or in any other documents or arrangements may be effected. Nothing contained in this Agreement shall relieve any defaulting Underwriter of its liability, if any, to the Company and any non-defaulting Underwriter for damages caused by its default hereunder.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XVI.</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any of the Underwriters), the Company will reimburse the Underwriters or such Underwriters as have so terminated this Agreement with respect to themselves, severally, for all reasonable out-of-pocket expenses (including the reasonable fees and disbursements of their counsel) reasonably incurred by such Underwriters in connection with the Securities.</w:t>
      </w:r>
    </w:p>
    <w:p>
      <w:pPr>
        <w:spacing w:after="0" w:line="176"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Notwithstanding anything to the contrary contained in this Agreement, unless this Agreement has been validly terminated pursuant to the immediately preceding paragraph or pursuant to Article XI, the Representatives shall reimburse the Company for all of the Company’s reasonable outside counsel fees, disbursements and expenses incurred in connection with the offering of the Securities (for the avoidance of doubt, this paragraph shall not apply to any outside counsel fees, disbursements or expenses incurred in connection with any other concurrent or proposed offering by the Company).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XVII.</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This Agreement shall be governed by and construed in accordance with the laws of the State of New York. Each party to this Agreement irrevocably agrees that any legal action or proceeding against it arising out of or in connection with this Agreement or for recognition or enforcement of any judgment rendered against it in connection with this Agreement may be brought in any Federal or New York State court sitting in the Borough of Manhattan, and, by execution and delivery of this Agreement, such party hereby irrevocably accepts and submits to the jurisdiction of each of the aforesaid courts in personam, generally and unconditionally with respect to any such action or proceeding for itself and in respect of its property, assets and revenues. Each party hereby also irrevocably waives, to the fullest extent permitted by law, any objection which it may now or hereafter have to the laying of venue of any such action or proceeding brought in any such court and any claim that any such action or proceeding has been brought in an inconvenient forum. The Company and each of the Underwriters hereby irrevocably waive, to the fullest extent permitted by applicable law, any and all right to trial by jury in any legal proceeding arising out of or relating to this Agreement or the transactions contemplated hereby.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XVIII.</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Any action by the Underwriters hereunder may be taken by the Representatives on behalf of the Underwriters (and their respective affiliates), and any such action taken by the Representatives shall be binding upon the Underwriters (and their respective affiliates).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XIX.</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This Agreement may be signed in any number of counterparts, each of which so executed shall be deemed to be an original, with the same effect as if the signatures thereto and hereto were upon the same instrument. The exchanges of copies of this Agreement and of signature pages hereto by electronic format (i.e., “pdf” or “tif”) transmission shall constitute effective execution and delivery of this Agreement as to the parties hereto and may be used in lieu of the exchange of the original Agreement for all purposes. Signatures of the parties hereto transmitted by electronic format (i.e., “pdf” or “tif”) shall be deemed to be their original signatures for all purposes.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XX.</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XXI.</w:t>
      </w:r>
    </w:p>
    <w:p>
      <w:pPr>
        <w:spacing w:after="0" w:line="225" w:lineRule="exact"/>
        <w:rPr>
          <w:sz w:val="20"/>
          <w:szCs w:val="20"/>
          <w:color w:val="auto"/>
        </w:rPr>
      </w:pPr>
    </w:p>
    <w:p>
      <w:pPr>
        <w:ind w:right="40" w:firstLine="436"/>
        <w:spacing w:after="0" w:line="259" w:lineRule="auto"/>
        <w:tabs>
          <w:tab w:leader="none" w:pos="6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31" w:name="page32"/>
    <w:bookmarkEnd w:id="31"/>
    <w:p>
      <w:pPr>
        <w:ind w:firstLine="436"/>
        <w:spacing w:after="0" w:line="259"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w:t>
      </w:r>
    </w:p>
    <w:p>
      <w:pPr>
        <w:spacing w:after="0" w:line="135" w:lineRule="exact"/>
        <w:rPr>
          <w:sz w:val="20"/>
          <w:szCs w:val="20"/>
          <w:color w:val="auto"/>
        </w:rPr>
      </w:pPr>
    </w:p>
    <w:p>
      <w:pPr>
        <w:ind w:left="1420" w:hanging="43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3" w:lineRule="exact"/>
        <w:rPr>
          <w:sz w:val="20"/>
          <w:szCs w:val="20"/>
          <w:color w:val="auto"/>
        </w:rPr>
      </w:pPr>
    </w:p>
    <w:p>
      <w:pPr>
        <w:ind w:left="440"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Special Resolution Regime</w:t>
      </w:r>
      <w:r>
        <w:rPr>
          <w:rFonts w:ascii="Arial" w:cs="Arial" w:eastAsia="Arial" w:hAnsi="Arial"/>
          <w:sz w:val="16"/>
          <w:szCs w:val="16"/>
          <w:color w:val="auto"/>
        </w:rPr>
        <w:t>” means each of (i) the Federal Deposit Insurance Act and the regulations promulgated thereunder and (ii) Title</w:t>
      </w:r>
    </w:p>
    <w:p>
      <w:pPr>
        <w:spacing w:after="0" w:line="50" w:lineRule="exact"/>
        <w:rPr>
          <w:sz w:val="20"/>
          <w:szCs w:val="20"/>
          <w:color w:val="auto"/>
        </w:rPr>
      </w:pPr>
    </w:p>
    <w:p>
      <w:pPr>
        <w:ind w:left="600" w:hanging="164"/>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of the Dodd-Frank Wall Street Reform and Consumer Protection Act and the regulations promulgated thereunder.</w:t>
      </w:r>
    </w:p>
    <w:p>
      <w:pPr>
        <w:spacing w:after="0" w:line="210" w:lineRule="exact"/>
        <w:rPr>
          <w:rFonts w:ascii="Arial" w:cs="Arial" w:eastAsia="Arial" w:hAnsi="Arial"/>
          <w:sz w:val="18"/>
          <w:szCs w:val="18"/>
          <w:color w:val="auto"/>
        </w:rPr>
      </w:pPr>
    </w:p>
    <w:p>
      <w:pPr>
        <w:ind w:left="5300"/>
        <w:spacing w:after="0"/>
        <w:rPr>
          <w:rFonts w:ascii="Arial" w:cs="Arial" w:eastAsia="Arial" w:hAnsi="Arial"/>
          <w:sz w:val="18"/>
          <w:szCs w:val="18"/>
          <w:color w:val="auto"/>
        </w:rPr>
      </w:pPr>
      <w:r>
        <w:rPr>
          <w:rFonts w:ascii="Arial" w:cs="Arial" w:eastAsia="Arial" w:hAnsi="Arial"/>
          <w:sz w:val="18"/>
          <w:szCs w:val="18"/>
          <w:color w:val="auto"/>
        </w:rPr>
        <w:t>XXII.</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Notwithstanding and to the exclusion of any other term of this Agreement or any other agreements, arrangements or understandings between the Company and the Underwriters, the Company acknowledges and accepts that a BRRD Liability (as defined below) arising under this Agreement may be subject to the exercise of Bail-in Powers (as defined below) by the Relevant Resolution Authority (as defined below), and acknowledges, accepts and agrees to be bound by:</w:t>
      </w:r>
    </w:p>
    <w:p>
      <w:pPr>
        <w:spacing w:after="0" w:line="187" w:lineRule="exact"/>
        <w:rPr>
          <w:sz w:val="20"/>
          <w:szCs w:val="20"/>
          <w:color w:val="auto"/>
        </w:rPr>
      </w:pPr>
    </w:p>
    <w:p>
      <w:pPr>
        <w:ind w:right="220" w:firstLine="436"/>
        <w:spacing w:after="0" w:line="263" w:lineRule="auto"/>
        <w:tabs>
          <w:tab w:leader="none" w:pos="6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of the exercise of Bail-in Powers by the Relevant Resolution Authority in relation to any BRRD Liability of the Underwriters (the “</w:t>
      </w:r>
      <w:r>
        <w:rPr>
          <w:rFonts w:ascii="Arial" w:cs="Arial" w:eastAsia="Arial" w:hAnsi="Arial"/>
          <w:sz w:val="18"/>
          <w:szCs w:val="18"/>
          <w:b w:val="1"/>
          <w:bCs w:val="1"/>
          <w:color w:val="auto"/>
        </w:rPr>
        <w:t>Relevant BRRD Party</w:t>
      </w:r>
      <w:r>
        <w:rPr>
          <w:rFonts w:ascii="Arial" w:cs="Arial" w:eastAsia="Arial" w:hAnsi="Arial"/>
          <w:sz w:val="18"/>
          <w:szCs w:val="18"/>
          <w:color w:val="auto"/>
        </w:rPr>
        <w:t>”) to the Company under this Agreement, that (without limitation) may include and result in any of the following, or some combination thereof:</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reduction of all, or a portion, of the BRRD Liability or outstanding amounts due thereon;</w:t>
      </w:r>
    </w:p>
    <w:p>
      <w:pPr>
        <w:spacing w:after="0" w:line="130" w:lineRule="exact"/>
        <w:rPr>
          <w:rFonts w:ascii="Arial" w:cs="Arial" w:eastAsia="Arial" w:hAnsi="Arial"/>
          <w:sz w:val="18"/>
          <w:szCs w:val="18"/>
          <w:color w:val="auto"/>
        </w:rPr>
      </w:pPr>
    </w:p>
    <w:p>
      <w:pPr>
        <w:ind w:left="1420" w:right="320" w:hanging="439"/>
        <w:spacing w:after="0" w:line="308" w:lineRule="auto"/>
        <w:tabs>
          <w:tab w:leader="none" w:pos="14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conversion of all, or a portion, of the BRRD Liability into shares, other securities or other obligations of the Relevant BRRD Party or another person, and the issue to or conferral on the Company of such shares, securities or obligations;</w:t>
      </w:r>
    </w:p>
    <w:p>
      <w:pPr>
        <w:spacing w:after="0" w:line="51" w:lineRule="exact"/>
        <w:rPr>
          <w:rFonts w:ascii="Arial" w:cs="Arial" w:eastAsia="Arial" w:hAnsi="Arial"/>
          <w:sz w:val="17"/>
          <w:szCs w:val="17"/>
          <w:color w:val="auto"/>
        </w:rPr>
      </w:pPr>
    </w:p>
    <w:p>
      <w:pPr>
        <w:ind w:left="1420" w:hanging="439"/>
        <w:spacing w:after="0"/>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cancellation of the BRRD Liability;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32" w:name="page33"/>
    <w:bookmarkEnd w:id="32"/>
    <w:p>
      <w:pPr>
        <w:ind w:left="1420" w:right="640" w:hanging="439"/>
        <w:spacing w:after="0" w:line="277"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amendment or alteration of any interest, if applicable, thereon, or the dates on which any payments are due, including by suspending payment for a temporary period; and</w:t>
      </w:r>
    </w:p>
    <w:p>
      <w:pPr>
        <w:spacing w:after="0" w:line="170" w:lineRule="exact"/>
        <w:rPr>
          <w:rFonts w:ascii="Arial" w:cs="Arial" w:eastAsia="Arial" w:hAnsi="Arial"/>
          <w:sz w:val="18"/>
          <w:szCs w:val="18"/>
          <w:color w:val="auto"/>
        </w:rPr>
      </w:pPr>
    </w:p>
    <w:p>
      <w:pPr>
        <w:ind w:right="520" w:firstLine="436"/>
        <w:spacing w:after="0" w:line="277"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variation of the terms of this Agreement, as deemed necessary by the Relevant Resolution Authority, to give effect to the exercise of Bail-in Powers by the Relevant Resolution Authority.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section:</w:t>
      </w:r>
    </w:p>
    <w:p>
      <w:pPr>
        <w:spacing w:after="0" w:line="113" w:lineRule="exact"/>
        <w:rPr>
          <w:sz w:val="20"/>
          <w:szCs w:val="20"/>
          <w:color w:val="auto"/>
        </w:rPr>
      </w:pPr>
    </w:p>
    <w:p>
      <w:pPr>
        <w:jc w:val="both"/>
        <w:ind w:left="440"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in relation to the UK and a member state of the European Economic Area which has implemented, or which at any time implements, the BRRD, the relevant implementing law, regulation, rule or requirement as described in the EU Bail-in Legislation Schedule from time to time;</w:t>
      </w:r>
    </w:p>
    <w:p>
      <w:pPr>
        <w:spacing w:after="0" w:line="68" w:lineRule="exact"/>
        <w:rPr>
          <w:sz w:val="20"/>
          <w:szCs w:val="20"/>
          <w:color w:val="auto"/>
        </w:rPr>
      </w:pPr>
    </w:p>
    <w:p>
      <w:pPr>
        <w:ind w:left="44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Powers</w:t>
      </w:r>
      <w:r>
        <w:rPr>
          <w:rFonts w:ascii="Arial" w:cs="Arial" w:eastAsia="Arial" w:hAnsi="Arial"/>
          <w:sz w:val="18"/>
          <w:szCs w:val="18"/>
          <w:color w:val="auto"/>
        </w:rPr>
        <w:t>” means any Write-down and Conversion Powers as defined in the EU Bail-in Legislation Schedule, in relation to the relevant Bail-in Legislation;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BRRD</w:t>
      </w:r>
      <w:r>
        <w:rPr>
          <w:rFonts w:ascii="Arial" w:cs="Arial" w:eastAsia="Arial" w:hAnsi="Arial"/>
          <w:sz w:val="17"/>
          <w:szCs w:val="17"/>
          <w:color w:val="auto"/>
        </w:rPr>
        <w:t>” means Directive 2014/59/EU establishing a framework for the recovery and resolution of credit institutions and investment firms;</w:t>
      </w:r>
    </w:p>
    <w:p>
      <w:pPr>
        <w:spacing w:after="0" w:line="129" w:lineRule="exact"/>
        <w:rPr>
          <w:sz w:val="20"/>
          <w:szCs w:val="20"/>
          <w:color w:val="auto"/>
        </w:rPr>
      </w:pPr>
    </w:p>
    <w:p>
      <w:pPr>
        <w:ind w:left="440"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BRRD Liability</w:t>
      </w:r>
      <w:r>
        <w:rPr>
          <w:rFonts w:ascii="Arial" w:cs="Arial" w:eastAsia="Arial" w:hAnsi="Arial"/>
          <w:sz w:val="18"/>
          <w:szCs w:val="18"/>
          <w:color w:val="auto"/>
        </w:rPr>
        <w:t>” means a liability in respect of which the relevant Write Down and Conversion Powers in the applicable Bail-in Legislation may be exercised;</w:t>
      </w:r>
    </w:p>
    <w:p>
      <w:pPr>
        <w:spacing w:after="0" w:line="54" w:lineRule="exact"/>
        <w:rPr>
          <w:sz w:val="20"/>
          <w:szCs w:val="20"/>
          <w:color w:val="auto"/>
        </w:rPr>
      </w:pPr>
    </w:p>
    <w:p>
      <w:pPr>
        <w:ind w:left="44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document described as such, then in effect, and published by the Loan Market Association (or any successor person) from time to time at http://www.lma.eu.com; and</w:t>
      </w:r>
    </w:p>
    <w:p>
      <w:pPr>
        <w:spacing w:after="0" w:line="54" w:lineRule="exact"/>
        <w:rPr>
          <w:sz w:val="20"/>
          <w:szCs w:val="20"/>
          <w:color w:val="auto"/>
        </w:rPr>
      </w:pPr>
    </w:p>
    <w:p>
      <w:pPr>
        <w:ind w:lef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Resolution Authority</w:t>
      </w:r>
      <w:r>
        <w:rPr>
          <w:rFonts w:ascii="Arial" w:cs="Arial" w:eastAsia="Arial" w:hAnsi="Arial"/>
          <w:sz w:val="18"/>
          <w:szCs w:val="18"/>
          <w:color w:val="auto"/>
        </w:rPr>
        <w:t>” means the resolution authority with the ability to exercise any Bail-in Powers in relation to the Relevant BRRD Party.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3" w:name="page34"/>
    <w:bookmarkEnd w:id="3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Gustavo Vello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Gustavo Vello</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Assistant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AGRICOLE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Acting severally on behalf of themselves and the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several 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Kenneth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Kenneth Chang</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BNP PARIBAS SECURITIES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Pasquale A. Perraglia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Pasquale A. Perraglia IV</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Sandeep Chawla</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Brian D. Bednarski</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CREDIT AGRICOLE SECURITIES (USA)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Ivan Hrazdira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Ivan Hrazdira</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Jonathan Zwart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Jonathan Zwart</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Som Bhattacharyya</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Hector Vazquez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Hector Vazquez</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w:t>
            </w:r>
          </w:p>
        </w:tc>
      </w:tr>
      <w:tr>
        <w:trPr>
          <w:trHeight w:val="369"/>
        </w:trPr>
        <w:tc>
          <w:tcPr>
            <w:tcW w:w="40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Principal Amount</w:t>
            </w:r>
          </w:p>
        </w:tc>
        <w:tc>
          <w:tcPr>
            <w:tcW w:w="80" w:type="dxa"/>
            <w:vAlign w:val="bottom"/>
          </w:tcPr>
          <w:p>
            <w:pPr>
              <w:spacing w:after="0"/>
              <w:rPr>
                <w:sz w:val="24"/>
                <w:szCs w:val="24"/>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Principal Amount</w:t>
            </w:r>
          </w:p>
        </w:tc>
      </w:tr>
      <w:tr>
        <w:trPr>
          <w:trHeight w:val="148"/>
        </w:trPr>
        <w:tc>
          <w:tcPr>
            <w:tcW w:w="40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of 2029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of 2032</w:t>
            </w:r>
          </w:p>
        </w:tc>
      </w:tr>
      <w:tr>
        <w:trPr>
          <w:trHeight w:val="149"/>
        </w:trPr>
        <w:tc>
          <w:tcPr>
            <w:tcW w:w="40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Securities to be</w:t>
            </w:r>
          </w:p>
        </w:tc>
      </w:tr>
      <w:tr>
        <w:trPr>
          <w:trHeight w:val="171"/>
        </w:trPr>
        <w:tc>
          <w:tcPr>
            <w:tcW w:w="40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Purchased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Purchased</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4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67,849,000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84,813,000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67,849,000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84,813,000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67,849,000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84,813,000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67,849,000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84,813,000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Credit Agricole Securities (USA) Inc.</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67,849,000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84,813,000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67,849,000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84,812,000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67,849,000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84,812,000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67,849,000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84,812,000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33,913,000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42,391,000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33,913,000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42,391,000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Intesa Sanpaolo S.p.A.</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33,913,000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42,391,000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Lloyds Securities Inc.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33,913,000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42,391,000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33,913,000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42,391,000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Santander Investment Securities Inc.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33,913,000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42,391,000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SG Americas Securities, LLC</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33,913,000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42,391,000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SMBC Nikko Securities America, Inc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33,913,000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42,391,000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Commerz Markets LLC</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16,956,000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21,194,000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ICBC Standard Bank Plc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16,956,000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21,194,000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ING Financial Markets LLC</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16,956,000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21,194,000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RBC Capital Markets, LLC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16,956,000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21,194,000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16,956,000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21,194,000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TD Securities (USA) LLC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16,956,000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21,194,000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16,956,000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21,194,000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UniCredit Capital Markets LLC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16,956,000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21,194,000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16,956,000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21,194,000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C.L. King &amp; Associates, Inc.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6,660,000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8,325,000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8,325,000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Mischler Financial Group, Inc.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6,660,000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8,325,000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8,325,000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Siebert Williams Shank &amp; Co., LLC</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6,660,000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8,325,000</w:t>
            </w:r>
          </w:p>
        </w:tc>
      </w:tr>
      <w:tr>
        <w:trPr>
          <w:trHeight w:val="27"/>
        </w:trPr>
        <w:tc>
          <w:tcPr>
            <w:tcW w:w="40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1,000,000,000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1,250,000,000</w:t>
            </w:r>
          </w:p>
        </w:tc>
      </w:tr>
      <w:tr>
        <w:trPr>
          <w:trHeight w:val="20"/>
        </w:trPr>
        <w:tc>
          <w:tcPr>
            <w:tcW w:w="4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4520" w:type="dxa"/>
            <w:vAlign w:val="bottom"/>
            <w:gridSpan w:val="2"/>
          </w:tcPr>
          <w:p>
            <w:pPr>
              <w:jc w:val="right"/>
              <w:ind w:right="2907"/>
              <w:spacing w:after="0"/>
              <w:rPr>
                <w:sz w:val="20"/>
                <w:szCs w:val="20"/>
                <w:color w:val="auto"/>
              </w:rPr>
            </w:pPr>
            <w:r>
              <w:rPr>
                <w:rFonts w:ascii="Arial" w:cs="Arial" w:eastAsia="Arial" w:hAnsi="Arial"/>
                <w:sz w:val="18"/>
                <w:szCs w:val="18"/>
                <w:color w:val="auto"/>
              </w:rPr>
              <w:t>I-1</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Permitted Free Writing Prospectus</w:t>
      </w:r>
    </w:p>
    <w:p>
      <w:pPr>
        <w:spacing w:after="0" w:line="256" w:lineRule="exact"/>
        <w:rPr>
          <w:sz w:val="20"/>
          <w:szCs w:val="20"/>
          <w:color w:val="auto"/>
        </w:rPr>
      </w:pPr>
    </w:p>
    <w:p>
      <w:pPr>
        <w:ind w:left="424" w:hanging="424"/>
        <w:spacing w:after="0"/>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Pricing term sheet, in the form attached as Annex II-A hereto.</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4"/>
          </w:cols>
          <w:pgMar w:left="436" w:top="270"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II-A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Free Writing Prospectus 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Relating to the Preliminary Prospectus Supplement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July 28, 2022 to the Prospectus dated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5, 2020. Registration Statement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 333-236276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as of July 28,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5.400% Senior Notes due 2029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5.600% Senior Notes due 2032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Bonds</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The information in this pricing term sheet relates only to the offering of the Securities and should be read together with the preliminary prospectus supplement of General Motors Company dated July 28, 2022 (the “Preliminary Prospectus Supplement”) to its prospectus dated February 5, 2020,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 All references to dollar amounts are references to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217170</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Applicable to the Securities</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136" w:lineRule="exact"/>
        <w:rPr>
          <w:sz w:val="20"/>
          <w:szCs w:val="20"/>
          <w:color w:val="auto"/>
        </w:rPr>
      </w:pPr>
    </w:p>
    <w:p>
      <w:pPr>
        <w:sectPr>
          <w:pgSz w:w="11900" w:h="16838" w:orient="portrait"/>
          <w:cols w:equalWidth="0" w:num="2">
            <w:col w:w="1820" w:space="720"/>
            <w:col w:w="8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July 28, 2022</w:t>
      </w:r>
    </w:p>
    <w:p>
      <w:pPr>
        <w:spacing w:after="0" w:line="136" w:lineRule="exact"/>
        <w:rPr>
          <w:sz w:val="20"/>
          <w:szCs w:val="20"/>
          <w:color w:val="auto"/>
        </w:rPr>
      </w:pPr>
    </w:p>
    <w:p>
      <w:pPr>
        <w:sectPr>
          <w:pgSz w:w="11900" w:h="16838" w:orient="portrait"/>
          <w:cols w:equalWidth="0" w:num="2">
            <w:col w:w="1820" w:space="720"/>
            <w:col w:w="8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2, 2022 (T+3)*</w:t>
      </w:r>
    </w:p>
    <w:p>
      <w:pPr>
        <w:spacing w:after="0" w:line="136" w:lineRule="exact"/>
        <w:rPr>
          <w:sz w:val="20"/>
          <w:szCs w:val="20"/>
          <w:color w:val="auto"/>
        </w:rPr>
      </w:pPr>
    </w:p>
    <w:p>
      <w:pPr>
        <w:sectPr>
          <w:pgSz w:w="11900" w:h="16838" w:orient="portrait"/>
          <w:cols w:equalWidth="0" w:num="2">
            <w:col w:w="1820" w:space="720"/>
            <w:col w:w="8480"/>
          </w:cols>
          <w:pgMar w:left="440" w:top="270" w:right="439" w:bottom="1440" w:gutter="0" w:footer="0" w:header="0"/>
          <w:type w:val="continuous"/>
        </w:sectPr>
      </w:pPr>
    </w:p>
    <w:p>
      <w:pPr>
        <w:ind w:right="260"/>
        <w:spacing w:after="0" w:line="347" w:lineRule="auto"/>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Credit Agricole Securities (USA)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9" w:lineRule="exact"/>
        <w:rPr>
          <w:sz w:val="20"/>
          <w:szCs w:val="20"/>
          <w:color w:val="auto"/>
        </w:rPr>
      </w:pPr>
    </w:p>
    <w:p>
      <w:pPr>
        <w:sectPr>
          <w:pgSz w:w="11900" w:h="16838" w:orient="portrait"/>
          <w:cols w:equalWidth="0" w:num="2">
            <w:col w:w="1820" w:space="720"/>
            <w:col w:w="848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BBVA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Intesa Sanpaolo 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Lloyds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Santander Investment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166" w:lineRule="exact"/>
        <w:rPr>
          <w:sz w:val="20"/>
          <w:szCs w:val="20"/>
          <w:color w:val="auto"/>
        </w:rPr>
      </w:pPr>
    </w:p>
    <w:p>
      <w:pPr>
        <w:sectPr>
          <w:pgSz w:w="11900" w:h="16838" w:orient="portrait"/>
          <w:cols w:equalWidth="0" w:num="2">
            <w:col w:w="1820" w:space="720"/>
            <w:col w:w="8480"/>
          </w:cols>
          <w:pgMar w:left="440" w:top="270" w:right="4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II-A-1</w:t>
      </w:r>
    </w:p>
    <w:p>
      <w:pPr>
        <w:sectPr>
          <w:pgSz w:w="11900" w:h="16838" w:orient="portrait"/>
          <w:cols w:equalWidth="0" w:num="1">
            <w:col w:w="11020"/>
          </w:cols>
          <w:pgMar w:left="440" w:top="270" w:right="4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Commerz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-284480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UniCredit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 King &amp;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Siebert Williams Shank &amp; Co., LLC</w:t>
      </w:r>
    </w:p>
    <w:p>
      <w:pPr>
        <w:spacing w:after="0" w:line="200" w:lineRule="exact"/>
        <w:rPr>
          <w:sz w:val="20"/>
          <w:szCs w:val="20"/>
          <w:color w:val="auto"/>
        </w:rPr>
      </w:pPr>
    </w:p>
    <w:p>
      <w:pPr>
        <w:sectPr>
          <w:pgSz w:w="11900" w:h="16838" w:orient="portrait"/>
          <w:cols w:equalWidth="0" w:num="2">
            <w:col w:w="1820" w:space="720"/>
            <w:col w:w="7479"/>
          </w:cols>
          <w:pgMar w:left="440" w:top="378" w:right="1440" w:bottom="1440" w:gutter="0" w:footer="0" w:header="0"/>
        </w:sectPr>
      </w:pPr>
    </w:p>
    <w:p>
      <w:pPr>
        <w:spacing w:after="0" w:line="248"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Terms Applicable to the</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5.400% Senior Notes due 2029</w:t>
      </w:r>
    </w:p>
    <w:p>
      <w:pPr>
        <w:sectPr>
          <w:pgSz w:w="11900" w:h="16838" w:orient="portrait"/>
          <w:cols w:equalWidth="0" w:num="1">
            <w:col w:w="10019"/>
          </w:cols>
          <w:pgMar w:left="440" w:top="378" w:right="1440"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 of Securities: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5.400% Senior Notes due 2029</w:t>
      </w:r>
    </w:p>
    <w:p>
      <w:pPr>
        <w:spacing w:after="0" w:line="136" w:lineRule="exact"/>
        <w:rPr>
          <w:sz w:val="20"/>
          <w:szCs w:val="20"/>
          <w:color w:val="auto"/>
        </w:rPr>
      </w:pPr>
    </w:p>
    <w:p>
      <w:pPr>
        <w:sectPr>
          <w:pgSz w:w="11900" w:h="16838" w:orient="portrait"/>
          <w:cols w:equalWidth="0" w:num="2">
            <w:col w:w="1820" w:space="72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Security 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Senior Unsecured Notes</w:t>
      </w:r>
    </w:p>
    <w:p>
      <w:pPr>
        <w:spacing w:after="0" w:line="147" w:lineRule="exact"/>
        <w:rPr>
          <w:sz w:val="20"/>
          <w:szCs w:val="20"/>
          <w:color w:val="auto"/>
        </w:rPr>
      </w:pPr>
    </w:p>
    <w:p>
      <w:pPr>
        <w:sectPr>
          <w:pgSz w:w="11900" w:h="16838" w:orient="portrait"/>
          <w:cols w:equalWidth="0" w:num="2">
            <w:col w:w="1820" w:space="72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$1,000,000,000</w:t>
      </w:r>
    </w:p>
    <w:p>
      <w:pPr>
        <w:spacing w:after="0" w:line="136" w:lineRule="exact"/>
        <w:rPr>
          <w:sz w:val="20"/>
          <w:szCs w:val="20"/>
          <w:color w:val="auto"/>
        </w:rPr>
      </w:pPr>
    </w:p>
    <w:p>
      <w:pPr>
        <w:sectPr>
          <w:pgSz w:w="11900" w:h="16838" w:orient="portrait"/>
          <w:cols w:equalWidth="0" w:num="2">
            <w:col w:w="1820" w:space="72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99.908%, plus accrued and unpaid interest, if any, from August 2, 2022</w:t>
      </w:r>
    </w:p>
    <w:p>
      <w:pPr>
        <w:spacing w:after="0" w:line="136" w:lineRule="exact"/>
        <w:rPr>
          <w:sz w:val="20"/>
          <w:szCs w:val="20"/>
          <w:color w:val="auto"/>
        </w:rPr>
      </w:pPr>
    </w:p>
    <w:p>
      <w:pPr>
        <w:sectPr>
          <w:pgSz w:w="11900" w:h="16838" w:orient="portrait"/>
          <w:cols w:equalWidth="0" w:num="2">
            <w:col w:w="1820" w:space="72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October 15, 2029</w:t>
      </w:r>
    </w:p>
    <w:p>
      <w:pPr>
        <w:spacing w:after="0" w:line="136" w:lineRule="exact"/>
        <w:rPr>
          <w:sz w:val="20"/>
          <w:szCs w:val="20"/>
          <w:color w:val="auto"/>
        </w:rPr>
      </w:pPr>
    </w:p>
    <w:p>
      <w:pPr>
        <w:sectPr>
          <w:pgSz w:w="11900" w:h="16838" w:orient="portrait"/>
          <w:cols w:equalWidth="0" w:num="2">
            <w:col w:w="1820" w:space="72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5.400% per year</w:t>
      </w:r>
    </w:p>
    <w:p>
      <w:pPr>
        <w:spacing w:after="0" w:line="136" w:lineRule="exact"/>
        <w:rPr>
          <w:sz w:val="20"/>
          <w:szCs w:val="20"/>
          <w:color w:val="auto"/>
        </w:rPr>
      </w:pPr>
    </w:p>
    <w:p>
      <w:pPr>
        <w:sectPr>
          <w:pgSz w:w="11900" w:h="16838" w:orient="portrait"/>
          <w:cols w:equalWidth="0" w:num="2">
            <w:col w:w="1840" w:space="70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5.417%</w:t>
      </w:r>
    </w:p>
    <w:p>
      <w:pPr>
        <w:spacing w:after="0" w:line="147" w:lineRule="exact"/>
        <w:rPr>
          <w:sz w:val="20"/>
          <w:szCs w:val="20"/>
          <w:color w:val="auto"/>
        </w:rPr>
      </w:pPr>
    </w:p>
    <w:p>
      <w:pPr>
        <w:sectPr>
          <w:pgSz w:w="11900" w:h="16838" w:orient="portrait"/>
          <w:cols w:equalWidth="0" w:num="2">
            <w:col w:w="1820" w:space="72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Spread to Benchmark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+ 270 bps</w:t>
      </w:r>
    </w:p>
    <w:p>
      <w:pPr>
        <w:spacing w:after="0" w:line="57" w:lineRule="exact"/>
        <w:rPr>
          <w:sz w:val="20"/>
          <w:szCs w:val="20"/>
          <w:color w:val="auto"/>
        </w:rPr>
      </w:pPr>
    </w:p>
    <w:p>
      <w:pPr>
        <w:sectPr>
          <w:pgSz w:w="11900" w:h="16838" w:orient="portrait"/>
          <w:cols w:equalWidth="0" w:num="2">
            <w:col w:w="1820" w:space="72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Treasury:</w:t>
      </w:r>
    </w:p>
    <w:p>
      <w:pPr>
        <w:sectPr>
          <w:pgSz w:w="11900" w:h="16838" w:orient="portrait"/>
          <w:cols w:equalWidth="0" w:num="1">
            <w:col w:w="10019"/>
          </w:cols>
          <w:pgMar w:left="440" w:top="378" w:right="1440"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3.250% due June 30, 2029</w:t>
      </w:r>
    </w:p>
    <w:p>
      <w:pPr>
        <w:spacing w:after="0" w:line="147" w:lineRule="exact"/>
        <w:rPr>
          <w:sz w:val="20"/>
          <w:szCs w:val="20"/>
          <w:color w:val="auto"/>
        </w:rPr>
      </w:pPr>
    </w:p>
    <w:p>
      <w:pPr>
        <w:sectPr>
          <w:pgSz w:w="11900" w:h="16838" w:orient="portrait"/>
          <w:cols w:equalWidth="0" w:num="2">
            <w:col w:w="1820" w:space="72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Benchmark Treasury Price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103-11; 2.717%</w:t>
      </w:r>
    </w:p>
    <w:p>
      <w:pPr>
        <w:spacing w:after="0" w:line="46" w:lineRule="exact"/>
        <w:rPr>
          <w:sz w:val="20"/>
          <w:szCs w:val="20"/>
          <w:color w:val="auto"/>
        </w:rPr>
      </w:pPr>
    </w:p>
    <w:p>
      <w:pPr>
        <w:sectPr>
          <w:pgSz w:w="11900" w:h="16838" w:orient="portrait"/>
          <w:cols w:equalWidth="0" w:num="2">
            <w:col w:w="2420" w:space="12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Yield:</w:t>
      </w:r>
    </w:p>
    <w:p>
      <w:pPr>
        <w:sectPr>
          <w:pgSz w:w="11900" w:h="16838" w:orient="portrait"/>
          <w:cols w:equalWidth="0" w:num="1">
            <w:col w:w="10019"/>
          </w:cols>
          <w:pgMar w:left="440" w:top="378" w:right="1440"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Payment Dates: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April 15 and October 15, beginning October 15, 2022</w:t>
      </w:r>
    </w:p>
    <w:p>
      <w:pPr>
        <w:spacing w:after="0" w:line="136" w:lineRule="exact"/>
        <w:rPr>
          <w:sz w:val="20"/>
          <w:szCs w:val="20"/>
          <w:color w:val="auto"/>
        </w:rPr>
      </w:pPr>
    </w:p>
    <w:p>
      <w:pPr>
        <w:sectPr>
          <w:pgSz w:w="11900" w:h="16838" w:orient="portrait"/>
          <w:cols w:equalWidth="0" w:num="2">
            <w:col w:w="1860" w:space="68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Record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April 1 and October 1</w:t>
      </w:r>
    </w:p>
    <w:p>
      <w:pPr>
        <w:spacing w:after="0" w:line="136" w:lineRule="exact"/>
        <w:rPr>
          <w:sz w:val="20"/>
          <w:szCs w:val="20"/>
          <w:color w:val="auto"/>
        </w:rPr>
      </w:pPr>
    </w:p>
    <w:p>
      <w:pPr>
        <w:sectPr>
          <w:pgSz w:w="11900" w:h="16838" w:orient="portrait"/>
          <w:cols w:equalWidth="0" w:num="2">
            <w:col w:w="1820" w:space="72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Day Count Convention: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30 / 360</w:t>
      </w:r>
    </w:p>
    <w:p>
      <w:pPr>
        <w:spacing w:after="0" w:line="136" w:lineRule="exact"/>
        <w:rPr>
          <w:sz w:val="20"/>
          <w:szCs w:val="20"/>
          <w:color w:val="auto"/>
        </w:rPr>
      </w:pPr>
    </w:p>
    <w:p>
      <w:pPr>
        <w:sectPr>
          <w:pgSz w:w="11900" w:h="16838" w:orient="portrait"/>
          <w:cols w:equalWidth="0" w:num="2">
            <w:col w:w="1820" w:space="72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Make-whole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45 bps prior to August 15, 2029 (two months prior to maturity)</w:t>
      </w:r>
    </w:p>
    <w:p>
      <w:pPr>
        <w:spacing w:after="0" w:line="136" w:lineRule="exact"/>
        <w:rPr>
          <w:sz w:val="20"/>
          <w:szCs w:val="20"/>
          <w:color w:val="auto"/>
        </w:rPr>
      </w:pPr>
    </w:p>
    <w:p>
      <w:pPr>
        <w:sectPr>
          <w:pgSz w:w="11900" w:h="16838" w:orient="portrait"/>
          <w:cols w:equalWidth="0" w:num="2">
            <w:col w:w="1820" w:space="72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Par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 or after August 15, 2029 (two months prior to maturity)</w:t>
      </w:r>
    </w:p>
    <w:p>
      <w:pPr>
        <w:spacing w:after="0" w:line="136" w:lineRule="exact"/>
        <w:rPr>
          <w:sz w:val="20"/>
          <w:szCs w:val="20"/>
          <w:color w:val="auto"/>
        </w:rPr>
      </w:pPr>
    </w:p>
    <w:p>
      <w:pPr>
        <w:sectPr>
          <w:pgSz w:w="11900" w:h="16838" w:orient="portrait"/>
          <w:cols w:equalWidth="0" w:num="2">
            <w:col w:w="1820" w:space="72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136" w:lineRule="exact"/>
        <w:rPr>
          <w:sz w:val="20"/>
          <w:szCs w:val="20"/>
          <w:color w:val="auto"/>
        </w:rPr>
      </w:pPr>
    </w:p>
    <w:p>
      <w:pPr>
        <w:sectPr>
          <w:pgSz w:w="11900" w:h="16838" w:orient="portrait"/>
          <w:cols w:equalWidth="0" w:num="2">
            <w:col w:w="1820" w:space="720"/>
            <w:col w:w="7479"/>
          </w:cols>
          <w:pgMar w:left="440" w:top="378"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37045VAY6 / US37045VAY65</w:t>
      </w:r>
    </w:p>
    <w:p>
      <w:pPr>
        <w:spacing w:after="0" w:line="180" w:lineRule="exact"/>
        <w:rPr>
          <w:sz w:val="20"/>
          <w:szCs w:val="20"/>
          <w:color w:val="auto"/>
        </w:rPr>
      </w:pPr>
    </w:p>
    <w:p>
      <w:pPr>
        <w:sectPr>
          <w:pgSz w:w="11900" w:h="16838" w:orient="portrait"/>
          <w:cols w:equalWidth="0" w:num="2">
            <w:col w:w="1820" w:space="720"/>
            <w:col w:w="7479"/>
          </w:cols>
          <w:pgMar w:left="440" w:top="378" w:right="1440" w:bottom="1440" w:gutter="0" w:footer="0" w:header="0"/>
          <w:type w:val="continuous"/>
        </w:sectPr>
      </w:pPr>
    </w:p>
    <w:p>
      <w:pPr>
        <w:ind w:left="5280"/>
        <w:spacing w:after="0"/>
        <w:rPr>
          <w:sz w:val="20"/>
          <w:szCs w:val="20"/>
          <w:color w:val="auto"/>
        </w:rPr>
      </w:pPr>
      <w:r>
        <w:rPr>
          <w:rFonts w:ascii="Arial" w:cs="Arial" w:eastAsia="Arial" w:hAnsi="Arial"/>
          <w:sz w:val="18"/>
          <w:szCs w:val="18"/>
          <w:color w:val="auto"/>
        </w:rPr>
        <w:t>II-A-2</w:t>
      </w:r>
    </w:p>
    <w:p>
      <w:pPr>
        <w:sectPr>
          <w:pgSz w:w="11900" w:h="16838" w:orient="portrait"/>
          <w:cols w:equalWidth="0" w:num="1">
            <w:col w:w="10019"/>
          </w:cols>
          <w:pgMar w:left="440" w:top="378" w:right="1440" w:bottom="1440" w:gutter="0" w:footer="0" w:header="0"/>
          <w:type w:val="continuous"/>
        </w:sectPr>
      </w:pPr>
    </w:p>
    <w:bookmarkStart w:id="40" w:name="page41"/>
    <w:bookmarkEnd w:id="40"/>
    <w:tbl>
      <w:tblPr>
        <w:tblLayout w:type="fixed"/>
        <w:tblInd w:w="4"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32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0"/>
              </w:rPr>
              <w:t>Terms Applicable to the</w:t>
            </w:r>
          </w:p>
        </w:tc>
      </w:tr>
      <w:tr>
        <w:trPr>
          <w:trHeight w:val="324"/>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18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5.600% Senior Notes due 2032</w:t>
            </w:r>
          </w:p>
        </w:tc>
      </w:tr>
      <w:tr>
        <w:trPr>
          <w:trHeight w:val="459"/>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Title of Securities:</w:t>
            </w:r>
          </w:p>
        </w:tc>
        <w:tc>
          <w:tcPr>
            <w:tcW w:w="5180" w:type="dxa"/>
            <w:vAlign w:val="bottom"/>
            <w:gridSpan w:val="3"/>
          </w:tcPr>
          <w:p>
            <w:pPr>
              <w:ind w:left="60"/>
              <w:spacing w:after="0"/>
              <w:rPr>
                <w:sz w:val="20"/>
                <w:szCs w:val="20"/>
                <w:color w:val="auto"/>
              </w:rPr>
            </w:pPr>
            <w:r>
              <w:rPr>
                <w:rFonts w:ascii="Arial" w:cs="Arial" w:eastAsia="Arial" w:hAnsi="Arial"/>
                <w:sz w:val="18"/>
                <w:szCs w:val="18"/>
                <w:color w:val="auto"/>
              </w:rPr>
              <w:t>5.600% Senior Notes due 2032</w:t>
            </w: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5180" w:type="dxa"/>
            <w:vAlign w:val="bottom"/>
            <w:gridSpan w:val="3"/>
          </w:tcPr>
          <w:p>
            <w:pPr>
              <w:ind w:left="60"/>
              <w:spacing w:after="0"/>
              <w:rPr>
                <w:sz w:val="20"/>
                <w:szCs w:val="20"/>
                <w:color w:val="auto"/>
              </w:rPr>
            </w:pPr>
            <w:r>
              <w:rPr>
                <w:rFonts w:ascii="Arial" w:cs="Arial" w:eastAsia="Arial" w:hAnsi="Arial"/>
                <w:sz w:val="18"/>
                <w:szCs w:val="18"/>
                <w:color w:val="auto"/>
              </w:rPr>
              <w:t>Senior Unsecured Notes</w:t>
            </w: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Principal Amount:</w:t>
            </w:r>
          </w:p>
        </w:tc>
        <w:tc>
          <w:tcPr>
            <w:tcW w:w="1860" w:type="dxa"/>
            <w:vAlign w:val="bottom"/>
          </w:tcPr>
          <w:p>
            <w:pPr>
              <w:ind w:left="60"/>
              <w:spacing w:after="0"/>
              <w:rPr>
                <w:sz w:val="20"/>
                <w:szCs w:val="20"/>
                <w:color w:val="auto"/>
              </w:rPr>
            </w:pPr>
            <w:r>
              <w:rPr>
                <w:rFonts w:ascii="Arial" w:cs="Arial" w:eastAsia="Arial" w:hAnsi="Arial"/>
                <w:sz w:val="18"/>
                <w:szCs w:val="18"/>
                <w:color w:val="auto"/>
              </w:rPr>
              <w:t>$1,250,000,000</w:t>
            </w:r>
          </w:p>
        </w:tc>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Price to Public:</w:t>
            </w:r>
          </w:p>
        </w:tc>
        <w:tc>
          <w:tcPr>
            <w:tcW w:w="5180" w:type="dxa"/>
            <w:vAlign w:val="bottom"/>
            <w:gridSpan w:val="3"/>
          </w:tcPr>
          <w:p>
            <w:pPr>
              <w:ind w:left="60"/>
              <w:spacing w:after="0"/>
              <w:rPr>
                <w:sz w:val="20"/>
                <w:szCs w:val="20"/>
                <w:color w:val="auto"/>
              </w:rPr>
            </w:pPr>
            <w:r>
              <w:rPr>
                <w:rFonts w:ascii="Arial" w:cs="Arial" w:eastAsia="Arial" w:hAnsi="Arial"/>
                <w:sz w:val="18"/>
                <w:szCs w:val="18"/>
                <w:color w:val="auto"/>
                <w:w w:val="90"/>
              </w:rPr>
              <w:t>99.756%, plus accrued and unpaid interest, if any, from August 2, 2022</w:t>
            </w: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Maturity Date:</w:t>
            </w:r>
          </w:p>
        </w:tc>
        <w:tc>
          <w:tcPr>
            <w:tcW w:w="5180" w:type="dxa"/>
            <w:vAlign w:val="bottom"/>
            <w:gridSpan w:val="3"/>
          </w:tcPr>
          <w:p>
            <w:pPr>
              <w:ind w:left="60"/>
              <w:spacing w:after="0"/>
              <w:rPr>
                <w:sz w:val="20"/>
                <w:szCs w:val="20"/>
                <w:color w:val="auto"/>
              </w:rPr>
            </w:pPr>
            <w:r>
              <w:rPr>
                <w:rFonts w:ascii="Arial" w:cs="Arial" w:eastAsia="Arial" w:hAnsi="Arial"/>
                <w:sz w:val="18"/>
                <w:szCs w:val="18"/>
                <w:color w:val="auto"/>
              </w:rPr>
              <w:t>October 15, 2032</w:t>
            </w: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Coupon (Interest Rate):</w:t>
            </w:r>
          </w:p>
        </w:tc>
        <w:tc>
          <w:tcPr>
            <w:tcW w:w="5180" w:type="dxa"/>
            <w:vAlign w:val="bottom"/>
            <w:gridSpan w:val="3"/>
          </w:tcPr>
          <w:p>
            <w:pPr>
              <w:ind w:left="60"/>
              <w:spacing w:after="0"/>
              <w:rPr>
                <w:sz w:val="20"/>
                <w:szCs w:val="20"/>
                <w:color w:val="auto"/>
              </w:rPr>
            </w:pPr>
            <w:r>
              <w:rPr>
                <w:rFonts w:ascii="Arial" w:cs="Arial" w:eastAsia="Arial" w:hAnsi="Arial"/>
                <w:sz w:val="18"/>
                <w:szCs w:val="18"/>
                <w:color w:val="auto"/>
              </w:rPr>
              <w:t>5.600% per year</w:t>
            </w: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1860" w:type="dxa"/>
            <w:vAlign w:val="bottom"/>
          </w:tcPr>
          <w:p>
            <w:pPr>
              <w:ind w:left="60"/>
              <w:spacing w:after="0"/>
              <w:rPr>
                <w:sz w:val="20"/>
                <w:szCs w:val="20"/>
                <w:color w:val="auto"/>
              </w:rPr>
            </w:pPr>
            <w:r>
              <w:rPr>
                <w:rFonts w:ascii="Arial" w:cs="Arial" w:eastAsia="Arial" w:hAnsi="Arial"/>
                <w:sz w:val="18"/>
                <w:szCs w:val="18"/>
                <w:color w:val="auto"/>
              </w:rPr>
              <w:t>5.633%</w:t>
            </w:r>
          </w:p>
        </w:tc>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6"/>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w:t>
            </w:r>
          </w:p>
        </w:tc>
        <w:tc>
          <w:tcPr>
            <w:tcW w:w="5180" w:type="dxa"/>
            <w:vAlign w:val="bottom"/>
            <w:gridSpan w:val="3"/>
          </w:tcPr>
          <w:p>
            <w:pPr>
              <w:ind w:left="60"/>
              <w:spacing w:after="0"/>
              <w:rPr>
                <w:sz w:val="20"/>
                <w:szCs w:val="20"/>
                <w:color w:val="auto"/>
              </w:rPr>
            </w:pPr>
            <w:r>
              <w:rPr>
                <w:rFonts w:ascii="Arial" w:cs="Arial" w:eastAsia="Arial" w:hAnsi="Arial"/>
                <w:sz w:val="18"/>
                <w:szCs w:val="18"/>
                <w:color w:val="auto"/>
              </w:rPr>
              <w:t>+ 295 bps</w:t>
            </w:r>
          </w:p>
        </w:tc>
      </w:tr>
      <w:tr>
        <w:trPr>
          <w:trHeight w:val="23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Treasury:</w:t>
            </w:r>
          </w:p>
        </w:tc>
        <w:tc>
          <w:tcPr>
            <w:tcW w:w="1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Benchmark Treasury:</w:t>
            </w:r>
          </w:p>
        </w:tc>
        <w:tc>
          <w:tcPr>
            <w:tcW w:w="5180" w:type="dxa"/>
            <w:vAlign w:val="bottom"/>
            <w:gridSpan w:val="3"/>
          </w:tcPr>
          <w:p>
            <w:pPr>
              <w:ind w:left="60"/>
              <w:spacing w:after="0"/>
              <w:rPr>
                <w:sz w:val="20"/>
                <w:szCs w:val="20"/>
                <w:color w:val="auto"/>
              </w:rPr>
            </w:pPr>
            <w:r>
              <w:rPr>
                <w:rFonts w:ascii="Arial" w:cs="Arial" w:eastAsia="Arial" w:hAnsi="Arial"/>
                <w:sz w:val="18"/>
                <w:szCs w:val="18"/>
                <w:color w:val="auto"/>
              </w:rPr>
              <w:t>2.875% due May 15, 2032</w:t>
            </w:r>
          </w:p>
        </w:tc>
      </w:tr>
      <w:tr>
        <w:trPr>
          <w:trHeight w:val="306"/>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w w:val="92"/>
              </w:rPr>
              <w:t>Benchmark Treasury Price and</w:t>
            </w:r>
          </w:p>
        </w:tc>
        <w:tc>
          <w:tcPr>
            <w:tcW w:w="1860" w:type="dxa"/>
            <w:vAlign w:val="bottom"/>
          </w:tcPr>
          <w:p>
            <w:pPr>
              <w:ind w:left="60"/>
              <w:spacing w:after="0"/>
              <w:rPr>
                <w:sz w:val="20"/>
                <w:szCs w:val="20"/>
                <w:color w:val="auto"/>
              </w:rPr>
            </w:pPr>
            <w:r>
              <w:rPr>
                <w:rFonts w:ascii="Arial" w:cs="Arial" w:eastAsia="Arial" w:hAnsi="Arial"/>
                <w:sz w:val="18"/>
                <w:szCs w:val="18"/>
                <w:color w:val="auto"/>
              </w:rPr>
              <w:t>101-20+; 2.683%</w:t>
            </w:r>
          </w:p>
        </w:tc>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Yield:</w:t>
            </w:r>
          </w:p>
        </w:tc>
        <w:tc>
          <w:tcPr>
            <w:tcW w:w="1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5180" w:type="dxa"/>
            <w:vAlign w:val="bottom"/>
            <w:gridSpan w:val="3"/>
          </w:tcPr>
          <w:p>
            <w:pPr>
              <w:ind w:left="60"/>
              <w:spacing w:after="0"/>
              <w:rPr>
                <w:sz w:val="20"/>
                <w:szCs w:val="20"/>
                <w:color w:val="auto"/>
              </w:rPr>
            </w:pPr>
            <w:r>
              <w:rPr>
                <w:rFonts w:ascii="Arial" w:cs="Arial" w:eastAsia="Arial" w:hAnsi="Arial"/>
                <w:sz w:val="18"/>
                <w:szCs w:val="18"/>
                <w:color w:val="auto"/>
              </w:rPr>
              <w:t>April 15 and October 15, beginning October 15, 2022</w:t>
            </w: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Record Dates:</w:t>
            </w:r>
          </w:p>
        </w:tc>
        <w:tc>
          <w:tcPr>
            <w:tcW w:w="5180" w:type="dxa"/>
            <w:vAlign w:val="bottom"/>
            <w:gridSpan w:val="3"/>
          </w:tcPr>
          <w:p>
            <w:pPr>
              <w:ind w:left="60"/>
              <w:spacing w:after="0"/>
              <w:rPr>
                <w:sz w:val="20"/>
                <w:szCs w:val="20"/>
                <w:color w:val="auto"/>
              </w:rPr>
            </w:pPr>
            <w:r>
              <w:rPr>
                <w:rFonts w:ascii="Arial" w:cs="Arial" w:eastAsia="Arial" w:hAnsi="Arial"/>
                <w:sz w:val="18"/>
                <w:szCs w:val="18"/>
                <w:color w:val="auto"/>
              </w:rPr>
              <w:t>April 1 and October 1</w:t>
            </w: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Day Count Convention:</w:t>
            </w:r>
          </w:p>
        </w:tc>
        <w:tc>
          <w:tcPr>
            <w:tcW w:w="1860" w:type="dxa"/>
            <w:vAlign w:val="bottom"/>
          </w:tcPr>
          <w:p>
            <w:pPr>
              <w:ind w:left="60"/>
              <w:spacing w:after="0"/>
              <w:rPr>
                <w:sz w:val="20"/>
                <w:szCs w:val="20"/>
                <w:color w:val="auto"/>
              </w:rPr>
            </w:pPr>
            <w:r>
              <w:rPr>
                <w:rFonts w:ascii="Arial" w:cs="Arial" w:eastAsia="Arial" w:hAnsi="Arial"/>
                <w:sz w:val="18"/>
                <w:szCs w:val="18"/>
                <w:color w:val="auto"/>
              </w:rPr>
              <w:t>30/360</w:t>
            </w:r>
          </w:p>
        </w:tc>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Make-whole Call:</w:t>
            </w:r>
          </w:p>
        </w:tc>
        <w:tc>
          <w:tcPr>
            <w:tcW w:w="5180" w:type="dxa"/>
            <w:vAlign w:val="bottom"/>
            <w:gridSpan w:val="3"/>
          </w:tcPr>
          <w:p>
            <w:pPr>
              <w:ind w:left="60"/>
              <w:spacing w:after="0"/>
              <w:rPr>
                <w:sz w:val="20"/>
                <w:szCs w:val="20"/>
                <w:color w:val="auto"/>
              </w:rPr>
            </w:pPr>
            <w:r>
              <w:rPr>
                <w:rFonts w:ascii="Arial" w:cs="Arial" w:eastAsia="Arial" w:hAnsi="Arial"/>
                <w:sz w:val="18"/>
                <w:szCs w:val="18"/>
                <w:color w:val="auto"/>
              </w:rPr>
              <w:t>45 bps prior to July 15, 2032 (three months prior to maturity)</w:t>
            </w: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Par Call:</w:t>
            </w:r>
          </w:p>
        </w:tc>
        <w:tc>
          <w:tcPr>
            <w:tcW w:w="5180" w:type="dxa"/>
            <w:vAlign w:val="bottom"/>
            <w:gridSpan w:val="3"/>
          </w:tcPr>
          <w:p>
            <w:pPr>
              <w:ind w:left="60"/>
              <w:spacing w:after="0"/>
              <w:rPr>
                <w:sz w:val="20"/>
                <w:szCs w:val="20"/>
                <w:color w:val="auto"/>
              </w:rPr>
            </w:pPr>
            <w:r>
              <w:rPr>
                <w:rFonts w:ascii="Arial" w:cs="Arial" w:eastAsia="Arial" w:hAnsi="Arial"/>
                <w:sz w:val="18"/>
                <w:szCs w:val="18"/>
                <w:color w:val="auto"/>
              </w:rPr>
              <w:t>On or after July 15, 2032 (three months prior to maturity)</w:t>
            </w: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Denominations:</w:t>
            </w:r>
          </w:p>
        </w:tc>
        <w:tc>
          <w:tcPr>
            <w:tcW w:w="5180" w:type="dxa"/>
            <w:vAlign w:val="bottom"/>
            <w:gridSpan w:val="3"/>
          </w:tcPr>
          <w:p>
            <w:pPr>
              <w:ind w:left="60"/>
              <w:spacing w:after="0"/>
              <w:rPr>
                <w:sz w:val="20"/>
                <w:szCs w:val="20"/>
                <w:color w:val="auto"/>
              </w:rPr>
            </w:pPr>
            <w:r>
              <w:rPr>
                <w:rFonts w:ascii="Arial" w:cs="Arial" w:eastAsia="Arial" w:hAnsi="Arial"/>
                <w:sz w:val="18"/>
                <w:szCs w:val="18"/>
                <w:color w:val="auto"/>
              </w:rPr>
              <w:t>$2,000 and integral multiples of $1,000 in excess thereof</w:t>
            </w: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CUSIP / ISIN:</w:t>
            </w:r>
          </w:p>
        </w:tc>
        <w:tc>
          <w:tcPr>
            <w:tcW w:w="5180" w:type="dxa"/>
            <w:vAlign w:val="bottom"/>
            <w:gridSpan w:val="3"/>
          </w:tcPr>
          <w:p>
            <w:pPr>
              <w:ind w:left="60"/>
              <w:spacing w:after="0"/>
              <w:rPr>
                <w:sz w:val="20"/>
                <w:szCs w:val="20"/>
                <w:color w:val="auto"/>
              </w:rPr>
            </w:pPr>
            <w:r>
              <w:rPr>
                <w:rFonts w:ascii="Arial" w:cs="Arial" w:eastAsia="Arial" w:hAnsi="Arial"/>
                <w:sz w:val="18"/>
                <w:szCs w:val="18"/>
                <w:color w:val="auto"/>
              </w:rPr>
              <w:t>37045V AZ3 / US37045VAZ31</w:t>
            </w:r>
          </w:p>
        </w:tc>
      </w:tr>
      <w:tr>
        <w:trPr>
          <w:trHeight w:val="351"/>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412"/>
        </w:trPr>
        <w:tc>
          <w:tcPr>
            <w:tcW w:w="122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58" w:lineRule="auto"/>
        <w:tabs>
          <w:tab w:leader="none" w:pos="424"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Under Rule 15c6-1 of the Exchange Act, trades in the secondary market are generally required to settle in two business days, unless the parties to any such trade expressly agree otherwise. Accordingly, purchasers who wish to trade notes before the second business day prior to settlement will be required, by virtue of the fact that the notes initially will settle T + 3, to specify an alternative settlement cycle at the time of any such trade to prevent a failed settlement. Purchasers of the notes who wish to trade the notes prior to settlement should consult their own advisor.</w:t>
      </w:r>
    </w:p>
    <w:p>
      <w:pPr>
        <w:spacing w:after="0" w:line="89" w:lineRule="exact"/>
        <w:rPr>
          <w:sz w:val="20"/>
          <w:szCs w:val="20"/>
          <w:color w:val="auto"/>
        </w:rPr>
      </w:pPr>
    </w:p>
    <w:p>
      <w:pPr>
        <w:jc w:val="center"/>
        <w:ind w:left="5284" w:right="780" w:hanging="5284"/>
        <w:spacing w:after="0" w:line="454" w:lineRule="auto"/>
        <w:tabs>
          <w:tab w:leader="none" w:pos="43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A security rating is not a recommendation to buy, sell or hold securities and may be subject to revision or withdrawal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II-A-3</w:t>
      </w:r>
    </w:p>
    <w:p>
      <w:pPr>
        <w:sectPr>
          <w:pgSz w:w="11900" w:h="16838" w:orient="portrait"/>
          <w:cols w:equalWidth="0" w:num="1">
            <w:col w:w="10984"/>
          </w:cols>
          <w:pgMar w:left="436" w:top="270" w:right="479" w:bottom="1440" w:gutter="0" w:footer="0" w:header="0"/>
        </w:sectPr>
      </w:pPr>
    </w:p>
    <w:bookmarkStart w:id="41" w:name="page42"/>
    <w:bookmarkEnd w:id="41"/>
    <w:p>
      <w:pPr>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communication is for informational purposes only and does not constitute an offer to sell, or a solicitation of an offer to buy, any security. No offer to buy securities described herein can be accepted, and no part of the purchase price thereof can be received, unless the person making such investment decision has received and reviewed the information contained in the relevant prospectus in making their investment decisions. 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contacting Barclays Capital Inc., c/o Broadridge Financial Solutions, 1155 Long Island Avenue, Edgewood, New York 11717 (or by email at barclaysprospectus@broadridge.com or telephone at 1-888-603-5847), BNP Paribas Securities Corp., 787 7th Avenue, 3rd Floor New York, New York 10019 or by calling toll-free at 1-800-854-5674, BofA Securities, Inc., 200 North College Street, NC1-004-03-43, Charlotte, North Carolina 28255-0001, Attn: Prospectus Department, Toll-free: 1-800-294-1322, E-mail: dg.prospectus_requests@bofa.com, Citigroup Global Markets Inc., c/o Broadridge Financial Solutions, 1155 Long Island Avenue, Edgewood, NY 11717 or by telephone at 1-800-831-9146, Credit Agricole Securities (USA) Inc., Attention: Fixed Income Syndicate, 1301 Avenue of the Americas, 17th Floor, New York, New York 10019 or by calling toll-free at 1-866-807-6030, Goldman Sachs &amp; Co. LLC, Attention: Prospectus Department, 200 West Street, New York, New York 10282, telephone: 1-866-471-2526, facsimile: 212-902-9316 or by emailing prospectus-ny@ny.email.gs.com, J.P. Morgan Securities LLC collect at 1-212-834-4533, or Morgan Stanley &amp; Co. LLC, Attention: Prospectus Department, 180 Varick Street, 2nd Floor, New York, NY 10014 or by calling toll-free at 1-866-718-1649.</w:t>
      </w:r>
    </w:p>
    <w:p>
      <w:pPr>
        <w:spacing w:after="0" w:line="174" w:lineRule="exact"/>
        <w:rPr>
          <w:sz w:val="20"/>
          <w:szCs w:val="20"/>
          <w:color w:val="auto"/>
        </w:rPr>
      </w:pPr>
    </w:p>
    <w:p>
      <w:pPr>
        <w:jc w:val="both"/>
        <w:ind w:right="420"/>
        <w:spacing w:after="0" w:line="314" w:lineRule="auto"/>
        <w:rPr>
          <w:sz w:val="20"/>
          <w:szCs w:val="20"/>
          <w:color w:val="auto"/>
        </w:rPr>
      </w:pPr>
      <w:r>
        <w:rPr>
          <w:rFonts w:ascii="Arial" w:cs="Arial" w:eastAsia="Arial" w:hAnsi="Arial"/>
          <w:sz w:val="16"/>
          <w:szCs w:val="16"/>
          <w:b w:val="1"/>
          <w:bCs w:val="1"/>
          <w:color w:val="auto"/>
        </w:rPr>
        <w:t>This communication is not intended to be a confirmation as required under Rule 10b-10 of the Securities Exchange Act of 1934. A formal confirmation will be delivered to you separately. This notice shall not constitute an offer to sell or a solicitation of an offer to buy, nor shall there be any sale of the Securities in any state or jurisdiction in which such offer, solicitation or sale would be unlawful.</w:t>
      </w:r>
    </w:p>
    <w:p>
      <w:pPr>
        <w:spacing w:after="0" w:line="142"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II-A-4</w:t>
      </w:r>
    </w:p>
    <w:p>
      <w:pPr>
        <w:sectPr>
          <w:pgSz w:w="11900" w:h="16838" w:orient="portrait"/>
          <w:cols w:equalWidth="0" w:num="1">
            <w:col w:w="11000"/>
          </w:cols>
          <w:pgMar w:left="440" w:top="270" w:right="4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Principal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OnStar,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of Canada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de Mexico,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do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Korea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020"/>
          </w:cols>
          <w:pgMar w:left="440" w:top="270" w:right="4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SEVENTH SUPPLEMENTAL 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August 2, 2022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Dated as of September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5.400% 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 DUE</w:t>
      </w:r>
      <w:r>
        <w:rPr>
          <w:rFonts w:ascii="Arial" w:cs="Arial" w:eastAsia="Arial" w:hAnsi="Arial"/>
          <w:sz w:val="18"/>
          <w:szCs w:val="18"/>
          <w:b w:val="1"/>
          <w:bCs w:val="1"/>
          <w:color w:val="auto"/>
        </w:rPr>
        <w:t xml:space="preserve"> 2029</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5.600% 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 DUE</w:t>
      </w:r>
      <w:r>
        <w:rPr>
          <w:rFonts w:ascii="Arial" w:cs="Arial" w:eastAsia="Arial" w:hAnsi="Arial"/>
          <w:sz w:val="18"/>
          <w:szCs w:val="18"/>
          <w:b w:val="1"/>
          <w:bCs w:val="1"/>
          <w:color w:val="auto"/>
        </w:rPr>
        <w:t xml:space="preserv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0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AGE</w:t>
            </w:r>
          </w:p>
        </w:tc>
      </w:tr>
      <w:tr>
        <w:trPr>
          <w:trHeight w:val="303"/>
        </w:trPr>
        <w:tc>
          <w:tcPr>
            <w:tcW w:w="1900" w:type="dxa"/>
            <w:vAlign w:val="bottom"/>
          </w:tcPr>
          <w:p>
            <w:pPr>
              <w:spacing w:after="0"/>
              <w:rPr>
                <w:sz w:val="20"/>
                <w:szCs w:val="20"/>
                <w:color w:val="auto"/>
              </w:rPr>
            </w:pPr>
            <w:r>
              <w:rPr>
                <w:rFonts w:ascii="Arial" w:cs="Arial" w:eastAsia="Arial" w:hAnsi="Arial"/>
                <w:sz w:val="18"/>
                <w:szCs w:val="18"/>
                <w:color w:val="auto"/>
              </w:rPr>
              <w:t>ARTICLE 1</w:t>
            </w:r>
          </w:p>
        </w:tc>
        <w:tc>
          <w:tcPr>
            <w:tcW w:w="8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DEFINITIONS AND OTHER PROVISIONS OF GENERAL APPLICATION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Definition of Terms</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Relationship with Base Indenture</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1900" w:type="dxa"/>
            <w:vAlign w:val="bottom"/>
          </w:tcPr>
          <w:p>
            <w:pPr>
              <w:spacing w:after="0"/>
              <w:rPr>
                <w:sz w:val="20"/>
                <w:szCs w:val="20"/>
                <w:color w:val="auto"/>
              </w:rPr>
            </w:pPr>
            <w:r>
              <w:rPr>
                <w:rFonts w:ascii="Arial" w:cs="Arial" w:eastAsia="Arial" w:hAnsi="Arial"/>
                <w:sz w:val="18"/>
                <w:szCs w:val="18"/>
                <w:color w:val="auto"/>
              </w:rPr>
              <w:t>ARTICLE 2</w:t>
            </w:r>
          </w:p>
        </w:tc>
        <w:tc>
          <w:tcPr>
            <w:tcW w:w="8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TERMS AND CONDITIONS OF NOTES</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Designation and Principal Amount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Maturity</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Further Issues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Payment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Authorized Denominations</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Redemption and Sinking Fund</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Ranking</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Appointments</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Waiver of Certain Covenants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Defeasance</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Guarantees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900" w:type="dxa"/>
            <w:vAlign w:val="bottom"/>
          </w:tcPr>
          <w:p>
            <w:pPr>
              <w:spacing w:after="0"/>
              <w:rPr>
                <w:sz w:val="20"/>
                <w:szCs w:val="20"/>
                <w:color w:val="auto"/>
              </w:rPr>
            </w:pPr>
            <w:r>
              <w:rPr>
                <w:rFonts w:ascii="Arial" w:cs="Arial" w:eastAsia="Arial" w:hAnsi="Arial"/>
                <w:sz w:val="18"/>
                <w:szCs w:val="18"/>
                <w:color w:val="auto"/>
              </w:rPr>
              <w:t>ARTICLE 3</w:t>
            </w:r>
          </w:p>
        </w:tc>
        <w:tc>
          <w:tcPr>
            <w:tcW w:w="8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COVENANTS</w:t>
            </w:r>
          </w:p>
        </w:tc>
        <w:tc>
          <w:tcPr>
            <w:tcW w:w="87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Additional Covenants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Limitation on Liens</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Limitation on Sales and Lease-Backs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Amendment to Section 704 of the Base Indenture</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1900" w:type="dxa"/>
            <w:vAlign w:val="bottom"/>
          </w:tcPr>
          <w:p>
            <w:pPr>
              <w:spacing w:after="0"/>
              <w:rPr>
                <w:sz w:val="20"/>
                <w:szCs w:val="20"/>
                <w:color w:val="auto"/>
              </w:rPr>
            </w:pPr>
            <w:r>
              <w:rPr>
                <w:rFonts w:ascii="Arial" w:cs="Arial" w:eastAsia="Arial" w:hAnsi="Arial"/>
                <w:sz w:val="18"/>
                <w:szCs w:val="18"/>
                <w:color w:val="auto"/>
              </w:rPr>
              <w:t>ARTICLE 4</w:t>
            </w:r>
          </w:p>
        </w:tc>
        <w:tc>
          <w:tcPr>
            <w:tcW w:w="8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FORM OF NOTES</w:t>
            </w:r>
          </w:p>
        </w:tc>
        <w:tc>
          <w:tcPr>
            <w:tcW w:w="8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Form of Notes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Global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1900" w:type="dxa"/>
            <w:vAlign w:val="bottom"/>
          </w:tcPr>
          <w:p>
            <w:pPr>
              <w:spacing w:after="0"/>
              <w:rPr>
                <w:sz w:val="20"/>
                <w:szCs w:val="20"/>
                <w:color w:val="auto"/>
              </w:rPr>
            </w:pPr>
            <w:r>
              <w:rPr>
                <w:rFonts w:ascii="Arial" w:cs="Arial" w:eastAsia="Arial" w:hAnsi="Arial"/>
                <w:sz w:val="18"/>
                <w:szCs w:val="18"/>
                <w:color w:val="auto"/>
              </w:rPr>
              <w:t>ARTICLE 5</w:t>
            </w:r>
          </w:p>
        </w:tc>
        <w:tc>
          <w:tcPr>
            <w:tcW w:w="8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10620" w:type="dxa"/>
            <w:vAlign w:val="bottom"/>
            <w:gridSpan w:val="2"/>
          </w:tcPr>
          <w:p>
            <w:pPr>
              <w:spacing w:after="0"/>
              <w:rPr>
                <w:sz w:val="20"/>
                <w:szCs w:val="20"/>
                <w:color w:val="auto"/>
              </w:rPr>
            </w:pPr>
            <w:r>
              <w:rPr>
                <w:rFonts w:ascii="Arial" w:cs="Arial" w:eastAsia="Arial" w:hAnsi="Arial"/>
                <w:sz w:val="18"/>
                <w:szCs w:val="18"/>
                <w:color w:val="auto"/>
              </w:rPr>
              <w:t>ORIGINAL ISSUE OF NOTES</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Original Issue of Notes</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900" w:type="dxa"/>
            <w:vAlign w:val="bottom"/>
          </w:tcPr>
          <w:p>
            <w:pPr>
              <w:spacing w:after="0"/>
              <w:rPr>
                <w:sz w:val="20"/>
                <w:szCs w:val="20"/>
                <w:color w:val="auto"/>
              </w:rPr>
            </w:pPr>
            <w:r>
              <w:rPr>
                <w:rFonts w:ascii="Arial" w:cs="Arial" w:eastAsia="Arial" w:hAnsi="Arial"/>
                <w:sz w:val="18"/>
                <w:szCs w:val="18"/>
                <w:color w:val="auto"/>
              </w:rPr>
              <w:t>ARTICLE 6</w:t>
            </w:r>
          </w:p>
        </w:tc>
        <w:tc>
          <w:tcPr>
            <w:tcW w:w="8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MISCELLANEOUS</w:t>
            </w:r>
          </w:p>
        </w:tc>
        <w:tc>
          <w:tcPr>
            <w:tcW w:w="8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Ratification of Base Indenture</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8720" w:type="dxa"/>
            <w:vAlign w:val="bottom"/>
          </w:tcPr>
          <w:p>
            <w:pPr>
              <w:ind w:left="400"/>
              <w:spacing w:after="0"/>
              <w:rPr>
                <w:sz w:val="20"/>
                <w:szCs w:val="20"/>
                <w:color w:val="auto"/>
              </w:rPr>
            </w:pPr>
            <w:r>
              <w:rPr>
                <w:rFonts w:ascii="Arial" w:cs="Arial" w:eastAsia="Arial" w:hAnsi="Arial"/>
                <w:sz w:val="18"/>
                <w:szCs w:val="18"/>
                <w:i w:val="1"/>
                <w:iCs w:val="1"/>
                <w:color w:val="auto"/>
              </w:rPr>
              <w:t>Trustee Not Responsible for Recitals</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6.03.</w:t>
            </w:r>
          </w:p>
        </w:tc>
        <w:tc>
          <w:tcPr>
            <w:tcW w:w="5940" w:type="dxa"/>
            <w:vAlign w:val="bottom"/>
          </w:tcPr>
          <w:p>
            <w:pPr>
              <w:ind w:left="340"/>
              <w:spacing w:after="0"/>
              <w:rPr>
                <w:sz w:val="20"/>
                <w:szCs w:val="20"/>
                <w:color w:val="auto"/>
              </w:rPr>
            </w:pPr>
            <w:r>
              <w:rPr>
                <w:rFonts w:ascii="Arial" w:cs="Arial" w:eastAsia="Arial" w:hAnsi="Arial"/>
                <w:sz w:val="18"/>
                <w:szCs w:val="18"/>
                <w:i w:val="1"/>
                <w:iCs w:val="1"/>
                <w:color w:val="auto"/>
              </w:rPr>
              <w:t>Governing Law</w:t>
            </w:r>
          </w:p>
        </w:tc>
        <w:tc>
          <w:tcPr>
            <w:tcW w:w="3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6.04.</w:t>
            </w:r>
          </w:p>
        </w:tc>
        <w:tc>
          <w:tcPr>
            <w:tcW w:w="5940" w:type="dxa"/>
            <w:vAlign w:val="bottom"/>
          </w:tcPr>
          <w:p>
            <w:pPr>
              <w:ind w:left="340"/>
              <w:spacing w:after="0"/>
              <w:rPr>
                <w:sz w:val="20"/>
                <w:szCs w:val="20"/>
                <w:color w:val="auto"/>
              </w:rPr>
            </w:pPr>
            <w:r>
              <w:rPr>
                <w:rFonts w:ascii="Arial" w:cs="Arial" w:eastAsia="Arial" w:hAnsi="Arial"/>
                <w:sz w:val="18"/>
                <w:szCs w:val="18"/>
                <w:i w:val="1"/>
                <w:iCs w:val="1"/>
                <w:color w:val="auto"/>
              </w:rPr>
              <w:t>Separability Clause</w:t>
            </w:r>
          </w:p>
        </w:tc>
        <w:tc>
          <w:tcPr>
            <w:tcW w:w="3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Section 6.05.</w:t>
            </w:r>
          </w:p>
        </w:tc>
        <w:tc>
          <w:tcPr>
            <w:tcW w:w="5940" w:type="dxa"/>
            <w:vAlign w:val="bottom"/>
          </w:tcPr>
          <w:p>
            <w:pPr>
              <w:ind w:left="340"/>
              <w:spacing w:after="0"/>
              <w:rPr>
                <w:sz w:val="20"/>
                <w:szCs w:val="20"/>
                <w:color w:val="auto"/>
              </w:rPr>
            </w:pPr>
            <w:r>
              <w:rPr>
                <w:rFonts w:ascii="Arial" w:cs="Arial" w:eastAsia="Arial" w:hAnsi="Arial"/>
                <w:sz w:val="18"/>
                <w:szCs w:val="18"/>
                <w:i w:val="1"/>
                <w:iCs w:val="1"/>
                <w:color w:val="auto"/>
              </w:rPr>
              <w:t>Effect of Headings and Table of Contents</w:t>
            </w:r>
          </w:p>
        </w:tc>
        <w:tc>
          <w:tcPr>
            <w:tcW w:w="3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Section 6.06.</w:t>
            </w:r>
          </w:p>
        </w:tc>
        <w:tc>
          <w:tcPr>
            <w:tcW w:w="5940" w:type="dxa"/>
            <w:vAlign w:val="bottom"/>
          </w:tcPr>
          <w:p>
            <w:pPr>
              <w:ind w:left="340"/>
              <w:spacing w:after="0"/>
              <w:rPr>
                <w:sz w:val="20"/>
                <w:szCs w:val="20"/>
                <w:color w:val="auto"/>
              </w:rPr>
            </w:pPr>
            <w:r>
              <w:rPr>
                <w:rFonts w:ascii="Arial" w:cs="Arial" w:eastAsia="Arial" w:hAnsi="Arial"/>
                <w:sz w:val="18"/>
                <w:szCs w:val="18"/>
                <w:i w:val="1"/>
                <w:iCs w:val="1"/>
                <w:color w:val="auto"/>
              </w:rPr>
              <w:t>Counterparts</w:t>
            </w:r>
          </w:p>
        </w:tc>
        <w:tc>
          <w:tcPr>
            <w:tcW w:w="3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600" w:type="dxa"/>
            <w:vAlign w:val="bottom"/>
          </w:tcPr>
          <w:p>
            <w:pPr>
              <w:spacing w:after="0"/>
              <w:rPr>
                <w:sz w:val="20"/>
                <w:szCs w:val="20"/>
                <w:color w:val="auto"/>
              </w:rPr>
            </w:pPr>
            <w:r>
              <w:rPr>
                <w:rFonts w:ascii="Arial" w:cs="Arial" w:eastAsia="Arial" w:hAnsi="Arial"/>
                <w:sz w:val="18"/>
                <w:szCs w:val="18"/>
                <w:color w:val="auto"/>
              </w:rPr>
              <w:t>EXHIBIT A-1 —</w:t>
            </w:r>
          </w:p>
        </w:tc>
        <w:tc>
          <w:tcPr>
            <w:tcW w:w="5940" w:type="dxa"/>
            <w:vAlign w:val="bottom"/>
          </w:tcPr>
          <w:p>
            <w:pPr>
              <w:ind w:left="340"/>
              <w:spacing w:after="0"/>
              <w:rPr>
                <w:sz w:val="20"/>
                <w:szCs w:val="20"/>
                <w:color w:val="auto"/>
              </w:rPr>
            </w:pPr>
            <w:r>
              <w:rPr>
                <w:rFonts w:ascii="Arial" w:cs="Arial" w:eastAsia="Arial" w:hAnsi="Arial"/>
                <w:sz w:val="18"/>
                <w:szCs w:val="18"/>
                <w:color w:val="auto"/>
              </w:rPr>
              <w:t>Form of 2029 Notes</w:t>
            </w:r>
          </w:p>
        </w:tc>
        <w:tc>
          <w:tcPr>
            <w:tcW w:w="306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A-2 —</w:t>
            </w:r>
          </w:p>
        </w:tc>
        <w:tc>
          <w:tcPr>
            <w:tcW w:w="5940" w:type="dxa"/>
            <w:vAlign w:val="bottom"/>
          </w:tcPr>
          <w:p>
            <w:pPr>
              <w:ind w:left="340"/>
              <w:spacing w:after="0"/>
              <w:rPr>
                <w:sz w:val="20"/>
                <w:szCs w:val="20"/>
                <w:color w:val="auto"/>
              </w:rPr>
            </w:pPr>
            <w:r>
              <w:rPr>
                <w:rFonts w:ascii="Arial" w:cs="Arial" w:eastAsia="Arial" w:hAnsi="Arial"/>
                <w:sz w:val="18"/>
                <w:szCs w:val="18"/>
                <w:color w:val="auto"/>
              </w:rPr>
              <w:t>Form of 2032 Notes</w:t>
            </w:r>
          </w:p>
        </w:tc>
        <w:tc>
          <w:tcPr>
            <w:tcW w:w="3060" w:type="dxa"/>
            <w:vAlign w:val="bottom"/>
          </w:tcPr>
          <w:p>
            <w:pPr>
              <w:jc w:val="right"/>
              <w:spacing w:after="0"/>
              <w:rPr>
                <w:sz w:val="20"/>
                <w:szCs w:val="20"/>
                <w:color w:val="auto"/>
              </w:rPr>
            </w:pPr>
            <w:r>
              <w:rPr>
                <w:rFonts w:ascii="Arial" w:cs="Arial" w:eastAsia="Arial" w:hAnsi="Arial"/>
                <w:sz w:val="18"/>
                <w:szCs w:val="18"/>
                <w:color w:val="auto"/>
              </w:rPr>
              <w:t>A-2-1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00"/>
          </w:cols>
          <w:pgMar w:left="800" w:top="274" w:right="499" w:bottom="1440" w:gutter="0" w:footer="0" w:header="0"/>
        </w:sectPr>
      </w:pPr>
    </w:p>
    <w:bookmarkStart w:id="46" w:name="page47"/>
    <w:bookmarkEnd w:id="46"/>
    <w:p>
      <w:pPr>
        <w:ind w:right="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SEVENTH SUPPLEMENTAL INDENTURE, dated as of August 2, 2022 (this “</w:t>
      </w:r>
      <w:r>
        <w:rPr>
          <w:rFonts w:ascii="Arial" w:cs="Arial" w:eastAsia="Arial" w:hAnsi="Arial"/>
          <w:sz w:val="16"/>
          <w:szCs w:val="16"/>
          <w:b w:val="1"/>
          <w:bCs w:val="1"/>
          <w:i w:val="1"/>
          <w:iCs w:val="1"/>
          <w:color w:val="auto"/>
        </w:rPr>
        <w:t>Supplemental Indenture</w:t>
      </w:r>
      <w:r>
        <w:rPr>
          <w:rFonts w:ascii="Arial" w:cs="Arial" w:eastAsia="Arial" w:hAnsi="Arial"/>
          <w:sz w:val="16"/>
          <w:szCs w:val="16"/>
          <w:color w:val="auto"/>
        </w:rPr>
        <w:t>”), between General Motors Company, a corporation duly organized and existing under the laws of Delaware (herein called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having its principal office at 300 Renaissance Center, Detroit, Michigan 48265-3000, and The Bank of New York Mellon, a New York banking corporation, as trustee (herein called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WHEREAS, the Company has executed and delivered the Indenture, dated as of September 27, 2013 (as supplemented prior to the date hereof,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and, together with this Supplemental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to the Trustee, to provide for the issuance of the Company’s debt securities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to be issued in one or more series;</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WHEREAS, pursuant to the terms of the Base Indenture, the Company desires to provide for the establishment of three new series of its Securities under the Base Indenture to be known as its “5.400% Senior Notes due 2029” (the “</w:t>
      </w:r>
      <w:r>
        <w:rPr>
          <w:rFonts w:ascii="Arial" w:cs="Arial" w:eastAsia="Arial" w:hAnsi="Arial"/>
          <w:sz w:val="18"/>
          <w:szCs w:val="18"/>
          <w:b w:val="1"/>
          <w:bCs w:val="1"/>
          <w:i w:val="1"/>
          <w:iCs w:val="1"/>
          <w:color w:val="auto"/>
        </w:rPr>
        <w:t>2029 Notes</w:t>
      </w:r>
      <w:r>
        <w:rPr>
          <w:rFonts w:ascii="Arial" w:cs="Arial" w:eastAsia="Arial" w:hAnsi="Arial"/>
          <w:sz w:val="18"/>
          <w:szCs w:val="18"/>
          <w:color w:val="auto"/>
        </w:rPr>
        <w:t>”) and “5.600% Senior Notes due 2032” (the “</w:t>
      </w:r>
      <w:r>
        <w:rPr>
          <w:rFonts w:ascii="Arial" w:cs="Arial" w:eastAsia="Arial" w:hAnsi="Arial"/>
          <w:sz w:val="18"/>
          <w:szCs w:val="18"/>
          <w:b w:val="1"/>
          <w:bCs w:val="1"/>
          <w:i w:val="1"/>
          <w:iCs w:val="1"/>
          <w:color w:val="auto"/>
        </w:rPr>
        <w:t>2032</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and, together with the 2029 Notes,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respectively, the form and substance and the terms, provisions and conditions thereof to be 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forth as provided in the Base Indenture and this Supplemental Indenture;</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WHEREAS, the Board of Directors of the Company by duly adopted resolutions has authorized, among other things, the issuance of the Notes and the execution and delivery of this Supplemental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this Supplemental Indenture is being entered into pursuant to the provisions of Section 901 of the Base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hereby requests that the Trustee join with the Company in the execution and delivery of this Supplemental Indenture;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WHEREAS, all things necessary to make this Supplemental Indenture a valid agreement of the Company, in accordance with its terms, and to make the Notes, when executed and delivered by the Company and authenticated by the Trustee, the valid obligations of the Company, have been performed.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THIS SUPPLEMENTAL INDENTURE WITNESSETH:</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and for the purpose of setting forth, as provided in the Base Indenture, the forms and terms of the Notes, the Company covenants and agrees with the Trustee, as follows: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4" w:right="4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OTHER PROVISIONS OF GENERAL APPLICATION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 of Terms</w:t>
      </w:r>
      <w:r>
        <w:rPr>
          <w:rFonts w:ascii="Arial" w:cs="Arial" w:eastAsia="Arial" w:hAnsi="Arial"/>
          <w:sz w:val="18"/>
          <w:szCs w:val="18"/>
          <w:color w:val="auto"/>
        </w:rPr>
        <w:t>. Unless the context otherwise requires:</w:t>
      </w:r>
    </w:p>
    <w:p>
      <w:pPr>
        <w:spacing w:after="0" w:line="117" w:lineRule="exact"/>
        <w:rPr>
          <w:sz w:val="20"/>
          <w:szCs w:val="20"/>
          <w:color w:val="auto"/>
        </w:rPr>
      </w:pPr>
    </w:p>
    <w:p>
      <w:pPr>
        <w:ind w:right="20" w:firstLine="436"/>
        <w:spacing w:after="0" w:line="254" w:lineRule="auto"/>
        <w:tabs>
          <w:tab w:leader="none" w:pos="6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terms defined in this Supplemental Indenture (except as herein otherwise expressly provided or unless the context of this Supplemental Indenture otherwise requires) for all purposes of this Supplemental Indenture and of any indenture supplemental hereto have the respective meanings specified in this Supplemental Indenture. All other terms used in this Supplemental Indenture that are defined in the Base Indenture, either directly or by reference therein (except as herein otherwise expressly provided or unless the context of this Supplemental Indenture otherwise requires), have the respective meanings assigned to such terms in the Base Indenture, as in force at the date of this Supplemental Indenture as originally executed;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term that is defined in both the Base Indenture and this Supplemental Indenture shall have the meaning assigned to such term in this Supplemental Indenture;</w:t>
      </w:r>
    </w:p>
    <w:p>
      <w:pPr>
        <w:spacing w:after="0" w:line="194" w:lineRule="exact"/>
        <w:rPr>
          <w:rFonts w:ascii="Arial" w:cs="Arial" w:eastAsia="Arial" w:hAnsi="Arial"/>
          <w:sz w:val="18"/>
          <w:szCs w:val="18"/>
          <w:color w:val="auto"/>
        </w:rPr>
      </w:pPr>
    </w:p>
    <w:p>
      <w:pPr>
        <w:ind w:left="700" w:hanging="26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singular includes the plural, and vice versa; and</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headings are for convenience of reference only and do not affect interpretation.</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definition shall be applicable in respect of all Notes for purposes of this Supplemental Indenture:</w:t>
      </w:r>
    </w:p>
    <w:p>
      <w:pPr>
        <w:spacing w:after="0" w:line="225"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each Monday, Tuesday, Wednesday, Thursday and Friday that is not a day on which banking institutions are authorized or obligated by law, regulation or executive order to close in the City of New York or the city in which the corporate trust office of the Trustee is located.</w:t>
      </w:r>
    </w:p>
    <w:p>
      <w:pPr>
        <w:spacing w:after="0" w:line="12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Relationship with Base Indenture</w:t>
      </w:r>
      <w:r>
        <w:rPr>
          <w:rFonts w:ascii="Arial" w:cs="Arial" w:eastAsia="Arial" w:hAnsi="Arial"/>
          <w:sz w:val="18"/>
          <w:szCs w:val="18"/>
          <w:color w:val="auto"/>
        </w:rPr>
        <w:t>. The terms and provisions contained in the Base Indenture will constitute, and are hereby expressly made, a part of this Supplemental Indenture. However, to the extent any provision of the Base Indenture conflicts with the express provisions of this Supplemental Indenture, the provisions of this Supplemental Indenture will govern and be controlling (including for all purposes of Section 113 of the Base Indenture in respect of the Notes).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TERMS AND CONDITIONS OF NOTES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Designation and Principal Amount</w:t>
      </w:r>
      <w:r>
        <w:rPr>
          <w:rFonts w:ascii="Arial" w:cs="Arial" w:eastAsia="Arial" w:hAnsi="Arial"/>
          <w:sz w:val="18"/>
          <w:szCs w:val="18"/>
          <w:color w:val="auto"/>
        </w:rPr>
        <w:t>.</w:t>
      </w:r>
    </w:p>
    <w:p>
      <w:pPr>
        <w:spacing w:after="0" w:line="225" w:lineRule="exact"/>
        <w:rPr>
          <w:sz w:val="20"/>
          <w:szCs w:val="20"/>
          <w:color w:val="auto"/>
        </w:rPr>
      </w:pPr>
    </w:p>
    <w:p>
      <w:pPr>
        <w:jc w:val="both"/>
        <w:ind w:right="60" w:firstLine="436"/>
        <w:spacing w:after="0" w:line="259" w:lineRule="auto"/>
        <w:tabs>
          <w:tab w:leader="none" w:pos="6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is hereby authorized and established a series of Securities under the Base Indenture, designated as the “5.400% Senior Notes due 2029,” which is initially limited in aggregate principal amount to $1,000,000,000 (except upon registration of transfer of, or in exchange for, or in lieu of, other 2029 Notes pursuant to Section 304, 305, 306, 311, 906 or 1106 of the Base Indenture and except for any Notes which, pursuant to Section 303 of the Base Indenture, are deemed never to have been authenticated and delivered).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8" w:name="page49"/>
    <w:bookmarkEnd w:id="48"/>
    <w:p>
      <w:pPr>
        <w:jc w:val="both"/>
        <w:ind w:right="40" w:firstLine="436"/>
        <w:spacing w:after="0" w:line="259"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is hereby authorized and established a series of Securities under the Base Indenture, designated as the “5.600% Senior Notes due 2032,” which is initially limited in aggregate principal amount to $1,250,000,000 (except upon registration of transfer of, or in exchange for, or in lieu of, other 2032 Notes pursuant to Section 304, 305, 306, 311, 906 or 1106 of the Base Indenture and except for any Notes which, pursuant to Section 303 of the Base Indenture, are deemed never to have been authenticated and delivered).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Maturity</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Stated Maturity of principal of the 2029 Notes shall be October 15, 2029.</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Stated Maturity of principal of the 2032 Notes shall be October 15, 2032.</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i w:val="1"/>
          <w:iCs w:val="1"/>
          <w:color w:val="auto"/>
        </w:rPr>
        <w:t>Further Issues</w:t>
      </w:r>
      <w:r>
        <w:rPr>
          <w:rFonts w:ascii="Arial" w:cs="Arial" w:eastAsia="Arial" w:hAnsi="Arial"/>
          <w:sz w:val="17"/>
          <w:szCs w:val="17"/>
          <w:color w:val="auto"/>
        </w:rPr>
        <w:t xml:space="preserve">. The Company may at any time and from time to time, without the consent of the Holders of the 2029 Notes or 2032 Notes, increase the principal amount of the 2029 Notes or 2032 Notes that may be issued under the Indenture and issue additional 2029 Notes or 2032 Notes;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the additional 2029 Notes or 2032 Notes are not fungible with the then-outstanding 2029 Notes or 2032 Notes for U.S. federal income tax purposes, respectively, the additional 2029 Notes or 2032 Notes shall have separate CUSIP numbers. Any such additional 2029 Notes or 2032 Notes shall have the same ranking, interest rate, maturity date and other terms as the 2029 Notes or 2032 Notes, respectively, but may be offered at a different offering price or have a different issue date, initial interest accrual date or initial interest payment date than such 2029 Notes or 2032 Notes, respectively. Any such additional 2029 Notes or 2032 Notes, together with the 2029 Notes or 2032 Notes herein provided for, shall each respectively constitute a single series of Securities under the Base Indenture.</w:t>
      </w:r>
    </w:p>
    <w:p>
      <w:pPr>
        <w:spacing w:after="0" w:line="17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Payment</w:t>
      </w:r>
      <w:r>
        <w:rPr>
          <w:rFonts w:ascii="Arial" w:cs="Arial" w:eastAsia="Arial" w:hAnsi="Arial"/>
          <w:sz w:val="17"/>
          <w:szCs w:val="17"/>
          <w:color w:val="auto"/>
        </w:rPr>
        <w:t xml:space="preserve">. Principal of and interest on the Notes shall be payable in U.S. dollars in immediately available funds at the office or agency of the Company maintained for such purpose, which shall initially be at the Corporate Trust Office of the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in the case of certificated Notes that payment of interest may be made at the option of the Company through the Paying Agent by check mailed to the Holder at such address as shall appear in the Security Register at the close of business on the Regular Record Date for such Holder or by wire transfer to an account appropriately designated by the Holder to the Company and the Trustee;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Company through the Paying Agent shall pay principal of and interest on the Notes in the form of Global Securities registered in the name of or held by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or its nominee or such other Depositary as may from time to time be designated pursuant to the terms of the Indenture, or its respective nominee, by wire transfer in immediately available funds to such Depositary or its nominee, as the case may be, as the registered holder of such Notes in the form of Global Securities.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9" w:name="page50"/>
    <w:bookmarkEnd w:id="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8"/>
          <w:szCs w:val="18"/>
          <w:i w:val="1"/>
          <w:iCs w:val="1"/>
          <w:color w:val="auto"/>
        </w:rPr>
        <w:t>Interest</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255" w:lineRule="auto"/>
        <w:tabs>
          <w:tab w:leader="none" w:pos="6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2029 Notes shall bear interest (computed on the basis of a 360-day year consisting of twelve 30-day months) from August 2, 2022 at the rate of 5.400% per annum, payable semi-annually in arrears. Interest payable on each Interest Payment Date shall include interest accrued from August 2, 2022, or from the most recent Interest Payment Date to which interest has been paid or duly provided for. The Interest Payment Dates on which such interest shall be payable are April 15 and October 15, commencing on October 15, 2022; and the Regular Record Date for the interest payable on any Interest Payment Date is the close of business on the April 1 or October 1 (whether or not a Business Day), as the case may be, next preceding the relevant Interest Payment Date.</w:t>
      </w:r>
    </w:p>
    <w:p>
      <w:pPr>
        <w:spacing w:after="0" w:line="84" w:lineRule="exact"/>
        <w:rPr>
          <w:rFonts w:ascii="Arial" w:cs="Arial" w:eastAsia="Arial" w:hAnsi="Arial"/>
          <w:sz w:val="18"/>
          <w:szCs w:val="18"/>
          <w:color w:val="auto"/>
        </w:rPr>
      </w:pPr>
    </w:p>
    <w:p>
      <w:pPr>
        <w:ind w:right="120" w:firstLine="436"/>
        <w:spacing w:after="0" w:line="255"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2032 Notes shall bear interest (computed on the basis of a 360-day year consisting of twelve 30-day months) from August 2, 2022 at the rate of 5.600% per annum, payable semi-annually in arrears. Interest payable on each Interest Payment Date shall include interest accrued from August 2, 2022, or from the most recent Interest Payment Date to which interest has been paid or duly provided for. The Interest Payment Dates on which such interest shall be payable are April 15 and October 15, commencing on October 15, 2022; and the Regular Record Date for the interest payable on any Interest Payment Date is the close of business on the April 1 or October 1 (whether or not a Business Day), as the case may be, next preceding the relevant Interest Payment Date.</w:t>
      </w:r>
    </w:p>
    <w:p>
      <w:pPr>
        <w:spacing w:after="0" w:line="192"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Authorized Denominations</w:t>
      </w:r>
      <w:r>
        <w:rPr>
          <w:rFonts w:ascii="Arial" w:cs="Arial" w:eastAsia="Arial" w:hAnsi="Arial"/>
          <w:sz w:val="18"/>
          <w:szCs w:val="18"/>
          <w:color w:val="auto"/>
        </w:rPr>
        <w:t>. Each of the 2029 Notes and 2032 Notes shall be issuable in denominations of $2,000 and integral multiples of $1,000 in excess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Redemption and Sinking Fund</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7" w:lineRule="auto"/>
        <w:tabs>
          <w:tab w:leader="none" w:pos="68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2029 Notes shall not be redeemable at the option of the Company except as set forth in Section 2 of the 2029 Notes. The 2029 Notes shall not be redeemable at the option of the Holders. The 2029 Notes shall not be entitled to the benefit of any sinking fund.</w:t>
      </w:r>
    </w:p>
    <w:p>
      <w:pPr>
        <w:spacing w:after="0" w:line="62" w:lineRule="exact"/>
        <w:rPr>
          <w:rFonts w:ascii="Arial" w:cs="Arial" w:eastAsia="Arial" w:hAnsi="Arial"/>
          <w:sz w:val="18"/>
          <w:szCs w:val="18"/>
          <w:color w:val="auto"/>
        </w:rPr>
      </w:pPr>
    </w:p>
    <w:p>
      <w:pPr>
        <w:ind w:firstLine="436"/>
        <w:spacing w:after="0" w:line="277"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2032 Notes shall not be redeemable at the option of the Company except as set forth in Section 2 of the 2032 Notes. The 2032 Notes shall not be redeemable at the option of the Holders. The 2032 Notes shall not be entitled to the benefit of any sinking fund.</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Ranking</w:t>
      </w:r>
      <w:r>
        <w:rPr>
          <w:rFonts w:ascii="Arial" w:cs="Arial" w:eastAsia="Arial" w:hAnsi="Arial"/>
          <w:sz w:val="18"/>
          <w:szCs w:val="18"/>
          <w:color w:val="auto"/>
        </w:rPr>
        <w:t>. Each of the 2029 Notes, 2032 Notes and 20[CC] Notes shall be senior unsecured debt securities of the Company, ranking equally with the Company’s other unsecured and unsubordinated indebtedness.</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Appointments</w:t>
      </w:r>
      <w:r>
        <w:rPr>
          <w:rFonts w:ascii="Arial" w:cs="Arial" w:eastAsia="Arial" w:hAnsi="Arial"/>
          <w:sz w:val="18"/>
          <w:szCs w:val="18"/>
          <w:color w:val="auto"/>
        </w:rPr>
        <w:t>. The Trustee shall be the initial Security Registrar and initial Paying Agent for each of the 2029 Notes and 2032 Notes.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50" w:name="page51"/>
    <w:bookmarkEnd w:id="50"/>
    <w:p>
      <w:pPr>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Arial" w:cs="Arial" w:eastAsia="Arial" w:hAnsi="Arial"/>
          <w:sz w:val="16"/>
          <w:szCs w:val="16"/>
          <w:i w:val="1"/>
          <w:iCs w:val="1"/>
          <w:color w:val="auto"/>
        </w:rPr>
        <w:t>Waiver of Certain Covenants</w:t>
      </w:r>
      <w:r>
        <w:rPr>
          <w:rFonts w:ascii="Arial" w:cs="Arial" w:eastAsia="Arial" w:hAnsi="Arial"/>
          <w:sz w:val="16"/>
          <w:szCs w:val="16"/>
          <w:color w:val="auto"/>
        </w:rPr>
        <w:t>. Without in any way limiting the applicability of Section 1006 of the Base Indenture with respect to the Notes, the Company may, with respect to the 2029 Notes or 2032 Notes, also omit in a particular instance to comply with any term, provision or condition set forth in Article 3 of this Supplemental Indenture, if, before or after the time for such compliance, the Holders of not less than a majority in aggregate principal amount of the 2029 Notes or 2032 Notes, respectively, at the time Outstanding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 Nothing in this Section 2.10 shall affect the Company’s requirement to comply with Section 513 of the Base Indenture with respect to waivers of past defaults under the Base Indenture.</w:t>
      </w:r>
    </w:p>
    <w:p>
      <w:pPr>
        <w:spacing w:after="0" w:line="16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Defeasance</w:t>
      </w:r>
      <w:r>
        <w:rPr>
          <w:rFonts w:ascii="Arial" w:cs="Arial" w:eastAsia="Arial" w:hAnsi="Arial"/>
          <w:sz w:val="16"/>
          <w:szCs w:val="16"/>
          <w:color w:val="auto"/>
        </w:rPr>
        <w:t>. The Company may elect, at its option at any time, pursuant to Section 402 of the Base Indenture, to have Section 403 or Section 404 in the Base Indenture, or both, apply to the 2029 Notes or 2032 Notes, respectively, or any principal amount thereof. Without in any way limiting the applicability of Section 404 of the Base Indenture with respect to the Notes, upon the Company’s exercise of its option to have Section 404 of the Base Indenture applied to all of the Outstanding 2029 Notes or 2032 Notes, (1) the Company shall also be deemed to be released from and may omit to comply with its obligations under the covenants contained in Article 3 of this Supplemental Indenture with respect to the 2029 Notes or 2032 Notes, respectively, and (2) the failure to comply with any such obligation, covenant, restriction, term or other provision shall not constitute (and shall be deemed not to be or result in) an Event of Default under Section 501(4) or Section 501(7) of the Base Indenture, in each case with respect to the 2029 Notes or 2032 Notes, respectively, on and after the date the conditions set forth in Section 405 of the Base Indenture are satisfied.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Guarantees</w:t>
      </w:r>
      <w:r>
        <w:rPr>
          <w:rFonts w:ascii="Arial" w:cs="Arial" w:eastAsia="Arial" w:hAnsi="Arial"/>
          <w:sz w:val="18"/>
          <w:szCs w:val="18"/>
          <w:color w:val="auto"/>
        </w:rPr>
        <w:t>. None of the 2029 Notes or 2032 Notes shall be guaranteed by any Person.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Additional Covenants</w:t>
      </w:r>
      <w:r>
        <w:rPr>
          <w:rFonts w:ascii="Arial" w:cs="Arial" w:eastAsia="Arial" w:hAnsi="Arial"/>
          <w:sz w:val="18"/>
          <w:szCs w:val="18"/>
          <w:color w:val="auto"/>
        </w:rPr>
        <w:t>. In addition to the covenants stated in Article Ten of the Base Indenture, the Notes will be subject to the covenants set forth in Sections 3.03 and 3.04 below. For the avoidance of doubt, the covenants set forth in Sections 3.03 and 3.04 below are solely for the benefit of the Holders of the 2029 Notes and 2032 Notes, and are not for the benefit of, or applicable to, any other debt securities issued under the Base Indenture or any other supplemental indenture.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Definitions</w:t>
      </w:r>
      <w:r>
        <w:rPr>
          <w:rFonts w:ascii="Arial" w:cs="Arial" w:eastAsia="Arial" w:hAnsi="Arial"/>
          <w:sz w:val="18"/>
          <w:szCs w:val="18"/>
          <w:color w:val="auto"/>
        </w:rPr>
        <w:t>. The following definitions shall be applicable to Sections 3.03 and 3.04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51" w:name="page52"/>
    <w:bookmarkEnd w:id="51"/>
    <w:p>
      <w:pPr>
        <w:ind w:right="6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Attributable Debt</w:t>
      </w:r>
      <w:r>
        <w:rPr>
          <w:rFonts w:ascii="Arial" w:cs="Arial" w:eastAsia="Arial" w:hAnsi="Arial"/>
          <w:sz w:val="16"/>
          <w:szCs w:val="16"/>
          <w:color w:val="auto"/>
        </w:rPr>
        <w:t>” means, at the time of determination as to any lease, the present value (discounted at the actual rate, if stated, or, if no rate is stated, the implicit rate of interest of such lease transaction as determined by the Company’s Chairman, President or any Vice Chairman, the Company’s Chief Financial Officer, any Vice President, the Company’s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w:t>
      </w:r>
      <w:r>
        <w:rPr>
          <w:rFonts w:ascii="Arial" w:cs="Arial" w:eastAsia="Arial" w:hAnsi="Arial"/>
          <w:sz w:val="16"/>
          <w:szCs w:val="16"/>
          <w:b w:val="1"/>
          <w:bCs w:val="1"/>
          <w:i w:val="1"/>
          <w:iCs w:val="1"/>
          <w:color w:val="auto"/>
        </w:rPr>
        <w:t>net rental payments</w:t>
      </w:r>
      <w:r>
        <w:rPr>
          <w:rFonts w:ascii="Arial" w:cs="Arial" w:eastAsia="Arial" w:hAnsi="Arial"/>
          <w:sz w:val="16"/>
          <w:szCs w:val="16"/>
          <w:color w:val="auto"/>
        </w:rPr>
        <w:t xml:space="preserve">”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the case of any lease which is terminable by the lessee upon the payment of a penalty in an amount which is less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7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Tangible Assets</w:t>
      </w:r>
      <w:r>
        <w:rPr>
          <w:rFonts w:ascii="Arial" w:cs="Arial" w:eastAsia="Arial" w:hAnsi="Arial"/>
          <w:sz w:val="18"/>
          <w:szCs w:val="18"/>
          <w:color w:val="auto"/>
        </w:rPr>
        <w:t>” means, on the date of determination, total assets less goodwill and other intangible assets of the Company and its consolidated subsidiaries, in each case as set forth on the most recently available consolidated balance sheet of the Company and its subsidiaries in accordance with generally accepted accounting principles in the United States.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w:t>
      </w:r>
      <w:r>
        <w:rPr>
          <w:rFonts w:ascii="Arial" w:cs="Arial" w:eastAsia="Arial" w:hAnsi="Arial"/>
          <w:sz w:val="18"/>
          <w:szCs w:val="18"/>
          <w:color w:val="auto"/>
        </w:rPr>
        <w:t>” means notes, bonds, debentures or other similar evidences of indebtedness for money borrowed.</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Manufacturing Subsidiary</w:t>
      </w:r>
      <w:r>
        <w:rPr>
          <w:rFonts w:ascii="Arial" w:cs="Arial" w:eastAsia="Arial" w:hAnsi="Arial"/>
          <w:sz w:val="16"/>
          <w:szCs w:val="16"/>
          <w:color w:val="auto"/>
        </w:rPr>
        <w:t xml:space="preserve">” means any Subsidiary (A) substantially all the property of which is located within the continental United States of America, (B) which owns a Principal Domestic Manufacturing Property and (C) in which the Company’s investment, direct or indirect and whether in the form of equity, debt, advances or otherwise, is in excess of $2,500,000,000 as shown on the consolidated books of the Company as of the end of the fiscal year immediately preceding the date of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“Manufacturing Subsidiary” shall not include any Subsidiary which is principally engaged in leasing or in financing installment receivables or otherwise providing financial or insurance services to the Company or others or which is principally engaged in financing the Company’s operations outside the continental United States of America.</w:t>
      </w:r>
    </w:p>
    <w:p>
      <w:pPr>
        <w:spacing w:after="0" w:line="164" w:lineRule="exact"/>
        <w:rPr>
          <w:sz w:val="20"/>
          <w:szCs w:val="20"/>
          <w:color w:val="auto"/>
        </w:rPr>
      </w:pPr>
    </w:p>
    <w:p>
      <w:pPr>
        <w:jc w:val="center"/>
        <w:ind w:left="740" w:right="1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Mortgage</w:t>
      </w:r>
      <w:r>
        <w:rPr>
          <w:rFonts w:ascii="Arial" w:cs="Arial" w:eastAsia="Arial" w:hAnsi="Arial"/>
          <w:sz w:val="18"/>
          <w:szCs w:val="18"/>
          <w:color w:val="auto"/>
        </w:rPr>
        <w:t>” means any mortgage, pledge, lien, security interest, conditional sale or other title retention agreement or other similar encumbrance. 6</w:t>
      </w:r>
    </w:p>
    <w:p>
      <w:pPr>
        <w:sectPr>
          <w:pgSz w:w="11900" w:h="16838" w:orient="portrait"/>
          <w:cols w:equalWidth="0" w:num="1">
            <w:col w:w="11000"/>
          </w:cols>
          <w:pgMar w:left="440" w:top="274" w:right="459" w:bottom="1440" w:gutter="0" w:footer="0" w:header="0"/>
        </w:sectPr>
      </w:pPr>
    </w:p>
    <w:bookmarkStart w:id="52" w:name="page53"/>
    <w:bookmarkEnd w:id="52"/>
    <w:p>
      <w:pPr>
        <w:ind w:right="6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Principal Domestic Manufacturing Property</w:t>
      </w:r>
      <w:r>
        <w:rPr>
          <w:rFonts w:ascii="Arial" w:cs="Arial" w:eastAsia="Arial" w:hAnsi="Arial"/>
          <w:sz w:val="18"/>
          <w:szCs w:val="18"/>
          <w:color w:val="auto"/>
        </w:rPr>
        <w:t>” means all real property located within the continental United States of America and constituting part of any manufacturing plant or facility owned and operated by the Company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the Board of Directors of the Company, such manufacturing plant or facility is not of material importance to the total business conducted by the Company and its consolidated affiliates as an entity.</w:t>
      </w:r>
    </w:p>
    <w:p>
      <w:pPr>
        <w:spacing w:after="0" w:line="192"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the Company, or by one or more Subsidiaries, or by the Company and one or more Subsidiaries.</w:t>
      </w:r>
    </w:p>
    <w:p>
      <w:pPr>
        <w:spacing w:after="0" w:line="18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Limitation on Liens.</w:t>
      </w:r>
      <w:r>
        <w:rPr>
          <w:rFonts w:ascii="Arial" w:cs="Arial" w:eastAsia="Arial" w:hAnsi="Arial"/>
          <w:sz w:val="17"/>
          <w:szCs w:val="17"/>
          <w:color w:val="auto"/>
        </w:rPr>
        <w:t xml:space="preserve"> For the benefit of the Notes, the Company will not, nor will the Company permit any Manufacturing Subsidiary to, issue or assume any Debt secured by a Mortgage upon any Principal Domestic Manufacturing Property of the Company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the Company shall so determine, any other indebtedness of the Company or such Manufacturing Subsidiary ranking equally with the Notes and then existing or thereafter created) shall be secured equally and ratably with such Debt, unless the aggregate amount of Debt issued or assumed and so secured by Mortgages, together with all other Debt of the Company and its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the Consolidated Tangible Assets of the Company.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restrictions shall not apply to Debt secured by:</w:t>
      </w:r>
    </w:p>
    <w:p>
      <w:pPr>
        <w:spacing w:after="0" w:line="117" w:lineRule="exact"/>
        <w:rPr>
          <w:sz w:val="20"/>
          <w:szCs w:val="20"/>
          <w:color w:val="auto"/>
        </w:rPr>
      </w:pPr>
    </w:p>
    <w:p>
      <w:pPr>
        <w:ind w:left="440" w:firstLine="419"/>
        <w:spacing w:after="0" w:line="277" w:lineRule="auto"/>
        <w:tabs>
          <w:tab w:leader="none" w:pos="1078"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Mortgages on property, shares of stock or indebtedness of any corporation existing at the time such corporation becomes a Manufacturing Subsidiary;</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Mortgages on property existing at the time of acquisition thereof or to secure the payment of all or any part of the purchase or</w:t>
      </w:r>
    </w:p>
    <w:p>
      <w:pPr>
        <w:spacing w:after="0" w:line="34" w:lineRule="exact"/>
        <w:rPr>
          <w:rFonts w:ascii="Arial" w:cs="Arial" w:eastAsia="Arial" w:hAnsi="Arial"/>
          <w:sz w:val="17"/>
          <w:szCs w:val="17"/>
          <w:color w:val="auto"/>
        </w:rPr>
      </w:pPr>
    </w:p>
    <w:p>
      <w:pPr>
        <w:ind w:left="440" w:right="140"/>
        <w:spacing w:after="0" w:line="255" w:lineRule="auto"/>
        <w:rPr>
          <w:rFonts w:ascii="Arial" w:cs="Arial" w:eastAsia="Arial" w:hAnsi="Arial"/>
          <w:sz w:val="17"/>
          <w:szCs w:val="17"/>
          <w:color w:val="auto"/>
        </w:rPr>
      </w:pPr>
      <w:r>
        <w:rPr>
          <w:rFonts w:ascii="Arial" w:cs="Arial" w:eastAsia="Arial" w:hAnsi="Arial"/>
          <w:sz w:val="18"/>
          <w:szCs w:val="18"/>
          <w:color w:val="auto"/>
        </w:rPr>
        <w:t>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53" w:name="page54"/>
    <w:bookmarkEnd w:id="53"/>
    <w:p>
      <w:pPr>
        <w:ind w:left="1180" w:hanging="321"/>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Mortgages securing Debt of a Manufacturing Subsidiary owing to the Company or to another Manufacturing Subsidiary;</w:t>
      </w:r>
    </w:p>
    <w:p>
      <w:pPr>
        <w:spacing w:after="0" w:line="117" w:lineRule="exact"/>
        <w:rPr>
          <w:rFonts w:ascii="Arial" w:cs="Arial" w:eastAsia="Arial" w:hAnsi="Arial"/>
          <w:sz w:val="18"/>
          <w:szCs w:val="18"/>
          <w:color w:val="auto"/>
        </w:rPr>
      </w:pPr>
    </w:p>
    <w:p>
      <w:pPr>
        <w:ind w:left="440" w:right="120" w:firstLine="419"/>
        <w:spacing w:after="0" w:line="263" w:lineRule="auto"/>
        <w:tabs>
          <w:tab w:leader="none" w:pos="11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or consolidated with the Company or a Manufacturing Subsidiary or at the time of a sale, lease or other disposition of the properties of a corporation as an entirety or substantially as an entirety to the Company or a Manufacturing Subsidiary;</w:t>
      </w:r>
    </w:p>
    <w:p>
      <w:pPr>
        <w:spacing w:after="0" w:line="75" w:lineRule="exact"/>
        <w:rPr>
          <w:rFonts w:ascii="Arial" w:cs="Arial" w:eastAsia="Arial" w:hAnsi="Arial"/>
          <w:sz w:val="18"/>
          <w:szCs w:val="18"/>
          <w:color w:val="auto"/>
        </w:rPr>
      </w:pPr>
    </w:p>
    <w:p>
      <w:pPr>
        <w:ind w:left="440" w:right="220" w:firstLine="419"/>
        <w:spacing w:after="0" w:line="296" w:lineRule="auto"/>
        <w:tabs>
          <w:tab w:leader="none" w:pos="1118" w:val="left"/>
        </w:tabs>
        <w:numPr>
          <w:ilvl w:val="0"/>
          <w:numId w:val="45"/>
        </w:numPr>
        <w:rPr>
          <w:rFonts w:ascii="Arial" w:cs="Arial" w:eastAsia="Arial" w:hAnsi="Arial"/>
          <w:sz w:val="16"/>
          <w:szCs w:val="16"/>
          <w:color w:val="auto"/>
        </w:rPr>
      </w:pPr>
      <w:r>
        <w:rPr>
          <w:rFonts w:ascii="Arial" w:cs="Arial" w:eastAsia="Arial" w:hAnsi="Arial"/>
          <w:sz w:val="16"/>
          <w:szCs w:val="16"/>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53" w:lineRule="exact"/>
        <w:rPr>
          <w:rFonts w:ascii="Arial" w:cs="Arial" w:eastAsia="Arial" w:hAnsi="Arial"/>
          <w:sz w:val="16"/>
          <w:szCs w:val="16"/>
          <w:color w:val="auto"/>
        </w:rPr>
      </w:pPr>
    </w:p>
    <w:p>
      <w:pPr>
        <w:ind w:left="1160" w:hanging="301"/>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Mortgages existing on August 2, 2022; or</w:t>
      </w:r>
    </w:p>
    <w:p>
      <w:pPr>
        <w:spacing w:after="0" w:line="117" w:lineRule="exact"/>
        <w:rPr>
          <w:rFonts w:ascii="Arial" w:cs="Arial" w:eastAsia="Arial" w:hAnsi="Arial"/>
          <w:sz w:val="18"/>
          <w:szCs w:val="18"/>
          <w:color w:val="auto"/>
        </w:rPr>
      </w:pPr>
    </w:p>
    <w:p>
      <w:pPr>
        <w:ind w:left="440" w:right="20" w:firstLine="419"/>
        <w:spacing w:after="0" w:line="257" w:lineRule="auto"/>
        <w:tabs>
          <w:tab w:leader="none" w:pos="12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any extension, renewal or replacement (or successive extensions, renewals or replacements) in whole or in part of any Mortgage referred to in the foregoing clauses (i) to (vi) or in this clause (vii);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Limitation on Sales and Lease-Backs</w:t>
      </w:r>
      <w:r>
        <w:rPr>
          <w:rFonts w:ascii="Arial" w:cs="Arial" w:eastAsia="Arial" w:hAnsi="Arial"/>
          <w:sz w:val="16"/>
          <w:szCs w:val="16"/>
          <w:color w:val="auto"/>
        </w:rPr>
        <w:t>. For the benefit of the Notes, the Company will not, nor will the Company permit any Manufacturing Subsidiary to, enter into any arrangement with any person providing for the leasing by the Company or any Manufacturing Subsidiary of any Principal Domestic Manufacturing Property owned by the Company or any Manufacturing Subsidiary on August 2, 2022 (except for temporary leases for a term of not more than five years and except for leases between the Company and a Manufacturing Subsidiary or between Manufacturing Subsidiaries), which property has been or is to be sold or transferred by the Company or such Manufacturing Subsidiary to such person, unless either: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54" w:name="page55"/>
    <w:bookmarkEnd w:id="54"/>
    <w:p>
      <w:pPr>
        <w:ind w:left="440" w:right="60" w:firstLine="419"/>
        <w:spacing w:after="0" w:line="255" w:lineRule="auto"/>
        <w:tabs>
          <w:tab w:leader="none" w:pos="1078"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or such Manufacturing Subsidiary would be entitled, pursuant to the provisions of Section 3.03 above, to issue, assume, extend, renew or replace Debt secured by a Mortgage upon such property at least equal in amount to the Attributable Debt in respect of such arrangement without equally and ratably securing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from and after the date on which such arrangement becomes effective the Attributable Debt in respect of such arrangement shall be deemed for all purposes under Section 3.03 above and this Section 3.04 to be Debt subject to the provisions of Section 3.03 above (which provisions include the exceptions set forth in clauses (i) through (vii) of Section 3.03 above); or</w:t>
      </w:r>
    </w:p>
    <w:p>
      <w:pPr>
        <w:spacing w:after="0" w:line="84" w:lineRule="exact"/>
        <w:rPr>
          <w:rFonts w:ascii="Arial" w:cs="Arial" w:eastAsia="Arial" w:hAnsi="Arial"/>
          <w:sz w:val="18"/>
          <w:szCs w:val="18"/>
          <w:color w:val="auto"/>
        </w:rPr>
      </w:pPr>
    </w:p>
    <w:p>
      <w:pPr>
        <w:ind w:left="440" w:firstLine="419"/>
        <w:spacing w:after="0" w:line="255" w:lineRule="auto"/>
        <w:tabs>
          <w:tab w:leader="none" w:pos="11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the Company or any Manufacturing Subsidiary) which by its terms matures at or is extendible or renewable at the option of the obligor to a date more than twelve months after the date of the creation of such Debt, or (ii) the purchase, construction or development by the Company or a Manufacturing Subsidiary of other comparable property.</w:t>
      </w:r>
    </w:p>
    <w:p>
      <w:pPr>
        <w:spacing w:after="0" w:line="19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Amendment to Section 704 of the Base Indenture</w:t>
      </w:r>
      <w:r>
        <w:rPr>
          <w:rFonts w:ascii="Arial" w:cs="Arial" w:eastAsia="Arial" w:hAnsi="Arial"/>
          <w:sz w:val="18"/>
          <w:szCs w:val="18"/>
          <w:color w:val="auto"/>
        </w:rPr>
        <w:t>. Section 704 of the Base Indenture shall be amended and restated in its entirety as follows:</w:t>
      </w:r>
    </w:p>
    <w:p>
      <w:pPr>
        <w:spacing w:after="0" w:line="62" w:lineRule="exact"/>
        <w:rPr>
          <w:sz w:val="20"/>
          <w:szCs w:val="20"/>
          <w:color w:val="auto"/>
        </w:rPr>
      </w:pPr>
    </w:p>
    <w:p>
      <w:pPr>
        <w:ind w:left="440" w:right="20"/>
        <w:spacing w:after="0" w:line="269" w:lineRule="auto"/>
        <w:rPr>
          <w:sz w:val="20"/>
          <w:szCs w:val="20"/>
          <w:color w:val="auto"/>
        </w:rPr>
      </w:pPr>
      <w:r>
        <w:rPr>
          <w:rFonts w:ascii="Arial" w:cs="Arial" w:eastAsia="Arial" w:hAnsi="Arial"/>
          <w:sz w:val="17"/>
          <w:szCs w:val="17"/>
          <w:color w:val="auto"/>
        </w:rPr>
        <w:t>The Company shall file with the Trustee and the Commission such information, documents and other reports, and such summaries thereof, as may be required pursuant to the Trust Indenture Act at the times and in the manner provided pursuant to the Trust Indenture Act; provided that any such information, documents or reports required to be filed with the Commission pursuant to Section 13 or 15(d) of the Securities Exchange Act of 1934 shall be filed with the Trustee within 15 days after the filing of the same with the Commission. Delivery of such reports, information and documents to the Trustee is for informational purposes only and the Trustee’s receipt of such shall not constitute constructive or actual notice or knowledge of any information contained therein or determinable from information contained therein, including the Company’s compliance with any of its covenants hereunder (as to which the Trustee is entitled to rely exclusively on Officer’s Certificates). All required information, documents and reports shall be deemed filed with the Trustee at the time such information, documents and reports are publicly filed with the Commission via the Commission’s Electronic Data Gathering, Analysis, and Retrieval (EDGAR) filing system (or any successor system); provided, however, that the Trustee shall have no obligation to determine whether or not such information, documents or reports have been filed pursuant to the EDGAR filing system (or its successor).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NOTES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Form of Notes</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55" w:lineRule="auto"/>
        <w:tabs>
          <w:tab w:leader="none" w:pos="6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2029 Notes and the Trustee’s certificate of authentication thereon shall be substantially in the form set forth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2029 Notes, as evidenced by the execution thereof. All 2029 Notes shall be in fully registered form.</w:t>
      </w:r>
    </w:p>
    <w:p>
      <w:pPr>
        <w:spacing w:after="0" w:line="84" w:lineRule="exact"/>
        <w:rPr>
          <w:rFonts w:ascii="Arial" w:cs="Arial" w:eastAsia="Arial" w:hAnsi="Arial"/>
          <w:sz w:val="18"/>
          <w:szCs w:val="18"/>
          <w:color w:val="auto"/>
        </w:rPr>
      </w:pPr>
    </w:p>
    <w:p>
      <w:pPr>
        <w:ind w:right="100" w:firstLine="436"/>
        <w:spacing w:after="0" w:line="255"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2032 Notes and the Trustee’s certificate of authentication thereon shall be substantially in the form set forth in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2032 Notes, as evidenced by the execution thereof. All 2032 Notes shall be in fully registered form.</w:t>
      </w:r>
    </w:p>
    <w:p>
      <w:pPr>
        <w:spacing w:after="0" w:line="192"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Global Securities.</w:t>
      </w:r>
      <w:r>
        <w:rPr>
          <w:rFonts w:ascii="Arial" w:cs="Arial" w:eastAsia="Arial" w:hAnsi="Arial"/>
          <w:sz w:val="16"/>
          <w:szCs w:val="16"/>
          <w:color w:val="auto"/>
        </w:rPr>
        <w:t xml:space="preserve"> Upon their original issuance, the 2029 Notes and 2032 Notes shall each be issued in the form of one or more permanent global notes in definitive, fully registered form without interest coupons (the “</w:t>
      </w:r>
      <w:r>
        <w:rPr>
          <w:rFonts w:ascii="Arial" w:cs="Arial" w:eastAsia="Arial" w:hAnsi="Arial"/>
          <w:sz w:val="16"/>
          <w:szCs w:val="16"/>
          <w:b w:val="1"/>
          <w:bCs w:val="1"/>
          <w:color w:val="auto"/>
        </w:rPr>
        <w:t>Global Securities</w:t>
      </w:r>
      <w:r>
        <w:rPr>
          <w:rFonts w:ascii="Arial" w:cs="Arial" w:eastAsia="Arial" w:hAnsi="Arial"/>
          <w:sz w:val="16"/>
          <w:szCs w:val="16"/>
          <w:color w:val="auto"/>
        </w:rPr>
        <w:t>”) and shall constitute “Global Securities” under the Base Indenture. Each such Global Security shall be duly executed by the Company, shall be authenticated and delivered by the Trustee and shall be initially registered in the name of Cede &amp; Co. as nominee for the Depositary. DTC shall be the initial Depositary for the 2029 Notes and 2032 Notes upon their original issuance. Beneficial interests in the Global Securities will be shown on, and transfers will only be made through, the records maintained by the Depositary, its members or its direct or indirect participants, including Euroclear and Clearstream (collectively, the “</w:t>
      </w:r>
      <w:r>
        <w:rPr>
          <w:rFonts w:ascii="Arial" w:cs="Arial" w:eastAsia="Arial" w:hAnsi="Arial"/>
          <w:sz w:val="16"/>
          <w:szCs w:val="16"/>
          <w:b w:val="1"/>
          <w:bCs w:val="1"/>
          <w:color w:val="auto"/>
        </w:rPr>
        <w:t>Agent</w:t>
      </w:r>
      <w:r>
        <w:rPr>
          <w:rFonts w:ascii="Arial" w:cs="Arial" w:eastAsia="Arial" w:hAnsi="Arial"/>
          <w:sz w:val="16"/>
          <w:szCs w:val="16"/>
          <w:color w:val="auto"/>
        </w:rPr>
        <w:t xml:space="preserve"> </w:t>
      </w:r>
      <w:r>
        <w:rPr>
          <w:rFonts w:ascii="Arial" w:cs="Arial" w:eastAsia="Arial" w:hAnsi="Arial"/>
          <w:sz w:val="16"/>
          <w:szCs w:val="16"/>
          <w:b w:val="1"/>
          <w:bCs w:val="1"/>
          <w:color w:val="auto"/>
        </w:rPr>
        <w:t>Members</w:t>
      </w:r>
      <w:r>
        <w:rPr>
          <w:rFonts w:ascii="Arial" w:cs="Arial" w:eastAsia="Arial" w:hAnsi="Arial"/>
          <w:sz w:val="16"/>
          <w:szCs w:val="16"/>
          <w:color w:val="auto"/>
        </w:rPr>
        <w:t>”).The Agent Members shall have no rights under the Base Indenture or the Supplemental Indenture with respect to any Global Security held</w:t>
      </w:r>
      <w:r>
        <w:rPr>
          <w:rFonts w:ascii="Arial" w:cs="Arial" w:eastAsia="Arial" w:hAnsi="Arial"/>
          <w:sz w:val="16"/>
          <w:szCs w:val="16"/>
          <w:b w:val="1"/>
          <w:bCs w:val="1"/>
          <w:color w:val="auto"/>
        </w:rPr>
        <w:t xml:space="preserve"> </w:t>
      </w:r>
      <w:r>
        <w:rPr>
          <w:rFonts w:ascii="Arial" w:cs="Arial" w:eastAsia="Arial" w:hAnsi="Arial"/>
          <w:sz w:val="16"/>
          <w:szCs w:val="16"/>
          <w:color w:val="auto"/>
        </w:rPr>
        <w:t>on their behalf by the Depositary, or the Trustee as its custodian, or under the Global Securities. The Depositary or its nominee may be treated by the Company, the Trustee and any agent of the Company or the Trustee as the absolute owner of the Global Securities for all purposes whatsoever. Notwithstanding the foregoing, nothing herein shall prevent the Company, the Trustee or any agent of the Company or the Trustee from giving effect to any written certification, proxy or other authorization furnished by the Depositary (or its nominee), or impair, as between the Depositary and its Agent Members, the operation of customary practices governing the exercise of the rights of a Holder of any Note.</w:t>
      </w:r>
    </w:p>
    <w:p>
      <w:pPr>
        <w:spacing w:after="0" w:line="60" w:lineRule="exact"/>
        <w:rPr>
          <w:sz w:val="20"/>
          <w:szCs w:val="20"/>
          <w:color w:val="auto"/>
        </w:rPr>
      </w:pPr>
    </w:p>
    <w:p>
      <w:pPr>
        <w:ind w:firstLine="436"/>
        <w:spacing w:after="0" w:line="255" w:lineRule="auto"/>
        <w:tabs>
          <w:tab w:leader="none" w:pos="6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Transfers of Global Securities shall be limited to transfer in whole, but not in part, to the Depositary, its successors or their respective nominees, except as provided in the Base Indenture. Interests of beneficial owners in the Global Securities may be transferred or exchanged in the name of any Person other than the Depositary or its nominee only in accordance with the applicable rules and procedures of the Depositary and the applicable provisions of Section 311 of the Base Indenture. Global Securities also may be exchanged or replaced, in whole or in part, as provided in Sections 304 and 306 of the Base Indenture. A Global Security may not be exchanged for another Note other than as provided in this Section 4.02(b) or the Base Indenture.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56" w:name="page57"/>
    <w:bookmarkEnd w:id="56"/>
    <w:p>
      <w:pPr>
        <w:ind w:left="440" w:right="120" w:firstLine="419"/>
        <w:spacing w:after="0" w:line="269" w:lineRule="auto"/>
        <w:tabs>
          <w:tab w:leader="none" w:pos="1128" w:val="left"/>
        </w:tabs>
        <w:numPr>
          <w:ilvl w:val="1"/>
          <w:numId w:val="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such time as all beneficial interests in a particular Global Security have been exchanged for Notes that are issued, under the circumstances permitted under the Base Indenture and this Supplemental Indenture, in the name of a Person other than the Depositary or its nominee (a “</w:t>
      </w:r>
      <w:r>
        <w:rPr>
          <w:rFonts w:ascii="Arial" w:cs="Arial" w:eastAsia="Arial" w:hAnsi="Arial"/>
          <w:sz w:val="17"/>
          <w:szCs w:val="17"/>
          <w:b w:val="1"/>
          <w:bCs w:val="1"/>
          <w:color w:val="auto"/>
        </w:rPr>
        <w:t>Definitive Security</w:t>
      </w:r>
      <w:r>
        <w:rPr>
          <w:rFonts w:ascii="Arial" w:cs="Arial" w:eastAsia="Arial" w:hAnsi="Arial"/>
          <w:sz w:val="17"/>
          <w:szCs w:val="17"/>
          <w:color w:val="auto"/>
        </w:rPr>
        <w:t>”) or a particular Global Security has been redeemed, repurchased or cancelled in whole and not in part, each such Global Security shall be returned to or retained and cancelled by the Trustee in accordance with Section 309 of the Base Indenture. At any time prior to such cancellation, if any beneficial interest in a Global Security is being exchanged for or transferred to a Person who will take delivery thereof in the form of a beneficial interest in another Global Security of the same series or for Definitive Securities, or is being surrendered by the Company for cancellation after redemption, repurchase or other acquisition by the Company, the principal amount of Notes represented by such Global Security shall be reduced accordingly and an endorsement shall be made on such Global Security by the Security Registrar or by the Depositary at the direction of the Trustee to reflect such reduction; and if the beneficial interest is being exchanged for or transferred to a Person who will take delivery thereof in the form of a beneficial interest in another Global Security of the same series, such other Global Security shall be increased accordingly and an endorsement shall be made on such other Global Security by the Security Registrar or by the Depositary at the direction of the Trustee to reflect such increase.</w:t>
      </w:r>
    </w:p>
    <w:p>
      <w:pPr>
        <w:spacing w:after="0" w:line="70" w:lineRule="exact"/>
        <w:rPr>
          <w:rFonts w:ascii="Arial" w:cs="Arial" w:eastAsia="Arial" w:hAnsi="Arial"/>
          <w:sz w:val="17"/>
          <w:szCs w:val="17"/>
          <w:color w:val="auto"/>
        </w:rPr>
      </w:pPr>
    </w:p>
    <w:p>
      <w:pPr>
        <w:ind w:right="100" w:firstLine="436"/>
        <w:spacing w:after="0" w:line="277"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Note certificate evidencing the Global Securities shall bear a legend in substantially the following form (each defined term in the legend being defined as such for purposes of the legend only):</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57" w:name="page58"/>
    <w:bookmarkEnd w:id="57"/>
    <w:p>
      <w:pPr>
        <w:ind w:right="3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ORIGINAL ISSUE OF NOTES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Original Issue of Notes</w:t>
      </w:r>
      <w:r>
        <w:rPr>
          <w:rFonts w:ascii="Arial" w:cs="Arial" w:eastAsia="Arial" w:hAnsi="Arial"/>
          <w:sz w:val="18"/>
          <w:szCs w:val="18"/>
          <w:color w:val="auto"/>
        </w:rPr>
        <w:t>.</w:t>
      </w:r>
    </w:p>
    <w:p>
      <w:pPr>
        <w:spacing w:after="0" w:line="117" w:lineRule="exact"/>
        <w:rPr>
          <w:sz w:val="20"/>
          <w:szCs w:val="20"/>
          <w:color w:val="auto"/>
        </w:rPr>
      </w:pPr>
    </w:p>
    <w:p>
      <w:pPr>
        <w:ind w:right="820" w:firstLine="436"/>
        <w:spacing w:after="0" w:line="342" w:lineRule="auto"/>
        <w:tabs>
          <w:tab w:leader="none" w:pos="68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2029 Notes may, upon execution of this Supplemental Indenture, be executed by the Company and delivered to the Trustee for authentication, and the Trustee shall, upon Company Order, authenticate and deliver such 2029 Notes as in such Company Order provided.</w:t>
      </w:r>
    </w:p>
    <w:p>
      <w:pPr>
        <w:spacing w:after="0" w:line="15" w:lineRule="exact"/>
        <w:rPr>
          <w:rFonts w:ascii="Arial" w:cs="Arial" w:eastAsia="Arial" w:hAnsi="Arial"/>
          <w:sz w:val="16"/>
          <w:szCs w:val="16"/>
          <w:color w:val="auto"/>
        </w:rPr>
      </w:pPr>
    </w:p>
    <w:p>
      <w:pPr>
        <w:ind w:right="820" w:firstLine="436"/>
        <w:spacing w:after="0" w:line="342" w:lineRule="auto"/>
        <w:tabs>
          <w:tab w:leader="none" w:pos="69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2032 Notes may, upon execution of this Supplemental Indenture, be executed by the Company and delivered to the Trustee for authentication, and the Trustee shall, upon Company Order, authenticate and deliver such 2032 Notes as in such Company Order provided.</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i w:val="1"/>
          <w:iCs w:val="1"/>
          <w:color w:val="auto"/>
        </w:rPr>
        <w:t>Ratification of Base Indenture</w:t>
      </w:r>
      <w:r>
        <w:rPr>
          <w:rFonts w:ascii="Arial" w:cs="Arial" w:eastAsia="Arial" w:hAnsi="Arial"/>
          <w:sz w:val="17"/>
          <w:szCs w:val="17"/>
          <w:color w:val="auto"/>
        </w:rPr>
        <w:t xml:space="preserve">. The Base Indenture, as supplemented by this Supplemental Indenture, is in all respects ratified and confirmed, and this Supplemental Indenture shall be deemed part of the Base Indenture in the manner and to the extent herein and therein provided;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provisions of this Supplemental Indenture shall apply solely with respect to the Notes and not to any other series of</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issued under the Base Indenture, except that the amendment effected by Section 3.05 hereof shall apply with respect to the Notes and to any other series of Securities issued under the Base Indenture subsequent to the date hereof.</w:t>
      </w:r>
    </w:p>
    <w:p>
      <w:pPr>
        <w:spacing w:after="0" w:line="17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Trustee Not Responsible for Recitals</w:t>
      </w:r>
      <w:r>
        <w:rPr>
          <w:rFonts w:ascii="Arial" w:cs="Arial" w:eastAsia="Arial" w:hAnsi="Arial"/>
          <w:sz w:val="18"/>
          <w:szCs w:val="18"/>
          <w:color w:val="auto"/>
        </w:rPr>
        <w:t>. The recitals herein contained are made solely by the Company and not by the Trustee, and the Trustee assumes no responsibility for the correctness thereof. The Trustee makes no representation as to the validity, sufficiency or adequacy of this Supplemental Indenture.</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Governing Law</w:t>
      </w:r>
      <w:r>
        <w:rPr>
          <w:rFonts w:ascii="Arial" w:cs="Arial" w:eastAsia="Arial" w:hAnsi="Arial"/>
          <w:sz w:val="18"/>
          <w:szCs w:val="18"/>
          <w:color w:val="auto"/>
        </w:rPr>
        <w:t>. This Supplemental Indenture and the Notes shall be governed by and construed in accordance with the law of the State of New York in the United States. EACH OF THE COMPANY, THE TRUSTEE AND EACH HOLDER OF THE NOTES BY ITS ACCEPTANCE THEREOF, HEREBY IRREVOCABLY WAIVES, TO THE FULLEST EXTENT PERMITTED BY APPLICABLE LAW, ANY AND ALL RIGHT TO TRIAL BY JURY IN ANY LEGAL PROCEEDING ARISING OUT OF OR RELATING TO THIS SUPPLEMENTAL INDENTURE, THE NOTES OR THE TRANSACTIONS CONTEMPLATED HEREBY OR THEREBY.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58" w:name="page59"/>
    <w:bookmarkEnd w:id="58"/>
    <w:p>
      <w:pPr>
        <w:ind w:right="28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6.04. </w:t>
      </w:r>
      <w:r>
        <w:rPr>
          <w:rFonts w:ascii="Arial" w:cs="Arial" w:eastAsia="Arial" w:hAnsi="Arial"/>
          <w:sz w:val="17"/>
          <w:szCs w:val="17"/>
          <w:i w:val="1"/>
          <w:iCs w:val="1"/>
          <w:color w:val="auto"/>
        </w:rPr>
        <w:t>Separability Clause</w:t>
      </w:r>
      <w:r>
        <w:rPr>
          <w:rFonts w:ascii="Arial" w:cs="Arial" w:eastAsia="Arial" w:hAnsi="Arial"/>
          <w:sz w:val="17"/>
          <w:szCs w:val="17"/>
          <w:color w:val="auto"/>
        </w:rPr>
        <w:t>. In case any provision in the Base Indenture, this Supplemental Indenture or in the Notes is invalid, illegal or unenforceable, the validity, legality and enforceability of the remaining provisions shall not in any way be affected or impaired thereby.</w:t>
      </w:r>
    </w:p>
    <w:p>
      <w:pPr>
        <w:spacing w:after="0" w:line="146"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i w:val="1"/>
          <w:iCs w:val="1"/>
          <w:color w:val="auto"/>
        </w:rPr>
        <w:t>Counterparts</w:t>
      </w:r>
      <w:r>
        <w:rPr>
          <w:rFonts w:ascii="Arial" w:cs="Arial" w:eastAsia="Arial" w:hAnsi="Arial"/>
          <w:sz w:val="17"/>
          <w:szCs w:val="17"/>
          <w:color w:val="auto"/>
        </w:rPr>
        <w:t>. This Supplemental Indenture or any document to be signed in connection with this Supplemental Indenture may be executed in any number of counterparts by manual, facsimile or electronic signature, each of which so executed shall be deemed to be an original, but all such counterparts shall together constitute but one and the same instrument. The exchange of copies of this Supplemental Indenture and of signature pages by facsimile or electronic format (i.e., “pdf” or “tif”) transmission shall constitute effective execution and delivery of this Supplemental Indenture as to the parties hereto and may be used in lieu of the original Supplemental Indenture for all purposes. Signatures of the parties hereto transmitted by facsimile or electronic format (i.e., “pdf” or “tif”) shall be deemed to be their original signatures for all purposes.</w:t>
      </w:r>
    </w:p>
    <w:p>
      <w:pPr>
        <w:spacing w:after="0" w:line="178"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 words “execution,” “delivered,” “signature,” “authenticated,”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i w:val="1"/>
          <w:iCs w:val="1"/>
          <w:color w:val="auto"/>
        </w:rPr>
        <w:t>Electronic Communications</w:t>
      </w:r>
      <w:r>
        <w:rPr>
          <w:rFonts w:ascii="Arial" w:cs="Arial" w:eastAsia="Arial" w:hAnsi="Arial"/>
          <w:sz w:val="17"/>
          <w:szCs w:val="17"/>
          <w:color w:val="auto"/>
        </w:rPr>
        <w:t>. The Trustee shall have the right to accept and act upon instructions (“Instructions”), given pursuant to the Base Indenture and delivered by the Company using Electronic Means (as defined below); provided, however, that the Company shall provide to the Trustee an incumbency certificate listing officers with the authority to provide such Instructions (“Authorized Officers”) and containing specimen signatures of such Authorized Officers, which incumbency certificate shall be amended by the Company whenever a person is to be added or deleted from the listing.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Company agrees: (i) to assume all risks arising out of the use by the Company of Electronic Means to submit Instructions to the Trustee, including without limitation the risk of the Trustee acting on unauthorized Instructions, and the risk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59" w:name="page60"/>
    <w:bookmarkEnd w:id="5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upon learning of any compromise or unauthorized use of the security procedures.</w:t>
      </w:r>
    </w:p>
    <w:p>
      <w:pPr>
        <w:spacing w:after="0" w:line="18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For the purposes of this Section 6.07 “Electronic Means” shall mean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60" w:name="page61"/>
    <w:bookmarkEnd w:id="6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Seventh Supplemental Indenture to be duly executed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Gustavo Vello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Gustavo Vello</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Assistant Treasurer</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Signature Page to Seventh Supplemental Indenture</w:t>
      </w:r>
      <w:r>
        <w:rPr>
          <w:rFonts w:ascii="Arial" w:cs="Arial" w:eastAsia="Arial" w:hAnsi="Arial"/>
          <w:sz w:val="18"/>
          <w:szCs w:val="18"/>
          <w:color w:val="auto"/>
        </w:rPr>
        <w:t>]</w:t>
      </w:r>
    </w:p>
    <w:p>
      <w:pPr>
        <w:sectPr>
          <w:pgSz w:w="11900" w:h="16838" w:orient="portrait"/>
          <w:cols w:equalWidth="0" w:num="1">
            <w:col w:w="10560"/>
          </w:cols>
          <w:pgMar w:left="440" w:top="274" w:right="899" w:bottom="1440" w:gutter="0" w:footer="0" w:header="0"/>
        </w:sectPr>
      </w:pPr>
    </w:p>
    <w:bookmarkStart w:id="61" w:name="page62"/>
    <w:bookmarkEnd w:id="6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NEW YORK MELLON,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Francine Kincaid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Trustee Signature Page to Seventh Supplemental Indenture</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5.400% SENIOR NOTE DUE 2029]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 Legend]</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ind w:right="400" w:firstLine="44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0"/>
          </w:cols>
          <w:pgMar w:left="440" w:top="270" w:right="439" w:bottom="1440" w:gutter="0" w:footer="0" w:header="0"/>
        </w:sectPr>
      </w:pPr>
    </w:p>
    <w:bookmarkStart w:id="63" w:name="page64"/>
    <w:bookmarkEnd w:id="63"/>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MOTORS COMPANY</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5.400% Senior Notes due 2029</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CUSIP No.: 37045V AY6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ISIN No.: US37045VAY65</w:t>
      </w:r>
    </w:p>
    <w:p>
      <w:pPr>
        <w:spacing w:after="0" w:line="234" w:lineRule="exact"/>
        <w:rPr>
          <w:sz w:val="20"/>
          <w:szCs w:val="20"/>
          <w:color w:val="auto"/>
        </w:rPr>
      </w:pPr>
    </w:p>
    <w:p>
      <w:pPr>
        <w:ind w:left="4"/>
        <w:spacing w:after="0"/>
        <w:tabs>
          <w:tab w:leader="none" w:pos="584" w:val="left"/>
          <w:tab w:leader="none" w:pos="9244" w:val="left"/>
          <w:tab w:leader="none" w:pos="9624" w:val="left"/>
        </w:tabs>
        <w:rPr>
          <w:sz w:val="20"/>
          <w:szCs w:val="20"/>
          <w:color w:val="auto"/>
        </w:rPr>
      </w:pPr>
      <w:r>
        <w:rPr>
          <w:rFonts w:ascii="Arial" w:cs="Arial" w:eastAsia="Arial" w:hAnsi="Arial"/>
          <w:sz w:val="18"/>
          <w:szCs w:val="18"/>
          <w:color w:val="auto"/>
        </w:rPr>
        <w:t>No. [</w:t>
        <w:tab/>
        <w:t>]</w:t>
      </w:r>
      <w:r>
        <w:rPr>
          <w:sz w:val="20"/>
          <w:szCs w:val="20"/>
          <w:color w:val="auto"/>
        </w:rPr>
        <w:tab/>
      </w:r>
      <w:r>
        <w:rPr>
          <w:rFonts w:ascii="Arial" w:cs="Arial" w:eastAsia="Arial" w:hAnsi="Arial"/>
          <w:sz w:val="18"/>
          <w:szCs w:val="18"/>
          <w:b w:val="1"/>
          <w:bCs w:val="1"/>
          <w:color w:val="auto"/>
        </w:rPr>
        <w:t>$[</w:t>
        <w:tab/>
        <w:t>]</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6"/>
          <w:szCs w:val="16"/>
          <w:color w:val="auto"/>
        </w:rPr>
        <w:t>GENERAL MOTORS COMPANY, a corporation duly organized and existing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Person under the Indenture hereinafter referred to), for value received, hereby promises to pay to CEDE &amp; CO., or registered assigns, the principal sum of $[ ] ([ ] DOLLARS)[, as revised by the Schedule of Increases and Decreases attached hereto,]</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on October 15, 2029, and to pay interest thereon from August 2, 2022 or from the most recent Interest Payment Date to which interest has been paid or duly provided for, semi-annually in arrears on April 15 and October 15 of each year, commencing on October 15, 2022, at the rate of 5.400%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April 1 or October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7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70" w:lineRule="exact"/>
        <w:rPr>
          <w:sz w:val="20"/>
          <w:szCs w:val="20"/>
          <w:color w:val="auto"/>
        </w:rPr>
      </w:pPr>
    </w:p>
    <w:p>
      <w:pPr>
        <w:ind w:left="4" w:right="740" w:firstLine="440"/>
        <w:spacing w:after="0" w:line="342" w:lineRule="auto"/>
        <w:rPr>
          <w:sz w:val="20"/>
          <w:szCs w:val="20"/>
          <w:color w:val="auto"/>
        </w:rPr>
      </w:pPr>
      <w:r>
        <w:rPr>
          <w:rFonts w:ascii="Arial" w:cs="Arial" w:eastAsia="Arial" w:hAnsi="Arial"/>
          <w:sz w:val="16"/>
          <w:szCs w:val="16"/>
          <w:color w:val="auto"/>
        </w:rPr>
        <w:t>Unless the certificate of authentication hereon has been executed by the Trustee referred to on the reverse hereof by manual, facsimile or electronic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71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tabs>
          <w:tab w:leader="none" w:pos="424"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To be included in Global Securities.</w:t>
      </w:r>
    </w:p>
    <w:p>
      <w:pPr>
        <w:spacing w:after="0" w:line="13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04"/>
          </w:cols>
          <w:pgMar w:left="436" w:top="270" w:right="45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Gustavo Vello</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Assistant Treasurer</w:t>
      </w:r>
    </w:p>
    <w:p>
      <w:pPr>
        <w:spacing w:after="0" w:line="1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019"/>
          </w:cols>
          <w:pgMar w:left="440" w:top="274" w:right="1440" w:bottom="1440" w:gutter="0" w:footer="0" w:header="0"/>
        </w:sectPr>
      </w:pPr>
    </w:p>
    <w:bookmarkStart w:id="65" w:name="page66"/>
    <w:bookmarkEnd w:id="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 as Trustee</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2022</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420"/>
          </w:cols>
          <w:pgMar w:left="440" w:top="274" w:right="10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ind w:right="20" w:firstLine="436"/>
        <w:spacing w:after="0" w:line="291" w:lineRule="auto"/>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Note is one of a duly authorized issue of Securities of the Company (the “</w:t>
      </w:r>
      <w:r>
        <w:rPr>
          <w:rFonts w:ascii="Arial" w:cs="Arial" w:eastAsia="Arial" w:hAnsi="Arial"/>
          <w:sz w:val="16"/>
          <w:szCs w:val="16"/>
          <w:b w:val="1"/>
          <w:bCs w:val="1"/>
          <w:color w:val="auto"/>
        </w:rPr>
        <w:t>Notes</w:t>
      </w:r>
      <w:r>
        <w:rPr>
          <w:rFonts w:ascii="Arial" w:cs="Arial" w:eastAsia="Arial" w:hAnsi="Arial"/>
          <w:sz w:val="16"/>
          <w:szCs w:val="16"/>
          <w:color w:val="auto"/>
        </w:rPr>
        <w:t>”), issued and to be issued in one or more series under the Indenture, dated as of September 27, 2013 (as supplemented prior to the date hereof, the “</w:t>
      </w:r>
      <w:r>
        <w:rPr>
          <w:rFonts w:ascii="Arial" w:cs="Arial" w:eastAsia="Arial" w:hAnsi="Arial"/>
          <w:sz w:val="16"/>
          <w:szCs w:val="16"/>
          <w:b w:val="1"/>
          <w:bCs w:val="1"/>
          <w:color w:val="auto"/>
        </w:rPr>
        <w:t>Base Indenture</w:t>
      </w:r>
      <w:r>
        <w:rPr>
          <w:rFonts w:ascii="Arial" w:cs="Arial" w:eastAsia="Arial" w:hAnsi="Arial"/>
          <w:sz w:val="16"/>
          <w:szCs w:val="16"/>
          <w:color w:val="auto"/>
        </w:rPr>
        <w:t>”), and the Seventh Supplemental Indenture relating to the Notes dated as of August 2, 2022 (the “</w:t>
      </w:r>
      <w:r>
        <w:rPr>
          <w:rFonts w:ascii="Arial" w:cs="Arial" w:eastAsia="Arial" w:hAnsi="Arial"/>
          <w:sz w:val="16"/>
          <w:szCs w:val="16"/>
          <w:b w:val="1"/>
          <w:bCs w:val="1"/>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$1,000,000,000;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at any time and from time to time, without the consent of any Holder, issue additional Notes of this series.</w:t>
      </w:r>
    </w:p>
    <w:p>
      <w:pPr>
        <w:spacing w:after="0" w:line="163"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All terms which are used but not defined in this Note and which are defined in the Indenture shall have the meanings assigned to them in the Indenture.</w:t>
      </w:r>
    </w:p>
    <w:p>
      <w:pPr>
        <w:spacing w:after="0" w:line="58" w:lineRule="exact"/>
        <w:rPr>
          <w:sz w:val="20"/>
          <w:szCs w:val="20"/>
          <w:color w:val="auto"/>
        </w:rPr>
      </w:pPr>
    </w:p>
    <w:p>
      <w:pPr>
        <w:ind w:firstLine="436"/>
        <w:spacing w:after="0" w:line="274" w:lineRule="auto"/>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Prior to August 15, 2029 (the “</w:t>
      </w:r>
      <w:r>
        <w:rPr>
          <w:rFonts w:ascii="Arial" w:cs="Arial" w:eastAsia="Arial" w:hAnsi="Arial"/>
          <w:sz w:val="17"/>
          <w:szCs w:val="17"/>
          <w:b w:val="1"/>
          <w:bCs w:val="1"/>
          <w:color w:val="auto"/>
        </w:rPr>
        <w:t>Par Call Date</w:t>
      </w:r>
      <w:r>
        <w:rPr>
          <w:rFonts w:ascii="Arial" w:cs="Arial" w:eastAsia="Arial" w:hAnsi="Arial"/>
          <w:sz w:val="17"/>
          <w:szCs w:val="17"/>
          <w:color w:val="auto"/>
        </w:rPr>
        <w:t>”), the Company may redeem the Notes, in whole or in part, at any time and from time to time, at a redemption price (expressed as a percentage of principal amount and rounded to three decimal places) equal to the greater of: (i)(a)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45 basis points less (b) interest accrued to the date of redemption, and (ii) 100% of the principal amount of the Notes to be redeemed, plus, in either case, accrued and unpaid interest thereon to the redemption date.</w:t>
      </w:r>
    </w:p>
    <w:p>
      <w:pPr>
        <w:spacing w:after="0" w:line="17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Unless the Company defaults in the payment of the applicable redemption price, on and after the applicable redemption date, interest will cease to accrue on the Notes or portions of the Notes called for redemption.</w:t>
      </w:r>
    </w:p>
    <w:p>
      <w:pPr>
        <w:spacing w:after="0" w:line="170"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On or after the Par Call Date, the Company may redeem the Notes, in whole or in part, at any time and from time to time, at a redemption price equal to 100% of the principal amount of the Notes being redeemed plus accrued and unpaid interest thereon to the redemption date.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actions and determinations in determining the redemption price shall be conclusive and binding for all purposes, absent manifest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error.</w:t>
      </w:r>
    </w:p>
    <w:p>
      <w:pPr>
        <w:spacing w:after="0" w:line="21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20"/>
          </w:cols>
          <w:pgMar w:left="440" w:top="270" w:right="439" w:bottom="1440" w:gutter="0" w:footer="0" w:header="0"/>
        </w:sectPr>
      </w:pPr>
    </w:p>
    <w:bookmarkStart w:id="67" w:name="page68"/>
    <w:bookmarkEnd w:id="67"/>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Article Eleven of the Base Indenture shall apply to any redemption of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Section 2, the following terms shall have the following specified meanings:</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Rate</w:t>
      </w:r>
      <w:r>
        <w:rPr>
          <w:rFonts w:ascii="Arial" w:cs="Arial" w:eastAsia="Arial" w:hAnsi="Arial"/>
          <w:sz w:val="18"/>
          <w:szCs w:val="18"/>
          <w:color w:val="auto"/>
        </w:rPr>
        <w:t>” means, with respect to any redemption date, the yield determined by the Company in accordance with the following two paragraphs.</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80"/>
          </w:cols>
          <w:pgMar w:left="440" w:top="274" w:right="479" w:bottom="1440" w:gutter="0" w:footer="0" w:header="0"/>
        </w:sectPr>
      </w:pPr>
    </w:p>
    <w:bookmarkStart w:id="68" w:name="page69"/>
    <w:bookmarkEnd w:id="68"/>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71" w:lineRule="exact"/>
        <w:rPr>
          <w:sz w:val="20"/>
          <w:szCs w:val="20"/>
          <w:color w:val="auto"/>
        </w:rPr>
      </w:pPr>
    </w:p>
    <w:p>
      <w:pPr>
        <w:ind w:right="140" w:firstLine="436"/>
        <w:spacing w:after="0" w:line="277" w:lineRule="auto"/>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62" w:lineRule="exact"/>
        <w:rPr>
          <w:rFonts w:ascii="Arial" w:cs="Arial" w:eastAsia="Arial" w:hAnsi="Arial"/>
          <w:sz w:val="18"/>
          <w:szCs w:val="18"/>
          <w:color w:val="auto"/>
        </w:rPr>
      </w:pPr>
    </w:p>
    <w:p>
      <w:pPr>
        <w:ind w:right="60" w:firstLine="436"/>
        <w:spacing w:after="0" w:line="270"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72" w:lineRule="exact"/>
        <w:rPr>
          <w:rFonts w:ascii="Arial" w:cs="Arial" w:eastAsia="Arial" w:hAnsi="Arial"/>
          <w:sz w:val="17"/>
          <w:szCs w:val="17"/>
          <w:color w:val="auto"/>
        </w:rPr>
      </w:pPr>
    </w:p>
    <w:p>
      <w:pPr>
        <w:ind w:right="100" w:firstLine="436"/>
        <w:spacing w:after="0" w:line="277" w:lineRule="auto"/>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70"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00"/>
          </w:cols>
          <w:pgMar w:left="440" w:top="274" w:right="459" w:bottom="1440" w:gutter="0" w:footer="0" w:header="0"/>
        </w:sectPr>
      </w:pPr>
    </w:p>
    <w:bookmarkStart w:id="69" w:name="page70"/>
    <w:bookmarkEnd w:id="69"/>
    <w:p>
      <w:pPr>
        <w:ind w:right="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6" w:lineRule="exact"/>
        <w:rPr>
          <w:sz w:val="20"/>
          <w:szCs w:val="20"/>
          <w:color w:val="auto"/>
        </w:rPr>
      </w:pPr>
    </w:p>
    <w:p>
      <w:pPr>
        <w:ind w:right="320" w:firstLine="436"/>
        <w:spacing w:after="0" w:line="263" w:lineRule="auto"/>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75" w:lineRule="exact"/>
        <w:rPr>
          <w:rFonts w:ascii="Arial" w:cs="Arial" w:eastAsia="Arial" w:hAnsi="Arial"/>
          <w:sz w:val="18"/>
          <w:szCs w:val="18"/>
          <w:color w:val="auto"/>
        </w:rPr>
      </w:pPr>
    </w:p>
    <w:p>
      <w:pPr>
        <w:ind w:right="20" w:firstLine="436"/>
        <w:spacing w:after="0" w:line="255" w:lineRule="auto"/>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Notes are issuable only in registered form without coupons in denominations of $2,000 and integral multiples of $1,000 in excess thereof.</w:t>
      </w:r>
    </w:p>
    <w:p>
      <w:pPr>
        <w:spacing w:after="0" w:line="24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26"/>
          <w:szCs w:val="26"/>
          <w:color w:val="auto"/>
          <w:vertAlign w:val="superscript"/>
        </w:rPr>
        <w:t>1</w:t>
      </w:r>
    </w:p>
    <w:p>
      <w:pPr>
        <w:spacing w:after="0" w:line="2" w:lineRule="exact"/>
        <w:rPr>
          <w:sz w:val="20"/>
          <w:szCs w:val="20"/>
          <w:color w:val="auto"/>
        </w:rPr>
      </w:pPr>
    </w:p>
    <w:p>
      <w:pPr>
        <w:ind w:right="400" w:firstLine="440"/>
        <w:spacing w:after="0" w:line="258" w:lineRule="auto"/>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This Note and the Indenture shall be governed by and construed in accordance with the law of the State of New York in the United</w:t>
      </w:r>
      <w:r>
        <w:rPr>
          <w:rFonts w:ascii="Arial" w:cs="Arial" w:eastAsia="Arial" w:hAnsi="Arial"/>
          <w:sz w:val="18"/>
          <w:szCs w:val="18"/>
          <w:color w:val="auto"/>
        </w:rPr>
        <w:t xml:space="preserve"> </w:t>
      </w:r>
      <w:r>
        <w:rPr>
          <w:rFonts w:ascii="Arial" w:cs="Arial" w:eastAsia="Arial" w:hAnsi="Arial"/>
          <w:sz w:val="18"/>
          <w:szCs w:val="18"/>
          <w:b w:val="1"/>
          <w:bCs w:val="1"/>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771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8"/>
          <w:szCs w:val="18"/>
          <w:color w:val="auto"/>
        </w:rPr>
        <w:t>To be included in Global Securities.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000"/>
          </w:cols>
          <w:pgMar w:left="440" w:top="274" w:right="459" w:bottom="1440" w:gutter="0" w:footer="0" w:header="0"/>
        </w:sectPr>
      </w:pPr>
    </w:p>
    <w:bookmarkStart w:id="70" w:name="page71"/>
    <w:bookmarkEnd w:id="70"/>
    <w:p>
      <w:pPr>
        <w:ind w:left="3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OR DECREASES</w:t>
      </w:r>
      <w:r>
        <w:rPr>
          <w:rFonts w:ascii="Arial" w:cs="Arial" w:eastAsia="Arial" w:hAnsi="Arial"/>
          <w:sz w:val="23"/>
          <w:szCs w:val="23"/>
          <w:color w:val="auto"/>
          <w:vertAlign w:val="superscript"/>
        </w:rPr>
        <w:t>1</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increases and decreases in this Global Security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 of decrease</w:t>
            </w: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 increase in</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Global Security</w:t>
            </w:r>
          </w:p>
        </w:tc>
        <w:tc>
          <w:tcPr>
            <w:tcW w:w="0" w:type="dxa"/>
            <w:vAlign w:val="bottom"/>
          </w:tcPr>
          <w:p>
            <w:pPr>
              <w:spacing w:after="0"/>
              <w:rPr>
                <w:sz w:val="1"/>
                <w:szCs w:val="1"/>
                <w:color w:val="auto"/>
              </w:rPr>
            </w:pPr>
          </w:p>
        </w:tc>
      </w:tr>
      <w:tr>
        <w:trPr>
          <w:trHeight w:val="256"/>
        </w:trPr>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640" w:type="dxa"/>
            <w:vAlign w:val="bottom"/>
            <w:gridSpan w:val="3"/>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0"/>
                <w:szCs w:val="20"/>
                <w:color w:val="auto"/>
              </w:rPr>
            </w:pPr>
            <w:r>
              <w:rPr>
                <w:rFonts w:ascii="Arial" w:cs="Arial" w:eastAsia="Arial" w:hAnsi="Arial"/>
                <w:sz w:val="13"/>
                <w:szCs w:val="13"/>
                <w:color w:val="auto"/>
              </w:rPr>
              <w:t>1</w:t>
            </w:r>
          </w:p>
        </w:tc>
        <w:tc>
          <w:tcPr>
            <w:tcW w:w="4560" w:type="dxa"/>
            <w:vAlign w:val="bottom"/>
            <w:gridSpan w:val="4"/>
          </w:tcPr>
          <w:p>
            <w:pPr>
              <w:ind w:left="120"/>
              <w:spacing w:after="0"/>
              <w:rPr>
                <w:sz w:val="20"/>
                <w:szCs w:val="20"/>
                <w:color w:val="auto"/>
              </w:rPr>
            </w:pPr>
            <w:r>
              <w:rPr>
                <w:rFonts w:ascii="Arial" w:cs="Arial" w:eastAsia="Arial" w:hAnsi="Arial"/>
                <w:sz w:val="18"/>
                <w:szCs w:val="18"/>
                <w:color w:val="auto"/>
              </w:rPr>
              <w:t>To be included in Global Securities.</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ind w:left="420"/>
              <w:spacing w:after="0"/>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 of</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r>
      <w:tr>
        <w:trPr>
          <w:trHeight w:val="148"/>
        </w:trPr>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this Global Security</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 signatory</w:t>
            </w:r>
          </w:p>
        </w:tc>
      </w:tr>
      <w:tr>
        <w:trPr>
          <w:trHeight w:val="148"/>
        </w:trPr>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following such</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Trustee or Security</w:t>
            </w:r>
          </w:p>
        </w:tc>
      </w:tr>
      <w:tr>
        <w:trPr>
          <w:trHeight w:val="185"/>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decrease or 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Registrar</w:t>
            </w:r>
          </w:p>
        </w:tc>
      </w:tr>
    </w:tbl>
    <w:p>
      <w:pPr>
        <w:sectPr>
          <w:pgSz w:w="11900" w:h="16838" w:orient="portrait"/>
          <w:cols w:equalWidth="0" w:num="2">
            <w:col w:w="7340" w:space="60"/>
            <w:col w:w="3620"/>
          </w:cols>
          <w:pgMar w:left="440" w:top="274" w:right="4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20" w:type="dxa"/>
            <w:vAlign w:val="bottom"/>
            <w:gridSpan w:val="3"/>
          </w:tcPr>
          <w:p>
            <w:pPr>
              <w:jc w:val="center"/>
              <w:ind w:right="160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257"/>
        </w:trPr>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tcPr>
          <w:p>
            <w:pPr>
              <w:spacing w:after="0"/>
              <w:rPr>
                <w:sz w:val="22"/>
                <w:szCs w:val="22"/>
                <w:color w:val="auto"/>
              </w:rPr>
            </w:pPr>
          </w:p>
        </w:tc>
      </w:tr>
      <w:tr>
        <w:trPr>
          <w:trHeight w:val="237"/>
        </w:trPr>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20" w:type="dxa"/>
            <w:vAlign w:val="bottom"/>
            <w:gridSpan w:val="3"/>
          </w:tcPr>
          <w:p>
            <w:pPr>
              <w:jc w:val="center"/>
              <w:ind w:right="1620"/>
              <w:spacing w:after="0"/>
              <w:rPr>
                <w:sz w:val="20"/>
                <w:szCs w:val="20"/>
                <w:color w:val="auto"/>
              </w:rPr>
            </w:pPr>
            <w:r>
              <w:rPr>
                <w:rFonts w:ascii="Arial" w:cs="Arial" w:eastAsia="Arial" w:hAnsi="Arial"/>
                <w:sz w:val="18"/>
                <w:szCs w:val="18"/>
                <w:color w:val="auto"/>
                <w:w w:val="89"/>
              </w:rPr>
              <w:t>(Insert assignee’s soc. sec. or tax I.D. No.)</w:t>
            </w:r>
          </w:p>
        </w:tc>
      </w:tr>
      <w:tr>
        <w:trPr>
          <w:trHeight w:val="432"/>
        </w:trPr>
        <w:tc>
          <w:tcPr>
            <w:tcW w:w="1600" w:type="dxa"/>
            <w:vAlign w:val="bottom"/>
            <w:gridSpan w:val="2"/>
          </w:tcPr>
          <w:p>
            <w:pPr>
              <w:spacing w:after="0"/>
              <w:rPr>
                <w:sz w:val="20"/>
                <w:szCs w:val="20"/>
                <w:color w:val="auto"/>
              </w:rPr>
            </w:pPr>
            <w:r>
              <w:rPr>
                <w:rFonts w:ascii="Arial" w:cs="Arial" w:eastAsia="Arial" w:hAnsi="Arial"/>
                <w:sz w:val="18"/>
                <w:szCs w:val="18"/>
                <w:color w:val="auto"/>
              </w:rPr>
              <w:t>and irrevocably</w:t>
            </w:r>
          </w:p>
        </w:tc>
        <w:tc>
          <w:tcPr>
            <w:tcW w:w="9420" w:type="dxa"/>
            <w:vAlign w:val="bottom"/>
            <w:gridSpan w:val="3"/>
          </w:tcPr>
          <w:p>
            <w:pPr>
              <w:ind w:left="460"/>
              <w:spacing w:after="0"/>
              <w:rPr>
                <w:sz w:val="20"/>
                <w:szCs w:val="20"/>
                <w:color w:val="auto"/>
              </w:rPr>
            </w:pPr>
            <w:r>
              <w:rPr>
                <w:rFonts w:ascii="Arial" w:cs="Arial" w:eastAsia="Arial" w:hAnsi="Arial"/>
                <w:sz w:val="18"/>
                <w:szCs w:val="18"/>
                <w:color w:val="auto"/>
                <w:w w:val="98"/>
              </w:rPr>
              <w:t>appoint agent to transfer this Note on the books of the Company. The agent may substitute another to act for him.</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0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420" w:type="dxa"/>
            <w:vAlign w:val="bottom"/>
          </w:tcPr>
          <w:p>
            <w:pPr>
              <w:ind w:left="1000"/>
              <w:spacing w:after="0"/>
              <w:rPr>
                <w:sz w:val="20"/>
                <w:szCs w:val="20"/>
                <w:color w:val="auto"/>
              </w:rPr>
            </w:pPr>
            <w:r>
              <w:rPr>
                <w:rFonts w:ascii="Arial" w:cs="Arial" w:eastAsia="Arial" w:hAnsi="Arial"/>
                <w:sz w:val="18"/>
                <w:szCs w:val="18"/>
                <w:color w:val="auto"/>
              </w:rPr>
              <w:t>Your Signature:</w:t>
            </w:r>
          </w:p>
        </w:tc>
        <w:tc>
          <w:tcPr>
            <w:tcW w:w="396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Signature Guarantee:</w:t>
            </w:r>
          </w:p>
        </w:tc>
        <w:tc>
          <w:tcPr>
            <w:tcW w:w="5280" w:type="dxa"/>
            <w:vAlign w:val="bottom"/>
          </w:tcPr>
          <w:p>
            <w:pPr>
              <w:spacing w:after="0"/>
              <w:rPr>
                <w:sz w:val="20"/>
                <w:szCs w:val="20"/>
                <w:color w:val="auto"/>
              </w:rPr>
            </w:pPr>
          </w:p>
        </w:tc>
      </w:tr>
      <w:tr>
        <w:trPr>
          <w:trHeight w:val="459"/>
        </w:trPr>
        <w:tc>
          <w:tcPr>
            <w:tcW w:w="2760" w:type="dxa"/>
            <w:vAlign w:val="bottom"/>
          </w:tcPr>
          <w:p>
            <w:pPr>
              <w:spacing w:after="0"/>
              <w:rPr>
                <w:sz w:val="20"/>
                <w:szCs w:val="20"/>
                <w:color w:val="auto"/>
              </w:rPr>
            </w:pPr>
            <w:r>
              <w:rPr>
                <w:rFonts w:ascii="Arial" w:cs="Arial" w:eastAsia="Arial" w:hAnsi="Arial"/>
                <w:sz w:val="18"/>
                <w:szCs w:val="18"/>
                <w:color w:val="auto"/>
              </w:rPr>
              <w:t>Date: ____________</w:t>
            </w:r>
          </w:p>
        </w:tc>
        <w:tc>
          <w:tcPr>
            <w:tcW w:w="5280" w:type="dxa"/>
            <w:vAlign w:val="bottom"/>
            <w:tcBorders>
              <w:bottom w:val="single" w:sz="8" w:color="auto"/>
            </w:tcBorders>
          </w:tcPr>
          <w:p>
            <w:pPr>
              <w:spacing w:after="0"/>
              <w:rPr>
                <w:sz w:val="24"/>
                <w:szCs w:val="24"/>
                <w:color w:val="auto"/>
              </w:rPr>
            </w:pPr>
          </w:p>
        </w:tc>
      </w:tr>
      <w:tr>
        <w:trPr>
          <w:trHeight w:val="209"/>
        </w:trPr>
        <w:tc>
          <w:tcPr>
            <w:tcW w:w="2760" w:type="dxa"/>
            <w:vAlign w:val="bottom"/>
          </w:tcPr>
          <w:p>
            <w:pPr>
              <w:spacing w:after="0"/>
              <w:rPr>
                <w:sz w:val="20"/>
                <w:szCs w:val="20"/>
                <w:color w:val="auto"/>
              </w:rPr>
            </w:pPr>
            <w:r>
              <w:rPr>
                <w:rFonts w:ascii="Arial" w:cs="Arial" w:eastAsia="Arial" w:hAnsi="Arial"/>
                <w:sz w:val="18"/>
                <w:szCs w:val="18"/>
                <w:color w:val="auto"/>
                <w:w w:val="97"/>
              </w:rPr>
              <w:t>Signature must be guaranteed by a</w:t>
            </w:r>
          </w:p>
        </w:tc>
        <w:tc>
          <w:tcPr>
            <w:tcW w:w="5280" w:type="dxa"/>
            <w:vAlign w:val="bottom"/>
          </w:tcPr>
          <w:p>
            <w:pPr>
              <w:spacing w:after="0"/>
              <w:rPr>
                <w:sz w:val="20"/>
                <w:szCs w:val="20"/>
                <w:color w:val="auto"/>
              </w:rPr>
            </w:pPr>
            <w:r>
              <w:rPr>
                <w:rFonts w:ascii="Arial" w:cs="Arial" w:eastAsia="Arial" w:hAnsi="Arial"/>
                <w:sz w:val="18"/>
                <w:szCs w:val="18"/>
                <w:color w:val="auto"/>
              </w:rPr>
              <w:t>Signature of Signature Guarantee</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w w:val="94"/>
              </w:rPr>
              <w:t>participant in a recognized signature</w:t>
            </w:r>
          </w:p>
        </w:tc>
        <w:tc>
          <w:tcPr>
            <w:tcW w:w="528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guaranty medallion program or</w:t>
            </w:r>
          </w:p>
        </w:tc>
        <w:tc>
          <w:tcPr>
            <w:tcW w:w="528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w w:val="99"/>
              </w:rPr>
              <w:t>other signature guarantor program</w:t>
            </w:r>
          </w:p>
        </w:tc>
        <w:tc>
          <w:tcPr>
            <w:tcW w:w="528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w w:val="92"/>
              </w:rPr>
              <w:t>reasonably acceptable to the Trustee</w:t>
            </w:r>
          </w:p>
        </w:tc>
        <w:tc>
          <w:tcPr>
            <w:tcW w:w="5280" w:type="dxa"/>
            <w:vAlign w:val="bottom"/>
          </w:tcPr>
          <w:p>
            <w:pPr>
              <w:spacing w:after="0"/>
              <w:rPr>
                <w:sz w:val="20"/>
                <w:szCs w:val="20"/>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A-1-10</w:t>
      </w:r>
    </w:p>
    <w:p>
      <w:pPr>
        <w:sectPr>
          <w:pgSz w:w="11900" w:h="16838" w:orient="portrait"/>
          <w:cols w:equalWidth="0" w:num="1">
            <w:col w:w="11020"/>
          </w:cols>
          <w:pgMar w:left="440" w:top="274" w:right="4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5.600% SENIOR NOTE DUE 2032]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 Legend]</w:t>
      </w:r>
    </w:p>
    <w:p>
      <w:pPr>
        <w:spacing w:after="0" w:line="22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ind w:right="400" w:firstLine="44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20"/>
          </w:cols>
          <w:pgMar w:left="440" w:top="270" w:right="439" w:bottom="1440" w:gutter="0" w:footer="0" w:header="0"/>
        </w:sectPr>
      </w:pPr>
    </w:p>
    <w:bookmarkStart w:id="73" w:name="page74"/>
    <w:bookmarkEnd w:id="73"/>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MOTORS COMPANY</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5.600% Senior Notes due 2032</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CUSIP No.: 37045V AZ3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ISIN No.: US37045VAZ31</w:t>
      </w:r>
    </w:p>
    <w:p>
      <w:pPr>
        <w:spacing w:after="0" w:line="238" w:lineRule="exact"/>
        <w:rPr>
          <w:sz w:val="20"/>
          <w:szCs w:val="20"/>
          <w:color w:val="auto"/>
        </w:rPr>
      </w:pPr>
    </w:p>
    <w:p>
      <w:pPr>
        <w:ind w:left="4"/>
        <w:spacing w:after="0"/>
        <w:tabs>
          <w:tab w:leader="none" w:pos="8224" w:val="left"/>
        </w:tabs>
        <w:rPr>
          <w:sz w:val="20"/>
          <w:szCs w:val="20"/>
          <w:color w:val="auto"/>
        </w:rPr>
      </w:pPr>
      <w:r>
        <w:rPr>
          <w:rFonts w:ascii="Arial" w:cs="Arial" w:eastAsia="Arial" w:hAnsi="Arial"/>
          <w:sz w:val="18"/>
          <w:szCs w:val="18"/>
          <w:color w:val="auto"/>
        </w:rPr>
        <w:t>No. [ ]</w:t>
      </w:r>
      <w:r>
        <w:rPr>
          <w:sz w:val="20"/>
          <w:szCs w:val="20"/>
          <w:color w:val="auto"/>
        </w:rPr>
        <w:tab/>
      </w:r>
      <w:r>
        <w:rPr>
          <w:rFonts w:ascii="Arial" w:cs="Arial" w:eastAsia="Arial" w:hAnsi="Arial"/>
          <w:sz w:val="18"/>
          <w:szCs w:val="18"/>
          <w:color w:val="auto"/>
        </w:rPr>
        <w:t>$[ ]</w:t>
      </w:r>
    </w:p>
    <w:p>
      <w:pPr>
        <w:spacing w:after="0" w:line="221"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6"/>
          <w:szCs w:val="16"/>
          <w:color w:val="auto"/>
        </w:rPr>
        <w:t>GENERAL MOTORS COMPANY, a corporation duly organized and existing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Person under the Indenture hereinafter referred to), for value received, hereby promises to pay to CEDE &amp; CO., or registered assigns, the principal sum of $[ ] ([ ] DOLLARS)[, as revised by the Schedule of Increases and Decreases attached hereto,]</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on October 15, 2032, and to pay interest thereon from August 2, 2022 or from the most recent Interest Payment Date to which interest has been paid or duly provided for, semi-annually in arrears on April 15 and October 15 of each year, commencing on October 15, 2022, at the rate of 5.600%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April 1 or October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7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70" w:lineRule="exact"/>
        <w:rPr>
          <w:sz w:val="20"/>
          <w:szCs w:val="20"/>
          <w:color w:val="auto"/>
        </w:rPr>
      </w:pPr>
    </w:p>
    <w:p>
      <w:pPr>
        <w:ind w:left="4" w:right="740" w:firstLine="440"/>
        <w:spacing w:after="0" w:line="342" w:lineRule="auto"/>
        <w:rPr>
          <w:sz w:val="20"/>
          <w:szCs w:val="20"/>
          <w:color w:val="auto"/>
        </w:rPr>
      </w:pPr>
      <w:r>
        <w:rPr>
          <w:rFonts w:ascii="Arial" w:cs="Arial" w:eastAsia="Arial" w:hAnsi="Arial"/>
          <w:sz w:val="16"/>
          <w:szCs w:val="16"/>
          <w:color w:val="auto"/>
        </w:rPr>
        <w:t>Unless the certificate of authentication hereon has been executed by the Trustee referred to on the reverse hereof by manual, facsimile or electronic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715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8" w:lineRule="exact"/>
        <w:rPr>
          <w:sz w:val="20"/>
          <w:szCs w:val="20"/>
          <w:color w:val="auto"/>
        </w:rPr>
      </w:pPr>
    </w:p>
    <w:p>
      <w:pPr>
        <w:ind w:left="424" w:hanging="424"/>
        <w:spacing w:after="0"/>
        <w:tabs>
          <w:tab w:leader="none" w:pos="424"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To be included in Global Securities.</w:t>
      </w:r>
    </w:p>
    <w:p>
      <w:pPr>
        <w:spacing w:after="0" w:line="13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04"/>
          </w:cols>
          <w:pgMar w:left="436" w:top="270" w:right="45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GENERAL MOTORS 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Gustavo Vello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Assistant Treasurer</w:t>
      </w:r>
    </w:p>
    <w:p>
      <w:pPr>
        <w:spacing w:after="0" w:line="1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0019"/>
          </w:cols>
          <w:pgMar w:left="440" w:top="274" w:right="1440" w:bottom="1440" w:gutter="0" w:footer="0" w:header="0"/>
        </w:sectPr>
      </w:pPr>
    </w:p>
    <w:bookmarkStart w:id="75" w:name="page76"/>
    <w:bookmarkEnd w:id="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 as Trustee</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2022</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0420"/>
          </w:cols>
          <w:pgMar w:left="440" w:top="274" w:right="10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ind w:firstLine="436"/>
        <w:spacing w:after="0" w:line="291" w:lineRule="auto"/>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Note is one of a duly authorized issue of Securities of the Company (the “</w:t>
      </w:r>
      <w:r>
        <w:rPr>
          <w:rFonts w:ascii="Arial" w:cs="Arial" w:eastAsia="Arial" w:hAnsi="Arial"/>
          <w:sz w:val="16"/>
          <w:szCs w:val="16"/>
          <w:b w:val="1"/>
          <w:bCs w:val="1"/>
          <w:color w:val="auto"/>
        </w:rPr>
        <w:t>Notes</w:t>
      </w:r>
      <w:r>
        <w:rPr>
          <w:rFonts w:ascii="Arial" w:cs="Arial" w:eastAsia="Arial" w:hAnsi="Arial"/>
          <w:sz w:val="16"/>
          <w:szCs w:val="16"/>
          <w:color w:val="auto"/>
        </w:rPr>
        <w:t>”), issued and to be issued in one or more series under the Indenture, dated as of September 27, 2013 (as supplemented prior to the date hereof, the “</w:t>
      </w:r>
      <w:r>
        <w:rPr>
          <w:rFonts w:ascii="Arial" w:cs="Arial" w:eastAsia="Arial" w:hAnsi="Arial"/>
          <w:sz w:val="16"/>
          <w:szCs w:val="16"/>
          <w:b w:val="1"/>
          <w:bCs w:val="1"/>
          <w:color w:val="auto"/>
        </w:rPr>
        <w:t>Base Indenture</w:t>
      </w:r>
      <w:r>
        <w:rPr>
          <w:rFonts w:ascii="Arial" w:cs="Arial" w:eastAsia="Arial" w:hAnsi="Arial"/>
          <w:sz w:val="16"/>
          <w:szCs w:val="16"/>
          <w:color w:val="auto"/>
        </w:rPr>
        <w:t>”), and the Seventh Supplemental Indenture relating to the Notes dated as of August 2, 2022 (the “</w:t>
      </w:r>
      <w:r>
        <w:rPr>
          <w:rFonts w:ascii="Arial" w:cs="Arial" w:eastAsia="Arial" w:hAnsi="Arial"/>
          <w:sz w:val="16"/>
          <w:szCs w:val="16"/>
          <w:b w:val="1"/>
          <w:bCs w:val="1"/>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$1,250,000,000;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at any time and from time to time, without the consent of any Holder, issue additional Notes of this series.</w:t>
      </w:r>
    </w:p>
    <w:p>
      <w:pPr>
        <w:spacing w:after="0" w:line="163"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All terms which are used but not defined in this Note and which are defined in the Indenture shall have the meanings assigned to them in the Indenture.</w:t>
      </w:r>
    </w:p>
    <w:p>
      <w:pPr>
        <w:spacing w:after="0" w:line="166" w:lineRule="exact"/>
        <w:rPr>
          <w:sz w:val="20"/>
          <w:szCs w:val="20"/>
          <w:color w:val="auto"/>
        </w:rPr>
      </w:pPr>
    </w:p>
    <w:p>
      <w:pPr>
        <w:ind w:right="80" w:firstLine="436"/>
        <w:spacing w:after="0" w:line="274" w:lineRule="auto"/>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Prior to July 15, 2032 (the “</w:t>
      </w:r>
      <w:r>
        <w:rPr>
          <w:rFonts w:ascii="Arial" w:cs="Arial" w:eastAsia="Arial" w:hAnsi="Arial"/>
          <w:sz w:val="17"/>
          <w:szCs w:val="17"/>
          <w:b w:val="1"/>
          <w:bCs w:val="1"/>
          <w:color w:val="auto"/>
        </w:rPr>
        <w:t>Par Call Date</w:t>
      </w:r>
      <w:r>
        <w:rPr>
          <w:rFonts w:ascii="Arial" w:cs="Arial" w:eastAsia="Arial" w:hAnsi="Arial"/>
          <w:sz w:val="17"/>
          <w:szCs w:val="17"/>
          <w:color w:val="auto"/>
        </w:rPr>
        <w:t>”), the Company may redeem the Notes, in whole or in part, at any time and from time to time, at a redemption price (expressed as a percentage of principal amount and rounded to three decimal places) equal to the greater of: (i)(a)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45 basis points less (b) interest accrued to the date of redemption, and (ii) 100% of the principal amount of the Notes to be redeemed, plus, in either case, accrued and unpaid interest thereon to the redemption date.</w:t>
      </w:r>
    </w:p>
    <w:p>
      <w:pPr>
        <w:spacing w:after="0" w:line="17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Unless the Company defaults in the payment of the applicable redemption price, on and after the applicable redemption date, interest will cease to accrue on the Notes or portions of the Notes called for redemption.</w:t>
      </w:r>
    </w:p>
    <w:p>
      <w:pPr>
        <w:spacing w:after="0" w:line="170"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On or after the Par Call Date, the Company may redeem the Notes, in whole or in part, at any time and from time to time, at a redemption price equal to 100% of the principal amount of the Notes being redeemed plus accrued and unpaid interest thereon to the redemption date.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actions and determinations in determining the redemption price shall be conclusive and binding for all purposes, absent manifest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error.</w:t>
      </w:r>
    </w:p>
    <w:p>
      <w:pPr>
        <w:spacing w:after="0" w:line="21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00"/>
          </w:cols>
          <w:pgMar w:left="440" w:top="270" w:right="459" w:bottom="1440" w:gutter="0" w:footer="0" w:header="0"/>
        </w:sectPr>
      </w:pPr>
    </w:p>
    <w:bookmarkStart w:id="77" w:name="page78"/>
    <w:bookmarkEnd w:id="77"/>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Article Eleven of the Base Indenture shall apply to any redemption of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Section 2, the following terms shall have the following specified meanings:</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Rate</w:t>
      </w:r>
      <w:r>
        <w:rPr>
          <w:rFonts w:ascii="Arial" w:cs="Arial" w:eastAsia="Arial" w:hAnsi="Arial"/>
          <w:sz w:val="18"/>
          <w:szCs w:val="18"/>
          <w:color w:val="auto"/>
        </w:rPr>
        <w:t>” means, with respect to any redemption date, the yield determined by the Company in accordance with the following two paragraphs.</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0980"/>
          </w:cols>
          <w:pgMar w:left="440" w:top="274" w:right="479" w:bottom="1440" w:gutter="0" w:footer="0" w:header="0"/>
        </w:sectPr>
      </w:pPr>
    </w:p>
    <w:bookmarkStart w:id="78" w:name="page79"/>
    <w:bookmarkEnd w:id="78"/>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9" w:lineRule="exact"/>
        <w:rPr>
          <w:sz w:val="20"/>
          <w:szCs w:val="20"/>
          <w:color w:val="auto"/>
        </w:rPr>
      </w:pPr>
    </w:p>
    <w:p>
      <w:pPr>
        <w:ind w:right="140" w:firstLine="436"/>
        <w:spacing w:after="0" w:line="277" w:lineRule="auto"/>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70" w:lineRule="exact"/>
        <w:rPr>
          <w:rFonts w:ascii="Arial" w:cs="Arial" w:eastAsia="Arial" w:hAnsi="Arial"/>
          <w:sz w:val="18"/>
          <w:szCs w:val="18"/>
          <w:color w:val="auto"/>
        </w:rPr>
      </w:pPr>
    </w:p>
    <w:p>
      <w:pPr>
        <w:ind w:right="60" w:firstLine="436"/>
        <w:spacing w:after="0" w:line="270" w:lineRule="auto"/>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80" w:lineRule="exact"/>
        <w:rPr>
          <w:rFonts w:ascii="Arial" w:cs="Arial" w:eastAsia="Arial" w:hAnsi="Arial"/>
          <w:sz w:val="17"/>
          <w:szCs w:val="17"/>
          <w:color w:val="auto"/>
        </w:rPr>
      </w:pPr>
    </w:p>
    <w:p>
      <w:pPr>
        <w:ind w:right="100" w:firstLine="436"/>
        <w:spacing w:after="0" w:line="277" w:lineRule="auto"/>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70"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000"/>
          </w:cols>
          <w:pgMar w:left="440" w:top="274" w:right="459" w:bottom="1440" w:gutter="0" w:footer="0" w:header="0"/>
        </w:sectPr>
      </w:pPr>
    </w:p>
    <w:bookmarkStart w:id="79" w:name="page80"/>
    <w:bookmarkEnd w:id="79"/>
    <w:p>
      <w:pPr>
        <w:ind w:right="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24" w:lineRule="exact"/>
        <w:rPr>
          <w:sz w:val="20"/>
          <w:szCs w:val="20"/>
          <w:color w:val="auto"/>
        </w:rPr>
      </w:pPr>
    </w:p>
    <w:p>
      <w:pPr>
        <w:ind w:right="320" w:firstLine="436"/>
        <w:spacing w:after="0" w:line="263" w:lineRule="auto"/>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83" w:lineRule="exact"/>
        <w:rPr>
          <w:rFonts w:ascii="Arial" w:cs="Arial" w:eastAsia="Arial" w:hAnsi="Arial"/>
          <w:sz w:val="18"/>
          <w:szCs w:val="18"/>
          <w:color w:val="auto"/>
        </w:rPr>
      </w:pPr>
    </w:p>
    <w:p>
      <w:pPr>
        <w:ind w:right="20" w:firstLine="436"/>
        <w:spacing w:after="0" w:line="255" w:lineRule="auto"/>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Notes are issuable only in registered form without coupons in denominations of $2,000 and integral multiples of $1,000 in excess thereof.</w:t>
      </w:r>
    </w:p>
    <w:p>
      <w:pPr>
        <w:spacing w:after="0" w:line="24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4" w:lineRule="exact"/>
        <w:rPr>
          <w:sz w:val="20"/>
          <w:szCs w:val="20"/>
          <w:color w:val="auto"/>
        </w:rPr>
      </w:pPr>
    </w:p>
    <w:p>
      <w:pPr>
        <w:jc w:val="both"/>
        <w:ind w:right="20" w:firstLine="440"/>
        <w:spacing w:after="0" w:line="293" w:lineRule="auto"/>
        <w:rPr>
          <w:sz w:val="20"/>
          <w:szCs w:val="20"/>
          <w:color w:val="auto"/>
        </w:rPr>
      </w:pPr>
      <w:r>
        <w:rPr>
          <w:rFonts w:ascii="Arial" w:cs="Arial" w:eastAsia="Arial" w:hAnsi="Arial"/>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26"/>
          <w:szCs w:val="26"/>
          <w:color w:val="auto"/>
          <w:vertAlign w:val="superscript"/>
        </w:rPr>
        <w:t>1</w:t>
      </w:r>
    </w:p>
    <w:p>
      <w:pPr>
        <w:spacing w:after="0" w:line="26"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This Note and the Indenture shall be governed by and construed in accordance with the law of the State of New York in the United</w:t>
      </w:r>
      <w:r>
        <w:rPr>
          <w:rFonts w:ascii="Arial" w:cs="Arial" w:eastAsia="Arial" w:hAnsi="Arial"/>
          <w:sz w:val="18"/>
          <w:szCs w:val="18"/>
          <w:color w:val="auto"/>
        </w:rPr>
        <w:t xml:space="preserve"> </w:t>
      </w:r>
      <w:r>
        <w:rPr>
          <w:rFonts w:ascii="Arial" w:cs="Arial" w:eastAsia="Arial" w:hAnsi="Arial"/>
          <w:sz w:val="18"/>
          <w:szCs w:val="18"/>
          <w:b w:val="1"/>
          <w:bCs w:val="1"/>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715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spacing w:after="0"/>
        <w:tabs>
          <w:tab w:leader="none" w:pos="400" w:val="left"/>
        </w:tabs>
        <w:rPr>
          <w:sz w:val="20"/>
          <w:szCs w:val="20"/>
          <w:color w:val="auto"/>
        </w:rPr>
      </w:pP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8"/>
          <w:szCs w:val="18"/>
          <w:color w:val="auto"/>
        </w:rPr>
        <w:t>To be included in Global Securities.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000"/>
          </w:cols>
          <w:pgMar w:left="440" w:top="274" w:right="459" w:bottom="1440" w:gutter="0" w:footer="0" w:header="0"/>
        </w:sectPr>
      </w:pPr>
    </w:p>
    <w:bookmarkStart w:id="80" w:name="page81"/>
    <w:bookmarkEnd w:id="80"/>
    <w:p>
      <w:pPr>
        <w:ind w:left="36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OR DECREASES</w:t>
      </w:r>
      <w:r>
        <w:rPr>
          <w:rFonts w:ascii="Arial" w:cs="Arial" w:eastAsia="Arial" w:hAnsi="Arial"/>
          <w:sz w:val="23"/>
          <w:szCs w:val="23"/>
          <w:color w:val="auto"/>
          <w:vertAlign w:val="superscript"/>
        </w:rPr>
        <w:t>1</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increases and decreases in this Global Security have been made:</w:t>
      </w:r>
    </w:p>
    <w:p>
      <w:pPr>
        <w:sectPr>
          <w:pgSz w:w="11900" w:h="16838" w:orient="portrait"/>
          <w:cols w:equalWidth="0" w:num="1">
            <w:col w:w="10804"/>
          </w:cols>
          <w:pgMar w:left="436" w:top="274" w:right="659" w:bottom="1440" w:gutter="0" w:footer="0" w:header="0"/>
        </w:sectPr>
      </w:pPr>
    </w:p>
    <w:p>
      <w:pPr>
        <w:spacing w:after="0" w:line="38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27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0" w:type="dxa"/>
            <w:vAlign w:val="bottom"/>
          </w:tcPr>
          <w:p>
            <w:pPr>
              <w:spacing w:after="0"/>
              <w:rPr>
                <w:sz w:val="1"/>
                <w:szCs w:val="1"/>
                <w:color w:val="auto"/>
              </w:rPr>
            </w:pPr>
          </w:p>
        </w:tc>
      </w:tr>
      <w:tr>
        <w:trPr>
          <w:trHeight w:val="171"/>
        </w:trPr>
        <w:tc>
          <w:tcPr>
            <w:tcW w:w="300" w:type="dxa"/>
            <w:vAlign w:val="bottom"/>
            <w:tcBorders>
              <w:bottom w:val="single" w:sz="8" w:color="auto"/>
            </w:tcBorders>
            <w:vMerge w:val="continue"/>
          </w:tcPr>
          <w:p>
            <w:pPr>
              <w:spacing w:after="0"/>
              <w:rPr>
                <w:sz w:val="14"/>
                <w:szCs w:val="14"/>
                <w:color w:val="auto"/>
              </w:rPr>
            </w:pPr>
          </w:p>
        </w:tc>
        <w:tc>
          <w:tcPr>
            <w:tcW w:w="27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 this Global Security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7715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6" w:lineRule="exact"/>
        <w:rPr>
          <w:sz w:val="20"/>
          <w:szCs w:val="20"/>
          <w:color w:val="auto"/>
        </w:rPr>
      </w:pPr>
    </w:p>
    <w:p>
      <w:pPr>
        <w:ind w:left="424" w:hanging="424"/>
        <w:spacing w:after="0"/>
        <w:tabs>
          <w:tab w:leader="none" w:pos="424"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To be included in Global Securities.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Amount of increase in</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Principal Amount of</w:t>
      </w:r>
    </w:p>
    <w:p>
      <w:pPr>
        <w:ind w:left="80"/>
        <w:spacing w:after="0"/>
        <w:rPr>
          <w:sz w:val="20"/>
          <w:szCs w:val="20"/>
          <w:color w:val="auto"/>
        </w:rPr>
      </w:pPr>
      <w:r>
        <w:rPr>
          <w:rFonts w:ascii="Arial" w:cs="Arial" w:eastAsia="Arial" w:hAnsi="Arial"/>
          <w:sz w:val="13"/>
          <w:szCs w:val="13"/>
          <w:b w:val="1"/>
          <w:bCs w:val="1"/>
          <w:u w:val="single" w:color="auto"/>
          <w:color w:val="auto"/>
        </w:rPr>
        <w:t>this Global Security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Principal Amount of</w:t>
            </w:r>
          </w:p>
        </w:tc>
        <w:tc>
          <w:tcPr>
            <w:tcW w:w="3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r>
      <w:tr>
        <w:trPr>
          <w:trHeight w:val="148"/>
        </w:trPr>
        <w:tc>
          <w:tcPr>
            <w:tcW w:w="2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this Global Security</w:t>
            </w:r>
          </w:p>
        </w:tc>
        <w:tc>
          <w:tcPr>
            <w:tcW w:w="3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 signatory</w:t>
            </w:r>
          </w:p>
        </w:tc>
      </w:tr>
      <w:tr>
        <w:trPr>
          <w:trHeight w:val="148"/>
        </w:trPr>
        <w:tc>
          <w:tcPr>
            <w:tcW w:w="2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following such</w:t>
            </w:r>
          </w:p>
        </w:tc>
        <w:tc>
          <w:tcPr>
            <w:tcW w:w="1620" w:type="dxa"/>
            <w:vAlign w:val="bottom"/>
            <w:gridSpan w:val="2"/>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of Trustee or Security</w:t>
            </w:r>
          </w:p>
        </w:tc>
      </w:tr>
      <w:tr>
        <w:trPr>
          <w:trHeight w:val="171"/>
        </w:trPr>
        <w:tc>
          <w:tcPr>
            <w:tcW w:w="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decrease or increase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Registrar</w:t>
            </w:r>
          </w:p>
        </w:tc>
      </w:tr>
    </w:tbl>
    <w:p>
      <w:pPr>
        <w:sectPr>
          <w:pgSz w:w="11900" w:h="16838" w:orient="portrait"/>
          <w:cols w:equalWidth="0" w:num="3">
            <w:col w:w="4564" w:space="720"/>
            <w:col w:w="1640" w:space="720"/>
            <w:col w:w="3160"/>
          </w:cols>
          <w:pgMar w:left="436" w:top="274" w:right="65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60" w:type="dxa"/>
            <w:vAlign w:val="bottom"/>
            <w:gridSpan w:val="6"/>
          </w:tcPr>
          <w:p>
            <w:pPr>
              <w:jc w:val="center"/>
              <w:ind w:right="296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256"/>
        </w:trPr>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r>
      <w:tr>
        <w:trPr>
          <w:trHeight w:val="237"/>
        </w:trPr>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60" w:type="dxa"/>
            <w:vAlign w:val="bottom"/>
            <w:gridSpan w:val="6"/>
          </w:tcPr>
          <w:p>
            <w:pPr>
              <w:jc w:val="center"/>
              <w:ind w:right="2980"/>
              <w:spacing w:after="0"/>
              <w:rPr>
                <w:sz w:val="20"/>
                <w:szCs w:val="20"/>
                <w:color w:val="auto"/>
              </w:rPr>
            </w:pPr>
            <w:r>
              <w:rPr>
                <w:rFonts w:ascii="Arial" w:cs="Arial" w:eastAsia="Arial" w:hAnsi="Arial"/>
                <w:sz w:val="18"/>
                <w:szCs w:val="18"/>
                <w:color w:val="auto"/>
                <w:w w:val="89"/>
              </w:rPr>
              <w:t>(Insert assignee’s soc. sec. or tax I.D. No.)</w:t>
            </w:r>
          </w:p>
        </w:tc>
      </w:tr>
      <w:tr>
        <w:trPr>
          <w:trHeight w:val="432"/>
        </w:trPr>
        <w:tc>
          <w:tcPr>
            <w:tcW w:w="208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8940" w:type="dxa"/>
            <w:vAlign w:val="bottom"/>
            <w:gridSpan w:val="7"/>
          </w:tcPr>
          <w:p>
            <w:pPr>
              <w:ind w:left="380"/>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w:t>
            </w:r>
          </w:p>
        </w:tc>
      </w:tr>
      <w:tr>
        <w:trPr>
          <w:trHeight w:val="418"/>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1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Your Signature:</w:t>
            </w:r>
          </w:p>
        </w:tc>
        <w:tc>
          <w:tcPr>
            <w:tcW w:w="4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5260" w:type="dxa"/>
            <w:vAlign w:val="bottom"/>
            <w:gridSpan w:val="6"/>
          </w:tcPr>
          <w:p>
            <w:pPr>
              <w:spacing w:after="0"/>
              <w:rPr>
                <w:sz w:val="20"/>
                <w:szCs w:val="20"/>
                <w:color w:val="auto"/>
              </w:rPr>
            </w:pPr>
            <w:r>
              <w:rPr>
                <w:rFonts w:ascii="Arial" w:cs="Arial" w:eastAsia="Arial" w:hAnsi="Arial"/>
                <w:sz w:val="18"/>
                <w:szCs w:val="18"/>
                <w:color w:val="auto"/>
              </w:rPr>
              <w:t>Sign exactly as your name appears on the other side of this Note.</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80" w:type="dxa"/>
            <w:vAlign w:val="bottom"/>
            <w:gridSpan w:val="3"/>
          </w:tcPr>
          <w:p>
            <w:pPr>
              <w:spacing w:after="0"/>
              <w:rPr>
                <w:sz w:val="20"/>
                <w:szCs w:val="20"/>
                <w:color w:val="auto"/>
              </w:rPr>
            </w:pPr>
            <w:r>
              <w:rPr>
                <w:rFonts w:ascii="Arial" w:cs="Arial" w:eastAsia="Arial" w:hAnsi="Arial"/>
                <w:sz w:val="18"/>
                <w:szCs w:val="18"/>
                <w:color w:val="auto"/>
              </w:rPr>
              <w:t>Signature Guarantee:</w:t>
            </w:r>
          </w:p>
        </w:tc>
        <w:tc>
          <w:tcPr>
            <w:tcW w:w="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340" w:type="dxa"/>
            <w:vAlign w:val="bottom"/>
          </w:tcPr>
          <w:p>
            <w:pPr>
              <w:spacing w:after="0"/>
              <w:rPr>
                <w:sz w:val="20"/>
                <w:szCs w:val="20"/>
                <w:color w:val="auto"/>
              </w:rPr>
            </w:pPr>
            <w:r>
              <w:rPr>
                <w:rFonts w:ascii="Arial" w:cs="Arial" w:eastAsia="Arial" w:hAnsi="Arial"/>
                <w:sz w:val="14"/>
                <w:szCs w:val="14"/>
                <w:color w:val="auto"/>
                <w:w w:val="95"/>
              </w:rPr>
              <w:t>Date:</w:t>
            </w:r>
          </w:p>
        </w:tc>
        <w:tc>
          <w:tcPr>
            <w:tcW w:w="174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91"/>
        </w:trPr>
        <w:tc>
          <w:tcPr>
            <w:tcW w:w="5260" w:type="dxa"/>
            <w:vAlign w:val="bottom"/>
            <w:gridSpan w:val="6"/>
          </w:tcPr>
          <w:p>
            <w:pPr>
              <w:spacing w:after="0" w:line="191" w:lineRule="exact"/>
              <w:rPr>
                <w:sz w:val="20"/>
                <w:szCs w:val="20"/>
                <w:color w:val="auto"/>
              </w:rPr>
            </w:pPr>
            <w:r>
              <w:rPr>
                <w:rFonts w:ascii="Arial" w:cs="Arial" w:eastAsia="Arial" w:hAnsi="Arial"/>
                <w:sz w:val="18"/>
                <w:szCs w:val="18"/>
                <w:color w:val="auto"/>
                <w:w w:val="91"/>
              </w:rPr>
              <w:t>Signature must be guaranteed by a participant in a recognized signature</w:t>
            </w:r>
          </w:p>
        </w:tc>
        <w:tc>
          <w:tcPr>
            <w:tcW w:w="480" w:type="dxa"/>
            <w:vAlign w:val="bottom"/>
          </w:tcPr>
          <w:p>
            <w:pPr>
              <w:spacing w:after="0"/>
              <w:rPr>
                <w:sz w:val="16"/>
                <w:szCs w:val="16"/>
                <w:color w:val="auto"/>
              </w:rPr>
            </w:pPr>
          </w:p>
        </w:tc>
        <w:tc>
          <w:tcPr>
            <w:tcW w:w="5280" w:type="dxa"/>
            <w:vAlign w:val="bottom"/>
            <w:gridSpan w:val="3"/>
          </w:tcPr>
          <w:p>
            <w:pPr>
              <w:spacing w:after="0" w:line="191" w:lineRule="exact"/>
              <w:rPr>
                <w:sz w:val="20"/>
                <w:szCs w:val="20"/>
                <w:color w:val="auto"/>
              </w:rPr>
            </w:pPr>
            <w:r>
              <w:rPr>
                <w:rFonts w:ascii="Arial" w:cs="Arial" w:eastAsia="Arial" w:hAnsi="Arial"/>
                <w:sz w:val="18"/>
                <w:szCs w:val="18"/>
                <w:color w:val="auto"/>
              </w:rPr>
              <w:t>Signature of Signature Guarantee</w:t>
            </w:r>
          </w:p>
        </w:tc>
      </w:tr>
    </w:tbl>
    <w:p>
      <w:pPr>
        <w:ind w:right="5440"/>
        <w:spacing w:after="0" w:line="258" w:lineRule="auto"/>
        <w:rPr>
          <w:sz w:val="20"/>
          <w:szCs w:val="20"/>
          <w:color w:val="auto"/>
        </w:rPr>
      </w:pPr>
      <w:r>
        <w:rPr>
          <w:rFonts w:ascii="Arial" w:cs="Arial" w:eastAsia="Arial" w:hAnsi="Arial"/>
          <w:sz w:val="18"/>
          <w:szCs w:val="18"/>
          <w:color w:val="auto"/>
        </w:rPr>
        <w:t>guaranty medallion program or other signature guarantor program reasonably acceptable to the Trustee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A-2-10</w:t>
      </w:r>
    </w:p>
    <w:p>
      <w:pPr>
        <w:sectPr>
          <w:pgSz w:w="11900" w:h="16838" w:orient="portrait"/>
          <w:cols w:equalWidth="0" w:num="1">
            <w:col w:w="11020"/>
          </w:cols>
          <w:pgMar w:left="440" w:top="274" w:right="4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3103245"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10324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August 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48265-3000</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General Motors Company 5.400% Senior Notes due 2029 and 5.600% Senior Notes due 2032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We have acted as counsel for General Motors Company, a Delaware corporation (the “Company”), in connection with the offering by the Company of $1,000,000,000 aggregate principal amount of 5.400% Senior Notes due 2029 (the “2029 Notes”) and $1,250,000,000 aggregate principal amount of 5.600% Senior Notes due 2032 (the “2032 Notes” and, collectively with the 2029 Notes, the “Notes”). The Notes will be issued pursuant to a Registration Statement on Form S-3 (Registration Statement No. 333-236276) (the “Registration Statement”), filed with the Securities and Exchange Commission (the “Commission”) under the Securities Act of 1933, as amended (the “Act”), the related prospectus dated February 5, 2020 (the “Base Prospectus”) and a Prospectus Supplement relating to the Notes, dated July 28, 2022 (the “Prospectus Supplement” and, collectively with the Base Prospectus, the “Prospectus”), filed with the Commission pursuant to Rule 424(b) of the rules and regulations promulgated under the Act. This opinion is being provided at your request, to be filed with the Commission and incorporated by reference as an exhibit to the Registration Statement.</w:t>
      </w:r>
    </w:p>
    <w:p>
      <w:pPr>
        <w:spacing w:after="0" w:line="16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In connection with this opinion, we have reviewed such matters of law and examined original, certified, conformed or photographic copies of such other documents, records, agreements and certificates as we have deemed necessary as a basis for the opinions hereinafter expressed. In such review, we have assumed the genuineness of signatures on all documents submitted to us as originals and the conformity to original documents of all documents submitted to us as certified, conformed or photographic copies. We have relied, as to the matters set forth therein, on certificates of public officials. As to certain matters of fact material to this opinion, we have relied, without independent verification, upon certificates of certain officers of the Company.</w:t>
      </w:r>
    </w:p>
    <w:p>
      <w:pPr>
        <w:spacing w:after="0" w:line="161" w:lineRule="exact"/>
        <w:rPr>
          <w:sz w:val="20"/>
          <w:szCs w:val="20"/>
          <w:color w:val="auto"/>
        </w:rPr>
      </w:pPr>
    </w:p>
    <w:p>
      <w:pPr>
        <w:ind w:right="480" w:firstLine="440"/>
        <w:spacing w:after="0" w:line="311" w:lineRule="auto"/>
        <w:rPr>
          <w:sz w:val="20"/>
          <w:szCs w:val="20"/>
          <w:color w:val="auto"/>
        </w:rPr>
      </w:pPr>
      <w:r>
        <w:rPr>
          <w:rFonts w:ascii="Arial" w:cs="Arial" w:eastAsia="Arial" w:hAnsi="Arial"/>
          <w:sz w:val="16"/>
          <w:szCs w:val="16"/>
          <w:color w:val="auto"/>
        </w:rPr>
        <w:t>We have assumed that the indenture, dated as of September 27, 2013 (the “Base Indenture”), as supplemented by the seventh supplemental indenture, dated as of August 2, 2022 (the “Seventh Supplemental Indenture” and, together with the Base Indenture, the “Indenture”), between the Company and The Bank of New York Mellon, as trustee (the “Trustee”), is enforceable against the Trustee in accordance with its terms.</w:t>
      </w:r>
    </w:p>
    <w:p>
      <w:pPr>
        <w:sectPr>
          <w:pgSz w:w="11900" w:h="16838" w:orient="portrait"/>
          <w:cols w:equalWidth="0" w:num="1">
            <w:col w:w="11020"/>
          </w:cols>
          <w:pgMar w:left="440" w:top="121" w:right="439" w:bottom="1440" w:gutter="0" w:footer="0" w:header="0"/>
        </w:sectPr>
      </w:pPr>
    </w:p>
    <w:bookmarkStart w:id="83" w:name="page84"/>
    <w:bookmarkEnd w:id="83"/>
    <w:p>
      <w:pPr>
        <w:ind w:right="18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opinions expressed herein are limited in all respects to the federal laws of the United States of America and the corporate law of the State of Delaware (which includes the</w:t>
      </w:r>
    </w:p>
    <w:p>
      <w:pPr>
        <w:spacing w:after="0" w:line="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Delaware General Corporation Law, applicable provisions of the Delaware Constitution and reported judicial interpretations concerning those laws), and no opinion is expressed with respect to the laws of any other jurisdiction or any effect which such laws may have on the opinions expressed herein. This opinion is limited to the matters stated herein, and no opinion is implied or may be inferred beyond the matters expressly stated herein.</w:t>
      </w:r>
    </w:p>
    <w:p>
      <w:pPr>
        <w:spacing w:after="0" w:line="155"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Based upon the foregoing, and subject to the assumptions, qualifications and limitations set forth herein, we are of the opinion that the Notes, upon issuance and sale thereof as described in the Prospectus and, when executed and delivered by the Company and authenticated by the Trustee under the Indenture and delivered and paid for by the purchasers thereof, will be validly issued and will constitute valid and binding obligations of the Company enforceable against the Company in accordance with their terms, subject, as to the enforcement of remedies, to bankruptcy, insolvency, reorganization, moratorium and similar laws affecting the rights and remedies of creditors generally and to the effect of general principles of equity.</w:t>
      </w:r>
    </w:p>
    <w:p>
      <w:pPr>
        <w:spacing w:after="0" w:line="16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This opinion is given as of the date hereof, and we assume no obligation to advise you after the date hereof of facts or circumstances that come to our attention or changes in law that occur which could affect the opinions contained herein. This opinion is being rendered solely for the benefit of the Company in connection with the matters addressed herein.</w:t>
      </w:r>
    </w:p>
    <w:p>
      <w:pPr>
        <w:spacing w:after="0" w:line="184"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We hereby consent to the filing of this opinion as an Exhibit to the Current Report on Form 8-K that you will file on August 2, 2022 and which will be incorporated by reference into the Registration Statement, and to the reference to us under the caption “Legal Matters” in the Prospectus Supplement.</w:t>
      </w:r>
    </w:p>
    <w:p>
      <w:pPr>
        <w:spacing w:after="0" w:line="184"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King &amp; Spalding LLP</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lowerLetter"/>
      <w:start w:val="1"/>
    </w:lvl>
  </w:abstractNum>
  <w:abstractNum w:abstractNumId="2">
    <w:nsid w:val="22221A70"/>
    <w:multiLevelType w:val="hybridMultilevel"/>
    <w:lvl w:ilvl="0">
      <w:lvlJc w:val="left"/>
      <w:lvlText w:val="(%1)"/>
      <w:numFmt w:val="lowerLetter"/>
      <w:start w:val="3"/>
    </w:lvl>
  </w:abstractNum>
  <w:abstractNum w:abstractNumId="3">
    <w:nsid w:val="4516DDE9"/>
    <w:multiLevelType w:val="hybridMultilevel"/>
    <w:lvl w:ilvl="0">
      <w:lvlJc w:val="left"/>
      <w:lvlText w:val="(%1)"/>
      <w:numFmt w:val="lowerLetter"/>
      <w:start w:val="1"/>
    </w:lvl>
  </w:abstractNum>
  <w:abstractNum w:abstractNumId="4">
    <w:nsid w:val="3006C83E"/>
    <w:multiLevelType w:val="hybridMultilevel"/>
    <w:lvl w:ilvl="0">
      <w:lvlJc w:val="left"/>
      <w:lvlText w:val="(%1)"/>
      <w:numFmt w:val="lowerLetter"/>
      <w:start w:val="2"/>
    </w:lvl>
  </w:abstractNum>
  <w:abstractNum w:abstractNumId="5">
    <w:nsid w:val="614FD4A1"/>
    <w:multiLevelType w:val="hybridMultilevel"/>
    <w:lvl w:ilvl="0">
      <w:lvlJc w:val="left"/>
      <w:lvlText w:val="(%1)"/>
      <w:numFmt w:val="lowerLetter"/>
      <w:start w:val="5"/>
    </w:lvl>
  </w:abstractNum>
  <w:abstractNum w:abstractNumId="6">
    <w:nsid w:val="419AC241"/>
    <w:multiLevelType w:val="hybridMultilevel"/>
    <w:lvl w:ilvl="0">
      <w:lvlJc w:val="left"/>
      <w:lvlText w:val="(%1)"/>
      <w:numFmt w:val="lowerLetter"/>
      <w:start w:val="1"/>
    </w:lvl>
    <w:lvl w:ilvl="1">
      <w:lvlJc w:val="left"/>
      <w:lvlText w:val="(%2)"/>
      <w:numFmt w:val="lowerRoman"/>
      <w:start w:val="1"/>
    </w:lvl>
  </w:abstractNum>
  <w:abstractNum w:abstractNumId="7">
    <w:nsid w:val="5577F8E1"/>
    <w:multiLevelType w:val="hybridMultilevel"/>
    <w:lvl w:ilvl="0">
      <w:lvlJc w:val="left"/>
      <w:lvlText w:val="(%1)"/>
      <w:numFmt w:val="lowerRoman"/>
      <w:start w:val="4"/>
    </w:lvl>
  </w:abstractNum>
  <w:abstractNum w:abstractNumId="8">
    <w:nsid w:val="440BADFC"/>
    <w:multiLevelType w:val="hybridMultilevel"/>
    <w:lvl w:ilvl="0">
      <w:lvlJc w:val="left"/>
      <w:lvlText w:val="%1"/>
      <w:numFmt w:val="lowerLetter"/>
      <w:start w:val="1"/>
    </w:lvl>
    <w:lvl w:ilvl="1">
      <w:lvlJc w:val="left"/>
      <w:lvlText w:val="(%2)"/>
      <w:numFmt w:val="lowerLetter"/>
      <w:start w:val="22"/>
    </w:lvl>
  </w:abstractNum>
  <w:abstractNum w:abstractNumId="9">
    <w:nsid w:val="5072367"/>
    <w:multiLevelType w:val="hybridMultilevel"/>
    <w:lvl w:ilvl="0">
      <w:lvlJc w:val="left"/>
      <w:lvlText w:val="(%1)"/>
      <w:numFmt w:val="lowerLetter"/>
      <w:start w:val="2"/>
    </w:lvl>
    <w:lvl w:ilvl="1">
      <w:lvlJc w:val="left"/>
      <w:lvlText w:val="(%2)"/>
      <w:numFmt w:val="lowerLetter"/>
      <w:start w:val="9"/>
    </w:lvl>
  </w:abstractNum>
  <w:abstractNum w:abstractNumId="10">
    <w:nsid w:val="3804823E"/>
    <w:multiLevelType w:val="hybridMultilevel"/>
    <w:lvl w:ilvl="0">
      <w:lvlJc w:val="left"/>
      <w:lvlText w:val="%1"/>
      <w:numFmt w:val="upperLetter"/>
      <w:start w:val="1"/>
    </w:lvl>
    <w:lvl w:ilvl="1">
      <w:lvlJc w:val="left"/>
      <w:lvlText w:val="(%2)"/>
      <w:numFmt w:val="lowerRoman"/>
      <w:start w:val="2"/>
    </w:lvl>
  </w:abstractNum>
  <w:abstractNum w:abstractNumId="11">
    <w:nsid w:val="77465F01"/>
    <w:multiLevelType w:val="hybridMultilevel"/>
    <w:lvl w:ilvl="0">
      <w:lvlJc w:val="left"/>
      <w:lvlText w:val="(%1)"/>
      <w:numFmt w:val="upperLetter"/>
      <w:start w:val="2"/>
    </w:lvl>
    <w:lvl w:ilvl="1">
      <w:lvlJc w:val="left"/>
      <w:lvlText w:val="%2"/>
      <w:numFmt w:val="lowerRoman"/>
      <w:start w:val="1"/>
    </w:lvl>
  </w:abstractNum>
  <w:abstractNum w:abstractNumId="12">
    <w:nsid w:val="7724C67E"/>
    <w:multiLevelType w:val="hybridMultilevel"/>
    <w:lvl w:ilvl="0">
      <w:lvlJc w:val="left"/>
      <w:lvlText w:val="(%1)"/>
      <w:numFmt w:val="lowerRoman"/>
      <w:start w:val="3"/>
    </w:lvl>
  </w:abstractNum>
  <w:abstractNum w:abstractNumId="13">
    <w:nsid w:val="5C482A97"/>
    <w:multiLevelType w:val="hybridMultilevel"/>
    <w:lvl w:ilvl="0">
      <w:lvlJc w:val="left"/>
      <w:lvlText w:val="(%1)"/>
      <w:numFmt w:val="lowerLetter"/>
      <w:start w:val="1"/>
    </w:lvl>
  </w:abstractNum>
  <w:abstractNum w:abstractNumId="14">
    <w:nsid w:val="2463B9EA"/>
    <w:multiLevelType w:val="hybridMultilevel"/>
    <w:lvl w:ilvl="0">
      <w:lvlJc w:val="left"/>
      <w:lvlText w:val="(%1)"/>
      <w:numFmt w:val="lowerLetter"/>
      <w:start w:val="5"/>
    </w:lvl>
  </w:abstractNum>
  <w:abstractNum w:abstractNumId="15">
    <w:nsid w:val="5E884ADC"/>
    <w:multiLevelType w:val="hybridMultilevel"/>
    <w:lvl w:ilvl="0">
      <w:lvlJc w:val="left"/>
      <w:lvlText w:val="(%1)"/>
      <w:numFmt w:val="lowerLetter"/>
      <w:start w:val="10"/>
    </w:lvl>
  </w:abstractNum>
  <w:abstractNum w:abstractNumId="16">
    <w:nsid w:val="51EAD36B"/>
    <w:multiLevelType w:val="hybridMultilevel"/>
    <w:lvl w:ilvl="0">
      <w:lvlJc w:val="left"/>
      <w:lvlText w:val="%1"/>
      <w:numFmt w:val="lowerRoman"/>
      <w:start w:val="1"/>
    </w:lvl>
    <w:lvl w:ilvl="1">
      <w:lvlJc w:val="left"/>
      <w:lvlText w:val="(%2)"/>
      <w:numFmt w:val="lowerLetter"/>
      <w:start w:val="13"/>
    </w:lvl>
  </w:abstractNum>
  <w:abstractNum w:abstractNumId="17">
    <w:nsid w:val="2D517796"/>
    <w:multiLevelType w:val="hybridMultilevel"/>
    <w:lvl w:ilvl="0">
      <w:lvlJc w:val="left"/>
      <w:lvlText w:val="(%1)"/>
      <w:numFmt w:val="lowerRoman"/>
      <w:start w:val="4"/>
    </w:lvl>
    <w:lvl w:ilvl="1">
      <w:lvlJc w:val="left"/>
      <w:lvlText w:val="%2"/>
      <w:numFmt w:val="lowerLetter"/>
      <w:start w:val="1"/>
    </w:lvl>
  </w:abstractNum>
  <w:abstractNum w:abstractNumId="18">
    <w:nsid w:val="580BD78F"/>
    <w:multiLevelType w:val="hybridMultilevel"/>
    <w:lvl w:ilvl="0">
      <w:lvlJc w:val="left"/>
      <w:lvlText w:val="(%1)"/>
      <w:numFmt w:val="lowerLetter"/>
      <w:start w:val="17"/>
    </w:lvl>
  </w:abstractNum>
  <w:abstractNum w:abstractNumId="19">
    <w:nsid w:val="153EA438"/>
    <w:multiLevelType w:val="hybridMultilevel"/>
    <w:lvl w:ilvl="0">
      <w:lvlJc w:val="left"/>
      <w:lvlText w:val="(%1)"/>
      <w:numFmt w:val="lowerLetter"/>
      <w:start w:val="24"/>
    </w:lvl>
  </w:abstractNum>
  <w:abstractNum w:abstractNumId="20">
    <w:nsid w:val="3855585C"/>
    <w:multiLevelType w:val="hybridMultilevel"/>
    <w:lvl w:ilvl="0">
      <w:lvlJc w:val="left"/>
      <w:lvlText w:val="(%1)"/>
      <w:numFmt w:val="lowerLetter"/>
      <w:start w:val="27"/>
    </w:lvl>
  </w:abstractNum>
  <w:abstractNum w:abstractNumId="21">
    <w:nsid w:val="70A64E2A"/>
    <w:multiLevelType w:val="hybridMultilevel"/>
    <w:lvl w:ilvl="0">
      <w:lvlJc w:val="left"/>
      <w:lvlText w:val="(%1)"/>
      <w:numFmt w:val="lowerLetter"/>
      <w:start w:val="29"/>
    </w:lvl>
  </w:abstractNum>
  <w:abstractNum w:abstractNumId="22">
    <w:nsid w:val="6A2342EC"/>
    <w:multiLevelType w:val="hybridMultilevel"/>
    <w:lvl w:ilvl="0">
      <w:lvlJc w:val="left"/>
      <w:lvlText w:val="(%1)"/>
      <w:numFmt w:val="lowerLetter"/>
      <w:start w:val="30"/>
    </w:lvl>
  </w:abstractNum>
  <w:abstractNum w:abstractNumId="23">
    <w:nsid w:val="2A487CB0"/>
    <w:multiLevelType w:val="hybridMultilevel"/>
    <w:lvl w:ilvl="0">
      <w:lvlJc w:val="left"/>
      <w:lvlText w:val="(%1)"/>
      <w:numFmt w:val="lowerLetter"/>
      <w:start w:val="32"/>
    </w:lvl>
  </w:abstractNum>
  <w:abstractNum w:abstractNumId="24">
    <w:nsid w:val="1D4ED43B"/>
    <w:multiLevelType w:val="hybridMultilevel"/>
    <w:lvl w:ilvl="0">
      <w:lvlJc w:val="left"/>
      <w:lvlText w:val="(%1)"/>
      <w:numFmt w:val="lowerLetter"/>
      <w:start w:val="36"/>
    </w:lvl>
  </w:abstractNum>
  <w:abstractNum w:abstractNumId="25">
    <w:nsid w:val="725A06FB"/>
    <w:multiLevelType w:val="hybridMultilevel"/>
    <w:lvl w:ilvl="0">
      <w:lvlJc w:val="left"/>
      <w:lvlText w:val="(%1)"/>
      <w:numFmt w:val="lowerRoman"/>
      <w:start w:val="7"/>
    </w:lvl>
  </w:abstractNum>
  <w:abstractNum w:abstractNumId="26">
    <w:nsid w:val="2CD89A32"/>
    <w:multiLevelType w:val="hybridMultilevel"/>
    <w:lvl w:ilvl="0">
      <w:lvlJc w:val="left"/>
      <w:lvlText w:val="(%1)"/>
      <w:numFmt w:val="lowerRoman"/>
      <w:start w:val="1"/>
    </w:lvl>
  </w:abstractNum>
  <w:abstractNum w:abstractNumId="27">
    <w:nsid w:val="57E4CCAF"/>
    <w:multiLevelType w:val="hybridMultilevel"/>
    <w:lvl w:ilvl="0">
      <w:lvlJc w:val="left"/>
      <w:lvlText w:val="(%1)"/>
      <w:numFmt w:val="lowerLetter"/>
      <w:start w:val="1"/>
    </w:lvl>
  </w:abstractNum>
  <w:abstractNum w:abstractNumId="28">
    <w:nsid w:val="7A6D8D3C"/>
    <w:multiLevelType w:val="hybridMultilevel"/>
    <w:lvl w:ilvl="0">
      <w:lvlJc w:val="left"/>
      <w:lvlText w:val="(%1)"/>
      <w:numFmt w:val="lowerLetter"/>
      <w:start w:val="2"/>
    </w:lvl>
  </w:abstractNum>
  <w:abstractNum w:abstractNumId="29">
    <w:nsid w:val="4B588F54"/>
    <w:multiLevelType w:val="hybridMultilevel"/>
    <w:lvl w:ilvl="0">
      <w:lvlJc w:val="left"/>
      <w:lvlText w:val="(%1)"/>
      <w:numFmt w:val="lowerRoman"/>
      <w:start w:val="1"/>
    </w:lvl>
  </w:abstractNum>
  <w:abstractNum w:abstractNumId="30">
    <w:nsid w:val="542289EC"/>
    <w:multiLevelType w:val="hybridMultilevel"/>
    <w:lvl w:ilvl="0">
      <w:lvlJc w:val="left"/>
      <w:lvlText w:val="%1"/>
      <w:numFmt w:val="upperLetter"/>
      <w:start w:val="35"/>
    </w:lvl>
  </w:abstractNum>
  <w:abstractNum w:abstractNumId="31">
    <w:nsid w:val="6DE91B18"/>
    <w:multiLevelType w:val="hybridMultilevel"/>
    <w:lvl w:ilvl="0">
      <w:lvlJc w:val="left"/>
      <w:lvlText w:val="(%1)"/>
      <w:numFmt w:val="lowerLetter"/>
      <w:start w:val="1"/>
    </w:lvl>
    <w:lvl w:ilvl="1">
      <w:lvlJc w:val="left"/>
      <w:lvlText w:val="(%2)"/>
      <w:numFmt w:val="lowerRoman"/>
      <w:start w:val="1"/>
    </w:lvl>
  </w:abstractNum>
  <w:abstractNum w:abstractNumId="32">
    <w:nsid w:val="38437FDB"/>
    <w:multiLevelType w:val="hybridMultilevel"/>
    <w:lvl w:ilvl="0">
      <w:lvlJc w:val="left"/>
      <w:lvlText w:val="%1"/>
      <w:numFmt w:val="lowerLetter"/>
      <w:start w:val="1"/>
    </w:lvl>
    <w:lvl w:ilvl="1">
      <w:lvlJc w:val="left"/>
      <w:lvlText w:val="(%2)"/>
      <w:numFmt w:val="lowerRoman"/>
      <w:start w:val="4"/>
    </w:lvl>
  </w:abstractNum>
  <w:abstractNum w:abstractNumId="33">
    <w:nsid w:val="7644A45C"/>
    <w:multiLevelType w:val="hybridMultilevel"/>
    <w:lvl w:ilvl="0">
      <w:lvlJc w:val="left"/>
      <w:lvlText w:val="(%1)"/>
      <w:numFmt w:val="lowerLetter"/>
      <w:start w:val="2"/>
    </w:lvl>
    <w:lvl w:ilvl="1">
      <w:lvlJc w:val="left"/>
      <w:lvlText w:val="%2"/>
      <w:numFmt w:val="lowerRoman"/>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lowerLetter"/>
      <w:start w:val="2"/>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lowerRoman"/>
      <w:start w:val="1"/>
    </w:lvl>
  </w:abstractNum>
  <w:abstractNum w:abstractNumId="44">
    <w:nsid w:val="520EEDD1"/>
    <w:multiLevelType w:val="hybridMultilevel"/>
    <w:lvl w:ilvl="0">
      <w:lvlJc w:val="left"/>
      <w:lvlText w:val="(%1)"/>
      <w:numFmt w:val="lowerRoman"/>
      <w:start w:val="3"/>
    </w:lvl>
  </w:abstractNum>
  <w:abstractNum w:abstractNumId="45">
    <w:nsid w:val="374A3FE6"/>
    <w:multiLevelType w:val="hybridMultilevel"/>
    <w:lvl w:ilvl="0">
      <w:lvlJc w:val="left"/>
      <w:lvlText w:val="(%1)"/>
      <w:numFmt w:val="lowerRoman"/>
      <w:start w:val="1"/>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1"/>
    </w:lvl>
    <w:lvl w:ilvl="1">
      <w:lvlJc w:val="left"/>
      <w:lvlText w:val="(%2)"/>
      <w:numFmt w:val="lowerLetter"/>
      <w:start w:val="35"/>
    </w:lvl>
  </w:abstractNum>
  <w:abstractNum w:abstractNumId="49">
    <w:nsid w:val="275AC794"/>
    <w:multiLevelType w:val="hybridMultilevel"/>
    <w:lvl w:ilvl="0">
      <w:lvlJc w:val="left"/>
      <w:lvlText w:val="(%1)"/>
      <w:numFmt w:val="lowerLetter"/>
      <w:start w:val="2"/>
    </w:lvl>
    <w:lvl w:ilvl="1">
      <w:lvlJc w:val="left"/>
      <w:lvlText w:val="%2"/>
      <w:numFmt w:val="lowerLetter"/>
      <w:start w:val="1"/>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1"/>
      <w:numFmt w:val="bullet"/>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2"/>
    </w:lvl>
  </w:abstractNum>
  <w:abstractNum w:abstractNumId="54">
    <w:nsid w:val="47398C89"/>
    <w:multiLevelType w:val="hybridMultilevel"/>
    <w:lvl w:ilvl="0">
      <w:lvlJc w:val="left"/>
      <w:lvlText w:val="%1."/>
      <w:numFmt w:val="decimal"/>
      <w:start w:val="3"/>
    </w:lvl>
  </w:abstractNum>
  <w:abstractNum w:abstractNumId="55">
    <w:nsid w:val="354FE9F9"/>
    <w:multiLevelType w:val="hybridMultilevel"/>
    <w:lvl w:ilvl="0">
      <w:lvlJc w:val="left"/>
      <w:lvlText w:val="%1."/>
      <w:numFmt w:val="decimal"/>
      <w:start w:val="6"/>
    </w:lvl>
  </w:abstractNum>
  <w:abstractNum w:abstractNumId="56">
    <w:nsid w:val="15B5AF5C"/>
    <w:multiLevelType w:val="hybridMultilevel"/>
    <w:lvl w:ilvl="0">
      <w:lvlJc w:val="left"/>
      <w:lvlText w:val="1"/>
      <w:numFmt w:val="bullet"/>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2"/>
    </w:lvl>
  </w:abstractNum>
  <w:abstractNum w:abstractNumId="59">
    <w:nsid w:val="10233C99"/>
    <w:multiLevelType w:val="hybridMultilevel"/>
    <w:lvl w:ilvl="0">
      <w:lvlJc w:val="left"/>
      <w:lvlText w:val="%1."/>
      <w:numFmt w:val="decimal"/>
      <w:start w:val="3"/>
    </w:lvl>
  </w:abstractNum>
  <w:abstractNum w:abstractNumId="60">
    <w:nsid w:val="3F6AB60F"/>
    <w:multiLevelType w:val="hybridMultilevel"/>
    <w:lvl w:ilvl="0">
      <w:lvlJc w:val="left"/>
      <w:lvlText w:val="%1."/>
      <w:numFmt w:val="decimal"/>
      <w:start w:val="6"/>
    </w:lvl>
  </w:abstractNum>
  <w:abstractNum w:abstractNumId="61">
    <w:nsid w:val="61574095"/>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jpeg"/><Relationship Id="rId125" Type="http://schemas.openxmlformats.org/officeDocument/2006/relationships/image" Target="media/image117.png"/><Relationship Id="rId18" Type="http://schemas.openxmlformats.org/officeDocument/2006/relationships/hyperlink" Target="http://www.sec.gov/Archives/edgar/data/1467858/000146785814000133/ex42043014indentu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2022-08-02T15:34:52Z</dcterms:created>
  <dcterms:modified xsi:type="dcterms:W3CDTF">2022-08-02T15:34:52Z</dcterms:modified>
</cp:coreProperties>
</file>