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GENERAL MOTORS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37045V100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37045V100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28,366,784.00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46,588,357.00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46,594,475.00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GENERAL MOTORS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 RENAISSANCE CTR , DETROIT, MICHIGAN, 48243, UNITED STATES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2700"/>
        <w:spacing w:after="0" w:line="256"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MA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37045V100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46594475.00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28,366,784</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46,588,357</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580"/>
        <w:spacing w:after="0" w:line="249" w:lineRule="auto"/>
        <w:rPr>
          <w:sz w:val="20"/>
          <w:szCs w:val="20"/>
          <w:color w:val="auto"/>
        </w:rPr>
      </w:pPr>
      <w:r>
        <w:rPr>
          <w:rFonts w:ascii="Times New Roman" w:cs="Times New Roman" w:eastAsia="Times New Roman" w:hAnsi="Times New Roman"/>
          <w:sz w:val="21"/>
          <w:szCs w:val="21"/>
          <w:color w:val="auto"/>
        </w:rPr>
        <w:t>SSGA FUNDS MANAGEMENT, INC. (IA);STATE STREET GLOBAL ADVISORS (JAPAN) CO., LTD. (IA);STATE STREET GLOBAL ADVISORS ASIA LIMITED (IA);STATE STREET GLOBAL ADVISORS EUROPE LIMITED (IA);STATE STREET GLOBAL ADVISORS LIMITED (IA);STATE STREET GLOBAL ADVISORS SINGAPORE LIMITED (IA);STATE STREET GLOBAL ADVISORS TRUST COMPANY (IA);STATE STREET GLOBAL ADVISORS, AUSTRALIA, LIMITED (IA);STATE STREET GLOBAL ADVISORS, LTD. (IA);STATE STREET SAUDI ARABIA FINANCIAL SOLUTIONS COMPANY (IA);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ectPr>
          <w:pgSz w:w="11900" w:h="16838" w:orient="portrait"/>
          <w:cols w:equalWidth="0" w:num="1">
            <w:col w:w="11140"/>
          </w:cols>
          <w:pgMar w:left="360" w:top="111" w:right="399" w:bottom="0" w:gutter="0" w:footer="0" w:header="0"/>
          <w:type w:val="continuous"/>
        </w:sectPr>
      </w:pPr>
    </w:p>
    <w:bookmarkStart w:id="3" w:name="page4"/>
    <w:bookmarkEnd w:id="3"/>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11/07/2025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2025-11-10T07:43:59Z</dcterms:created>
  <dcterms:modified xsi:type="dcterms:W3CDTF">2025-11-10T07:43:59Z</dcterms:modified>
</cp:coreProperties>
</file>