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179705</wp:posOffset>
            </wp:positionV>
            <wp:extent cx="726313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1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202565</wp:posOffset>
            </wp:positionV>
            <wp:extent cx="72631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pacing w:after="0" w:line="310" w:lineRule="exact"/>
        <w:rPr>
          <w:sz w:val="24"/>
          <w:szCs w:val="24"/>
          <w:color w:val="auto"/>
        </w:rPr>
      </w:pPr>
    </w:p>
    <w:p>
      <w:pPr>
        <w:jc w:val="center"/>
        <w:ind w:right="-1024"/>
        <w:spacing w:after="0"/>
        <w:rPr>
          <w:sz w:val="20"/>
          <w:szCs w:val="20"/>
          <w:color w:val="auto"/>
        </w:rPr>
      </w:pPr>
      <w:r>
        <w:rPr>
          <w:rFonts w:ascii="Arial" w:cs="Arial" w:eastAsia="Arial" w:hAnsi="Arial"/>
          <w:sz w:val="29"/>
          <w:szCs w:val="29"/>
          <w:b w:val="1"/>
          <w:bCs w:val="1"/>
          <w:color w:val="auto"/>
        </w:rPr>
        <w:t>UNITED STATES</w:t>
      </w:r>
    </w:p>
    <w:p>
      <w:pPr>
        <w:spacing w:after="0" w:line="19" w:lineRule="exact"/>
        <w:rPr>
          <w:sz w:val="24"/>
          <w:szCs w:val="24"/>
          <w:color w:val="auto"/>
        </w:rPr>
      </w:pPr>
    </w:p>
    <w:p>
      <w:pPr>
        <w:jc w:val="center"/>
        <w:ind w:right="-1024"/>
        <w:spacing w:after="0"/>
        <w:rPr>
          <w:sz w:val="20"/>
          <w:szCs w:val="20"/>
          <w:color w:val="auto"/>
        </w:rPr>
      </w:pPr>
      <w:r>
        <w:rPr>
          <w:rFonts w:ascii="Arial" w:cs="Arial" w:eastAsia="Arial" w:hAnsi="Arial"/>
          <w:sz w:val="27"/>
          <w:szCs w:val="27"/>
          <w:b w:val="1"/>
          <w:bCs w:val="1"/>
          <w:color w:val="auto"/>
        </w:rPr>
        <w:t>SECURITIES AND EXCHANGE COMMISSION</w:t>
      </w:r>
    </w:p>
    <w:p>
      <w:pPr>
        <w:spacing w:after="0" w:line="12" w:lineRule="exact"/>
        <w:rPr>
          <w:sz w:val="24"/>
          <w:szCs w:val="24"/>
          <w:color w:val="auto"/>
        </w:rPr>
      </w:pPr>
    </w:p>
    <w:p>
      <w:pPr>
        <w:ind w:left="4565"/>
        <w:spacing w:after="0"/>
        <w:rPr>
          <w:sz w:val="20"/>
          <w:szCs w:val="20"/>
          <w:color w:val="auto"/>
        </w:rPr>
      </w:pPr>
      <w:r>
        <w:rPr>
          <w:rFonts w:ascii="Arial" w:cs="Arial" w:eastAsia="Arial" w:hAnsi="Arial"/>
          <w:sz w:val="19"/>
          <w:szCs w:val="19"/>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165100</wp:posOffset>
            </wp:positionV>
            <wp:extent cx="15309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985" cy="7620"/>
                    </a:xfrm>
                    <a:prstGeom prst="rect">
                      <a:avLst/>
                    </a:prstGeom>
                    <a:noFill/>
                  </pic:spPr>
                </pic:pic>
              </a:graphicData>
            </a:graphic>
          </wp:anchor>
        </w:drawing>
      </w:r>
    </w:p>
    <w:p>
      <w:pPr>
        <w:spacing w:after="0" w:line="357" w:lineRule="exact"/>
        <w:rPr>
          <w:sz w:val="24"/>
          <w:szCs w:val="24"/>
          <w:color w:val="auto"/>
        </w:rPr>
      </w:pPr>
    </w:p>
    <w:p>
      <w:pPr>
        <w:ind w:left="5025"/>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173355</wp:posOffset>
            </wp:positionV>
            <wp:extent cx="15309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985" cy="7620"/>
                    </a:xfrm>
                    <a:prstGeom prst="rect">
                      <a:avLst/>
                    </a:prstGeom>
                    <a:noFill/>
                  </pic:spPr>
                </pic:pic>
              </a:graphicData>
            </a:graphic>
          </wp:anchor>
        </w:drawing>
      </w:r>
    </w:p>
    <w:p>
      <w:pPr>
        <w:spacing w:after="0" w:line="383" w:lineRule="exact"/>
        <w:rPr>
          <w:sz w:val="24"/>
          <w:szCs w:val="24"/>
          <w:color w:val="auto"/>
        </w:rPr>
      </w:pPr>
    </w:p>
    <w:p>
      <w:pPr>
        <w:jc w:val="center"/>
        <w:ind w:right="-1024"/>
        <w:spacing w:after="0"/>
        <w:rPr>
          <w:sz w:val="20"/>
          <w:szCs w:val="20"/>
          <w:color w:val="auto"/>
        </w:rPr>
      </w:pPr>
      <w:r>
        <w:rPr>
          <w:rFonts w:ascii="Arial" w:cs="Arial" w:eastAsia="Arial" w:hAnsi="Arial"/>
          <w:sz w:val="19"/>
          <w:szCs w:val="19"/>
          <w:b w:val="1"/>
          <w:bCs w:val="1"/>
          <w:color w:val="auto"/>
        </w:rPr>
        <w:t>CURRENT REPORT</w:t>
      </w:r>
    </w:p>
    <w:p>
      <w:pPr>
        <w:spacing w:after="0" w:line="13" w:lineRule="exact"/>
        <w:rPr>
          <w:sz w:val="24"/>
          <w:szCs w:val="24"/>
          <w:color w:val="auto"/>
        </w:rPr>
      </w:pPr>
    </w:p>
    <w:p>
      <w:pPr>
        <w:jc w:val="center"/>
        <w:ind w:right="-1024"/>
        <w:spacing w:after="0"/>
        <w:rPr>
          <w:sz w:val="20"/>
          <w:szCs w:val="20"/>
          <w:color w:val="auto"/>
        </w:rPr>
      </w:pPr>
      <w:r>
        <w:rPr>
          <w:rFonts w:ascii="Arial" w:cs="Arial" w:eastAsia="Arial" w:hAnsi="Arial"/>
          <w:sz w:val="19"/>
          <w:szCs w:val="19"/>
          <w:b w:val="1"/>
          <w:bCs w:val="1"/>
          <w:color w:val="auto"/>
        </w:rPr>
        <w:t>PURSUANT TO SECTION 13 OR 15(d) OF</w:t>
      </w:r>
    </w:p>
    <w:p>
      <w:pPr>
        <w:jc w:val="center"/>
        <w:ind w:right="-1024"/>
        <w:spacing w:after="0"/>
        <w:rPr>
          <w:sz w:val="20"/>
          <w:szCs w:val="20"/>
          <w:color w:val="auto"/>
        </w:rPr>
      </w:pPr>
      <w:r>
        <w:rPr>
          <w:rFonts w:ascii="Arial" w:cs="Arial" w:eastAsia="Arial" w:hAnsi="Arial"/>
          <w:sz w:val="19"/>
          <w:szCs w:val="19"/>
          <w:b w:val="1"/>
          <w:bCs w:val="1"/>
          <w:color w:val="auto"/>
        </w:rPr>
        <w:t>THE SECURITIES EXCHANGE ACT OF 1934</w:t>
      </w:r>
    </w:p>
    <w:p>
      <w:pPr>
        <w:spacing w:after="0" w:line="128" w:lineRule="exact"/>
        <w:rPr>
          <w:sz w:val="24"/>
          <w:szCs w:val="24"/>
          <w:color w:val="auto"/>
        </w:rPr>
      </w:pPr>
    </w:p>
    <w:p>
      <w:pPr>
        <w:ind w:left="3725"/>
        <w:spacing w:after="0"/>
        <w:rPr>
          <w:sz w:val="20"/>
          <w:szCs w:val="20"/>
          <w:color w:val="auto"/>
        </w:rPr>
      </w:pPr>
      <w:r>
        <w:rPr>
          <w:rFonts w:ascii="Arial" w:cs="Arial" w:eastAsia="Arial" w:hAnsi="Arial"/>
          <w:sz w:val="15"/>
          <w:szCs w:val="15"/>
          <w:b w:val="1"/>
          <w:bCs w:val="1"/>
          <w:color w:val="auto"/>
        </w:rPr>
        <w:t>Date of Report (Date of earliest event reported) April 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177800</wp:posOffset>
            </wp:positionV>
            <wp:extent cx="15309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985" cy="7620"/>
                    </a:xfrm>
                    <a:prstGeom prst="rect">
                      <a:avLst/>
                    </a:prstGeom>
                    <a:noFill/>
                  </pic:spPr>
                </pic:pic>
              </a:graphicData>
            </a:graphic>
          </wp:anchor>
        </w:drawing>
      </w:r>
    </w:p>
    <w:p>
      <w:pPr>
        <w:spacing w:after="0" w:line="376" w:lineRule="exact"/>
        <w:rPr>
          <w:sz w:val="24"/>
          <w:szCs w:val="24"/>
          <w:color w:val="auto"/>
        </w:rPr>
      </w:pPr>
    </w:p>
    <w:p>
      <w:pPr>
        <w:jc w:val="center"/>
        <w:ind w:right="-1024"/>
        <w:spacing w:after="0"/>
        <w:rPr>
          <w:sz w:val="20"/>
          <w:szCs w:val="20"/>
          <w:color w:val="auto"/>
        </w:rPr>
      </w:pPr>
      <w:r>
        <w:rPr>
          <w:rFonts w:ascii="Arial" w:cs="Arial" w:eastAsia="Arial" w:hAnsi="Arial"/>
          <w:sz w:val="38"/>
          <w:szCs w:val="38"/>
          <w:b w:val="1"/>
          <w:bCs w:val="1"/>
          <w:color w:val="auto"/>
        </w:rPr>
        <w:t>GENERAL MOTORS COMPANY</w:t>
      </w:r>
    </w:p>
    <w:p>
      <w:pPr>
        <w:spacing w:after="0" w:line="46" w:lineRule="exact"/>
        <w:rPr>
          <w:sz w:val="24"/>
          <w:szCs w:val="24"/>
          <w:color w:val="auto"/>
        </w:rPr>
      </w:pPr>
    </w:p>
    <w:p>
      <w:pPr>
        <w:ind w:left="3965"/>
        <w:spacing w:after="0"/>
        <w:rPr>
          <w:sz w:val="20"/>
          <w:szCs w:val="20"/>
          <w:color w:val="auto"/>
        </w:rPr>
      </w:pPr>
      <w:r>
        <w:rPr>
          <w:rFonts w:ascii="Arial" w:cs="Arial" w:eastAsia="Arial" w:hAnsi="Arial"/>
          <w:sz w:val="15"/>
          <w:szCs w:val="15"/>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173990</wp:posOffset>
            </wp:positionV>
            <wp:extent cx="15309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985" cy="7620"/>
                    </a:xfrm>
                    <a:prstGeom prst="rect">
                      <a:avLst/>
                    </a:prstGeom>
                    <a:noFill/>
                  </pic:spPr>
                </pic:pic>
              </a:graphicData>
            </a:graphic>
          </wp:anchor>
        </w:drawing>
      </w:r>
    </w:p>
    <w:p>
      <w:pPr>
        <w:sectPr>
          <w:pgSz w:w="11900" w:h="16838" w:orient="portrait"/>
          <w:cols w:equalWidth="0" w:num="1">
            <w:col w:w="10405"/>
          </w:cols>
          <w:pgMar w:left="235" w:top="219" w:right="125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ind w:left="1565"/>
        <w:spacing w:after="0"/>
        <w:rPr>
          <w:sz w:val="20"/>
          <w:szCs w:val="20"/>
          <w:color w:val="auto"/>
        </w:rPr>
      </w:pPr>
      <w:r>
        <w:rPr>
          <w:rFonts w:ascii="Arial" w:cs="Arial" w:eastAsia="Arial" w:hAnsi="Arial"/>
          <w:sz w:val="14"/>
          <w:szCs w:val="14"/>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27-0756180</w:t>
      </w:r>
    </w:p>
    <w:p>
      <w:pPr>
        <w:spacing w:after="0" w:line="51" w:lineRule="exact"/>
        <w:rPr>
          <w:sz w:val="24"/>
          <w:szCs w:val="24"/>
          <w:color w:val="auto"/>
        </w:rPr>
      </w:pPr>
    </w:p>
    <w:p>
      <w:pPr>
        <w:sectPr>
          <w:pgSz w:w="11900" w:h="16838" w:orient="portrait"/>
          <w:cols w:equalWidth="0" w:num="3">
            <w:col w:w="4685" w:space="720"/>
            <w:col w:w="3120" w:space="720"/>
            <w:col w:w="1160"/>
          </w:cols>
          <w:pgMar w:left="235" w:top="219" w:right="1259" w:bottom="1440" w:gutter="0" w:footer="0" w:header="0"/>
          <w:type w:val="continuous"/>
        </w:sectPr>
      </w:pPr>
    </w:p>
    <w:p>
      <w:pPr>
        <w:ind w:left="1265"/>
        <w:spacing w:after="0"/>
        <w:rPr>
          <w:sz w:val="20"/>
          <w:szCs w:val="20"/>
          <w:color w:val="auto"/>
        </w:rPr>
      </w:pPr>
      <w:r>
        <w:rPr>
          <w:rFonts w:ascii="Arial" w:cs="Arial" w:eastAsia="Arial" w:hAnsi="Arial"/>
          <w:sz w:val="10"/>
          <w:szCs w:val="10"/>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Arial" w:cs="Arial" w:eastAsia="Arial" w:hAnsi="Arial"/>
          <w:sz w:val="10"/>
          <w:szCs w:val="10"/>
          <w:b w:val="1"/>
          <w:bCs w:val="1"/>
          <w:color w:val="auto"/>
        </w:rPr>
        <w:t>(State or other jurisdiction of</w:t>
      </w:r>
    </w:p>
    <w:p>
      <w:pPr>
        <w:spacing w:after="0" w:line="18" w:lineRule="exact"/>
        <w:rPr>
          <w:sz w:val="24"/>
          <w:szCs w:val="24"/>
          <w:color w:val="auto"/>
        </w:rPr>
      </w:pPr>
    </w:p>
    <w:p>
      <w:pPr>
        <w:jc w:val="center"/>
        <w:ind w:right="1840"/>
        <w:spacing w:after="0"/>
        <w:rPr>
          <w:sz w:val="20"/>
          <w:szCs w:val="20"/>
          <w:color w:val="auto"/>
        </w:rPr>
      </w:pPr>
      <w:r>
        <w:rPr>
          <w:rFonts w:ascii="Arial" w:cs="Arial" w:eastAsia="Arial" w:hAnsi="Arial"/>
          <w:sz w:val="12"/>
          <w:szCs w:val="12"/>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1"/>
          <w:szCs w:val="11"/>
          <w:b w:val="1"/>
          <w:bCs w:val="1"/>
          <w:color w:val="auto"/>
        </w:rPr>
        <w:t>(I.R.S. Employer</w:t>
      </w:r>
    </w:p>
    <w:p>
      <w:pPr>
        <w:spacing w:after="0" w:line="7"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191" w:lineRule="exact"/>
        <w:rPr>
          <w:sz w:val="24"/>
          <w:szCs w:val="24"/>
          <w:color w:val="auto"/>
        </w:rPr>
      </w:pPr>
    </w:p>
    <w:p>
      <w:pPr>
        <w:sectPr>
          <w:pgSz w:w="11900" w:h="16838" w:orient="portrait"/>
          <w:cols w:equalWidth="0" w:num="3">
            <w:col w:w="4385" w:space="720"/>
            <w:col w:w="3320" w:space="720"/>
            <w:col w:w="1260"/>
          </w:cols>
          <w:pgMar w:left="235" w:top="219" w:right="1259" w:bottom="1440" w:gutter="0" w:footer="0" w:header="0"/>
          <w:type w:val="continuous"/>
        </w:sectPr>
      </w:pPr>
    </w:p>
    <w:p>
      <w:pPr>
        <w:ind w:left="1465"/>
        <w:spacing w:after="0"/>
        <w:rPr>
          <w:sz w:val="20"/>
          <w:szCs w:val="20"/>
          <w:color w:val="auto"/>
        </w:rPr>
      </w:pPr>
      <w:r>
        <w:rPr>
          <w:rFonts w:ascii="Arial" w:cs="Arial" w:eastAsia="Arial" w:hAnsi="Arial"/>
          <w:sz w:val="13"/>
          <w:szCs w:val="13"/>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48265-3000</w:t>
      </w:r>
    </w:p>
    <w:p>
      <w:pPr>
        <w:spacing w:after="0" w:line="52" w:lineRule="exact"/>
        <w:rPr>
          <w:sz w:val="24"/>
          <w:szCs w:val="24"/>
          <w:color w:val="auto"/>
        </w:rPr>
      </w:pPr>
    </w:p>
    <w:p>
      <w:pPr>
        <w:sectPr>
          <w:pgSz w:w="11900" w:h="16838" w:orient="portrait"/>
          <w:cols w:equalWidth="0" w:num="2">
            <w:col w:w="7605" w:space="720"/>
            <w:col w:w="2080"/>
          </w:cols>
          <w:pgMar w:left="235" w:top="219" w:right="1259" w:bottom="1440" w:gutter="0" w:footer="0" w:header="0"/>
          <w:type w:val="continuous"/>
        </w:sectPr>
      </w:pPr>
    </w:p>
    <w:p>
      <w:pPr>
        <w:ind w:left="1845"/>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(Zip Code)</w:t>
      </w:r>
    </w:p>
    <w:p>
      <w:pPr>
        <w:spacing w:after="0" w:line="147" w:lineRule="exact"/>
        <w:rPr>
          <w:sz w:val="24"/>
          <w:szCs w:val="24"/>
          <w:color w:val="auto"/>
        </w:rPr>
      </w:pPr>
    </w:p>
    <w:p>
      <w:pPr>
        <w:sectPr>
          <w:pgSz w:w="11900" w:h="16838" w:orient="portrait"/>
          <w:cols w:equalWidth="0" w:num="2">
            <w:col w:w="7705" w:space="720"/>
            <w:col w:w="1980"/>
          </w:cols>
          <w:pgMar w:left="235" w:top="219" w:right="1259" w:bottom="1440" w:gutter="0" w:footer="0" w:header="0"/>
          <w:type w:val="continuous"/>
        </w:sectPr>
      </w:pPr>
    </w:p>
    <w:p>
      <w:pPr>
        <w:jc w:val="center"/>
        <w:ind w:right="-1044"/>
        <w:spacing w:after="0"/>
        <w:rPr>
          <w:sz w:val="20"/>
          <w:szCs w:val="20"/>
          <w:color w:val="auto"/>
        </w:rPr>
      </w:pPr>
      <w:r>
        <w:rPr>
          <w:rFonts w:ascii="Arial" w:cs="Arial" w:eastAsia="Arial" w:hAnsi="Arial"/>
          <w:sz w:val="15"/>
          <w:szCs w:val="15"/>
          <w:b w:val="1"/>
          <w:bCs w:val="1"/>
          <w:color w:val="auto"/>
        </w:rPr>
        <w:t>(313) 556-5000</w:t>
      </w:r>
    </w:p>
    <w:p>
      <w:pPr>
        <w:spacing w:after="0" w:line="29" w:lineRule="exact"/>
        <w:rPr>
          <w:sz w:val="24"/>
          <w:szCs w:val="24"/>
          <w:color w:val="auto"/>
        </w:rPr>
      </w:pPr>
    </w:p>
    <w:p>
      <w:pPr>
        <w:jc w:val="center"/>
        <w:ind w:right="-1044"/>
        <w:spacing w:after="0"/>
        <w:rPr>
          <w:sz w:val="20"/>
          <w:szCs w:val="20"/>
          <w:color w:val="auto"/>
        </w:rPr>
      </w:pPr>
      <w:r>
        <w:rPr>
          <w:rFonts w:ascii="Arial" w:cs="Arial" w:eastAsia="Arial" w:hAnsi="Arial"/>
          <w:sz w:val="12"/>
          <w:szCs w:val="12"/>
          <w:b w:val="1"/>
          <w:bCs w:val="1"/>
          <w:color w:val="auto"/>
        </w:rPr>
        <w:t>(Company’s telephone number, including area code)</w:t>
      </w:r>
    </w:p>
    <w:p>
      <w:pPr>
        <w:spacing w:after="0" w:line="124" w:lineRule="exact"/>
        <w:rPr>
          <w:sz w:val="24"/>
          <w:szCs w:val="24"/>
          <w:color w:val="auto"/>
        </w:rPr>
      </w:pPr>
    </w:p>
    <w:p>
      <w:pPr>
        <w:jc w:val="center"/>
        <w:ind w:right="-1044"/>
        <w:spacing w:after="0"/>
        <w:rPr>
          <w:sz w:val="20"/>
          <w:szCs w:val="20"/>
          <w:color w:val="auto"/>
        </w:rPr>
      </w:pPr>
      <w:r>
        <w:rPr>
          <w:rFonts w:ascii="Arial" w:cs="Arial" w:eastAsia="Arial" w:hAnsi="Arial"/>
          <w:sz w:val="15"/>
          <w:szCs w:val="15"/>
          <w:b w:val="1"/>
          <w:bCs w:val="1"/>
          <w:color w:val="auto"/>
        </w:rPr>
        <w:t>Not Applicable</w:t>
      </w:r>
    </w:p>
    <w:p>
      <w:pPr>
        <w:spacing w:after="0" w:line="29" w:lineRule="exact"/>
        <w:rPr>
          <w:sz w:val="24"/>
          <w:szCs w:val="24"/>
          <w:color w:val="auto"/>
        </w:rPr>
      </w:pPr>
    </w:p>
    <w:p>
      <w:pPr>
        <w:ind w:left="4145"/>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154940</wp:posOffset>
            </wp:positionV>
            <wp:extent cx="15309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0985" cy="7620"/>
                    </a:xfrm>
                    <a:prstGeom prst="rect">
                      <a:avLst/>
                    </a:prstGeom>
                    <a:noFill/>
                  </pic:spPr>
                </pic:pic>
              </a:graphicData>
            </a:graphic>
          </wp:anchor>
        </w:drawing>
      </w:r>
    </w:p>
    <w:p>
      <w:pPr>
        <w:spacing w:after="0" w:line="371" w:lineRule="exact"/>
        <w:rPr>
          <w:sz w:val="24"/>
          <w:szCs w:val="24"/>
          <w:color w:val="auto"/>
        </w:rPr>
      </w:pPr>
    </w:p>
    <w:p>
      <w:pPr>
        <w:ind w:left="5"/>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company under any of the following provisions:</w:t>
      </w:r>
    </w:p>
    <w:p>
      <w:pPr>
        <w:spacing w:after="0" w:line="207"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5" w:lineRule="exact"/>
        <w:rPr>
          <w:rFonts w:ascii="MS PGothic" w:cs="MS PGothic" w:eastAsia="MS PGothic" w:hAnsi="MS PGothic"/>
          <w:sz w:val="15"/>
          <w:szCs w:val="15"/>
          <w:color w:val="auto"/>
        </w:rPr>
      </w:pPr>
    </w:p>
    <w:p>
      <w:pPr>
        <w:ind w:left="445" w:hanging="445"/>
        <w:spacing w:after="0"/>
        <w:tabs>
          <w:tab w:leader="none" w:pos="445"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(17-CFR 240.14a-12)</w:t>
      </w:r>
    </w:p>
    <w:p>
      <w:pPr>
        <w:spacing w:after="0" w:line="195" w:lineRule="exact"/>
        <w:rPr>
          <w:rFonts w:ascii="MS PGothic" w:cs="MS PGothic" w:eastAsia="MS PGothic" w:hAnsi="MS PGothic"/>
          <w:sz w:val="15"/>
          <w:szCs w:val="15"/>
          <w:color w:val="auto"/>
        </w:rPr>
      </w:pPr>
    </w:p>
    <w:p>
      <w:pPr>
        <w:ind w:left="445" w:hanging="445"/>
        <w:spacing w:after="0"/>
        <w:tabs>
          <w:tab w:leader="none" w:pos="445"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5" w:lineRule="exact"/>
        <w:rPr>
          <w:rFonts w:ascii="MS PGothic" w:cs="MS PGothic" w:eastAsia="MS PGothic" w:hAnsi="MS PGothic"/>
          <w:sz w:val="15"/>
          <w:szCs w:val="15"/>
          <w:color w:val="auto"/>
        </w:rPr>
      </w:pPr>
    </w:p>
    <w:p>
      <w:pPr>
        <w:ind w:left="445" w:hanging="445"/>
        <w:spacing w:after="0"/>
        <w:tabs>
          <w:tab w:leader="none" w:pos="445"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2631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1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72631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ectPr>
          <w:pgSz w:w="11900" w:h="16838" w:orient="portrait"/>
          <w:cols w:equalWidth="0" w:num="1">
            <w:col w:w="10405"/>
          </w:cols>
          <w:pgMar w:left="235" w:top="219" w:right="125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3770" cy="3556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70" w:lineRule="exact"/>
        <w:rPr>
          <w:sz w:val="20"/>
          <w:szCs w:val="20"/>
          <w:color w:val="auto"/>
        </w:rPr>
      </w:pPr>
    </w:p>
    <w:p>
      <w:pPr>
        <w:ind w:left="4880"/>
        <w:spacing w:after="0"/>
        <w:rPr>
          <w:sz w:val="20"/>
          <w:szCs w:val="20"/>
          <w:color w:val="auto"/>
        </w:rPr>
      </w:pPr>
      <w:r>
        <w:rPr>
          <w:rFonts w:ascii="Arial" w:cs="Arial" w:eastAsia="Arial" w:hAnsi="Arial"/>
          <w:sz w:val="15"/>
          <w:szCs w:val="15"/>
          <w:b w:val="1"/>
          <w:bCs w:val="1"/>
          <w:u w:val="single" w:color="auto"/>
          <w:color w:val="auto"/>
        </w:rPr>
        <w:t>TABLE OF CONTENTS</w:t>
      </w:r>
    </w:p>
    <w:p>
      <w:pPr>
        <w:spacing w:after="0" w:line="196" w:lineRule="exact"/>
        <w:rPr>
          <w:sz w:val="20"/>
          <w:szCs w:val="20"/>
          <w:color w:val="auto"/>
        </w:rPr>
      </w:pPr>
    </w:p>
    <w:p>
      <w:pPr>
        <w:ind w:right="4899"/>
        <w:spacing w:after="0" w:line="299" w:lineRule="auto"/>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ITEM 2.02 RESULTS OF OPERATIONS AND FINANCIAL CONDITIONS</w:t>
        </w:r>
      </w:hyperlink>
      <w:r>
        <w:rPr>
          <w:rFonts w:ascii="Arial" w:cs="Arial" w:eastAsia="Arial" w:hAnsi="Arial"/>
          <w:sz w:val="15"/>
          <w:szCs w:val="15"/>
          <w:b w:val="1"/>
          <w:bCs w:val="1"/>
          <w:u w:val="single" w:color="auto"/>
          <w:color w:val="0000EE"/>
        </w:rPr>
        <w:t xml:space="preserve"> </w:t>
      </w:r>
      <w:hyperlink w:anchor="page3">
        <w:r>
          <w:rPr>
            <w:rFonts w:ascii="Arial" w:cs="Arial" w:eastAsia="Arial" w:hAnsi="Arial"/>
            <w:sz w:val="15"/>
            <w:szCs w:val="15"/>
            <w:b w:val="1"/>
            <w:bCs w:val="1"/>
            <w:u w:val="single" w:color="auto"/>
            <w:color w:val="0000EE"/>
          </w:rPr>
          <w:t>ITEM 9.01 FINANCIAL STATEMENTS AND EXHIBITS</w:t>
        </w:r>
      </w:hyperlink>
      <w:r>
        <w:rPr>
          <w:rFonts w:ascii="Arial" w:cs="Arial" w:eastAsia="Arial" w:hAnsi="Arial"/>
          <w:sz w:val="15"/>
          <w:szCs w:val="15"/>
          <w:b w:val="1"/>
          <w:bCs w:val="1"/>
          <w:u w:val="single" w:color="auto"/>
          <w:color w:val="0000EE"/>
        </w:rPr>
        <w:t xml:space="preserve"> </w:t>
      </w:r>
      <w:hyperlink w:anchor="page4">
        <w:r>
          <w:rPr>
            <w:rFonts w:ascii="Arial" w:cs="Arial" w:eastAsia="Arial" w:hAnsi="Arial"/>
            <w:sz w:val="15"/>
            <w:szCs w:val="15"/>
            <w:b w:val="1"/>
            <w:bCs w:val="1"/>
            <w:u w:val="single" w:color="auto"/>
            <w:color w:val="0000EE"/>
          </w:rPr>
          <w:t>SIGNATURES</w:t>
        </w:r>
      </w:hyperlink>
    </w:p>
    <w:p>
      <w:pPr>
        <w:spacing w:after="0" w:line="152" w:lineRule="exact"/>
        <w:rPr>
          <w:rFonts w:ascii="Arial" w:cs="Arial" w:eastAsia="Arial" w:hAnsi="Arial"/>
          <w:sz w:val="15"/>
          <w:szCs w:val="15"/>
          <w:b w:val="1"/>
          <w:bCs w:val="1"/>
          <w:u w:val="single" w:color="auto"/>
          <w:color w:val="0000EE"/>
        </w:rPr>
      </w:pPr>
    </w:p>
    <w:p>
      <w:pPr>
        <w:spacing w:after="0"/>
        <w:rPr>
          <w:sz w:val="20"/>
          <w:szCs w:val="20"/>
          <w:color w:val="auto"/>
        </w:rPr>
      </w:pPr>
      <w:r>
        <w:rPr>
          <w:rFonts w:ascii="Arial" w:cs="Arial" w:eastAsia="Arial" w:hAnsi="Arial"/>
          <w:sz w:val="15"/>
          <w:szCs w:val="15"/>
          <w:b w:val="1"/>
          <w:bCs w:val="1"/>
          <w:color w:val="auto"/>
        </w:rPr>
        <w:t>INDEX TO EXHIBITS</w:t>
      </w:r>
    </w:p>
    <w:p>
      <w:pPr>
        <w:spacing w:after="0" w:line="18" w:lineRule="exact"/>
        <w:rPr>
          <w:rFonts w:ascii="Arial" w:cs="Arial" w:eastAsia="Arial" w:hAnsi="Arial"/>
          <w:sz w:val="15"/>
          <w:szCs w:val="15"/>
          <w:b w:val="1"/>
          <w:bCs w:val="1"/>
          <w:u w:val="single" w:color="auto"/>
          <w:color w:val="0000EE"/>
        </w:rPr>
      </w:pPr>
    </w:p>
    <w:p>
      <w:pPr>
        <w:ind w:left="46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News Release Dated April 7, 2010 and Financial Statements</w:t>
        </w:r>
      </w:hyperlink>
    </w:p>
    <w:p>
      <w:pPr>
        <w:spacing w:after="0" w:line="18" w:lineRule="exact"/>
        <w:rPr>
          <w:rFonts w:ascii="Arial" w:cs="Arial" w:eastAsia="Arial" w:hAnsi="Arial"/>
          <w:sz w:val="15"/>
          <w:szCs w:val="15"/>
          <w:b w:val="1"/>
          <w:bCs w:val="1"/>
          <w:u w:val="single" w:color="auto"/>
          <w:color w:val="0000EE"/>
        </w:rPr>
      </w:pPr>
    </w:p>
    <w:p>
      <w:pPr>
        <w:ind w:left="460"/>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Charts Furnished to Securities Analysts</w:t>
        </w:r>
      </w:hyperlink>
    </w:p>
    <w:p>
      <w:pPr>
        <w:sectPr>
          <w:pgSz w:w="11900" w:h="16838" w:orient="portrait"/>
          <w:cols w:equalWidth="0" w:num="1">
            <w:col w:w="10219"/>
          </w:cols>
          <w:pgMar w:left="240" w:top="420"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3770" cy="3556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70"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CONDITIONS</w:t>
      </w:r>
    </w:p>
    <w:p>
      <w:pPr>
        <w:spacing w:after="0" w:line="166"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On April 7, 2010, a news release was issued on the subject of fresh-start accounting and included information regarding consolidated earnings for General Motors Company (GM). The news release did not include certain financial statements, related footnotes and certain other financial information that will be filed with the Securities and Exchange Commission as part of GM’s Annual Report on Form 10-K. The news release and financial statements are incorporated as Exhibit 99.1.</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Charts furnished to securities analysts in connection with GM’s fourth quarter 2009 earnings release are attached as Exhibit 99.2.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0" w:type="dxa"/>
            <w:vAlign w:val="bottom"/>
            <w:gridSpan w:val="2"/>
          </w:tcPr>
          <w:p>
            <w:pPr>
              <w:spacing w:after="0"/>
              <w:rPr>
                <w:sz w:val="20"/>
                <w:szCs w:val="20"/>
                <w:color w:val="auto"/>
              </w:rPr>
            </w:pPr>
            <w:r>
              <w:rPr>
                <w:rFonts w:ascii="Arial" w:cs="Arial" w:eastAsia="Arial" w:hAnsi="Arial"/>
                <w:sz w:val="15"/>
                <w:szCs w:val="15"/>
                <w:b w:val="1"/>
                <w:bCs w:val="1"/>
                <w:color w:val="auto"/>
              </w:rPr>
              <w:t>ITEM 9.01</w:t>
            </w:r>
          </w:p>
        </w:tc>
        <w:tc>
          <w:tcPr>
            <w:tcW w:w="4300" w:type="dxa"/>
            <w:vAlign w:val="bottom"/>
            <w:gridSpan w:val="3"/>
          </w:tcPr>
          <w:p>
            <w:pPr>
              <w:ind w:left="140"/>
              <w:spacing w:after="0"/>
              <w:rPr>
                <w:sz w:val="20"/>
                <w:szCs w:val="20"/>
                <w:color w:val="auto"/>
              </w:rPr>
            </w:pPr>
            <w:r>
              <w:rPr>
                <w:rFonts w:ascii="Arial" w:cs="Arial" w:eastAsia="Arial" w:hAnsi="Arial"/>
                <w:sz w:val="15"/>
                <w:szCs w:val="15"/>
                <w:b w:val="1"/>
                <w:bCs w:val="1"/>
                <w:color w:val="auto"/>
              </w:rPr>
              <w:t>FINANCIAL STATEMENTS AND EXHIBITS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41"/>
        </w:trPr>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60" w:type="dxa"/>
            <w:vAlign w:val="bottom"/>
            <w:gridSpan w:val="5"/>
          </w:tcPr>
          <w:p>
            <w:pPr>
              <w:ind w:left="160"/>
              <w:spacing w:after="0"/>
              <w:rPr>
                <w:sz w:val="20"/>
                <w:szCs w:val="20"/>
                <w:color w:val="auto"/>
              </w:rPr>
            </w:pPr>
            <w:r>
              <w:rPr>
                <w:rFonts w:ascii="Arial" w:cs="Arial" w:eastAsia="Arial" w:hAnsi="Arial"/>
                <w:sz w:val="15"/>
                <w:szCs w:val="15"/>
                <w:b w:val="1"/>
                <w:bCs w:val="1"/>
                <w:color w:val="auto"/>
              </w:rPr>
              <w:t>EXHIBITS</w:t>
            </w:r>
          </w:p>
        </w:tc>
      </w:tr>
      <w:tr>
        <w:trPr>
          <w:trHeight w:val="324"/>
        </w:trPr>
        <w:tc>
          <w:tcPr>
            <w:tcW w:w="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5"/>
              </w:rPr>
              <w:t>Exhibits</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3"/>
              </w:rPr>
              <w:t>Description</w:t>
            </w: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w w:val="93"/>
              </w:rPr>
              <w:t>Method of Filing</w:t>
            </w:r>
          </w:p>
        </w:tc>
        <w:tc>
          <w:tcPr>
            <w:tcW w:w="380" w:type="dxa"/>
            <w:vAlign w:val="bottom"/>
          </w:tcPr>
          <w:p>
            <w:pPr>
              <w:spacing w:after="0"/>
              <w:rPr>
                <w:sz w:val="24"/>
                <w:szCs w:val="24"/>
                <w:color w:val="auto"/>
              </w:rPr>
            </w:pPr>
          </w:p>
        </w:tc>
      </w:tr>
      <w:tr>
        <w:trPr>
          <w:trHeight w:val="275"/>
        </w:trPr>
        <w:tc>
          <w:tcPr>
            <w:tcW w:w="880" w:type="dxa"/>
            <w:vAlign w:val="bottom"/>
            <w:gridSpan w:val="2"/>
          </w:tcPr>
          <w:p>
            <w:pPr>
              <w:spacing w:after="0"/>
              <w:rPr>
                <w:sz w:val="20"/>
                <w:szCs w:val="20"/>
                <w:color w:val="auto"/>
              </w:rPr>
            </w:pPr>
            <w:r>
              <w:rPr>
                <w:rFonts w:ascii="Arial" w:cs="Arial" w:eastAsia="Arial" w:hAnsi="Arial"/>
                <w:sz w:val="15"/>
                <w:szCs w:val="15"/>
                <w:color w:val="auto"/>
              </w:rPr>
              <w:t>Exhibit 99.1</w:t>
            </w:r>
          </w:p>
        </w:tc>
        <w:tc>
          <w:tcPr>
            <w:tcW w:w="400" w:type="dxa"/>
            <w:vAlign w:val="bottom"/>
          </w:tcPr>
          <w:p>
            <w:pPr>
              <w:spacing w:after="0"/>
              <w:rPr>
                <w:sz w:val="23"/>
                <w:szCs w:val="23"/>
                <w:color w:val="auto"/>
              </w:rPr>
            </w:pPr>
          </w:p>
        </w:tc>
        <w:tc>
          <w:tcPr>
            <w:tcW w:w="3900" w:type="dxa"/>
            <w:vAlign w:val="bottom"/>
            <w:gridSpan w:val="2"/>
          </w:tcPr>
          <w:p>
            <w:pPr>
              <w:spacing w:after="0"/>
              <w:rPr>
                <w:sz w:val="20"/>
                <w:szCs w:val="20"/>
                <w:color w:val="auto"/>
              </w:rPr>
            </w:pPr>
            <w:r>
              <w:rPr>
                <w:rFonts w:ascii="Arial" w:cs="Arial" w:eastAsia="Arial" w:hAnsi="Arial"/>
                <w:sz w:val="15"/>
                <w:szCs w:val="15"/>
                <w:color w:val="auto"/>
                <w:w w:val="96"/>
              </w:rPr>
              <w:t>News Release Dated April 7, 2010 and Financial Statements</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Arial" w:cs="Arial" w:eastAsia="Arial" w:hAnsi="Arial"/>
                <w:sz w:val="15"/>
                <w:szCs w:val="15"/>
                <w:color w:val="auto"/>
                <w:w w:val="93"/>
              </w:rPr>
              <w:t>Attached as Exhibit</w:t>
            </w:r>
          </w:p>
        </w:tc>
      </w:tr>
      <w:tr>
        <w:trPr>
          <w:trHeight w:val="285"/>
        </w:trPr>
        <w:tc>
          <w:tcPr>
            <w:tcW w:w="880" w:type="dxa"/>
            <w:vAlign w:val="bottom"/>
            <w:gridSpan w:val="2"/>
          </w:tcPr>
          <w:p>
            <w:pPr>
              <w:spacing w:after="0"/>
              <w:rPr>
                <w:sz w:val="20"/>
                <w:szCs w:val="20"/>
                <w:color w:val="auto"/>
              </w:rPr>
            </w:pPr>
            <w:r>
              <w:rPr>
                <w:rFonts w:ascii="Arial" w:cs="Arial" w:eastAsia="Arial" w:hAnsi="Arial"/>
                <w:sz w:val="15"/>
                <w:szCs w:val="15"/>
                <w:color w:val="auto"/>
              </w:rPr>
              <w:t>Exhibit 99.2</w:t>
            </w:r>
          </w:p>
        </w:tc>
        <w:tc>
          <w:tcPr>
            <w:tcW w:w="40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5"/>
                <w:szCs w:val="15"/>
                <w:color w:val="auto"/>
              </w:rPr>
              <w:t>Charts Furnished to Securities Analysts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5"/>
                <w:szCs w:val="15"/>
                <w:color w:val="auto"/>
                <w:w w:val="93"/>
              </w:rPr>
              <w:t>Attached as Exhibit</w:t>
            </w:r>
          </w:p>
        </w:tc>
      </w:tr>
    </w:tbl>
    <w:p>
      <w:pPr>
        <w:sectPr>
          <w:pgSz w:w="11900" w:h="16838" w:orient="portrait"/>
          <w:cols w:equalWidth="0" w:num="1">
            <w:col w:w="11440"/>
          </w:cols>
          <w:pgMar w:left="240" w:top="420" w:right="21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3770" cy="3556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color w:val="auto"/>
        </w:rPr>
        <w:t>SIGNATURE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Pursuant to the requirements of the Securities Exchange Act of 1934, the Company has duly caused this report to be signed on its behalf by the undersigned hereunto duly authorized.</w:t>
      </w: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5"/>
          <w:szCs w:val="15"/>
          <w:u w:val="single" w:color="auto"/>
          <w:color w:val="auto"/>
        </w:rPr>
        <w:t>GENERAL MOTORS COMPANY</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5820" w:val="left"/>
          <w:tab w:leader="none" w:pos="7980" w:val="left"/>
          <w:tab w:leader="none" w:pos="8280" w:val="left"/>
        </w:tabs>
        <w:rPr>
          <w:sz w:val="20"/>
          <w:szCs w:val="20"/>
          <w:color w:val="auto"/>
        </w:rPr>
      </w:pPr>
      <w:r>
        <w:rPr>
          <w:rFonts w:ascii="Arial" w:cs="Arial" w:eastAsia="Arial" w:hAnsi="Arial"/>
          <w:sz w:val="15"/>
          <w:szCs w:val="15"/>
          <w:color w:val="auto"/>
        </w:rPr>
        <w:t>Date: April 9, 2010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w:t>
      </w:r>
      <w:r>
        <w:rPr>
          <w:rFonts w:ascii="Arial" w:cs="Arial" w:eastAsia="Arial" w:hAnsi="Arial"/>
          <w:sz w:val="12"/>
          <w:szCs w:val="12"/>
          <w:color w:val="auto"/>
        </w:rPr>
        <w:t>S</w:t>
      </w:r>
      <w:r>
        <w:rPr>
          <w:rFonts w:ascii="Arial" w:cs="Arial" w:eastAsia="Arial" w:hAnsi="Arial"/>
          <w:sz w:val="15"/>
          <w:szCs w:val="15"/>
          <w:color w:val="auto"/>
        </w:rPr>
        <w:t>/</w:t>
        <w:tab/>
        <w:t>N</w:t>
      </w:r>
      <w:r>
        <w:rPr>
          <w:rFonts w:ascii="Arial" w:cs="Arial" w:eastAsia="Arial" w:hAnsi="Arial"/>
          <w:sz w:val="12"/>
          <w:szCs w:val="12"/>
          <w:color w:val="auto"/>
        </w:rPr>
        <w:t>ICK</w:t>
      </w:r>
      <w:r>
        <w:rPr>
          <w:rFonts w:ascii="Arial" w:cs="Arial" w:eastAsia="Arial" w:hAnsi="Arial"/>
          <w:sz w:val="15"/>
          <w:szCs w:val="15"/>
          <w:color w:val="auto"/>
        </w:rPr>
        <w:t xml:space="preserve"> S. C</w:t>
      </w:r>
      <w:r>
        <w:rPr>
          <w:rFonts w:ascii="Arial" w:cs="Arial" w:eastAsia="Arial" w:hAnsi="Arial"/>
          <w:sz w:val="12"/>
          <w:szCs w:val="12"/>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15875</wp:posOffset>
            </wp:positionV>
            <wp:extent cx="33337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33750" cy="7620"/>
                    </a:xfrm>
                    <a:prstGeom prst="rect">
                      <a:avLst/>
                    </a:prstGeom>
                    <a:noFill/>
                  </pic:spPr>
                </pic:pic>
              </a:graphicData>
            </a:graphic>
          </wp:anchor>
        </w:drawing>
      </w:r>
    </w:p>
    <w:p>
      <w:pPr>
        <w:spacing w:after="0" w:line="22" w:lineRule="exact"/>
        <w:rPr>
          <w:sz w:val="20"/>
          <w:szCs w:val="20"/>
          <w:color w:val="auto"/>
        </w:rPr>
      </w:pPr>
    </w:p>
    <w:p>
      <w:pPr>
        <w:jc w:val="center"/>
        <w:ind w:left="6200"/>
        <w:spacing w:after="0"/>
        <w:rPr>
          <w:sz w:val="20"/>
          <w:szCs w:val="20"/>
          <w:color w:val="auto"/>
        </w:rPr>
      </w:pPr>
      <w:r>
        <w:rPr>
          <w:rFonts w:ascii="Arial" w:cs="Arial" w:eastAsia="Arial" w:hAnsi="Arial"/>
          <w:sz w:val="12"/>
          <w:szCs w:val="12"/>
          <w:b w:val="1"/>
          <w:bCs w:val="1"/>
          <w:color w:val="auto"/>
        </w:rPr>
        <w:t>Nick S. Cyprus</w:t>
      </w:r>
    </w:p>
    <w:p>
      <w:pPr>
        <w:jc w:val="center"/>
        <w:ind w:left="6200"/>
        <w:spacing w:after="0"/>
        <w:rPr>
          <w:sz w:val="20"/>
          <w:szCs w:val="20"/>
          <w:color w:val="auto"/>
        </w:rPr>
      </w:pPr>
      <w:r>
        <w:rPr>
          <w:rFonts w:ascii="Arial" w:cs="Arial" w:eastAsia="Arial" w:hAnsi="Arial"/>
          <w:sz w:val="12"/>
          <w:szCs w:val="12"/>
          <w:b w:val="1"/>
          <w:bCs w:val="1"/>
          <w:color w:val="auto"/>
        </w:rPr>
        <w:t>Vice President, Controller and Chief Accounting Officer</w:t>
      </w:r>
    </w:p>
    <w:p>
      <w:pPr>
        <w:sectPr>
          <w:pgSz w:w="11900" w:h="16838" w:orient="portrait"/>
          <w:cols w:equalWidth="0" w:num="1">
            <w:col w:w="11240"/>
          </w:cols>
          <w:pgMar w:left="240" w:top="420" w:right="419" w:bottom="1440" w:gutter="0" w:footer="0" w:header="0"/>
        </w:sectPr>
      </w:pPr>
    </w:p>
    <w:bookmarkStart w:id="4" w:name="page5"/>
    <w:bookmarkEnd w:id="4"/>
    <w:p>
      <w:pPr>
        <w:ind w:left="10640"/>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3360420</wp:posOffset>
            </wp:positionH>
            <wp:positionV relativeFrom="paragraph">
              <wp:posOffset>139700</wp:posOffset>
            </wp:positionV>
            <wp:extent cx="3899535" cy="354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99535" cy="354330"/>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GM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-126365</wp:posOffset>
            </wp:positionV>
            <wp:extent cx="63373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373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0"/>
          <w:szCs w:val="10"/>
          <w:color w:val="auto"/>
        </w:rPr>
        <w:t>300 Renaissance Center</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Detroit, Michigan 48265</w:t>
      </w:r>
    </w:p>
    <w:p>
      <w:pPr>
        <w:spacing w:after="0" w:line="200" w:lineRule="exact"/>
        <w:rPr>
          <w:sz w:val="20"/>
          <w:szCs w:val="20"/>
          <w:color w:val="auto"/>
        </w:rPr>
      </w:pPr>
    </w:p>
    <w:p>
      <w:pPr>
        <w:sectPr>
          <w:pgSz w:w="11900" w:h="16838" w:orient="portrait"/>
          <w:cols w:equalWidth="0" w:num="2">
            <w:col w:w="8080" w:space="720"/>
            <w:col w:w="2640"/>
          </w:cols>
          <w:pgMar w:left="240" w:top="126" w:right="21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For Release: April 7, 2010</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9:45 a.m. Eastern Time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GM Completes Fresh-Start Accounting</w:t>
      </w:r>
    </w:p>
    <w:p>
      <w:pPr>
        <w:spacing w:after="0" w:line="156" w:lineRule="exact"/>
        <w:rPr>
          <w:sz w:val="20"/>
          <w:szCs w:val="20"/>
          <w:color w:val="auto"/>
        </w:rPr>
      </w:pPr>
    </w:p>
    <w:p>
      <w:pPr>
        <w:ind w:right="160"/>
        <w:spacing w:after="0" w:line="296" w:lineRule="auto"/>
        <w:rPr>
          <w:sz w:val="20"/>
          <w:szCs w:val="20"/>
          <w:color w:val="auto"/>
        </w:rPr>
      </w:pPr>
      <w:r>
        <w:rPr>
          <w:rFonts w:ascii="Arial" w:cs="Arial" w:eastAsia="Arial" w:hAnsi="Arial"/>
          <w:sz w:val="15"/>
          <w:szCs w:val="15"/>
          <w:color w:val="auto"/>
        </w:rPr>
        <w:t>DETROIT, Mich. – General Motors Company announced that it had completed fresh-start accounting, and would be filing its third quarter 2009 Form 10-Q and 2009 Form 10-K with the SEC today.</w:t>
      </w:r>
    </w:p>
    <w:p>
      <w:pPr>
        <w:spacing w:after="0" w:line="97" w:lineRule="exact"/>
        <w:rPr>
          <w:sz w:val="20"/>
          <w:szCs w:val="20"/>
          <w:color w:val="auto"/>
        </w:rPr>
      </w:pPr>
    </w:p>
    <w:p>
      <w:pPr>
        <w:jc w:val="both"/>
        <w:ind w:right="220"/>
        <w:spacing w:after="0" w:line="296" w:lineRule="auto"/>
        <w:rPr>
          <w:sz w:val="20"/>
          <w:szCs w:val="20"/>
          <w:color w:val="auto"/>
        </w:rPr>
      </w:pPr>
      <w:r>
        <w:rPr>
          <w:rFonts w:ascii="Arial" w:cs="Arial" w:eastAsia="Arial" w:hAnsi="Arial"/>
          <w:sz w:val="15"/>
          <w:szCs w:val="15"/>
          <w:color w:val="auto"/>
        </w:rPr>
        <w:t>“We are building the foundation that will allow us to return to public ownership,” said Chris Liddell, GM vice chairman and CFO. “Completing fresh-start accounting is an important step in that process.”</w:t>
      </w:r>
    </w:p>
    <w:p>
      <w:pPr>
        <w:spacing w:after="0" w:line="97" w:lineRule="exact"/>
        <w:rPr>
          <w:sz w:val="20"/>
          <w:szCs w:val="20"/>
          <w:color w:val="auto"/>
        </w:rPr>
      </w:pPr>
    </w:p>
    <w:p>
      <w:pPr>
        <w:jc w:val="both"/>
        <w:ind w:right="220"/>
        <w:spacing w:after="0" w:line="280" w:lineRule="auto"/>
        <w:rPr>
          <w:sz w:val="20"/>
          <w:szCs w:val="20"/>
          <w:color w:val="auto"/>
        </w:rPr>
      </w:pPr>
      <w:r>
        <w:rPr>
          <w:rFonts w:ascii="Arial" w:cs="Arial" w:eastAsia="Arial" w:hAnsi="Arial"/>
          <w:sz w:val="15"/>
          <w:szCs w:val="15"/>
          <w:color w:val="auto"/>
        </w:rPr>
        <w:t>The new company, which was formed on July 10, 2009 through the acquisition of substantially all the assets and certain liabilities of Motors Liquidation Company (formerly General Motors Corporation), had to complete the process of adopting fresh-start accounting to record the acquisition and establishment of the new GM as well as determine the fair value of assets and liabilities and implement new accounting policies.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a summary of GM’s financial results for the period ended December 31, 2009 under fresh-start accounting.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3020" w:type="dxa"/>
            <w:vAlign w:val="bottom"/>
            <w:gridSpan w:val="2"/>
          </w:tcPr>
          <w:p>
            <w:pPr>
              <w:ind w:left="80"/>
              <w:spacing w:after="0"/>
              <w:rPr>
                <w:sz w:val="20"/>
                <w:szCs w:val="20"/>
                <w:color w:val="auto"/>
              </w:rPr>
            </w:pPr>
            <w:r>
              <w:rPr>
                <w:rFonts w:ascii="Arial" w:cs="Arial" w:eastAsia="Arial" w:hAnsi="Arial"/>
                <w:sz w:val="15"/>
                <w:szCs w:val="15"/>
                <w:b w:val="1"/>
                <w:bCs w:val="1"/>
                <w:color w:val="auto"/>
              </w:rPr>
              <w:t>July 10-Dec. 31, ‘09</w:t>
            </w:r>
          </w:p>
        </w:tc>
        <w:tc>
          <w:tcPr>
            <w:tcW w:w="0" w:type="dxa"/>
            <w:vAlign w:val="bottom"/>
          </w:tcPr>
          <w:p>
            <w:pPr>
              <w:spacing w:after="0"/>
              <w:rPr>
                <w:sz w:val="1"/>
                <w:szCs w:val="1"/>
                <w:color w:val="auto"/>
              </w:rPr>
            </w:pPr>
          </w:p>
        </w:tc>
      </w:tr>
      <w:tr>
        <w:trPr>
          <w:trHeight w:val="182"/>
        </w:trPr>
        <w:tc>
          <w:tcPr>
            <w:tcW w:w="8420" w:type="dxa"/>
            <w:vAlign w:val="bottom"/>
            <w:gridSpan w:val="2"/>
          </w:tcPr>
          <w:p>
            <w:pPr>
              <w:spacing w:after="0"/>
              <w:rPr>
                <w:sz w:val="20"/>
                <w:szCs w:val="20"/>
                <w:color w:val="auto"/>
              </w:rPr>
            </w:pPr>
            <w:r>
              <w:rPr>
                <w:rFonts w:ascii="Arial" w:cs="Arial" w:eastAsia="Arial" w:hAnsi="Arial"/>
                <w:sz w:val="15"/>
                <w:szCs w:val="15"/>
                <w:color w:val="auto"/>
              </w:rPr>
              <w:t>($ bils)</w:t>
            </w:r>
          </w:p>
        </w:tc>
        <w:tc>
          <w:tcPr>
            <w:tcW w:w="1440" w:type="dxa"/>
            <w:vAlign w:val="bottom"/>
            <w:tcBorders>
              <w:top w:val="single" w:sz="8" w:color="auto"/>
            </w:tcBorders>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5"/>
                <w:szCs w:val="15"/>
                <w:color w:val="auto"/>
              </w:rPr>
              <w:t>Global revenue</w:t>
            </w: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$57.5</w:t>
            </w: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420" w:type="dxa"/>
            <w:vAlign w:val="bottom"/>
            <w:gridSpan w:val="2"/>
          </w:tcPr>
          <w:p>
            <w:pPr>
              <w:spacing w:after="0"/>
              <w:rPr>
                <w:sz w:val="20"/>
                <w:szCs w:val="20"/>
                <w:color w:val="auto"/>
              </w:rPr>
            </w:pPr>
            <w:r>
              <w:rPr>
                <w:rFonts w:ascii="Arial" w:cs="Arial" w:eastAsia="Arial" w:hAnsi="Arial"/>
                <w:sz w:val="15"/>
                <w:szCs w:val="15"/>
                <w:color w:val="auto"/>
              </w:rPr>
              <w:t>Net income/(loss) attributed to stockholders</w:t>
            </w:r>
          </w:p>
        </w:tc>
        <w:tc>
          <w:tcPr>
            <w:tcW w:w="1440" w:type="dxa"/>
            <w:vAlign w:val="bottom"/>
          </w:tcPr>
          <w:p>
            <w:pPr>
              <w:jc w:val="center"/>
              <w:spacing w:after="0"/>
              <w:rPr>
                <w:sz w:val="20"/>
                <w:szCs w:val="20"/>
                <w:color w:val="auto"/>
              </w:rPr>
            </w:pPr>
            <w:r>
              <w:rPr>
                <w:rFonts w:ascii="Arial" w:cs="Arial" w:eastAsia="Arial" w:hAnsi="Arial"/>
                <w:sz w:val="15"/>
                <w:szCs w:val="15"/>
                <w:color w:val="auto"/>
                <w:w w:val="96"/>
              </w:rPr>
              <w:t>$(4.3)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1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$1.0</w:t>
            </w: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The $4.3 billion net loss includes the pre-tax impact of a $2.6 billion settlement loss related to the UAW retiree medical plan and a $1.3 billion foreign currency re-measurement loss.</w:t>
      </w:r>
    </w:p>
    <w:p>
      <w:pPr>
        <w:spacing w:after="0" w:line="172" w:lineRule="exact"/>
        <w:rPr>
          <w:sz w:val="20"/>
          <w:szCs w:val="20"/>
          <w:color w:val="auto"/>
        </w:rPr>
      </w:pPr>
    </w:p>
    <w:p>
      <w:pPr>
        <w:ind w:right="460"/>
        <w:spacing w:after="0" w:line="296" w:lineRule="auto"/>
        <w:rPr>
          <w:sz w:val="20"/>
          <w:szCs w:val="20"/>
          <w:color w:val="auto"/>
        </w:rPr>
      </w:pPr>
      <w:r>
        <w:rPr>
          <w:rFonts w:ascii="Arial" w:cs="Arial" w:eastAsia="Arial" w:hAnsi="Arial"/>
          <w:sz w:val="15"/>
          <w:szCs w:val="15"/>
          <w:color w:val="auto"/>
        </w:rPr>
        <w:t>Going public will enable the company to invest in designing, building and selling the world’s best vehicles, attract the best people and access the capital markets. One of the most important measures in establishing the foundation for going public is the company’s ability to return to sustainable profitability.</w:t>
      </w:r>
    </w:p>
    <w:p>
      <w:pPr>
        <w:spacing w:after="0" w:line="97" w:lineRule="exact"/>
        <w:rPr>
          <w:sz w:val="20"/>
          <w:szCs w:val="20"/>
          <w:color w:val="auto"/>
        </w:rPr>
      </w:pPr>
    </w:p>
    <w:p>
      <w:pPr>
        <w:jc w:val="both"/>
        <w:ind w:right="140"/>
        <w:spacing w:after="0" w:line="280" w:lineRule="auto"/>
        <w:rPr>
          <w:sz w:val="20"/>
          <w:szCs w:val="20"/>
          <w:color w:val="auto"/>
        </w:rPr>
      </w:pPr>
      <w:r>
        <w:rPr>
          <w:rFonts w:ascii="Arial" w:cs="Arial" w:eastAsia="Arial" w:hAnsi="Arial"/>
          <w:sz w:val="15"/>
          <w:szCs w:val="15"/>
          <w:color w:val="auto"/>
        </w:rPr>
        <w:t>“As the results for 2009 show there is still significant work to be done. However, I continue to believe we have a chance of achieving profitability in 2010,” said Liddell. “We are also dedicated to delivering on our commitments to our stakeholders. For example we remain committed to repaying the outstanding balance of the U.S. Treasury and Export Development Canada loans by June 2010 at the latest.”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 #</w:t>
      </w:r>
    </w:p>
    <w:p>
      <w:pPr>
        <w:sectPr>
          <w:pgSz w:w="11900" w:h="16838" w:orient="portrait"/>
          <w:cols w:equalWidth="0" w:num="1">
            <w:col w:w="11440"/>
          </w:cols>
          <w:pgMar w:left="240" w:top="126" w:right="2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3770" cy="35560"/>
                    </a:xfrm>
                    <a:prstGeom prst="rect">
                      <a:avLst/>
                    </a:prstGeom>
                    <a:noFill/>
                  </pic:spPr>
                </pic:pic>
              </a:graphicData>
            </a:graphic>
          </wp:anchor>
        </w:drawing>
        <w:t>Forward-Looking Statements:</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5"/>
          <w:szCs w:val="15"/>
          <w:i w:val="1"/>
          <w:iCs w:val="1"/>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comply with the requirements of our credit agreements with the U.S. Treasury and EDC and to repay those agreements as planned;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planning significant investment in new technology and our ability to realize successful vehicle applications of new technology.</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GM’s most recent annual report on Form 10-K will provide information about these and other factors, which we may revise or supplement in future reports to the SEC.</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Reneé Rashid-Merem</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Office 313.665.3128</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Cell 313.701.8560</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renee.rashid-merem@gm.com</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Randy Arickx</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Office 313.667.0006</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Cell 313.268.7070</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randy.c.arickx@gm.com</w:t>
      </w:r>
    </w:p>
    <w:p>
      <w:pPr>
        <w:sectPr>
          <w:pgSz w:w="11900" w:h="16838" w:orient="portrait"/>
          <w:cols w:equalWidth="0" w:num="1">
            <w:col w:w="11340"/>
          </w:cols>
          <w:pgMar w:left="240" w:top="257" w:right="319" w:bottom="1440" w:gutter="0" w:footer="0" w:header="0"/>
        </w:sectPr>
      </w:pPr>
    </w:p>
    <w:bookmarkStart w:id="6" w:name="page7"/>
    <w:bookmarkEnd w:id="6"/>
    <w:p>
      <w:pPr>
        <w:ind w:left="54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3770" cy="35560"/>
                    </a:xfrm>
                    <a:prstGeom prst="rect">
                      <a:avLst/>
                    </a:prstGeom>
                    <a:noFill/>
                  </pic:spPr>
                </pic:pic>
              </a:graphicData>
            </a:graphic>
          </wp:anchor>
        </w:drawing>
        <w:t>Exhibit 1</w:t>
      </w:r>
    </w:p>
    <w:p>
      <w:pPr>
        <w:spacing w:after="0" w:line="160"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General Motors Company and Subsidiaries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Supplemental Material</w:t>
      </w:r>
    </w:p>
    <w:p>
      <w:pPr>
        <w:spacing w:after="0" w:line="155" w:lineRule="exact"/>
        <w:rPr>
          <w:sz w:val="20"/>
          <w:szCs w:val="20"/>
          <w:color w:val="auto"/>
        </w:rPr>
      </w:pPr>
    </w:p>
    <w:p>
      <w:pPr>
        <w:ind w:firstLine="457"/>
        <w:spacing w:after="0" w:line="269" w:lineRule="auto"/>
        <w:rPr>
          <w:sz w:val="20"/>
          <w:szCs w:val="20"/>
          <w:color w:val="auto"/>
        </w:rPr>
      </w:pPr>
      <w:r>
        <w:rPr>
          <w:rFonts w:ascii="Arial" w:cs="Arial" w:eastAsia="Arial" w:hAnsi="Arial"/>
          <w:sz w:val="15"/>
          <w:szCs w:val="15"/>
          <w:color w:val="auto"/>
        </w:rPr>
        <w:t>General Motors Company was formed by the United States Department of the Treasury in 2009 originally as a Delaware limited liability company, Vehicle Acquisition Holdings LLC, and subsequently converted to a Delaware corporation, NGMCO, Inc. On July 10, 2009 this company acquired substantially all of the assets and assumed certain liabilities of General Motors Corporation (363 Sale) and changed its name to General Motors Company (GM). General Motors Corporation is sometimes referred to, for the periods on or before July 9, 2009, as Old GM. Prior to July 10, 2009 Old GM operated the business of the Company, and pursuant to the agreement with the SEC Staff, the accompanying consolidated financial statements include the financial statements and related information of Old GM as it is GM’s predecessor entity solely for accounting and financial reporting purposes. On July 10, 2009 in connection with the 363 Sale, General Motors Corporation changed its name to Motors Liquidation Company (MLC). MLC continues to exist as a distinct legal entity for the sole purpose of liquidating its remaining assets and liabilities.</w:t>
      </w:r>
    </w:p>
    <w:p>
      <w:pPr>
        <w:spacing w:after="0" w:line="120" w:lineRule="exact"/>
        <w:rPr>
          <w:sz w:val="20"/>
          <w:szCs w:val="20"/>
          <w:color w:val="auto"/>
        </w:rPr>
      </w:pPr>
    </w:p>
    <w:p>
      <w:pPr>
        <w:ind w:right="80" w:firstLine="457"/>
        <w:spacing w:after="0" w:line="280" w:lineRule="auto"/>
        <w:rPr>
          <w:sz w:val="20"/>
          <w:szCs w:val="20"/>
          <w:color w:val="auto"/>
        </w:rPr>
      </w:pPr>
      <w:r>
        <w:rPr>
          <w:rFonts w:ascii="Arial" w:cs="Arial" w:eastAsia="Arial" w:hAnsi="Arial"/>
          <w:sz w:val="15"/>
          <w:szCs w:val="15"/>
          <w:color w:val="auto"/>
        </w:rPr>
        <w:t>The accompanying tables and charts for securities analysts include earnings before interest and taxes (EBIT), which is not prepared in accordance with Accounting Principles Generally Accepted in the United States of America (GAAP) and has not been audited or reviewed by GM’s independent auditors. EBIT is therefore considered a non-GAAP financial measure. The accompanying charts for securities analysts also contain a reconciliation from EBIT to its most comparable GAAP financial measure.</w:t>
      </w:r>
    </w:p>
    <w:p>
      <w:pPr>
        <w:spacing w:after="0" w:line="109" w:lineRule="exact"/>
        <w:rPr>
          <w:sz w:val="20"/>
          <w:szCs w:val="20"/>
          <w:color w:val="auto"/>
        </w:rPr>
      </w:pPr>
    </w:p>
    <w:p>
      <w:pPr>
        <w:ind w:right="100" w:firstLine="457"/>
        <w:spacing w:after="0" w:line="300" w:lineRule="auto"/>
        <w:rPr>
          <w:sz w:val="20"/>
          <w:szCs w:val="20"/>
          <w:color w:val="auto"/>
        </w:rPr>
      </w:pPr>
      <w:r>
        <w:rPr>
          <w:rFonts w:ascii="Arial" w:cs="Arial" w:eastAsia="Arial" w:hAnsi="Arial"/>
          <w:sz w:val="14"/>
          <w:szCs w:val="14"/>
          <w:color w:val="auto"/>
        </w:rPr>
        <w:t>Management believes EBIT provides meaningful supplemental information regarding GM’s operating results because it excludes amounts that management does not consider part of operating results when assessing and measuring the operational and financial performance of the organization. Management believes these measures allow it to readily view operating trends, perform analytical comparisons, benchmark performance among geographic regions and assess whether GM’s plan to return to profitability is on target. Accordingly, GM believes EBIT is useful in allowing for greater transparency of supplemental information used by management in its financial and operational decision-making.</w:t>
      </w:r>
    </w:p>
    <w:p>
      <w:pPr>
        <w:spacing w:after="0" w:line="98" w:lineRule="exact"/>
        <w:rPr>
          <w:sz w:val="20"/>
          <w:szCs w:val="20"/>
          <w:color w:val="auto"/>
        </w:rPr>
      </w:pPr>
    </w:p>
    <w:p>
      <w:pPr>
        <w:ind w:right="140" w:firstLine="457"/>
        <w:spacing w:after="0" w:line="280" w:lineRule="auto"/>
        <w:rPr>
          <w:sz w:val="20"/>
          <w:szCs w:val="20"/>
          <w:color w:val="auto"/>
        </w:rPr>
      </w:pPr>
      <w:r>
        <w:rPr>
          <w:rFonts w:ascii="Arial" w:cs="Arial" w:eastAsia="Arial" w:hAnsi="Arial"/>
          <w:sz w:val="15"/>
          <w:szCs w:val="15"/>
          <w:color w:val="auto"/>
        </w:rPr>
        <w:t>GM is filing an Annual Report on Form 10-K for the year ended December 31, 2009, a Quarterly Report on Form 10-Q for the quarter ended September 30, 2009 and a Registration Statement on Form 10 pursuant to an agreement with the SEC Staff, as described in a no-action letter issued to Old GM by the SEC Staff on July 9, 2009 regarding GM’s filing requirements and those of MLC.</w:t>
      </w:r>
    </w:p>
    <w:p>
      <w:pPr>
        <w:spacing w:after="0" w:line="109" w:lineRule="exact"/>
        <w:rPr>
          <w:sz w:val="20"/>
          <w:szCs w:val="20"/>
          <w:color w:val="auto"/>
        </w:rPr>
      </w:pPr>
    </w:p>
    <w:p>
      <w:pPr>
        <w:ind w:right="160" w:firstLine="457"/>
        <w:spacing w:after="0" w:line="296" w:lineRule="auto"/>
        <w:rPr>
          <w:sz w:val="20"/>
          <w:szCs w:val="20"/>
          <w:color w:val="auto"/>
        </w:rPr>
      </w:pPr>
      <w:r>
        <w:rPr>
          <w:rFonts w:ascii="Arial" w:cs="Arial" w:eastAsia="Arial" w:hAnsi="Arial"/>
          <w:sz w:val="15"/>
          <w:szCs w:val="15"/>
          <w:color w:val="auto"/>
        </w:rPr>
        <w:t>Certain prior period amounts have been reclassified in the consolidated statements of operations to conform to the current period presentation, primarily due to the adoption of ASC 810-10, “Consolidation” and ASC 470-20, “Debt with Conversions and Other Options,” which have retrospective application.</w:t>
      </w:r>
    </w:p>
    <w:p>
      <w:pPr>
        <w:spacing w:after="0" w:line="97" w:lineRule="exact"/>
        <w:rPr>
          <w:sz w:val="20"/>
          <w:szCs w:val="20"/>
          <w:color w:val="auto"/>
        </w:rPr>
      </w:pPr>
    </w:p>
    <w:p>
      <w:pPr>
        <w:ind w:right="100" w:firstLine="457"/>
        <w:spacing w:after="0" w:line="296" w:lineRule="auto"/>
        <w:rPr>
          <w:sz w:val="20"/>
          <w:szCs w:val="20"/>
          <w:color w:val="auto"/>
        </w:rPr>
      </w:pPr>
      <w:r>
        <w:rPr>
          <w:rFonts w:ascii="Arial" w:cs="Arial" w:eastAsia="Arial" w:hAnsi="Arial"/>
          <w:sz w:val="15"/>
          <w:szCs w:val="15"/>
          <w:color w:val="auto"/>
        </w:rPr>
        <w:t>In the year ended 2009 certain data such as vehicle sales, market share data and production volume combine GM’s data in the period July 10, 2009 through December 31, 2009 with Old GM’s data in the period January 1, 2009 through July 9, 2009 for comparative purposes.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00"/>
          </w:cols>
          <w:pgMar w:left="240" w:top="257" w:right="259" w:bottom="1440" w:gutter="0" w:footer="0" w:header="0"/>
        </w:sectPr>
      </w:pPr>
    </w:p>
    <w:bookmarkStart w:id="7" w:name="page8"/>
    <w:bookmarkEnd w:id="7"/>
    <w:p>
      <w:pPr>
        <w:jc w:val="center"/>
        <w:ind w:right="-84"/>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3770" cy="35560"/>
                    </a:xfrm>
                    <a:prstGeom prst="rect">
                      <a:avLst/>
                    </a:prstGeom>
                    <a:noFill/>
                  </pic:spPr>
                </pic:pic>
              </a:graphicData>
            </a:graphic>
          </wp:anchor>
        </w:drawing>
        <w:t>General Motors Company and Subsidiaries</w:t>
      </w:r>
    </w:p>
    <w:p>
      <w:pPr>
        <w:spacing w:after="0" w:line="29" w:lineRule="exact"/>
        <w:rPr>
          <w:sz w:val="20"/>
          <w:szCs w:val="20"/>
          <w:color w:val="auto"/>
        </w:rPr>
      </w:pPr>
    </w:p>
    <w:p>
      <w:pPr>
        <w:jc w:val="center"/>
        <w:ind w:right="-84"/>
        <w:spacing w:after="0"/>
        <w:rPr>
          <w:sz w:val="20"/>
          <w:szCs w:val="20"/>
          <w:color w:val="auto"/>
        </w:rPr>
      </w:pPr>
      <w:r>
        <w:rPr>
          <w:rFonts w:ascii="Arial" w:cs="Arial" w:eastAsia="Arial" w:hAnsi="Arial"/>
          <w:sz w:val="15"/>
          <w:szCs w:val="15"/>
          <w:b w:val="1"/>
          <w:bCs w:val="1"/>
          <w:color w:val="auto"/>
        </w:rPr>
        <w:t>Supplemental Material</w:t>
      </w:r>
    </w:p>
    <w:p>
      <w:pPr>
        <w:spacing w:after="0" w:line="155" w:lineRule="exact"/>
        <w:rPr>
          <w:sz w:val="20"/>
          <w:szCs w:val="20"/>
          <w:color w:val="auto"/>
        </w:rPr>
      </w:pPr>
    </w:p>
    <w:p>
      <w:pPr>
        <w:jc w:val="center"/>
        <w:ind w:right="-84"/>
        <w:spacing w:after="0"/>
        <w:rPr>
          <w:sz w:val="20"/>
          <w:szCs w:val="20"/>
          <w:color w:val="auto"/>
        </w:rPr>
      </w:pPr>
      <w:r>
        <w:rPr>
          <w:rFonts w:ascii="Arial" w:cs="Arial" w:eastAsia="Arial" w:hAnsi="Arial"/>
          <w:sz w:val="15"/>
          <w:szCs w:val="15"/>
          <w:i w:val="1"/>
          <w:iCs w:val="1"/>
          <w:color w:val="auto"/>
        </w:rPr>
        <w:t>(Unaudited)</w:t>
      </w:r>
    </w:p>
    <w:p>
      <w:pPr>
        <w:spacing w:after="0" w:line="184"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980" w:type="dxa"/>
            <w:vAlign w:val="bottom"/>
            <w:gridSpan w:val="5"/>
          </w:tcPr>
          <w:p>
            <w:pPr>
              <w:jc w:val="center"/>
              <w:ind w:right="441"/>
              <w:spacing w:after="0"/>
              <w:rPr>
                <w:sz w:val="20"/>
                <w:szCs w:val="20"/>
                <w:color w:val="auto"/>
              </w:rPr>
            </w:pPr>
            <w:r>
              <w:rPr>
                <w:rFonts w:ascii="Arial" w:cs="Arial" w:eastAsia="Arial" w:hAnsi="Arial"/>
                <w:sz w:val="12"/>
                <w:szCs w:val="12"/>
                <w:b w:val="1"/>
                <w:bCs w:val="1"/>
                <w:color w:val="auto"/>
                <w:w w:val="90"/>
              </w:rPr>
              <w:t>Three Months Ended</w:t>
            </w:r>
          </w:p>
        </w:tc>
        <w:tc>
          <w:tcPr>
            <w:tcW w:w="1100" w:type="dxa"/>
            <w:vAlign w:val="bottom"/>
            <w:gridSpan w:val="3"/>
          </w:tcPr>
          <w:p>
            <w:pPr>
              <w:jc w:val="center"/>
              <w:ind w:left="309"/>
              <w:spacing w:after="0"/>
              <w:rPr>
                <w:sz w:val="20"/>
                <w:szCs w:val="20"/>
                <w:color w:val="auto"/>
              </w:rPr>
            </w:pPr>
            <w:r>
              <w:rPr>
                <w:rFonts w:ascii="Arial" w:cs="Arial" w:eastAsia="Arial" w:hAnsi="Arial"/>
                <w:sz w:val="12"/>
                <w:szCs w:val="12"/>
                <w:b w:val="1"/>
                <w:bCs w:val="1"/>
                <w:color w:val="auto"/>
                <w:w w:val="90"/>
              </w:rPr>
              <w:t>Year Ended</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100" w:type="dxa"/>
            <w:vAlign w:val="bottom"/>
            <w:tcBorders>
              <w:bottom w:val="single" w:sz="8" w:color="auto"/>
            </w:tcBorders>
            <w:gridSpan w:val="3"/>
          </w:tcPr>
          <w:p>
            <w:pPr>
              <w:jc w:val="center"/>
              <w:ind w:left="309"/>
              <w:spacing w:after="0"/>
              <w:rPr>
                <w:sz w:val="20"/>
                <w:szCs w:val="20"/>
                <w:color w:val="auto"/>
              </w:rPr>
            </w:pPr>
            <w:r>
              <w:rPr>
                <w:rFonts w:ascii="Arial" w:cs="Arial" w:eastAsia="Arial" w:hAnsi="Arial"/>
                <w:sz w:val="12"/>
                <w:szCs w:val="12"/>
                <w:b w:val="1"/>
                <w:bCs w:val="1"/>
                <w:color w:val="auto"/>
                <w:w w:val="87"/>
              </w:rPr>
              <w:t>December 31,</w:t>
            </w:r>
          </w:p>
        </w:tc>
        <w:tc>
          <w:tcPr>
            <w:tcW w:w="38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Borders>
              <w:bottom w:val="single" w:sz="8" w:color="auto"/>
            </w:tcBorders>
            <w:gridSpan w:val="3"/>
          </w:tcPr>
          <w:p>
            <w:pPr>
              <w:jc w:val="center"/>
              <w:ind w:left="309"/>
              <w:spacing w:after="0"/>
              <w:rPr>
                <w:sz w:val="20"/>
                <w:szCs w:val="20"/>
                <w:color w:val="auto"/>
              </w:rPr>
            </w:pPr>
            <w:r>
              <w:rPr>
                <w:rFonts w:ascii="Arial" w:cs="Arial" w:eastAsia="Arial" w:hAnsi="Arial"/>
                <w:sz w:val="12"/>
                <w:szCs w:val="12"/>
                <w:b w:val="1"/>
                <w:bCs w:val="1"/>
                <w:color w:val="auto"/>
                <w:w w:val="87"/>
              </w:rPr>
              <w:t>December 31,</w:t>
            </w:r>
          </w:p>
        </w:tc>
        <w:tc>
          <w:tcPr>
            <w:tcW w:w="3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480" w:type="dxa"/>
            <w:vAlign w:val="bottom"/>
            <w:tcBorders>
              <w:bottom w:val="single" w:sz="8" w:color="auto"/>
            </w:tcBorders>
          </w:tcPr>
          <w:p>
            <w:pPr>
              <w:jc w:val="right"/>
              <w:ind w:right="49"/>
              <w:spacing w:after="0" w:line="123" w:lineRule="exact"/>
              <w:rPr>
                <w:sz w:val="20"/>
                <w:szCs w:val="20"/>
                <w:color w:val="auto"/>
              </w:rPr>
            </w:pPr>
            <w:r>
              <w:rPr>
                <w:rFonts w:ascii="Arial" w:cs="Arial" w:eastAsia="Arial" w:hAnsi="Arial"/>
                <w:sz w:val="12"/>
                <w:szCs w:val="12"/>
                <w:b w:val="1"/>
                <w:bCs w:val="1"/>
                <w:color w:val="auto"/>
              </w:rPr>
              <w:t>2009</w:t>
            </w:r>
          </w:p>
        </w:tc>
        <w:tc>
          <w:tcPr>
            <w:tcW w:w="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7"/>
              <w:spacing w:after="0" w:line="123" w:lineRule="exact"/>
              <w:rPr>
                <w:sz w:val="20"/>
                <w:szCs w:val="20"/>
                <w:color w:val="auto"/>
              </w:rPr>
            </w:pPr>
            <w:r>
              <w:rPr>
                <w:rFonts w:ascii="Arial" w:cs="Arial" w:eastAsia="Arial" w:hAnsi="Arial"/>
                <w:sz w:val="12"/>
                <w:szCs w:val="12"/>
                <w:b w:val="1"/>
                <w:bCs w:val="1"/>
                <w:color w:val="auto"/>
                <w:w w:val="89"/>
              </w:rPr>
              <w:t>2008</w:t>
            </w:r>
          </w:p>
        </w:tc>
        <w:tc>
          <w:tcPr>
            <w:tcW w:w="500" w:type="dxa"/>
            <w:vAlign w:val="bottom"/>
          </w:tcPr>
          <w:p>
            <w:pPr>
              <w:spacing w:after="0"/>
              <w:rPr>
                <w:sz w:val="10"/>
                <w:szCs w:val="10"/>
                <w:color w:val="auto"/>
              </w:rPr>
            </w:pPr>
          </w:p>
        </w:tc>
        <w:tc>
          <w:tcPr>
            <w:tcW w:w="480" w:type="dxa"/>
            <w:vAlign w:val="bottom"/>
            <w:tcBorders>
              <w:bottom w:val="single" w:sz="8" w:color="auto"/>
            </w:tcBorders>
          </w:tcPr>
          <w:p>
            <w:pPr>
              <w:jc w:val="right"/>
              <w:ind w:right="49"/>
              <w:spacing w:after="0" w:line="123" w:lineRule="exact"/>
              <w:rPr>
                <w:sz w:val="20"/>
                <w:szCs w:val="20"/>
                <w:color w:val="auto"/>
              </w:rPr>
            </w:pPr>
            <w:r>
              <w:rPr>
                <w:rFonts w:ascii="Arial" w:cs="Arial" w:eastAsia="Arial" w:hAnsi="Arial"/>
                <w:sz w:val="12"/>
                <w:szCs w:val="12"/>
                <w:b w:val="1"/>
                <w:bCs w:val="1"/>
                <w:color w:val="auto"/>
              </w:rPr>
              <w:t>2009</w:t>
            </w:r>
          </w:p>
        </w:tc>
        <w:tc>
          <w:tcPr>
            <w:tcW w:w="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ind w:left="20"/>
              <w:spacing w:after="0" w:line="123" w:lineRule="exact"/>
              <w:rPr>
                <w:sz w:val="20"/>
                <w:szCs w:val="20"/>
                <w:color w:val="auto"/>
              </w:rPr>
            </w:pPr>
            <w:r>
              <w:rPr>
                <w:rFonts w:ascii="Arial" w:cs="Arial" w:eastAsia="Arial" w:hAnsi="Arial"/>
                <w:sz w:val="12"/>
                <w:szCs w:val="12"/>
                <w:b w:val="1"/>
                <w:bCs w:val="1"/>
                <w:color w:val="auto"/>
              </w:rPr>
              <w:t>2008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spacing w:after="0" w:line="123" w:lineRule="exact"/>
              <w:rPr>
                <w:sz w:val="20"/>
                <w:szCs w:val="20"/>
                <w:color w:val="auto"/>
              </w:rPr>
            </w:pPr>
            <w:r>
              <w:rPr>
                <w:rFonts w:ascii="Arial" w:cs="Arial" w:eastAsia="Arial" w:hAnsi="Arial"/>
                <w:sz w:val="12"/>
                <w:szCs w:val="12"/>
                <w:b w:val="1"/>
                <w:bCs w:val="1"/>
                <w:color w:val="auto"/>
              </w:rPr>
              <w:t>(Units</w:t>
            </w:r>
          </w:p>
        </w:tc>
        <w:tc>
          <w:tcPr>
            <w:tcW w:w="980" w:type="dxa"/>
            <w:vAlign w:val="bottom"/>
            <w:gridSpan w:val="2"/>
          </w:tcPr>
          <w:p>
            <w:pPr>
              <w:jc w:val="right"/>
              <w:ind w:right="149"/>
              <w:spacing w:after="0" w:line="123" w:lineRule="exact"/>
              <w:rPr>
                <w:sz w:val="20"/>
                <w:szCs w:val="20"/>
                <w:color w:val="auto"/>
              </w:rPr>
            </w:pPr>
            <w:r>
              <w:rPr>
                <w:rFonts w:ascii="Arial" w:cs="Arial" w:eastAsia="Arial" w:hAnsi="Arial"/>
                <w:sz w:val="12"/>
                <w:szCs w:val="12"/>
                <w:b w:val="1"/>
                <w:bCs w:val="1"/>
                <w:color w:val="auto"/>
                <w:w w:val="93"/>
              </w:rPr>
              <w:t>in thousands)</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Worldwide Production Volume(a)(b)(c)</w:t>
            </w: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tcPr>
          <w:p>
            <w:pPr>
              <w:ind w:left="180"/>
              <w:spacing w:after="0"/>
              <w:rPr>
                <w:sz w:val="20"/>
                <w:szCs w:val="20"/>
                <w:color w:val="auto"/>
              </w:rPr>
            </w:pPr>
            <w:r>
              <w:rPr>
                <w:rFonts w:ascii="Arial" w:cs="Arial" w:eastAsia="Arial" w:hAnsi="Arial"/>
                <w:sz w:val="15"/>
                <w:szCs w:val="15"/>
                <w:color w:val="auto"/>
              </w:rPr>
              <w:t>GMNA – Cars</w:t>
            </w:r>
          </w:p>
        </w:tc>
        <w:tc>
          <w:tcPr>
            <w:tcW w:w="480" w:type="dxa"/>
            <w:vAlign w:val="bottom"/>
          </w:tcPr>
          <w:p>
            <w:pPr>
              <w:jc w:val="right"/>
              <w:spacing w:after="0"/>
              <w:rPr>
                <w:sz w:val="20"/>
                <w:szCs w:val="20"/>
                <w:color w:val="auto"/>
              </w:rPr>
            </w:pPr>
            <w:r>
              <w:rPr>
                <w:rFonts w:ascii="Arial" w:cs="Arial" w:eastAsia="Arial" w:hAnsi="Arial"/>
                <w:sz w:val="15"/>
                <w:szCs w:val="15"/>
                <w:color w:val="auto"/>
              </w:rPr>
              <w:t>235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441"/>
              <w:spacing w:after="0"/>
              <w:rPr>
                <w:sz w:val="20"/>
                <w:szCs w:val="20"/>
                <w:color w:val="auto"/>
              </w:rPr>
            </w:pPr>
            <w:r>
              <w:rPr>
                <w:rFonts w:ascii="Arial" w:cs="Arial" w:eastAsia="Arial" w:hAnsi="Arial"/>
                <w:sz w:val="15"/>
                <w:szCs w:val="15"/>
                <w:color w:val="auto"/>
              </w:rPr>
              <w:t>365</w:t>
            </w: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727</w:t>
            </w:r>
          </w:p>
        </w:tc>
        <w:tc>
          <w:tcPr>
            <w:tcW w:w="100" w:type="dxa"/>
            <w:vAlign w:val="bottom"/>
          </w:tcPr>
          <w:p>
            <w:pPr>
              <w:spacing w:after="0"/>
              <w:rPr>
                <w:sz w:val="16"/>
                <w:szCs w:val="16"/>
                <w:color w:val="auto"/>
              </w:rPr>
            </w:pPr>
          </w:p>
        </w:tc>
        <w:tc>
          <w:tcPr>
            <w:tcW w:w="360" w:type="dxa"/>
            <w:vAlign w:val="bottom"/>
          </w:tcPr>
          <w:p>
            <w:pPr>
              <w:ind w:left="20"/>
              <w:spacing w:after="0"/>
              <w:rPr>
                <w:sz w:val="20"/>
                <w:szCs w:val="20"/>
                <w:color w:val="auto"/>
              </w:rPr>
            </w:pPr>
            <w:r>
              <w:rPr>
                <w:rFonts w:ascii="Arial" w:cs="Arial" w:eastAsia="Arial" w:hAnsi="Arial"/>
                <w:sz w:val="15"/>
                <w:szCs w:val="15"/>
                <w:color w:val="auto"/>
                <w:w w:val="85"/>
              </w:rPr>
              <w:t>1,543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GMNA – Trucks</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5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1,186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color w:val="auto"/>
                <w:w w:val="85"/>
              </w:rPr>
              <w:t>1,906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60" w:type="dxa"/>
            <w:vAlign w:val="bottom"/>
            <w:gridSpan w:val="2"/>
            <w:vMerge w:val="restart"/>
          </w:tcPr>
          <w:p>
            <w:pPr>
              <w:ind w:left="180"/>
              <w:spacing w:after="0"/>
              <w:rPr>
                <w:sz w:val="20"/>
                <w:szCs w:val="20"/>
                <w:color w:val="auto"/>
              </w:rPr>
            </w:pPr>
            <w:r>
              <w:rPr>
                <w:rFonts w:ascii="Arial" w:cs="Arial" w:eastAsia="Arial" w:hAnsi="Arial"/>
                <w:sz w:val="15"/>
                <w:szCs w:val="15"/>
                <w:color w:val="auto"/>
              </w:rPr>
              <w:t>Total GMNA</w:t>
            </w: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0" w:type="dxa"/>
            <w:vAlign w:val="bottom"/>
          </w:tcPr>
          <w:p>
            <w:pPr>
              <w:spacing w:after="0"/>
              <w:rPr>
                <w:sz w:val="16"/>
                <w:szCs w:val="16"/>
                <w:color w:val="auto"/>
              </w:rPr>
            </w:pPr>
          </w:p>
        </w:tc>
        <w:tc>
          <w:tcPr>
            <w:tcW w:w="7060" w:type="dxa"/>
            <w:vAlign w:val="bottom"/>
            <w:gridSpan w:val="2"/>
            <w:vMerge w:val="continue"/>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616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815</w:t>
            </w:r>
          </w:p>
        </w:tc>
        <w:tc>
          <w:tcPr>
            <w:tcW w:w="500" w:type="dxa"/>
            <w:vAlign w:val="bottom"/>
          </w:tcPr>
          <w:p>
            <w:pPr>
              <w:spacing w:after="0"/>
              <w:rPr>
                <w:sz w:val="16"/>
                <w:szCs w:val="16"/>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1,913</w:t>
            </w:r>
          </w:p>
        </w:tc>
        <w:tc>
          <w:tcPr>
            <w:tcW w:w="100" w:type="dxa"/>
            <w:vAlign w:val="bottom"/>
          </w:tcPr>
          <w:p>
            <w:pPr>
              <w:spacing w:after="0"/>
              <w:rPr>
                <w:sz w:val="16"/>
                <w:szCs w:val="16"/>
                <w:color w:val="auto"/>
              </w:rPr>
            </w:pPr>
          </w:p>
        </w:tc>
        <w:tc>
          <w:tcPr>
            <w:tcW w:w="380" w:type="dxa"/>
            <w:vAlign w:val="bottom"/>
            <w:gridSpan w:val="2"/>
          </w:tcPr>
          <w:p>
            <w:pPr>
              <w:ind w:left="20"/>
              <w:spacing w:after="0"/>
              <w:rPr>
                <w:sz w:val="20"/>
                <w:szCs w:val="20"/>
                <w:color w:val="auto"/>
              </w:rPr>
            </w:pPr>
            <w:r>
              <w:rPr>
                <w:rFonts w:ascii="Arial" w:cs="Arial" w:eastAsia="Arial" w:hAnsi="Arial"/>
                <w:sz w:val="15"/>
                <w:szCs w:val="15"/>
                <w:color w:val="auto"/>
                <w:w w:val="90"/>
              </w:rPr>
              <w:t>3,449</w:t>
            </w:r>
          </w:p>
        </w:tc>
        <w:tc>
          <w:tcPr>
            <w:tcW w:w="0" w:type="dxa"/>
            <w:vAlign w:val="bottom"/>
          </w:tcPr>
          <w:p>
            <w:pPr>
              <w:spacing w:after="0"/>
              <w:rPr>
                <w:sz w:val="1"/>
                <w:szCs w:val="1"/>
                <w:color w:val="auto"/>
              </w:rPr>
            </w:pPr>
          </w:p>
        </w:tc>
      </w:tr>
      <w:tr>
        <w:trPr>
          <w:trHeight w:val="192"/>
        </w:trPr>
        <w:tc>
          <w:tcPr>
            <w:tcW w:w="460" w:type="dxa"/>
            <w:vAlign w:val="bottom"/>
          </w:tcPr>
          <w:p>
            <w:pPr>
              <w:spacing w:after="0"/>
              <w:rPr>
                <w:sz w:val="16"/>
                <w:szCs w:val="16"/>
                <w:color w:val="auto"/>
              </w:rPr>
            </w:pPr>
          </w:p>
        </w:tc>
        <w:tc>
          <w:tcPr>
            <w:tcW w:w="70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GMIO</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1,040</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41"/>
              <w:spacing w:after="0"/>
              <w:rPr>
                <w:sz w:val="20"/>
                <w:szCs w:val="20"/>
                <w:color w:val="auto"/>
              </w:rPr>
            </w:pPr>
            <w:r>
              <w:rPr>
                <w:rFonts w:ascii="Arial" w:cs="Arial" w:eastAsia="Arial" w:hAnsi="Arial"/>
                <w:sz w:val="15"/>
                <w:szCs w:val="15"/>
                <w:color w:val="auto"/>
              </w:rPr>
              <w:t>619</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3,456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color w:val="auto"/>
                <w:w w:val="85"/>
              </w:rPr>
              <w:t>3,145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tcPr>
          <w:p>
            <w:pPr>
              <w:ind w:left="180"/>
              <w:spacing w:after="0"/>
              <w:rPr>
                <w:sz w:val="20"/>
                <w:szCs w:val="20"/>
                <w:color w:val="auto"/>
              </w:rPr>
            </w:pPr>
            <w:r>
              <w:rPr>
                <w:rFonts w:ascii="Arial" w:cs="Arial" w:eastAsia="Arial" w:hAnsi="Arial"/>
                <w:sz w:val="15"/>
                <w:szCs w:val="15"/>
                <w:color w:val="auto"/>
              </w:rPr>
              <w:t>GME</w:t>
            </w:r>
          </w:p>
        </w:tc>
        <w:tc>
          <w:tcPr>
            <w:tcW w:w="480" w:type="dxa"/>
            <w:vAlign w:val="bottom"/>
          </w:tcPr>
          <w:p>
            <w:pPr>
              <w:jc w:val="right"/>
              <w:spacing w:after="0"/>
              <w:rPr>
                <w:sz w:val="20"/>
                <w:szCs w:val="20"/>
                <w:color w:val="auto"/>
              </w:rPr>
            </w:pPr>
            <w:r>
              <w:rPr>
                <w:rFonts w:ascii="Arial" w:cs="Arial" w:eastAsia="Arial" w:hAnsi="Arial"/>
                <w:sz w:val="15"/>
                <w:szCs w:val="15"/>
                <w:color w:val="auto"/>
              </w:rPr>
              <w:t>266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214</w:t>
            </w:r>
          </w:p>
        </w:tc>
        <w:tc>
          <w:tcPr>
            <w:tcW w:w="500" w:type="dxa"/>
            <w:vAlign w:val="bottom"/>
          </w:tcPr>
          <w:p>
            <w:pPr>
              <w:spacing w:after="0"/>
              <w:rPr>
                <w:sz w:val="16"/>
                <w:szCs w:val="16"/>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1,134</w:t>
            </w:r>
          </w:p>
        </w:tc>
        <w:tc>
          <w:tcPr>
            <w:tcW w:w="100" w:type="dxa"/>
            <w:vAlign w:val="bottom"/>
          </w:tcPr>
          <w:p>
            <w:pPr>
              <w:spacing w:after="0"/>
              <w:rPr>
                <w:sz w:val="16"/>
                <w:szCs w:val="16"/>
                <w:color w:val="auto"/>
              </w:rPr>
            </w:pPr>
          </w:p>
        </w:tc>
        <w:tc>
          <w:tcPr>
            <w:tcW w:w="360" w:type="dxa"/>
            <w:vAlign w:val="bottom"/>
          </w:tcPr>
          <w:p>
            <w:pPr>
              <w:ind w:left="20"/>
              <w:spacing w:after="0"/>
              <w:rPr>
                <w:sz w:val="20"/>
                <w:szCs w:val="20"/>
                <w:color w:val="auto"/>
              </w:rPr>
            </w:pPr>
            <w:r>
              <w:rPr>
                <w:rFonts w:ascii="Arial" w:cs="Arial" w:eastAsia="Arial" w:hAnsi="Arial"/>
                <w:sz w:val="15"/>
                <w:szCs w:val="15"/>
                <w:color w:val="auto"/>
                <w:w w:val="85"/>
              </w:rPr>
              <w:t>1,550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rPr>
              <w:t>Total Worldwide</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1,922</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1,648</w:t>
            </w:r>
          </w:p>
        </w:tc>
        <w:tc>
          <w:tcPr>
            <w:tcW w:w="5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b w:val="1"/>
                <w:bCs w:val="1"/>
                <w:color w:val="auto"/>
              </w:rPr>
              <w:t>6,503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85"/>
              </w:rPr>
              <w:t>8,144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325" w:hanging="325"/>
        <w:spacing w:after="0"/>
        <w:tabs>
          <w:tab w:leader="none" w:pos="325" w:val="left"/>
        </w:tabs>
        <w:numPr>
          <w:ilvl w:val="0"/>
          <w:numId w:val="2"/>
        </w:numPr>
        <w:rPr>
          <w:rFonts w:ascii="Arial" w:cs="Arial" w:eastAsia="Arial" w:hAnsi="Arial"/>
          <w:sz w:val="14"/>
          <w:szCs w:val="14"/>
          <w:color w:val="auto"/>
        </w:rPr>
      </w:pPr>
      <w:r>
        <w:rPr>
          <w:rFonts w:ascii="Arial" w:cs="Arial" w:eastAsia="Arial" w:hAnsi="Arial"/>
          <w:sz w:val="14"/>
          <w:szCs w:val="14"/>
          <w:color w:val="auto"/>
        </w:rPr>
        <w:t>Production volume represents the number of vehicles manufactured by GM’s and Old GM’s assembly facilities and also includes vehicles produced by certain joint ventures.</w:t>
      </w:r>
    </w:p>
    <w:p>
      <w:pPr>
        <w:spacing w:after="0" w:line="34" w:lineRule="exact"/>
        <w:rPr>
          <w:rFonts w:ascii="Arial" w:cs="Arial" w:eastAsia="Arial" w:hAnsi="Arial"/>
          <w:sz w:val="14"/>
          <w:szCs w:val="14"/>
          <w:color w:val="auto"/>
        </w:rPr>
      </w:pPr>
    </w:p>
    <w:p>
      <w:pPr>
        <w:ind w:left="325" w:hanging="325"/>
        <w:spacing w:after="0" w:line="264" w:lineRule="auto"/>
        <w:tabs>
          <w:tab w:leader="none" w:pos="325" w:val="left"/>
        </w:tabs>
        <w:numPr>
          <w:ilvl w:val="0"/>
          <w:numId w:val="2"/>
        </w:numPr>
        <w:rPr>
          <w:rFonts w:ascii="Arial" w:cs="Arial" w:eastAsia="Arial" w:hAnsi="Arial"/>
          <w:sz w:val="15"/>
          <w:szCs w:val="15"/>
          <w:color w:val="auto"/>
        </w:rPr>
      </w:pPr>
      <w:r>
        <w:rPr>
          <w:rFonts w:ascii="Arial" w:cs="Arial" w:eastAsia="Arial" w:hAnsi="Arial"/>
          <w:sz w:val="15"/>
          <w:szCs w:val="15"/>
          <w:color w:val="auto"/>
        </w:rPr>
        <w:t>Includes SGM, SGMW and FAW-GM joint venture production. Ownership of 50% in SGM, 34% in SGMW and 50% in FAW-GM, under the joint venture agreements, allows for significant rights as a member as well as the contractual right to report SGMW and FAW-GM production volume in China. These entities are not consolidated for financial reporting purposes. Income and losses related to these entities are recorded in Equity income, net of tax.</w:t>
      </w:r>
    </w:p>
    <w:p>
      <w:pPr>
        <w:ind w:left="325" w:hanging="325"/>
        <w:spacing w:after="0"/>
        <w:tabs>
          <w:tab w:leader="none" w:pos="325" w:val="left"/>
        </w:tabs>
        <w:numPr>
          <w:ilvl w:val="0"/>
          <w:numId w:val="2"/>
        </w:numPr>
        <w:rPr>
          <w:rFonts w:ascii="Arial" w:cs="Arial" w:eastAsia="Arial" w:hAnsi="Arial"/>
          <w:sz w:val="15"/>
          <w:szCs w:val="15"/>
          <w:color w:val="auto"/>
        </w:rPr>
      </w:pPr>
      <w:r>
        <w:rPr>
          <w:rFonts w:ascii="Arial" w:cs="Arial" w:eastAsia="Arial" w:hAnsi="Arial"/>
          <w:sz w:val="15"/>
          <w:szCs w:val="15"/>
          <w:color w:val="auto"/>
        </w:rPr>
        <w:t>Production data may include rounding differences.</w:t>
      </w:r>
    </w:p>
    <w:p>
      <w:pPr>
        <w:spacing w:after="0" w:line="143" w:lineRule="exact"/>
        <w:rPr>
          <w:sz w:val="20"/>
          <w:szCs w:val="20"/>
          <w:color w:val="auto"/>
        </w:rPr>
      </w:pPr>
    </w:p>
    <w:p>
      <w:pPr>
        <w:jc w:val="center"/>
        <w:ind w:right="-84"/>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345"/>
          </w:cols>
          <w:pgMar w:left="235" w:top="257" w:right="319" w:bottom="1440" w:gutter="0" w:footer="0" w:header="0"/>
        </w:sectPr>
      </w:pPr>
    </w:p>
    <w:bookmarkStart w:id="8" w:name="page9"/>
    <w:bookmarkEnd w:id="8"/>
    <w:p>
      <w:pPr>
        <w:jc w:val="center"/>
        <w:ind w:right="-84"/>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3770" cy="35560"/>
                    </a:xfrm>
                    <a:prstGeom prst="rect">
                      <a:avLst/>
                    </a:prstGeom>
                    <a:noFill/>
                  </pic:spPr>
                </pic:pic>
              </a:graphicData>
            </a:graphic>
          </wp:anchor>
        </w:drawing>
        <w:t>General Motors Company and Subsidiaries</w:t>
      </w:r>
    </w:p>
    <w:p>
      <w:pPr>
        <w:spacing w:after="0" w:line="29" w:lineRule="exact"/>
        <w:rPr>
          <w:sz w:val="20"/>
          <w:szCs w:val="20"/>
          <w:color w:val="auto"/>
        </w:rPr>
      </w:pPr>
    </w:p>
    <w:p>
      <w:pPr>
        <w:jc w:val="center"/>
        <w:ind w:right="-84"/>
        <w:spacing w:after="0"/>
        <w:rPr>
          <w:sz w:val="20"/>
          <w:szCs w:val="20"/>
          <w:color w:val="auto"/>
        </w:rPr>
      </w:pPr>
      <w:r>
        <w:rPr>
          <w:rFonts w:ascii="Arial" w:cs="Arial" w:eastAsia="Arial" w:hAnsi="Arial"/>
          <w:sz w:val="15"/>
          <w:szCs w:val="15"/>
          <w:b w:val="1"/>
          <w:bCs w:val="1"/>
          <w:color w:val="auto"/>
        </w:rPr>
        <w:t>Supplemental Material</w:t>
      </w:r>
    </w:p>
    <w:p>
      <w:pPr>
        <w:spacing w:after="0" w:line="155" w:lineRule="exact"/>
        <w:rPr>
          <w:sz w:val="20"/>
          <w:szCs w:val="20"/>
          <w:color w:val="auto"/>
        </w:rPr>
      </w:pPr>
    </w:p>
    <w:p>
      <w:pPr>
        <w:jc w:val="center"/>
        <w:ind w:right="-84"/>
        <w:spacing w:after="0"/>
        <w:rPr>
          <w:sz w:val="20"/>
          <w:szCs w:val="20"/>
          <w:color w:val="auto"/>
        </w:rPr>
      </w:pPr>
      <w:r>
        <w:rPr>
          <w:rFonts w:ascii="Arial" w:cs="Arial" w:eastAsia="Arial" w:hAnsi="Arial"/>
          <w:sz w:val="15"/>
          <w:szCs w:val="15"/>
          <w:i w:val="1"/>
          <w:iCs w:val="1"/>
          <w:color w:val="auto"/>
        </w:rPr>
        <w:t>(Unaudited)</w:t>
      </w:r>
    </w:p>
    <w:p>
      <w:pPr>
        <w:spacing w:after="0" w:line="184"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980" w:type="dxa"/>
            <w:vAlign w:val="bottom"/>
            <w:gridSpan w:val="5"/>
          </w:tcPr>
          <w:p>
            <w:pPr>
              <w:jc w:val="center"/>
              <w:ind w:right="500"/>
              <w:spacing w:after="0"/>
              <w:rPr>
                <w:sz w:val="20"/>
                <w:szCs w:val="20"/>
                <w:color w:val="auto"/>
              </w:rPr>
            </w:pPr>
            <w:r>
              <w:rPr>
                <w:rFonts w:ascii="Arial" w:cs="Arial" w:eastAsia="Arial" w:hAnsi="Arial"/>
                <w:sz w:val="12"/>
                <w:szCs w:val="12"/>
                <w:b w:val="1"/>
                <w:bCs w:val="1"/>
                <w:color w:val="auto"/>
                <w:w w:val="90"/>
              </w:rPr>
              <w:t>Three Months Ended</w:t>
            </w:r>
          </w:p>
        </w:tc>
        <w:tc>
          <w:tcPr>
            <w:tcW w:w="1100" w:type="dxa"/>
            <w:vAlign w:val="bottom"/>
            <w:gridSpan w:val="3"/>
          </w:tcPr>
          <w:p>
            <w:pPr>
              <w:jc w:val="center"/>
              <w:ind w:left="305"/>
              <w:spacing w:after="0"/>
              <w:rPr>
                <w:sz w:val="20"/>
                <w:szCs w:val="20"/>
                <w:color w:val="auto"/>
              </w:rPr>
            </w:pPr>
            <w:r>
              <w:rPr>
                <w:rFonts w:ascii="Arial" w:cs="Arial" w:eastAsia="Arial" w:hAnsi="Arial"/>
                <w:sz w:val="12"/>
                <w:szCs w:val="12"/>
                <w:b w:val="1"/>
                <w:bCs w:val="1"/>
                <w:color w:val="auto"/>
                <w:w w:val="90"/>
              </w:rPr>
              <w:t>Year Ended</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100" w:type="dxa"/>
            <w:vAlign w:val="bottom"/>
            <w:tcBorders>
              <w:bottom w:val="single" w:sz="8" w:color="auto"/>
            </w:tcBorders>
            <w:gridSpan w:val="3"/>
          </w:tcPr>
          <w:p>
            <w:pPr>
              <w:jc w:val="center"/>
              <w:ind w:left="305"/>
              <w:spacing w:after="0"/>
              <w:rPr>
                <w:sz w:val="20"/>
                <w:szCs w:val="20"/>
                <w:color w:val="auto"/>
              </w:rPr>
            </w:pPr>
            <w:r>
              <w:rPr>
                <w:rFonts w:ascii="Arial" w:cs="Arial" w:eastAsia="Arial" w:hAnsi="Arial"/>
                <w:sz w:val="12"/>
                <w:szCs w:val="12"/>
                <w:b w:val="1"/>
                <w:bCs w:val="1"/>
                <w:color w:val="auto"/>
                <w:w w:val="87"/>
              </w:rPr>
              <w:t>December 31,</w:t>
            </w:r>
          </w:p>
        </w:tc>
        <w:tc>
          <w:tcPr>
            <w:tcW w:w="38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Borders>
              <w:bottom w:val="single" w:sz="8" w:color="auto"/>
            </w:tcBorders>
            <w:gridSpan w:val="3"/>
          </w:tcPr>
          <w:p>
            <w:pPr>
              <w:jc w:val="center"/>
              <w:ind w:left="305"/>
              <w:spacing w:after="0"/>
              <w:rPr>
                <w:sz w:val="20"/>
                <w:szCs w:val="20"/>
                <w:color w:val="auto"/>
              </w:rPr>
            </w:pPr>
            <w:r>
              <w:rPr>
                <w:rFonts w:ascii="Arial" w:cs="Arial" w:eastAsia="Arial" w:hAnsi="Arial"/>
                <w:sz w:val="12"/>
                <w:szCs w:val="12"/>
                <w:b w:val="1"/>
                <w:bCs w:val="1"/>
                <w:color w:val="auto"/>
                <w:w w:val="87"/>
              </w:rPr>
              <w:t>December 31,</w:t>
            </w:r>
          </w:p>
        </w:tc>
        <w:tc>
          <w:tcPr>
            <w:tcW w:w="3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480" w:type="dxa"/>
            <w:vAlign w:val="bottom"/>
            <w:tcBorders>
              <w:bottom w:val="single" w:sz="8" w:color="auto"/>
            </w:tcBorders>
          </w:tcPr>
          <w:p>
            <w:pPr>
              <w:jc w:val="right"/>
              <w:ind w:right="45"/>
              <w:spacing w:after="0" w:line="123" w:lineRule="exact"/>
              <w:rPr>
                <w:sz w:val="20"/>
                <w:szCs w:val="20"/>
                <w:color w:val="auto"/>
              </w:rPr>
            </w:pPr>
            <w:r>
              <w:rPr>
                <w:rFonts w:ascii="Arial" w:cs="Arial" w:eastAsia="Arial" w:hAnsi="Arial"/>
                <w:sz w:val="12"/>
                <w:szCs w:val="12"/>
                <w:b w:val="1"/>
                <w:bCs w:val="1"/>
                <w:color w:val="auto"/>
              </w:rPr>
              <w:t>2009</w:t>
            </w:r>
          </w:p>
        </w:tc>
        <w:tc>
          <w:tcPr>
            <w:tcW w:w="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4"/>
              <w:spacing w:after="0" w:line="123" w:lineRule="exact"/>
              <w:rPr>
                <w:sz w:val="20"/>
                <w:szCs w:val="20"/>
                <w:color w:val="auto"/>
              </w:rPr>
            </w:pPr>
            <w:r>
              <w:rPr>
                <w:rFonts w:ascii="Arial" w:cs="Arial" w:eastAsia="Arial" w:hAnsi="Arial"/>
                <w:sz w:val="12"/>
                <w:szCs w:val="12"/>
                <w:b w:val="1"/>
                <w:bCs w:val="1"/>
                <w:color w:val="auto"/>
                <w:w w:val="89"/>
              </w:rPr>
              <w:t>2008</w:t>
            </w:r>
          </w:p>
        </w:tc>
        <w:tc>
          <w:tcPr>
            <w:tcW w:w="500" w:type="dxa"/>
            <w:vAlign w:val="bottom"/>
          </w:tcPr>
          <w:p>
            <w:pPr>
              <w:spacing w:after="0"/>
              <w:rPr>
                <w:sz w:val="10"/>
                <w:szCs w:val="10"/>
                <w:color w:val="auto"/>
              </w:rPr>
            </w:pPr>
          </w:p>
        </w:tc>
        <w:tc>
          <w:tcPr>
            <w:tcW w:w="480" w:type="dxa"/>
            <w:vAlign w:val="bottom"/>
            <w:tcBorders>
              <w:bottom w:val="single" w:sz="8" w:color="auto"/>
            </w:tcBorders>
          </w:tcPr>
          <w:p>
            <w:pPr>
              <w:jc w:val="right"/>
              <w:ind w:right="45"/>
              <w:spacing w:after="0" w:line="123" w:lineRule="exact"/>
              <w:rPr>
                <w:sz w:val="20"/>
                <w:szCs w:val="20"/>
                <w:color w:val="auto"/>
              </w:rPr>
            </w:pPr>
            <w:r>
              <w:rPr>
                <w:rFonts w:ascii="Arial" w:cs="Arial" w:eastAsia="Arial" w:hAnsi="Arial"/>
                <w:sz w:val="12"/>
                <w:szCs w:val="12"/>
                <w:b w:val="1"/>
                <w:bCs w:val="1"/>
                <w:color w:val="auto"/>
              </w:rPr>
              <w:t>2009</w:t>
            </w:r>
          </w:p>
        </w:tc>
        <w:tc>
          <w:tcPr>
            <w:tcW w:w="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24"/>
              <w:spacing w:after="0" w:line="123" w:lineRule="exact"/>
              <w:rPr>
                <w:sz w:val="20"/>
                <w:szCs w:val="20"/>
                <w:color w:val="auto"/>
              </w:rPr>
            </w:pPr>
            <w:r>
              <w:rPr>
                <w:rFonts w:ascii="Arial" w:cs="Arial" w:eastAsia="Arial" w:hAnsi="Arial"/>
                <w:sz w:val="12"/>
                <w:szCs w:val="12"/>
                <w:b w:val="1"/>
                <w:bCs w:val="1"/>
                <w:color w:val="auto"/>
                <w:w w:val="89"/>
              </w:rPr>
              <w:t>2008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Vehicle Unit Deliveries(a)(b)(c)</w:t>
            </w: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tcPr>
          <w:p>
            <w:pPr>
              <w:ind w:left="180"/>
              <w:spacing w:after="0"/>
              <w:rPr>
                <w:sz w:val="20"/>
                <w:szCs w:val="20"/>
                <w:color w:val="auto"/>
              </w:rPr>
            </w:pPr>
            <w:r>
              <w:rPr>
                <w:rFonts w:ascii="Arial" w:cs="Arial" w:eastAsia="Arial" w:hAnsi="Arial"/>
                <w:sz w:val="15"/>
                <w:szCs w:val="15"/>
                <w:color w:val="auto"/>
              </w:rPr>
              <w:t>United States</w:t>
            </w: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Chevrolet – Cars</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132</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546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tcPr>
          <w:p>
            <w:pPr>
              <w:ind w:left="380"/>
              <w:spacing w:after="0"/>
              <w:rPr>
                <w:sz w:val="20"/>
                <w:szCs w:val="20"/>
                <w:color w:val="auto"/>
              </w:rPr>
            </w:pPr>
            <w:r>
              <w:rPr>
                <w:rFonts w:ascii="Arial" w:cs="Arial" w:eastAsia="Arial" w:hAnsi="Arial"/>
                <w:sz w:val="15"/>
                <w:szCs w:val="15"/>
                <w:color w:val="auto"/>
              </w:rPr>
              <w:t>Chevrolet – Trucks</w:t>
            </w:r>
          </w:p>
        </w:tc>
        <w:tc>
          <w:tcPr>
            <w:tcW w:w="480" w:type="dxa"/>
            <w:vAlign w:val="bottom"/>
          </w:tcPr>
          <w:p>
            <w:pPr>
              <w:jc w:val="right"/>
              <w:spacing w:after="0"/>
              <w:rPr>
                <w:sz w:val="20"/>
                <w:szCs w:val="20"/>
                <w:color w:val="auto"/>
              </w:rPr>
            </w:pPr>
            <w:r>
              <w:rPr>
                <w:rFonts w:ascii="Arial" w:cs="Arial" w:eastAsia="Arial" w:hAnsi="Arial"/>
                <w:sz w:val="15"/>
                <w:szCs w:val="15"/>
                <w:color w:val="auto"/>
              </w:rPr>
              <w:t>219</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5"/>
                <w:szCs w:val="15"/>
                <w:color w:val="auto"/>
              </w:rPr>
              <w:t>209</w:t>
            </w: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799</w:t>
            </w: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90"/>
              </w:rPr>
              <w:t>1,086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Cadillac</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32</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109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tcPr>
          <w:p>
            <w:pPr>
              <w:ind w:left="380"/>
              <w:spacing w:after="0"/>
              <w:rPr>
                <w:sz w:val="20"/>
                <w:szCs w:val="20"/>
                <w:color w:val="auto"/>
              </w:rPr>
            </w:pPr>
            <w:r>
              <w:rPr>
                <w:rFonts w:ascii="Arial" w:cs="Arial" w:eastAsia="Arial" w:hAnsi="Arial"/>
                <w:sz w:val="15"/>
                <w:szCs w:val="15"/>
                <w:color w:val="auto"/>
              </w:rPr>
              <w:t>Buick</w:t>
            </w:r>
          </w:p>
        </w:tc>
        <w:tc>
          <w:tcPr>
            <w:tcW w:w="480" w:type="dxa"/>
            <w:vAlign w:val="bottom"/>
          </w:tcPr>
          <w:p>
            <w:pPr>
              <w:jc w:val="right"/>
              <w:spacing w:after="0"/>
              <w:rPr>
                <w:sz w:val="20"/>
                <w:szCs w:val="20"/>
                <w:color w:val="auto"/>
              </w:rPr>
            </w:pPr>
            <w:r>
              <w:rPr>
                <w:rFonts w:ascii="Arial" w:cs="Arial" w:eastAsia="Arial" w:hAnsi="Arial"/>
                <w:sz w:val="15"/>
                <w:szCs w:val="15"/>
                <w:color w:val="auto"/>
              </w:rPr>
              <w:t>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5"/>
                <w:szCs w:val="15"/>
                <w:color w:val="auto"/>
              </w:rPr>
              <w:t>24</w:t>
            </w: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GMC</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71</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260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tcPr>
          <w:p>
            <w:pPr>
              <w:ind w:left="380"/>
              <w:spacing w:after="0"/>
              <w:rPr>
                <w:sz w:val="20"/>
                <w:szCs w:val="20"/>
                <w:color w:val="auto"/>
              </w:rPr>
            </w:pPr>
            <w:r>
              <w:rPr>
                <w:rFonts w:ascii="Arial" w:cs="Arial" w:eastAsia="Arial" w:hAnsi="Arial"/>
                <w:sz w:val="15"/>
                <w:szCs w:val="15"/>
                <w:color w:val="auto"/>
              </w:rPr>
              <w:t>Other Non-Core Divisions</w:t>
            </w:r>
          </w:p>
        </w:tc>
        <w:tc>
          <w:tcPr>
            <w:tcW w:w="480" w:type="dxa"/>
            <w:vAlign w:val="bottom"/>
          </w:tcPr>
          <w:p>
            <w:pPr>
              <w:jc w:val="right"/>
              <w:spacing w:after="0"/>
              <w:rPr>
                <w:sz w:val="20"/>
                <w:szCs w:val="20"/>
                <w:color w:val="auto"/>
              </w:rPr>
            </w:pPr>
            <w:r>
              <w:rPr>
                <w:rFonts w:ascii="Arial" w:cs="Arial" w:eastAsia="Arial" w:hAnsi="Arial"/>
                <w:sz w:val="15"/>
                <w:szCs w:val="15"/>
                <w:color w:val="auto"/>
              </w:rPr>
              <w:t>42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80</w:t>
            </w:r>
          </w:p>
        </w:tc>
        <w:tc>
          <w:tcPr>
            <w:tcW w:w="500" w:type="dxa"/>
            <w:vAlign w:val="bottom"/>
          </w:tcPr>
          <w:p>
            <w:pPr>
              <w:spacing w:after="0"/>
              <w:rPr>
                <w:sz w:val="16"/>
                <w:szCs w:val="16"/>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269</w:t>
            </w: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504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Total United States</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547</w:t>
            </w:r>
          </w:p>
        </w:tc>
        <w:tc>
          <w:tcPr>
            <w:tcW w:w="5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2,084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2,981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tcPr>
          <w:p>
            <w:pPr>
              <w:ind w:left="180"/>
              <w:spacing w:after="0"/>
              <w:rPr>
                <w:sz w:val="20"/>
                <w:szCs w:val="20"/>
                <w:color w:val="auto"/>
              </w:rPr>
            </w:pPr>
            <w:r>
              <w:rPr>
                <w:rFonts w:ascii="Arial" w:cs="Arial" w:eastAsia="Arial" w:hAnsi="Arial"/>
                <w:sz w:val="15"/>
                <w:szCs w:val="15"/>
                <w:color w:val="auto"/>
              </w:rPr>
              <w:t>Canada, Mexico and Other</w:t>
            </w:r>
          </w:p>
        </w:tc>
        <w:tc>
          <w:tcPr>
            <w:tcW w:w="480" w:type="dxa"/>
            <w:vAlign w:val="bottom"/>
          </w:tcPr>
          <w:p>
            <w:pPr>
              <w:jc w:val="right"/>
              <w:spacing w:after="0"/>
              <w:rPr>
                <w:sz w:val="20"/>
                <w:szCs w:val="20"/>
                <w:color w:val="auto"/>
              </w:rPr>
            </w:pPr>
            <w:r>
              <w:rPr>
                <w:rFonts w:ascii="Arial" w:cs="Arial" w:eastAsia="Arial" w:hAnsi="Arial"/>
                <w:sz w:val="15"/>
                <w:szCs w:val="15"/>
                <w:color w:val="auto"/>
              </w:rPr>
              <w:t>100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127</w:t>
            </w:r>
          </w:p>
        </w:tc>
        <w:tc>
          <w:tcPr>
            <w:tcW w:w="500" w:type="dxa"/>
            <w:vAlign w:val="bottom"/>
          </w:tcPr>
          <w:p>
            <w:pPr>
              <w:spacing w:after="0"/>
              <w:rPr>
                <w:sz w:val="16"/>
                <w:szCs w:val="16"/>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400</w:t>
            </w: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585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Total GMNA(d)</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637</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675</w:t>
            </w:r>
          </w:p>
        </w:tc>
        <w:tc>
          <w:tcPr>
            <w:tcW w:w="5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2,485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3,565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0" w:type="dxa"/>
            <w:vAlign w:val="bottom"/>
          </w:tcPr>
          <w:p>
            <w:pPr>
              <w:spacing w:after="0"/>
              <w:rPr>
                <w:sz w:val="16"/>
                <w:szCs w:val="16"/>
                <w:color w:val="auto"/>
              </w:rPr>
            </w:pPr>
          </w:p>
        </w:tc>
        <w:tc>
          <w:tcPr>
            <w:tcW w:w="7060" w:type="dxa"/>
            <w:vAlign w:val="bottom"/>
            <w:gridSpan w:val="2"/>
          </w:tcPr>
          <w:p>
            <w:pPr>
              <w:ind w:left="180"/>
              <w:spacing w:after="0"/>
              <w:rPr>
                <w:sz w:val="20"/>
                <w:szCs w:val="20"/>
                <w:color w:val="auto"/>
              </w:rPr>
            </w:pPr>
            <w:r>
              <w:rPr>
                <w:rFonts w:ascii="Arial" w:cs="Arial" w:eastAsia="Arial" w:hAnsi="Arial"/>
                <w:sz w:val="15"/>
                <w:szCs w:val="15"/>
                <w:color w:val="auto"/>
              </w:rPr>
              <w:t>GMIO</w:t>
            </w:r>
          </w:p>
        </w:tc>
        <w:tc>
          <w:tcPr>
            <w:tcW w:w="48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0" w:type="dxa"/>
            <w:vAlign w:val="bottom"/>
          </w:tcPr>
          <w:p>
            <w:pPr>
              <w:spacing w:after="0"/>
              <w:rPr>
                <w:sz w:val="16"/>
                <w:szCs w:val="16"/>
                <w:color w:val="auto"/>
              </w:rPr>
            </w:pPr>
          </w:p>
        </w:tc>
        <w:tc>
          <w:tcPr>
            <w:tcW w:w="70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Chevrolet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310</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1,491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1,456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tcPr>
          <w:p>
            <w:pPr>
              <w:ind w:left="380"/>
              <w:spacing w:after="0"/>
              <w:rPr>
                <w:sz w:val="20"/>
                <w:szCs w:val="20"/>
                <w:color w:val="auto"/>
              </w:rPr>
            </w:pPr>
            <w:r>
              <w:rPr>
                <w:rFonts w:ascii="Arial" w:cs="Arial" w:eastAsia="Arial" w:hAnsi="Arial"/>
                <w:sz w:val="15"/>
                <w:szCs w:val="15"/>
                <w:color w:val="auto"/>
              </w:rPr>
              <w:t>Buick</w:t>
            </w:r>
          </w:p>
        </w:tc>
        <w:tc>
          <w:tcPr>
            <w:tcW w:w="480" w:type="dxa"/>
            <w:vAlign w:val="bottom"/>
          </w:tcPr>
          <w:p>
            <w:pPr>
              <w:jc w:val="right"/>
              <w:spacing w:after="0"/>
              <w:rPr>
                <w:sz w:val="20"/>
                <w:szCs w:val="20"/>
                <w:color w:val="auto"/>
              </w:rPr>
            </w:pPr>
            <w:r>
              <w:rPr>
                <w:rFonts w:ascii="Arial" w:cs="Arial" w:eastAsia="Arial" w:hAnsi="Arial"/>
                <w:sz w:val="15"/>
                <w:szCs w:val="15"/>
                <w:color w:val="auto"/>
              </w:rPr>
              <w:t>134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5"/>
                <w:szCs w:val="15"/>
                <w:color w:val="auto"/>
              </w:rPr>
              <w:t>69</w:t>
            </w: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448</w:t>
            </w: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281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GM Daewoo</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19</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121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tcPr>
          <w:p>
            <w:pPr>
              <w:ind w:left="380"/>
              <w:spacing w:after="0"/>
              <w:rPr>
                <w:sz w:val="20"/>
                <w:szCs w:val="20"/>
                <w:color w:val="auto"/>
              </w:rPr>
            </w:pPr>
            <w:r>
              <w:rPr>
                <w:rFonts w:ascii="Arial" w:cs="Arial" w:eastAsia="Arial" w:hAnsi="Arial"/>
                <w:sz w:val="15"/>
                <w:szCs w:val="15"/>
                <w:color w:val="auto"/>
              </w:rPr>
              <w:t>Holden</w:t>
            </w:r>
          </w:p>
        </w:tc>
        <w:tc>
          <w:tcPr>
            <w:tcW w:w="480" w:type="dxa"/>
            <w:vAlign w:val="bottom"/>
          </w:tcPr>
          <w:p>
            <w:pPr>
              <w:jc w:val="right"/>
              <w:spacing w:after="0"/>
              <w:rPr>
                <w:sz w:val="20"/>
                <w:szCs w:val="20"/>
                <w:color w:val="auto"/>
              </w:rPr>
            </w:pPr>
            <w:r>
              <w:rPr>
                <w:rFonts w:ascii="Arial" w:cs="Arial" w:eastAsia="Arial" w:hAnsi="Arial"/>
                <w:sz w:val="15"/>
                <w:szCs w:val="15"/>
                <w:color w:val="auto"/>
              </w:rPr>
              <w:t>36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5"/>
                <w:szCs w:val="15"/>
                <w:color w:val="auto"/>
              </w:rPr>
              <w:t>32</w:t>
            </w: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126</w:t>
            </w: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Wuling</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149</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1,001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tcPr>
          <w:p>
            <w:pPr>
              <w:ind w:left="380"/>
              <w:spacing w:after="0"/>
              <w:rPr>
                <w:sz w:val="20"/>
                <w:szCs w:val="20"/>
                <w:color w:val="auto"/>
              </w:rPr>
            </w:pPr>
            <w:r>
              <w:rPr>
                <w:rFonts w:ascii="Arial" w:cs="Arial" w:eastAsia="Arial" w:hAnsi="Arial"/>
                <w:sz w:val="15"/>
                <w:szCs w:val="15"/>
                <w:color w:val="auto"/>
              </w:rPr>
              <w:t>FAW-GM</w:t>
            </w:r>
          </w:p>
        </w:tc>
        <w:tc>
          <w:tcPr>
            <w:tcW w:w="480" w:type="dxa"/>
            <w:vAlign w:val="bottom"/>
          </w:tcPr>
          <w:p>
            <w:pPr>
              <w:jc w:val="right"/>
              <w:spacing w:after="0"/>
              <w:rPr>
                <w:sz w:val="20"/>
                <w:szCs w:val="20"/>
                <w:color w:val="auto"/>
              </w:rPr>
            </w:pPr>
            <w:r>
              <w:rPr>
                <w:rFonts w:ascii="Arial" w:cs="Arial" w:eastAsia="Arial" w:hAnsi="Arial"/>
                <w:sz w:val="15"/>
                <w:szCs w:val="15"/>
                <w:color w:val="auto"/>
              </w:rPr>
              <w:t>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5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104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60" w:type="dxa"/>
            <w:vAlign w:val="bottom"/>
            <w:gridSpan w:val="2"/>
            <w:vMerge w:val="restart"/>
          </w:tcPr>
          <w:p>
            <w:pPr>
              <w:ind w:left="180"/>
              <w:spacing w:after="0"/>
              <w:rPr>
                <w:sz w:val="20"/>
                <w:szCs w:val="20"/>
                <w:color w:val="auto"/>
              </w:rPr>
            </w:pPr>
            <w:r>
              <w:rPr>
                <w:rFonts w:ascii="Arial" w:cs="Arial" w:eastAsia="Arial" w:hAnsi="Arial"/>
                <w:sz w:val="15"/>
                <w:szCs w:val="15"/>
                <w:color w:val="auto"/>
              </w:rPr>
              <w:t>Total GMIO(e)</w:t>
            </w: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0" w:type="dxa"/>
            <w:vAlign w:val="bottom"/>
          </w:tcPr>
          <w:p>
            <w:pPr>
              <w:spacing w:after="0"/>
              <w:rPr>
                <w:sz w:val="17"/>
                <w:szCs w:val="17"/>
                <w:color w:val="auto"/>
              </w:rPr>
            </w:pPr>
          </w:p>
        </w:tc>
        <w:tc>
          <w:tcPr>
            <w:tcW w:w="7060" w:type="dxa"/>
            <w:vAlign w:val="bottom"/>
            <w:gridSpan w:val="2"/>
            <w:vMerge w:val="continue"/>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937</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608</w:t>
            </w:r>
          </w:p>
        </w:tc>
        <w:tc>
          <w:tcPr>
            <w:tcW w:w="500" w:type="dxa"/>
            <w:vAlign w:val="bottom"/>
          </w:tcPr>
          <w:p>
            <w:pPr>
              <w:spacing w:after="0"/>
              <w:rPr>
                <w:sz w:val="17"/>
                <w:szCs w:val="17"/>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3,326</w:t>
            </w:r>
          </w:p>
        </w:tc>
        <w:tc>
          <w:tcPr>
            <w:tcW w:w="10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5"/>
                <w:szCs w:val="15"/>
                <w:color w:val="auto"/>
                <w:w w:val="90"/>
              </w:rPr>
              <w:t>2,754</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GME</w:t>
            </w:r>
          </w:p>
        </w:tc>
        <w:tc>
          <w:tcPr>
            <w:tcW w:w="48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tcPr>
          <w:p>
            <w:pPr>
              <w:ind w:left="380"/>
              <w:spacing w:after="0"/>
              <w:rPr>
                <w:sz w:val="20"/>
                <w:szCs w:val="20"/>
                <w:color w:val="auto"/>
              </w:rPr>
            </w:pPr>
            <w:r>
              <w:rPr>
                <w:rFonts w:ascii="Arial" w:cs="Arial" w:eastAsia="Arial" w:hAnsi="Arial"/>
                <w:sz w:val="15"/>
                <w:szCs w:val="15"/>
                <w:color w:val="auto"/>
              </w:rPr>
              <w:t>Opel/Vauxhall</w:t>
            </w:r>
          </w:p>
        </w:tc>
        <w:tc>
          <w:tcPr>
            <w:tcW w:w="480" w:type="dxa"/>
            <w:vAlign w:val="bottom"/>
          </w:tcPr>
          <w:p>
            <w:pPr>
              <w:jc w:val="right"/>
              <w:spacing w:after="0"/>
              <w:rPr>
                <w:sz w:val="20"/>
                <w:szCs w:val="20"/>
                <w:color w:val="auto"/>
              </w:rPr>
            </w:pPr>
            <w:r>
              <w:rPr>
                <w:rFonts w:ascii="Arial" w:cs="Arial" w:eastAsia="Arial" w:hAnsi="Arial"/>
                <w:sz w:val="15"/>
                <w:szCs w:val="15"/>
                <w:color w:val="auto"/>
              </w:rPr>
              <w:t>265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5"/>
                <w:szCs w:val="15"/>
                <w:color w:val="auto"/>
              </w:rPr>
              <w:t>284</w:t>
            </w: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1,209</w:t>
            </w: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w w:val="90"/>
              </w:rPr>
              <w:t>1,458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Chevrolet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121</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426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tcPr>
          <w:p>
            <w:pPr>
              <w:ind w:left="380"/>
              <w:spacing w:after="0"/>
              <w:rPr>
                <w:sz w:val="20"/>
                <w:szCs w:val="20"/>
                <w:color w:val="auto"/>
              </w:rPr>
            </w:pPr>
            <w:r>
              <w:rPr>
                <w:rFonts w:ascii="Arial" w:cs="Arial" w:eastAsia="Arial" w:hAnsi="Arial"/>
                <w:sz w:val="15"/>
                <w:szCs w:val="15"/>
                <w:color w:val="auto"/>
              </w:rPr>
              <w:t>Saab</w:t>
            </w:r>
          </w:p>
        </w:tc>
        <w:tc>
          <w:tcPr>
            <w:tcW w:w="480" w:type="dxa"/>
            <w:vAlign w:val="bottom"/>
          </w:tcPr>
          <w:p>
            <w:pPr>
              <w:jc w:val="right"/>
              <w:spacing w:after="0"/>
              <w:rPr>
                <w:sz w:val="20"/>
                <w:szCs w:val="20"/>
                <w:color w:val="auto"/>
              </w:rPr>
            </w:pPr>
            <w:r>
              <w:rPr>
                <w:rFonts w:ascii="Arial" w:cs="Arial" w:eastAsia="Arial" w:hAnsi="Arial"/>
                <w:sz w:val="15"/>
                <w:szCs w:val="15"/>
                <w:color w:val="auto"/>
              </w:rPr>
              <w:t>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5"/>
                <w:szCs w:val="15"/>
                <w:color w:val="auto"/>
              </w:rPr>
              <w:t>13</w:t>
            </w: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5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60" w:type="dxa"/>
            <w:vAlign w:val="bottom"/>
            <w:gridSpan w:val="2"/>
            <w:vMerge w:val="restart"/>
          </w:tcPr>
          <w:p>
            <w:pPr>
              <w:ind w:left="180"/>
              <w:spacing w:after="0"/>
              <w:rPr>
                <w:sz w:val="20"/>
                <w:szCs w:val="20"/>
                <w:color w:val="auto"/>
              </w:rPr>
            </w:pPr>
            <w:r>
              <w:rPr>
                <w:rFonts w:ascii="Arial" w:cs="Arial" w:eastAsia="Arial" w:hAnsi="Arial"/>
                <w:sz w:val="15"/>
                <w:szCs w:val="15"/>
                <w:color w:val="auto"/>
              </w:rPr>
              <w:t>Total GME(e)</w:t>
            </w: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0" w:type="dxa"/>
            <w:vAlign w:val="bottom"/>
          </w:tcPr>
          <w:p>
            <w:pPr>
              <w:spacing w:after="0"/>
              <w:rPr>
                <w:sz w:val="16"/>
                <w:szCs w:val="16"/>
                <w:color w:val="auto"/>
              </w:rPr>
            </w:pPr>
          </w:p>
        </w:tc>
        <w:tc>
          <w:tcPr>
            <w:tcW w:w="7060" w:type="dxa"/>
            <w:vAlign w:val="bottom"/>
            <w:gridSpan w:val="2"/>
            <w:vMerge w:val="continue"/>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378</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419</w:t>
            </w:r>
          </w:p>
        </w:tc>
        <w:tc>
          <w:tcPr>
            <w:tcW w:w="500" w:type="dxa"/>
            <w:vAlign w:val="bottom"/>
          </w:tcPr>
          <w:p>
            <w:pPr>
              <w:spacing w:after="0"/>
              <w:rPr>
                <w:sz w:val="16"/>
                <w:szCs w:val="16"/>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1,667</w:t>
            </w:r>
          </w:p>
        </w:tc>
        <w:tc>
          <w:tcPr>
            <w:tcW w:w="10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5"/>
                <w:szCs w:val="15"/>
                <w:color w:val="auto"/>
                <w:w w:val="90"/>
              </w:rPr>
              <w:t>2,043</w:t>
            </w:r>
          </w:p>
        </w:tc>
        <w:tc>
          <w:tcPr>
            <w:tcW w:w="0" w:type="dxa"/>
            <w:vAlign w:val="bottom"/>
          </w:tcPr>
          <w:p>
            <w:pPr>
              <w:spacing w:after="0"/>
              <w:rPr>
                <w:sz w:val="1"/>
                <w:szCs w:val="1"/>
                <w:color w:val="auto"/>
              </w:rPr>
            </w:pPr>
          </w:p>
        </w:tc>
      </w:tr>
      <w:tr>
        <w:trPr>
          <w:trHeight w:val="25"/>
        </w:trPr>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7060" w:type="dxa"/>
            <w:vAlign w:val="bottom"/>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rPr>
              <w:t>Total Worldwide</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1,952</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1,702</w:t>
            </w:r>
          </w:p>
        </w:tc>
        <w:tc>
          <w:tcPr>
            <w:tcW w:w="5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b w:val="1"/>
                <w:bCs w:val="1"/>
                <w:color w:val="auto"/>
              </w:rPr>
              <w:t>7,478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0"/>
              </w:rPr>
              <w:t>8,362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325" w:hanging="325"/>
        <w:spacing w:after="0"/>
        <w:tabs>
          <w:tab w:leader="none" w:pos="325"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Includes HUMMER, Saab, Saturn and Pontiac vehicle sales data.</w:t>
      </w:r>
    </w:p>
    <w:p>
      <w:pPr>
        <w:spacing w:after="0" w:line="23" w:lineRule="exact"/>
        <w:rPr>
          <w:rFonts w:ascii="Arial" w:cs="Arial" w:eastAsia="Arial" w:hAnsi="Arial"/>
          <w:sz w:val="15"/>
          <w:szCs w:val="15"/>
          <w:color w:val="auto"/>
        </w:rPr>
      </w:pPr>
    </w:p>
    <w:p>
      <w:pPr>
        <w:ind w:left="325" w:hanging="325"/>
        <w:spacing w:after="0" w:line="264" w:lineRule="auto"/>
        <w:tabs>
          <w:tab w:leader="none" w:pos="325"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Includes SGM, SGMW and FAW-GM joint venture sales. Ownership of 50% in SGM, 34% in SGMW and 50% in FAW-GM, under the joint venture agreements, allows for significant rights as a member as well as the contractual right to report SGMW and FAW-GM joint venture vehicle sales in China as part of global market share. These entities are not consolidated for financial reporting purposes. Income and losses related to these entities are recorded in Equity income, net of tax.</w:t>
      </w:r>
    </w:p>
    <w:p>
      <w:pPr>
        <w:ind w:left="325" w:hanging="325"/>
        <w:spacing w:after="0"/>
        <w:tabs>
          <w:tab w:leader="none" w:pos="325" w:val="left"/>
        </w:tabs>
        <w:numPr>
          <w:ilvl w:val="0"/>
          <w:numId w:val="3"/>
        </w:numPr>
        <w:rPr>
          <w:rFonts w:ascii="Arial" w:cs="Arial" w:eastAsia="Arial" w:hAnsi="Arial"/>
          <w:sz w:val="15"/>
          <w:szCs w:val="15"/>
          <w:color w:val="auto"/>
        </w:rPr>
      </w:pPr>
      <w:r>
        <w:rPr>
          <w:rFonts w:ascii="Arial" w:cs="Arial" w:eastAsia="Arial" w:hAnsi="Arial"/>
          <w:sz w:val="15"/>
          <w:szCs w:val="15"/>
          <w:color w:val="auto"/>
        </w:rPr>
        <w:t>Vehicle sales data may include rounding differences.</w:t>
      </w:r>
    </w:p>
    <w:p>
      <w:pPr>
        <w:spacing w:after="0" w:line="17" w:lineRule="exact"/>
        <w:rPr>
          <w:rFonts w:ascii="Arial" w:cs="Arial" w:eastAsia="Arial" w:hAnsi="Arial"/>
          <w:sz w:val="15"/>
          <w:szCs w:val="15"/>
          <w:color w:val="auto"/>
        </w:rPr>
      </w:pPr>
    </w:p>
    <w:p>
      <w:pPr>
        <w:ind w:left="325" w:hanging="325"/>
        <w:spacing w:after="0"/>
        <w:tabs>
          <w:tab w:leader="none" w:pos="325" w:val="left"/>
        </w:tabs>
        <w:numPr>
          <w:ilvl w:val="0"/>
          <w:numId w:val="3"/>
        </w:numPr>
        <w:rPr>
          <w:rFonts w:ascii="Arial" w:cs="Arial" w:eastAsia="Arial" w:hAnsi="Arial"/>
          <w:sz w:val="15"/>
          <w:szCs w:val="15"/>
          <w:color w:val="auto"/>
        </w:rPr>
      </w:pPr>
      <w:r>
        <w:rPr>
          <w:rFonts w:ascii="Arial" w:cs="Arial" w:eastAsia="Arial" w:hAnsi="Arial"/>
          <w:sz w:val="15"/>
          <w:szCs w:val="15"/>
          <w:color w:val="auto"/>
        </w:rPr>
        <w:t>Vehicle sales represent sales to the ultimate customer.</w:t>
      </w:r>
    </w:p>
    <w:p>
      <w:pPr>
        <w:spacing w:after="0" w:line="17" w:lineRule="exact"/>
        <w:rPr>
          <w:rFonts w:ascii="Arial" w:cs="Arial" w:eastAsia="Arial" w:hAnsi="Arial"/>
          <w:sz w:val="15"/>
          <w:szCs w:val="15"/>
          <w:color w:val="auto"/>
        </w:rPr>
      </w:pPr>
    </w:p>
    <w:p>
      <w:pPr>
        <w:ind w:left="325" w:hanging="325"/>
        <w:spacing w:after="0"/>
        <w:tabs>
          <w:tab w:leader="none" w:pos="325" w:val="left"/>
        </w:tabs>
        <w:numPr>
          <w:ilvl w:val="0"/>
          <w:numId w:val="3"/>
        </w:numPr>
        <w:rPr>
          <w:rFonts w:ascii="Arial" w:cs="Arial" w:eastAsia="Arial" w:hAnsi="Arial"/>
          <w:sz w:val="15"/>
          <w:szCs w:val="15"/>
          <w:color w:val="auto"/>
        </w:rPr>
      </w:pPr>
      <w:r>
        <w:rPr>
          <w:rFonts w:ascii="Arial" w:cs="Arial" w:eastAsia="Arial" w:hAnsi="Arial"/>
          <w:sz w:val="15"/>
          <w:szCs w:val="15"/>
          <w:color w:val="auto"/>
        </w:rPr>
        <w:t>Vehicle sales primarily represent estimated sales to the ultimate customer.</w:t>
      </w:r>
    </w:p>
    <w:p>
      <w:pPr>
        <w:spacing w:after="0" w:line="143" w:lineRule="exact"/>
        <w:rPr>
          <w:sz w:val="20"/>
          <w:szCs w:val="20"/>
          <w:color w:val="auto"/>
        </w:rPr>
      </w:pPr>
    </w:p>
    <w:p>
      <w:pPr>
        <w:jc w:val="center"/>
        <w:ind w:right="-84"/>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345"/>
          </w:cols>
          <w:pgMar w:left="235" w:top="257" w:right="319" w:bottom="1440" w:gutter="0" w:footer="0" w:header="0"/>
        </w:sectPr>
      </w:pPr>
    </w:p>
    <w:bookmarkStart w:id="9" w:name="page10"/>
    <w:bookmarkEnd w:id="9"/>
    <w:p>
      <w:pPr>
        <w:jc w:val="center"/>
        <w:ind w:right="-4"/>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3770" cy="35560"/>
                    </a:xfrm>
                    <a:prstGeom prst="rect">
                      <a:avLst/>
                    </a:prstGeom>
                    <a:noFill/>
                  </pic:spPr>
                </pic:pic>
              </a:graphicData>
            </a:graphic>
          </wp:anchor>
        </w:drawing>
        <w:t>General Motors Company and Subsidiaries</w:t>
      </w:r>
    </w:p>
    <w:p>
      <w:pPr>
        <w:spacing w:after="0" w:line="29" w:lineRule="exact"/>
        <w:rPr>
          <w:sz w:val="20"/>
          <w:szCs w:val="20"/>
          <w:color w:val="auto"/>
        </w:rPr>
      </w:pPr>
    </w:p>
    <w:p>
      <w:pPr>
        <w:jc w:val="center"/>
        <w:ind w:right="-4"/>
        <w:spacing w:after="0"/>
        <w:rPr>
          <w:sz w:val="20"/>
          <w:szCs w:val="20"/>
          <w:color w:val="auto"/>
        </w:rPr>
      </w:pPr>
      <w:r>
        <w:rPr>
          <w:rFonts w:ascii="Arial" w:cs="Arial" w:eastAsia="Arial" w:hAnsi="Arial"/>
          <w:sz w:val="15"/>
          <w:szCs w:val="15"/>
          <w:b w:val="1"/>
          <w:bCs w:val="1"/>
          <w:color w:val="auto"/>
        </w:rPr>
        <w:t>Supplemental Material</w:t>
      </w:r>
    </w:p>
    <w:p>
      <w:pPr>
        <w:spacing w:after="0" w:line="155" w:lineRule="exact"/>
        <w:rPr>
          <w:sz w:val="20"/>
          <w:szCs w:val="20"/>
          <w:color w:val="auto"/>
        </w:rPr>
      </w:pPr>
    </w:p>
    <w:p>
      <w:pPr>
        <w:jc w:val="center"/>
        <w:ind w:right="-4"/>
        <w:spacing w:after="0"/>
        <w:rPr>
          <w:sz w:val="20"/>
          <w:szCs w:val="20"/>
          <w:color w:val="auto"/>
        </w:rPr>
      </w:pPr>
      <w:r>
        <w:rPr>
          <w:rFonts w:ascii="Arial" w:cs="Arial" w:eastAsia="Arial" w:hAnsi="Arial"/>
          <w:sz w:val="15"/>
          <w:szCs w:val="15"/>
          <w:i w:val="1"/>
          <w:iCs w:val="1"/>
          <w:color w:val="auto"/>
        </w:rPr>
        <w:t>(Unaudited)</w:t>
      </w:r>
    </w:p>
    <w:p>
      <w:pPr>
        <w:spacing w:after="0" w:line="184" w:lineRule="exact"/>
        <w:rPr>
          <w:sz w:val="20"/>
          <w:szCs w:val="20"/>
          <w:color w:val="auto"/>
        </w:rPr>
      </w:pPr>
    </w:p>
    <w:tbl>
      <w:tblPr>
        <w:tblLayout w:type="fixed"/>
        <w:tblInd w:w="465"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w w:val="94"/>
              </w:rPr>
              <w:t>Three Months Ended</w:t>
            </w:r>
          </w:p>
        </w:tc>
        <w:tc>
          <w:tcPr>
            <w:tcW w:w="114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90"/>
              </w:rPr>
              <w:t>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300" w:type="dxa"/>
            <w:vAlign w:val="bottom"/>
            <w:gridSpan w:val="4"/>
          </w:tcPr>
          <w:p>
            <w:pPr>
              <w:jc w:val="right"/>
              <w:ind w:right="360"/>
              <w:spacing w:after="0"/>
              <w:rPr>
                <w:sz w:val="20"/>
                <w:szCs w:val="20"/>
                <w:color w:val="auto"/>
              </w:rPr>
            </w:pPr>
            <w:r>
              <w:rPr>
                <w:rFonts w:ascii="Arial" w:cs="Arial" w:eastAsia="Arial" w:hAnsi="Arial"/>
                <w:sz w:val="12"/>
                <w:szCs w:val="12"/>
                <w:b w:val="1"/>
                <w:bCs w:val="1"/>
                <w:color w:val="auto"/>
              </w:rPr>
              <w:t>December 31,</w:t>
            </w:r>
          </w:p>
        </w:tc>
        <w:tc>
          <w:tcPr>
            <w:tcW w:w="1140" w:type="dxa"/>
            <w:vAlign w:val="bottom"/>
            <w:gridSpan w:val="4"/>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60" w:type="dxa"/>
            <w:vAlign w:val="bottom"/>
          </w:tcPr>
          <w:p>
            <w:pPr>
              <w:spacing w:after="0"/>
              <w:rPr>
                <w:sz w:val="10"/>
                <w:szCs w:val="10"/>
                <w:color w:val="auto"/>
              </w:rPr>
            </w:pPr>
          </w:p>
        </w:tc>
        <w:tc>
          <w:tcPr>
            <w:tcW w:w="540" w:type="dxa"/>
            <w:vAlign w:val="bottom"/>
            <w:tcBorders>
              <w:top w:val="single" w:sz="8" w:color="auto"/>
            </w:tcBorders>
          </w:tcPr>
          <w:p>
            <w:pPr>
              <w:jc w:val="right"/>
              <w:ind w:right="87"/>
              <w:spacing w:after="0" w:line="123" w:lineRule="exact"/>
              <w:rPr>
                <w:sz w:val="20"/>
                <w:szCs w:val="20"/>
                <w:color w:val="auto"/>
              </w:rPr>
            </w:pPr>
            <w:r>
              <w:rPr>
                <w:rFonts w:ascii="Arial" w:cs="Arial" w:eastAsia="Arial" w:hAnsi="Arial"/>
                <w:sz w:val="12"/>
                <w:szCs w:val="12"/>
                <w:b w:val="1"/>
                <w:bCs w:val="1"/>
                <w:color w:val="auto"/>
              </w:rPr>
              <w:t>2009</w:t>
            </w:r>
          </w:p>
        </w:tc>
        <w:tc>
          <w:tcPr>
            <w:tcW w:w="660" w:type="dxa"/>
            <w:vAlign w:val="bottom"/>
            <w:tcBorders>
              <w:top w:val="single" w:sz="8" w:color="auto"/>
            </w:tcBorders>
            <w:gridSpan w:val="2"/>
          </w:tcPr>
          <w:p>
            <w:pPr>
              <w:jc w:val="right"/>
              <w:ind w:right="160"/>
              <w:spacing w:after="0" w:line="123" w:lineRule="exact"/>
              <w:rPr>
                <w:sz w:val="20"/>
                <w:szCs w:val="20"/>
                <w:color w:val="auto"/>
              </w:rPr>
            </w:pPr>
            <w:r>
              <w:rPr>
                <w:rFonts w:ascii="Arial" w:cs="Arial" w:eastAsia="Arial" w:hAnsi="Arial"/>
                <w:sz w:val="12"/>
                <w:szCs w:val="12"/>
                <w:b w:val="1"/>
                <w:bCs w:val="1"/>
                <w:color w:val="auto"/>
              </w:rPr>
              <w:t>2008</w:t>
            </w:r>
          </w:p>
        </w:tc>
        <w:tc>
          <w:tcPr>
            <w:tcW w:w="100" w:type="dxa"/>
            <w:vAlign w:val="bottom"/>
          </w:tcPr>
          <w:p>
            <w:pPr>
              <w:spacing w:after="0"/>
              <w:rPr>
                <w:sz w:val="10"/>
                <w:szCs w:val="10"/>
                <w:color w:val="auto"/>
              </w:rPr>
            </w:pPr>
          </w:p>
        </w:tc>
        <w:tc>
          <w:tcPr>
            <w:tcW w:w="520" w:type="dxa"/>
            <w:vAlign w:val="bottom"/>
            <w:tcBorders>
              <w:top w:val="single" w:sz="8" w:color="auto"/>
            </w:tcBorders>
          </w:tcPr>
          <w:p>
            <w:pPr>
              <w:jc w:val="right"/>
              <w:ind w:right="67"/>
              <w:spacing w:after="0" w:line="123" w:lineRule="exact"/>
              <w:rPr>
                <w:sz w:val="20"/>
                <w:szCs w:val="20"/>
                <w:color w:val="auto"/>
              </w:rPr>
            </w:pPr>
            <w:r>
              <w:rPr>
                <w:rFonts w:ascii="Arial" w:cs="Arial" w:eastAsia="Arial" w:hAnsi="Arial"/>
                <w:sz w:val="12"/>
                <w:szCs w:val="12"/>
                <w:b w:val="1"/>
                <w:bCs w:val="1"/>
                <w:color w:val="auto"/>
              </w:rPr>
              <w:t>2009</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64"/>
              <w:spacing w:after="0" w:line="123" w:lineRule="exact"/>
              <w:rPr>
                <w:sz w:val="20"/>
                <w:szCs w:val="20"/>
                <w:color w:val="auto"/>
              </w:rPr>
            </w:pPr>
            <w:r>
              <w:rPr>
                <w:rFonts w:ascii="Arial" w:cs="Arial" w:eastAsia="Arial" w:hAnsi="Arial"/>
                <w:sz w:val="12"/>
                <w:szCs w:val="12"/>
                <w:b w:val="1"/>
                <w:bCs w:val="1"/>
                <w:color w:val="auto"/>
              </w:rPr>
              <w:t>2008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Market Share(a)(b)</w:t>
            </w: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60" w:type="dxa"/>
            <w:vAlign w:val="bottom"/>
          </w:tcPr>
          <w:p>
            <w:pPr>
              <w:ind w:left="160"/>
              <w:spacing w:after="0"/>
              <w:rPr>
                <w:sz w:val="20"/>
                <w:szCs w:val="20"/>
                <w:color w:val="auto"/>
              </w:rPr>
            </w:pPr>
            <w:r>
              <w:rPr>
                <w:rFonts w:ascii="Arial" w:cs="Arial" w:eastAsia="Arial" w:hAnsi="Arial"/>
                <w:sz w:val="15"/>
                <w:szCs w:val="15"/>
                <w:color w:val="auto"/>
              </w:rPr>
              <w:t>United States – Cars</w:t>
            </w:r>
          </w:p>
        </w:tc>
        <w:tc>
          <w:tcPr>
            <w:tcW w:w="540" w:type="dxa"/>
            <w:vAlign w:val="bottom"/>
          </w:tcPr>
          <w:p>
            <w:pPr>
              <w:jc w:val="right"/>
              <w:spacing w:after="0"/>
              <w:rPr>
                <w:sz w:val="20"/>
                <w:szCs w:val="20"/>
                <w:color w:val="auto"/>
              </w:rPr>
            </w:pPr>
            <w:r>
              <w:rPr>
                <w:rFonts w:ascii="Arial" w:cs="Arial" w:eastAsia="Arial" w:hAnsi="Arial"/>
                <w:sz w:val="15"/>
                <w:szCs w:val="15"/>
                <w:color w:val="auto"/>
              </w:rPr>
              <w:t>15.5%</w:t>
            </w:r>
          </w:p>
        </w:tc>
        <w:tc>
          <w:tcPr>
            <w:tcW w:w="760" w:type="dxa"/>
            <w:vAlign w:val="bottom"/>
            <w:gridSpan w:val="3"/>
          </w:tcPr>
          <w:p>
            <w:pPr>
              <w:jc w:val="right"/>
              <w:ind w:right="100"/>
              <w:spacing w:after="0"/>
              <w:rPr>
                <w:sz w:val="20"/>
                <w:szCs w:val="20"/>
                <w:color w:val="auto"/>
              </w:rPr>
            </w:pPr>
            <w:r>
              <w:rPr>
                <w:rFonts w:ascii="Arial" w:cs="Arial" w:eastAsia="Arial" w:hAnsi="Arial"/>
                <w:sz w:val="15"/>
                <w:szCs w:val="15"/>
                <w:color w:val="auto"/>
              </w:rPr>
              <w:t>18.2%</w:t>
            </w: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16.3%</w:t>
            </w:r>
          </w:p>
        </w:tc>
        <w:tc>
          <w:tcPr>
            <w:tcW w:w="520" w:type="dxa"/>
            <w:vAlign w:val="bottom"/>
          </w:tcPr>
          <w:p>
            <w:pPr>
              <w:jc w:val="right"/>
              <w:spacing w:after="0"/>
              <w:rPr>
                <w:sz w:val="20"/>
                <w:szCs w:val="20"/>
                <w:color w:val="auto"/>
              </w:rPr>
            </w:pPr>
            <w:r>
              <w:rPr>
                <w:rFonts w:ascii="Arial" w:cs="Arial" w:eastAsia="Arial" w:hAnsi="Arial"/>
                <w:sz w:val="15"/>
                <w:szCs w:val="15"/>
                <w:color w:val="auto"/>
              </w:rPr>
              <w:t>18.6%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United States – Trucks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24.5%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23.1%</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60" w:type="dxa"/>
            <w:vAlign w:val="bottom"/>
          </w:tcPr>
          <w:p>
            <w:pPr>
              <w:ind w:left="160"/>
              <w:spacing w:after="0"/>
              <w:rPr>
                <w:sz w:val="20"/>
                <w:szCs w:val="20"/>
                <w:color w:val="auto"/>
              </w:rPr>
            </w:pPr>
            <w:r>
              <w:rPr>
                <w:rFonts w:ascii="Arial" w:cs="Arial" w:eastAsia="Arial" w:hAnsi="Arial"/>
                <w:sz w:val="15"/>
                <w:szCs w:val="15"/>
                <w:color w:val="auto"/>
              </w:rPr>
              <w:t>Total United States</w:t>
            </w:r>
          </w:p>
        </w:tc>
        <w:tc>
          <w:tcPr>
            <w:tcW w:w="540" w:type="dxa"/>
            <w:vAlign w:val="bottom"/>
          </w:tcPr>
          <w:p>
            <w:pPr>
              <w:jc w:val="right"/>
              <w:spacing w:after="0"/>
              <w:rPr>
                <w:sz w:val="20"/>
                <w:szCs w:val="20"/>
                <w:color w:val="auto"/>
              </w:rPr>
            </w:pPr>
            <w:r>
              <w:rPr>
                <w:rFonts w:ascii="Arial" w:cs="Arial" w:eastAsia="Arial" w:hAnsi="Arial"/>
                <w:sz w:val="15"/>
                <w:szCs w:val="15"/>
                <w:color w:val="auto"/>
              </w:rPr>
              <w:t>20.2%</w:t>
            </w:r>
          </w:p>
        </w:tc>
        <w:tc>
          <w:tcPr>
            <w:tcW w:w="760" w:type="dxa"/>
            <w:vAlign w:val="bottom"/>
            <w:gridSpan w:val="3"/>
          </w:tcPr>
          <w:p>
            <w:pPr>
              <w:jc w:val="right"/>
              <w:ind w:right="100"/>
              <w:spacing w:after="0"/>
              <w:rPr>
                <w:sz w:val="20"/>
                <w:szCs w:val="20"/>
                <w:color w:val="auto"/>
              </w:rPr>
            </w:pPr>
            <w:r>
              <w:rPr>
                <w:rFonts w:ascii="Arial" w:cs="Arial" w:eastAsia="Arial" w:hAnsi="Arial"/>
                <w:sz w:val="15"/>
                <w:szCs w:val="15"/>
                <w:color w:val="auto"/>
              </w:rPr>
              <w:t>21.5%</w:t>
            </w: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19.6%</w:t>
            </w:r>
          </w:p>
        </w:tc>
        <w:tc>
          <w:tcPr>
            <w:tcW w:w="520" w:type="dxa"/>
            <w:vAlign w:val="bottom"/>
          </w:tcPr>
          <w:p>
            <w:pPr>
              <w:jc w:val="right"/>
              <w:spacing w:after="0"/>
              <w:rPr>
                <w:sz w:val="20"/>
                <w:szCs w:val="20"/>
                <w:color w:val="auto"/>
              </w:rPr>
            </w:pPr>
            <w:r>
              <w:rPr>
                <w:rFonts w:ascii="Arial" w:cs="Arial" w:eastAsia="Arial" w:hAnsi="Arial"/>
                <w:sz w:val="15"/>
                <w:szCs w:val="15"/>
                <w:color w:val="auto"/>
              </w:rPr>
              <w:t>22.1%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GMNA(c)</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21.0%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19.0%</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60" w:type="dxa"/>
            <w:vAlign w:val="bottom"/>
          </w:tcPr>
          <w:p>
            <w:pPr>
              <w:ind w:left="160"/>
              <w:spacing w:after="0"/>
              <w:rPr>
                <w:sz w:val="20"/>
                <w:szCs w:val="20"/>
                <w:color w:val="auto"/>
              </w:rPr>
            </w:pPr>
            <w:r>
              <w:rPr>
                <w:rFonts w:ascii="Arial" w:cs="Arial" w:eastAsia="Arial" w:hAnsi="Arial"/>
                <w:sz w:val="15"/>
                <w:szCs w:val="15"/>
                <w:color w:val="auto"/>
              </w:rPr>
              <w:t>Total GMIO(d)</w:t>
            </w:r>
          </w:p>
        </w:tc>
        <w:tc>
          <w:tcPr>
            <w:tcW w:w="540" w:type="dxa"/>
            <w:vAlign w:val="bottom"/>
          </w:tcPr>
          <w:p>
            <w:pPr>
              <w:jc w:val="right"/>
              <w:spacing w:after="0"/>
              <w:rPr>
                <w:sz w:val="20"/>
                <w:szCs w:val="20"/>
                <w:color w:val="auto"/>
              </w:rPr>
            </w:pPr>
            <w:r>
              <w:rPr>
                <w:rFonts w:ascii="Arial" w:cs="Arial" w:eastAsia="Arial" w:hAnsi="Arial"/>
                <w:sz w:val="15"/>
                <w:szCs w:val="15"/>
                <w:color w:val="auto"/>
              </w:rPr>
              <w:t>10.4%</w:t>
            </w:r>
          </w:p>
        </w:tc>
        <w:tc>
          <w:tcPr>
            <w:tcW w:w="760" w:type="dxa"/>
            <w:vAlign w:val="bottom"/>
            <w:gridSpan w:val="3"/>
          </w:tcPr>
          <w:p>
            <w:pPr>
              <w:jc w:val="right"/>
              <w:ind w:right="100"/>
              <w:spacing w:after="0"/>
              <w:rPr>
                <w:sz w:val="20"/>
                <w:szCs w:val="20"/>
                <w:color w:val="auto"/>
              </w:rPr>
            </w:pPr>
            <w:r>
              <w:rPr>
                <w:rFonts w:ascii="Arial" w:cs="Arial" w:eastAsia="Arial" w:hAnsi="Arial"/>
                <w:sz w:val="15"/>
                <w:szCs w:val="15"/>
                <w:color w:val="auto"/>
              </w:rPr>
              <w:t>9.6%</w:t>
            </w: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10.3%</w:t>
            </w:r>
          </w:p>
        </w:tc>
        <w:tc>
          <w:tcPr>
            <w:tcW w:w="520" w:type="dxa"/>
            <w:vAlign w:val="bottom"/>
          </w:tcPr>
          <w:p>
            <w:pPr>
              <w:jc w:val="right"/>
              <w:spacing w:after="0"/>
              <w:rPr>
                <w:sz w:val="20"/>
                <w:szCs w:val="20"/>
                <w:color w:val="auto"/>
              </w:rPr>
            </w:pPr>
            <w:r>
              <w:rPr>
                <w:rFonts w:ascii="Arial" w:cs="Arial" w:eastAsia="Arial" w:hAnsi="Arial"/>
                <w:sz w:val="15"/>
                <w:szCs w:val="15"/>
                <w:color w:val="auto"/>
              </w:rPr>
              <w:t>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GME(d)</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9.2%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8.9%</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tcPr>
          <w:p>
            <w:pPr>
              <w:ind w:left="160"/>
              <w:spacing w:after="0"/>
              <w:rPr>
                <w:sz w:val="20"/>
                <w:szCs w:val="20"/>
                <w:color w:val="auto"/>
              </w:rPr>
            </w:pPr>
            <w:r>
              <w:rPr>
                <w:rFonts w:ascii="Arial" w:cs="Arial" w:eastAsia="Arial" w:hAnsi="Arial"/>
                <w:sz w:val="15"/>
                <w:szCs w:val="15"/>
                <w:b w:val="1"/>
                <w:bCs w:val="1"/>
                <w:color w:val="auto"/>
              </w:rPr>
              <w:t>Total Worldwide</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11.6%</w:t>
            </w:r>
          </w:p>
        </w:tc>
        <w:tc>
          <w:tcPr>
            <w:tcW w:w="760" w:type="dxa"/>
            <w:vAlign w:val="bottom"/>
            <w:gridSpan w:val="3"/>
          </w:tcPr>
          <w:p>
            <w:pPr>
              <w:jc w:val="right"/>
              <w:ind w:right="100"/>
              <w:spacing w:after="0"/>
              <w:rPr>
                <w:sz w:val="20"/>
                <w:szCs w:val="20"/>
                <w:color w:val="auto"/>
              </w:rPr>
            </w:pPr>
            <w:r>
              <w:rPr>
                <w:rFonts w:ascii="Arial" w:cs="Arial" w:eastAsia="Arial" w:hAnsi="Arial"/>
                <w:sz w:val="15"/>
                <w:szCs w:val="15"/>
                <w:b w:val="1"/>
                <w:bCs w:val="1"/>
                <w:color w:val="auto"/>
              </w:rPr>
              <w:t>12.0%</w:t>
            </w:r>
          </w:p>
        </w:tc>
        <w:tc>
          <w:tcPr>
            <w:tcW w:w="6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11.6%</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U.S. Retail/Fleet Mix</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60" w:type="dxa"/>
            <w:vAlign w:val="bottom"/>
          </w:tcPr>
          <w:p>
            <w:pPr>
              <w:ind w:left="160"/>
              <w:spacing w:after="0"/>
              <w:rPr>
                <w:sz w:val="20"/>
                <w:szCs w:val="20"/>
                <w:color w:val="auto"/>
              </w:rPr>
            </w:pPr>
            <w:r>
              <w:rPr>
                <w:rFonts w:ascii="Arial" w:cs="Arial" w:eastAsia="Arial" w:hAnsi="Arial"/>
                <w:sz w:val="15"/>
                <w:szCs w:val="15"/>
                <w:color w:val="auto"/>
              </w:rPr>
              <w:t>% Fleet Sales - Cars</w:t>
            </w:r>
          </w:p>
        </w:tc>
        <w:tc>
          <w:tcPr>
            <w:tcW w:w="540" w:type="dxa"/>
            <w:vAlign w:val="bottom"/>
          </w:tcPr>
          <w:p>
            <w:pPr>
              <w:jc w:val="right"/>
              <w:spacing w:after="0"/>
              <w:rPr>
                <w:sz w:val="20"/>
                <w:szCs w:val="20"/>
                <w:color w:val="auto"/>
              </w:rPr>
            </w:pPr>
            <w:r>
              <w:rPr>
                <w:rFonts w:ascii="Arial" w:cs="Arial" w:eastAsia="Arial" w:hAnsi="Arial"/>
                <w:sz w:val="15"/>
                <w:szCs w:val="15"/>
                <w:color w:val="auto"/>
              </w:rPr>
              <w:t>34.6%</w:t>
            </w:r>
          </w:p>
        </w:tc>
        <w:tc>
          <w:tcPr>
            <w:tcW w:w="760" w:type="dxa"/>
            <w:vAlign w:val="bottom"/>
            <w:gridSpan w:val="3"/>
          </w:tcPr>
          <w:p>
            <w:pPr>
              <w:jc w:val="right"/>
              <w:ind w:right="100"/>
              <w:spacing w:after="0"/>
              <w:rPr>
                <w:sz w:val="20"/>
                <w:szCs w:val="20"/>
                <w:color w:val="auto"/>
              </w:rPr>
            </w:pPr>
            <w:r>
              <w:rPr>
                <w:rFonts w:ascii="Arial" w:cs="Arial" w:eastAsia="Arial" w:hAnsi="Arial"/>
                <w:sz w:val="15"/>
                <w:szCs w:val="15"/>
                <w:color w:val="auto"/>
              </w:rPr>
              <w:t>45.6%</w:t>
            </w: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29.0%</w:t>
            </w:r>
          </w:p>
        </w:tc>
        <w:tc>
          <w:tcPr>
            <w:tcW w:w="520" w:type="dxa"/>
            <w:vAlign w:val="bottom"/>
          </w:tcPr>
          <w:p>
            <w:pPr>
              <w:jc w:val="right"/>
              <w:spacing w:after="0"/>
              <w:rPr>
                <w:sz w:val="20"/>
                <w:szCs w:val="20"/>
                <w:color w:val="auto"/>
              </w:rPr>
            </w:pPr>
            <w:r>
              <w:rPr>
                <w:rFonts w:ascii="Arial" w:cs="Arial" w:eastAsia="Arial" w:hAnsi="Arial"/>
                <w:sz w:val="15"/>
                <w:szCs w:val="15"/>
                <w:color w:val="auto"/>
              </w:rPr>
              <w:t>34.8%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 Fleet Sales - Trucks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23.2%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21.6%</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tcPr>
          <w:p>
            <w:pPr>
              <w:ind w:left="160"/>
              <w:spacing w:after="0"/>
              <w:rPr>
                <w:sz w:val="20"/>
                <w:szCs w:val="20"/>
                <w:color w:val="auto"/>
              </w:rPr>
            </w:pPr>
            <w:r>
              <w:rPr>
                <w:rFonts w:ascii="Arial" w:cs="Arial" w:eastAsia="Arial" w:hAnsi="Arial"/>
                <w:sz w:val="15"/>
                <w:szCs w:val="15"/>
                <w:b w:val="1"/>
                <w:bCs w:val="1"/>
                <w:color w:val="auto"/>
              </w:rPr>
              <w:t>Total Vehicles</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25.8%</w:t>
            </w:r>
          </w:p>
        </w:tc>
        <w:tc>
          <w:tcPr>
            <w:tcW w:w="760" w:type="dxa"/>
            <w:vAlign w:val="bottom"/>
            <w:gridSpan w:val="3"/>
          </w:tcPr>
          <w:p>
            <w:pPr>
              <w:jc w:val="right"/>
              <w:ind w:right="100"/>
              <w:spacing w:after="0"/>
              <w:rPr>
                <w:sz w:val="20"/>
                <w:szCs w:val="20"/>
                <w:color w:val="auto"/>
              </w:rPr>
            </w:pPr>
            <w:r>
              <w:rPr>
                <w:rFonts w:ascii="Arial" w:cs="Arial" w:eastAsia="Arial" w:hAnsi="Arial"/>
                <w:sz w:val="15"/>
                <w:szCs w:val="15"/>
                <w:b w:val="1"/>
                <w:bCs w:val="1"/>
                <w:color w:val="auto"/>
              </w:rPr>
              <w:t>32.2%</w:t>
            </w:r>
          </w:p>
        </w:tc>
        <w:tc>
          <w:tcPr>
            <w:tcW w:w="6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24.7%</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27.6%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80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5"/>
                <w:szCs w:val="15"/>
                <w:color w:val="auto"/>
              </w:rPr>
              <w:t>GMNA Capacity Utilization(e)</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61.5%</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72.1%</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48.0%</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239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04" w:lineRule="exact"/>
        <w:rPr>
          <w:sz w:val="20"/>
          <w:szCs w:val="20"/>
          <w:color w:val="auto"/>
        </w:rPr>
      </w:pPr>
    </w:p>
    <w:p>
      <w:pPr>
        <w:ind w:left="325" w:hanging="325"/>
        <w:spacing w:after="0"/>
        <w:tabs>
          <w:tab w:leader="none" w:pos="325"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Includes HUMMER, Saab, Saturn and Pontiac vehicle sales data.</w:t>
      </w:r>
    </w:p>
    <w:p>
      <w:pPr>
        <w:spacing w:after="0" w:line="23" w:lineRule="exact"/>
        <w:rPr>
          <w:rFonts w:ascii="Arial" w:cs="Arial" w:eastAsia="Arial" w:hAnsi="Arial"/>
          <w:sz w:val="15"/>
          <w:szCs w:val="15"/>
          <w:color w:val="auto"/>
        </w:rPr>
      </w:pPr>
    </w:p>
    <w:p>
      <w:pPr>
        <w:ind w:left="325" w:right="100" w:hanging="325"/>
        <w:spacing w:after="0" w:line="264" w:lineRule="auto"/>
        <w:tabs>
          <w:tab w:leader="none" w:pos="325"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Includes SGM, SGMW and FAW-GM joint venture sales. Ownership of 50% in SGM, 34% in SGMW and 50% in FAW-GM, under the joint venture agreements, allows for significant rights as a member as well as the contractual right to report SGMW and FAW-GM joint venture vehicle sales in China as part of global market share. These entities are not consolidated for financial reporting purposes. Income and losses related to these entities are recorded in Equity income, net of tax.</w:t>
      </w:r>
    </w:p>
    <w:p>
      <w:pPr>
        <w:ind w:left="325" w:hanging="325"/>
        <w:spacing w:after="0"/>
        <w:tabs>
          <w:tab w:leader="none" w:pos="325" w:val="left"/>
        </w:tabs>
        <w:numPr>
          <w:ilvl w:val="0"/>
          <w:numId w:val="4"/>
        </w:numPr>
        <w:rPr>
          <w:rFonts w:ascii="Arial" w:cs="Arial" w:eastAsia="Arial" w:hAnsi="Arial"/>
          <w:sz w:val="15"/>
          <w:szCs w:val="15"/>
          <w:color w:val="auto"/>
        </w:rPr>
      </w:pPr>
      <w:r>
        <w:rPr>
          <w:rFonts w:ascii="Arial" w:cs="Arial" w:eastAsia="Arial" w:hAnsi="Arial"/>
          <w:sz w:val="15"/>
          <w:szCs w:val="15"/>
          <w:color w:val="auto"/>
        </w:rPr>
        <w:t>Vehicle sales represent sales to the ultimate customer.</w:t>
      </w:r>
    </w:p>
    <w:p>
      <w:pPr>
        <w:spacing w:after="0" w:line="17" w:lineRule="exact"/>
        <w:rPr>
          <w:rFonts w:ascii="Arial" w:cs="Arial" w:eastAsia="Arial" w:hAnsi="Arial"/>
          <w:sz w:val="15"/>
          <w:szCs w:val="15"/>
          <w:color w:val="auto"/>
        </w:rPr>
      </w:pPr>
    </w:p>
    <w:p>
      <w:pPr>
        <w:ind w:left="325" w:hanging="325"/>
        <w:spacing w:after="0"/>
        <w:tabs>
          <w:tab w:leader="none" w:pos="325" w:val="left"/>
        </w:tabs>
        <w:numPr>
          <w:ilvl w:val="0"/>
          <w:numId w:val="4"/>
        </w:numPr>
        <w:rPr>
          <w:rFonts w:ascii="Arial" w:cs="Arial" w:eastAsia="Arial" w:hAnsi="Arial"/>
          <w:sz w:val="15"/>
          <w:szCs w:val="15"/>
          <w:color w:val="auto"/>
        </w:rPr>
      </w:pPr>
      <w:r>
        <w:rPr>
          <w:rFonts w:ascii="Arial" w:cs="Arial" w:eastAsia="Arial" w:hAnsi="Arial"/>
          <w:sz w:val="15"/>
          <w:szCs w:val="15"/>
          <w:color w:val="auto"/>
        </w:rPr>
        <w:t>Vehicle sales primarily represent estimated sales to the ultimate customer.</w:t>
      </w:r>
    </w:p>
    <w:p>
      <w:pPr>
        <w:spacing w:after="0" w:line="17" w:lineRule="exact"/>
        <w:rPr>
          <w:rFonts w:ascii="Arial" w:cs="Arial" w:eastAsia="Arial" w:hAnsi="Arial"/>
          <w:sz w:val="15"/>
          <w:szCs w:val="15"/>
          <w:color w:val="auto"/>
        </w:rPr>
      </w:pPr>
    </w:p>
    <w:p>
      <w:pPr>
        <w:ind w:left="325" w:hanging="325"/>
        <w:spacing w:after="0"/>
        <w:tabs>
          <w:tab w:leader="none" w:pos="325" w:val="left"/>
        </w:tabs>
        <w:numPr>
          <w:ilvl w:val="0"/>
          <w:numId w:val="4"/>
        </w:numPr>
        <w:rPr>
          <w:rFonts w:ascii="Arial" w:cs="Arial" w:eastAsia="Arial" w:hAnsi="Arial"/>
          <w:sz w:val="15"/>
          <w:szCs w:val="15"/>
          <w:color w:val="auto"/>
        </w:rPr>
      </w:pPr>
      <w:r>
        <w:rPr>
          <w:rFonts w:ascii="Arial" w:cs="Arial" w:eastAsia="Arial" w:hAnsi="Arial"/>
          <w:sz w:val="15"/>
          <w:szCs w:val="15"/>
          <w:color w:val="auto"/>
        </w:rPr>
        <w:t>Two shift rated, annualized.</w:t>
      </w:r>
    </w:p>
    <w:p>
      <w:pPr>
        <w:spacing w:after="0" w:line="190"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2"/>
                <w:szCs w:val="12"/>
                <w:b w:val="1"/>
                <w:bCs w:val="1"/>
                <w:color w:val="auto"/>
                <w:w w:val="78"/>
              </w:rPr>
              <w:t>Successor</w:t>
            </w:r>
          </w:p>
        </w:tc>
        <w:tc>
          <w:tcPr>
            <w:tcW w:w="260" w:type="dxa"/>
            <w:vAlign w:val="bottom"/>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3"/>
              </w:rPr>
              <w:t>Predecessor</w:t>
            </w:r>
          </w:p>
        </w:tc>
        <w:tc>
          <w:tcPr>
            <w:tcW w:w="0" w:type="dxa"/>
            <w:vAlign w:val="bottom"/>
          </w:tcPr>
          <w:p>
            <w:pPr>
              <w:spacing w:after="0"/>
              <w:rPr>
                <w:sz w:val="1"/>
                <w:szCs w:val="1"/>
                <w:color w:val="auto"/>
              </w:rPr>
            </w:pPr>
          </w:p>
        </w:tc>
      </w:tr>
      <w:tr>
        <w:trPr>
          <w:trHeight w:val="112"/>
        </w:trPr>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760" w:type="dxa"/>
            <w:vAlign w:val="bottom"/>
          </w:tcPr>
          <w:p>
            <w:pPr>
              <w:spacing w:after="0"/>
              <w:rPr>
                <w:sz w:val="9"/>
                <w:szCs w:val="9"/>
                <w:color w:val="auto"/>
              </w:rPr>
            </w:pPr>
          </w:p>
        </w:tc>
        <w:tc>
          <w:tcPr>
            <w:tcW w:w="70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2"/>
                <w:szCs w:val="12"/>
                <w:b w:val="1"/>
                <w:bCs w:val="1"/>
                <w:color w:val="auto"/>
                <w:w w:val="87"/>
              </w:rPr>
              <w:t>December 31,</w:t>
            </w:r>
          </w:p>
        </w:tc>
        <w:tc>
          <w:tcPr>
            <w:tcW w:w="40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2"/>
                <w:szCs w:val="12"/>
                <w:b w:val="1"/>
                <w:bCs w:val="1"/>
                <w:color w:val="auto"/>
                <w:w w:val="87"/>
              </w:rPr>
              <w:t>December 31,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2009</w:t>
            </w:r>
          </w:p>
        </w:tc>
        <w:tc>
          <w:tcPr>
            <w:tcW w:w="4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Worldwide Employment (thousands)</w:t>
            </w:r>
          </w:p>
        </w:tc>
        <w:tc>
          <w:tcPr>
            <w:tcW w:w="700" w:type="dxa"/>
            <w:vAlign w:val="bottom"/>
            <w:shd w:val="clear" w:color="auto" w:fill="CCEEFF"/>
          </w:tcPr>
          <w:p>
            <w:pPr>
              <w:spacing w:after="0"/>
              <w:rPr>
                <w:sz w:val="15"/>
                <w:szCs w:val="15"/>
                <w:color w:val="auto"/>
              </w:rPr>
            </w:pPr>
          </w:p>
        </w:tc>
        <w:tc>
          <w:tcPr>
            <w:tcW w:w="400" w:type="dxa"/>
            <w:vAlign w:val="bottom"/>
            <w:tcBorders>
              <w:right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8440" w:type="dxa"/>
            <w:vAlign w:val="bottom"/>
            <w:gridSpan w:val="2"/>
          </w:tcPr>
          <w:p>
            <w:pPr>
              <w:ind w:left="180"/>
              <w:spacing w:after="0"/>
              <w:rPr>
                <w:sz w:val="20"/>
                <w:szCs w:val="20"/>
                <w:color w:val="auto"/>
              </w:rPr>
            </w:pPr>
            <w:r>
              <w:rPr>
                <w:rFonts w:ascii="Arial" w:cs="Arial" w:eastAsia="Arial" w:hAnsi="Arial"/>
                <w:sz w:val="15"/>
                <w:szCs w:val="15"/>
                <w:color w:val="auto"/>
              </w:rPr>
              <w:t>GMNA(a)</w:t>
            </w:r>
          </w:p>
        </w:tc>
        <w:tc>
          <w:tcPr>
            <w:tcW w:w="110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5"/>
                <w:szCs w:val="15"/>
                <w:color w:val="auto"/>
              </w:rPr>
              <w:t>102</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84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GMIO</w:t>
            </w:r>
          </w:p>
        </w:tc>
        <w:tc>
          <w:tcPr>
            <w:tcW w:w="110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61</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8440" w:type="dxa"/>
            <w:vAlign w:val="bottom"/>
            <w:gridSpan w:val="2"/>
          </w:tcPr>
          <w:p>
            <w:pPr>
              <w:ind w:left="180"/>
              <w:spacing w:after="0"/>
              <w:rPr>
                <w:sz w:val="20"/>
                <w:szCs w:val="20"/>
                <w:color w:val="auto"/>
              </w:rPr>
            </w:pPr>
            <w:r>
              <w:rPr>
                <w:rFonts w:ascii="Arial" w:cs="Arial" w:eastAsia="Arial" w:hAnsi="Arial"/>
                <w:sz w:val="15"/>
                <w:szCs w:val="15"/>
                <w:color w:val="auto"/>
              </w:rPr>
              <w:t>GME</w:t>
            </w:r>
          </w:p>
        </w:tc>
        <w:tc>
          <w:tcPr>
            <w:tcW w:w="110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5"/>
                <w:szCs w:val="15"/>
                <w:color w:val="auto"/>
              </w:rPr>
              <w:t>53</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84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Corporate</w:t>
            </w:r>
          </w:p>
        </w:tc>
        <w:tc>
          <w:tcPr>
            <w:tcW w:w="110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1</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8440" w:type="dxa"/>
            <w:vAlign w:val="bottom"/>
            <w:gridSpan w:val="2"/>
          </w:tcPr>
          <w:p>
            <w:pPr>
              <w:ind w:left="180"/>
              <w:spacing w:after="0"/>
              <w:rPr>
                <w:sz w:val="20"/>
                <w:szCs w:val="20"/>
                <w:color w:val="auto"/>
              </w:rPr>
            </w:pPr>
            <w:r>
              <w:rPr>
                <w:rFonts w:ascii="Arial" w:cs="Arial" w:eastAsia="Arial" w:hAnsi="Arial"/>
                <w:sz w:val="15"/>
                <w:szCs w:val="15"/>
                <w:b w:val="1"/>
                <w:bCs w:val="1"/>
                <w:color w:val="auto"/>
              </w:rPr>
              <w:t>Total Worldwide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217</w:t>
            </w:r>
          </w:p>
        </w:tc>
        <w:tc>
          <w:tcPr>
            <w:tcW w:w="4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84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United States — Salaried(a)(b)(d)</w:t>
            </w:r>
          </w:p>
        </w:tc>
        <w:tc>
          <w:tcPr>
            <w:tcW w:w="110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26</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8440" w:type="dxa"/>
            <w:vAlign w:val="bottom"/>
            <w:gridSpan w:val="2"/>
          </w:tcPr>
          <w:p>
            <w:pPr>
              <w:ind w:left="180"/>
              <w:spacing w:after="0"/>
              <w:rPr>
                <w:sz w:val="20"/>
                <w:szCs w:val="20"/>
                <w:color w:val="auto"/>
              </w:rPr>
            </w:pPr>
            <w:r>
              <w:rPr>
                <w:rFonts w:ascii="Arial" w:cs="Arial" w:eastAsia="Arial" w:hAnsi="Arial"/>
                <w:sz w:val="15"/>
                <w:szCs w:val="15"/>
                <w:color w:val="auto"/>
              </w:rPr>
              <w:t>United States — Hourly(a)(c)</w:t>
            </w:r>
          </w:p>
        </w:tc>
        <w:tc>
          <w:tcPr>
            <w:tcW w:w="110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5"/>
                <w:szCs w:val="15"/>
                <w:color w:val="auto"/>
              </w:rPr>
              <w:t>51</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7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325" w:right="280" w:hanging="325"/>
        <w:spacing w:after="0" w:line="268" w:lineRule="auto"/>
        <w:tabs>
          <w:tab w:leader="none" w:pos="325"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additional 11,000 employees due to the acquisition of Nexteer, of which 2,000 are U.S. salaried employees, 5,000 are U.S. hourly employees and 4,000 are employees located outside the U.S.</w:t>
      </w:r>
    </w:p>
    <w:p>
      <w:pPr>
        <w:ind w:left="325" w:right="400" w:hanging="325"/>
        <w:spacing w:after="0" w:line="264" w:lineRule="auto"/>
        <w:tabs>
          <w:tab w:leader="none" w:pos="325" w:val="left"/>
        </w:tabs>
        <w:numPr>
          <w:ilvl w:val="0"/>
          <w:numId w:val="5"/>
        </w:numPr>
        <w:rPr>
          <w:rFonts w:ascii="Arial" w:cs="Arial" w:eastAsia="Arial" w:hAnsi="Arial"/>
          <w:sz w:val="15"/>
          <w:szCs w:val="15"/>
          <w:color w:val="auto"/>
        </w:rPr>
      </w:pPr>
      <w:r>
        <w:rPr>
          <w:rFonts w:ascii="Arial" w:cs="Arial" w:eastAsia="Arial" w:hAnsi="Arial"/>
          <w:sz w:val="15"/>
          <w:szCs w:val="15"/>
          <w:color w:val="auto"/>
        </w:rPr>
        <w:t>5,000 U.S. salaried employees irrevocably accepted the 2009 Salaried Window Program (a voluntary program, subject to management approval, to reduce salaried headcount based on individual eligibility and employees elections made) option or the GM severance program option.</w:t>
      </w:r>
    </w:p>
    <w:p>
      <w:pPr>
        <w:ind w:left="325" w:right="40" w:hanging="325"/>
        <w:spacing w:after="0" w:line="264" w:lineRule="auto"/>
        <w:tabs>
          <w:tab w:leader="none" w:pos="325" w:val="left"/>
        </w:tabs>
        <w:numPr>
          <w:ilvl w:val="0"/>
          <w:numId w:val="5"/>
        </w:numPr>
        <w:rPr>
          <w:rFonts w:ascii="Arial" w:cs="Arial" w:eastAsia="Arial" w:hAnsi="Arial"/>
          <w:sz w:val="15"/>
          <w:szCs w:val="15"/>
          <w:color w:val="auto"/>
        </w:rPr>
      </w:pPr>
      <w:r>
        <w:rPr>
          <w:rFonts w:ascii="Arial" w:cs="Arial" w:eastAsia="Arial" w:hAnsi="Arial"/>
          <w:sz w:val="15"/>
          <w:szCs w:val="15"/>
          <w:color w:val="auto"/>
        </w:rPr>
        <w:t>13,000 U.S. hourly employees elected to participate in Old GM’s 2009 Special Attrition Programs, which were introduced in February and June of 2009 and offered cash and other incentives for individuals who elected to retire or voluntarily terminate employment.</w:t>
      </w:r>
    </w:p>
    <w:p>
      <w:pPr>
        <w:ind w:left="325" w:hanging="325"/>
        <w:spacing w:after="0"/>
        <w:tabs>
          <w:tab w:leader="none" w:pos="325"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employees in GMNA and Corporate.</w:t>
      </w:r>
    </w:p>
    <w:p>
      <w:pPr>
        <w:spacing w:after="0" w:line="190"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37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2"/>
                <w:szCs w:val="12"/>
                <w:b w:val="1"/>
                <w:bCs w:val="1"/>
                <w:color w:val="auto"/>
                <w:w w:val="82"/>
              </w:rPr>
              <w:t>Successor</w:t>
            </w:r>
          </w:p>
        </w:tc>
        <w:tc>
          <w:tcPr>
            <w:tcW w:w="60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5"/>
              </w:rPr>
              <w:t>Predecessor</w:t>
            </w: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12"/>
        </w:trPr>
        <w:tc>
          <w:tcPr>
            <w:tcW w:w="37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center"/>
              <w:ind w:right="56"/>
              <w:spacing w:after="0" w:line="112" w:lineRule="exact"/>
              <w:rPr>
                <w:sz w:val="20"/>
                <w:szCs w:val="20"/>
                <w:color w:val="auto"/>
              </w:rPr>
            </w:pPr>
            <w:r>
              <w:rPr>
                <w:rFonts w:ascii="Arial" w:cs="Arial" w:eastAsia="Arial" w:hAnsi="Arial"/>
                <w:sz w:val="12"/>
                <w:szCs w:val="12"/>
                <w:b w:val="1"/>
                <w:bCs w:val="1"/>
                <w:color w:val="auto"/>
                <w:w w:val="89"/>
              </w:rPr>
              <w:t>July 10, 2009</w:t>
            </w:r>
          </w:p>
        </w:tc>
        <w:tc>
          <w:tcPr>
            <w:tcW w:w="6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gridSpan w:val="2"/>
          </w:tcPr>
          <w:p>
            <w:pPr>
              <w:jc w:val="center"/>
              <w:spacing w:after="0" w:line="112" w:lineRule="exact"/>
              <w:rPr>
                <w:sz w:val="20"/>
                <w:szCs w:val="20"/>
                <w:color w:val="auto"/>
              </w:rPr>
            </w:pPr>
            <w:r>
              <w:rPr>
                <w:rFonts w:ascii="Arial" w:cs="Arial" w:eastAsia="Arial" w:hAnsi="Arial"/>
                <w:sz w:val="12"/>
                <w:szCs w:val="12"/>
                <w:b w:val="1"/>
                <w:bCs w:val="1"/>
                <w:color w:val="auto"/>
                <w:w w:val="89"/>
              </w:rPr>
              <w:t>January 1, 2009</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center"/>
              <w:ind w:right="35"/>
              <w:spacing w:after="0" w:line="112" w:lineRule="exact"/>
              <w:rPr>
                <w:sz w:val="20"/>
                <w:szCs w:val="20"/>
                <w:color w:val="auto"/>
              </w:rPr>
            </w:pPr>
            <w:r>
              <w:rPr>
                <w:rFonts w:ascii="Arial" w:cs="Arial" w:eastAsia="Arial" w:hAnsi="Arial"/>
                <w:sz w:val="12"/>
                <w:szCs w:val="12"/>
                <w:b w:val="1"/>
                <w:bCs w:val="1"/>
                <w:color w:val="auto"/>
                <w:w w:val="90"/>
              </w:rPr>
              <w:t>Twelve Months</w:t>
            </w:r>
          </w:p>
        </w:tc>
        <w:tc>
          <w:tcPr>
            <w:tcW w:w="20" w:type="dxa"/>
            <w:vAlign w:val="bottom"/>
          </w:tcPr>
          <w:p>
            <w:pPr>
              <w:spacing w:after="0"/>
              <w:rPr>
                <w:sz w:val="9"/>
                <w:szCs w:val="9"/>
                <w:color w:val="auto"/>
              </w:rPr>
            </w:pPr>
          </w:p>
        </w:tc>
      </w:tr>
      <w:tr>
        <w:trPr>
          <w:trHeight w:val="131"/>
        </w:trPr>
        <w:tc>
          <w:tcPr>
            <w:tcW w:w="37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56"/>
              <w:spacing w:after="0" w:line="131" w:lineRule="exact"/>
              <w:rPr>
                <w:sz w:val="20"/>
                <w:szCs w:val="20"/>
                <w:color w:val="auto"/>
              </w:rPr>
            </w:pPr>
            <w:r>
              <w:rPr>
                <w:rFonts w:ascii="Arial" w:cs="Arial" w:eastAsia="Arial" w:hAnsi="Arial"/>
                <w:sz w:val="12"/>
                <w:szCs w:val="12"/>
                <w:b w:val="1"/>
                <w:bCs w:val="1"/>
                <w:color w:val="auto"/>
                <w:w w:val="94"/>
              </w:rPr>
              <w:t>Through</w:t>
            </w:r>
          </w:p>
        </w:tc>
        <w:tc>
          <w:tcPr>
            <w:tcW w:w="60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55"/>
              <w:spacing w:after="0" w:line="131" w:lineRule="exact"/>
              <w:rPr>
                <w:sz w:val="20"/>
                <w:szCs w:val="20"/>
                <w:color w:val="auto"/>
              </w:rPr>
            </w:pPr>
            <w:r>
              <w:rPr>
                <w:rFonts w:ascii="Arial" w:cs="Arial" w:eastAsia="Arial" w:hAnsi="Arial"/>
                <w:sz w:val="12"/>
                <w:szCs w:val="12"/>
                <w:b w:val="1"/>
                <w:bCs w:val="1"/>
                <w:color w:val="auto"/>
                <w:w w:val="94"/>
              </w:rPr>
              <w:t>Through</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20"/>
              <w:spacing w:after="0" w:line="131" w:lineRule="exact"/>
              <w:rPr>
                <w:sz w:val="20"/>
                <w:szCs w:val="20"/>
                <w:color w:val="auto"/>
              </w:rPr>
            </w:pPr>
            <w:r>
              <w:rPr>
                <w:rFonts w:ascii="Arial" w:cs="Arial" w:eastAsia="Arial" w:hAnsi="Arial"/>
                <w:sz w:val="12"/>
                <w:szCs w:val="12"/>
                <w:b w:val="1"/>
                <w:bCs w:val="1"/>
                <w:color w:val="auto"/>
                <w:w w:val="92"/>
              </w:rPr>
              <w:t>Ended</w:t>
            </w:r>
          </w:p>
        </w:tc>
      </w:tr>
      <w:tr>
        <w:trPr>
          <w:trHeight w:val="142"/>
        </w:trPr>
        <w:tc>
          <w:tcPr>
            <w:tcW w:w="37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8"/>
              </w:rPr>
              <w:t>December 31, 2009</w:t>
            </w:r>
          </w:p>
        </w:tc>
        <w:tc>
          <w:tcPr>
            <w:tcW w:w="60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2"/>
                <w:szCs w:val="12"/>
                <w:b w:val="1"/>
                <w:bCs w:val="1"/>
                <w:color w:val="auto"/>
                <w:w w:val="88"/>
              </w:rPr>
              <w:t>July 9, 2009</w:t>
            </w:r>
          </w:p>
        </w:tc>
        <w:tc>
          <w:tcPr>
            <w:tcW w:w="560" w:type="dxa"/>
            <w:vAlign w:val="bottom"/>
          </w:tcPr>
          <w:p>
            <w:pPr>
              <w:spacing w:after="0"/>
              <w:rPr>
                <w:sz w:val="12"/>
                <w:szCs w:val="12"/>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8"/>
              </w:rPr>
              <w:t>December 31, 2008</w:t>
            </w:r>
          </w:p>
        </w:tc>
        <w:tc>
          <w:tcPr>
            <w:tcW w:w="20" w:type="dxa"/>
            <w:vAlign w:val="bottom"/>
          </w:tcPr>
          <w:p>
            <w:pPr>
              <w:spacing w:after="0"/>
              <w:rPr>
                <w:sz w:val="12"/>
                <w:szCs w:val="12"/>
                <w:color w:val="auto"/>
              </w:rPr>
            </w:pPr>
          </w:p>
        </w:tc>
      </w:tr>
      <w:tr>
        <w:trPr>
          <w:trHeight w:val="182"/>
        </w:trPr>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Worldwide Payroll (billions)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600" w:type="dxa"/>
            <w:vAlign w:val="bottom"/>
            <w:tcBorders>
              <w:right w:val="single" w:sz="8" w:color="auto"/>
            </w:tcBorders>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20" w:type="dxa"/>
            <w:vAlign w:val="bottom"/>
          </w:tcPr>
          <w:p>
            <w:pPr>
              <w:spacing w:after="0"/>
              <w:rPr>
                <w:sz w:val="15"/>
                <w:szCs w:val="15"/>
                <w:color w:val="auto"/>
              </w:rPr>
            </w:pPr>
          </w:p>
        </w:tc>
      </w:tr>
      <w:tr>
        <w:trPr>
          <w:trHeight w:val="319"/>
        </w:trPr>
        <w:tc>
          <w:tcPr>
            <w:tcW w:w="3720" w:type="dxa"/>
            <w:vAlign w:val="bottom"/>
          </w:tcPr>
          <w:p>
            <w:pPr>
              <w:spacing w:after="0"/>
              <w:rPr>
                <w:sz w:val="24"/>
                <w:szCs w:val="24"/>
                <w:color w:val="auto"/>
              </w:rPr>
            </w:pPr>
          </w:p>
        </w:tc>
        <w:tc>
          <w:tcPr>
            <w:tcW w:w="3280" w:type="dxa"/>
            <w:vAlign w:val="bottom"/>
          </w:tcPr>
          <w:p>
            <w:pPr>
              <w:jc w:val="right"/>
              <w:ind w:right="1163"/>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45"/>
          </w:cols>
          <w:pgMar w:left="235" w:top="257" w:right="2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3770" cy="35560"/>
                    </a:xfrm>
                    <a:prstGeom prst="rect">
                      <a:avLst/>
                    </a:prstGeom>
                    <a:noFill/>
                  </pic:spPr>
                </pic:pic>
              </a:graphicData>
            </a:graphic>
          </wp:anchor>
        </w:drawing>
        <w:t>General Motors Company and Subsidiaries</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(Dollars in millions)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2"/>
                <w:szCs w:val="12"/>
                <w:b w:val="1"/>
                <w:bCs w:val="1"/>
                <w:color w:val="auto"/>
                <w:w w:val="82"/>
              </w:rPr>
              <w:t>Successor</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w w:val="85"/>
              </w:rPr>
              <w:t>Predecessor</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ind w:right="45"/>
              <w:spacing w:after="0" w:line="112" w:lineRule="exact"/>
              <w:rPr>
                <w:sz w:val="20"/>
                <w:szCs w:val="20"/>
                <w:color w:val="auto"/>
              </w:rPr>
            </w:pPr>
            <w:r>
              <w:rPr>
                <w:rFonts w:ascii="Arial" w:cs="Arial" w:eastAsia="Arial" w:hAnsi="Arial"/>
                <w:sz w:val="12"/>
                <w:szCs w:val="12"/>
                <w:b w:val="1"/>
                <w:bCs w:val="1"/>
                <w:color w:val="auto"/>
                <w:w w:val="89"/>
              </w:rPr>
              <w:t>July 10, 2009</w:t>
            </w:r>
          </w:p>
        </w:tc>
        <w:tc>
          <w:tcPr>
            <w:tcW w:w="56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Borders>
              <w:top w:val="single" w:sz="8" w:color="auto"/>
            </w:tcBorders>
            <w:gridSpan w:val="3"/>
          </w:tcPr>
          <w:p>
            <w:pPr>
              <w:spacing w:after="0" w:line="112" w:lineRule="exact"/>
              <w:rPr>
                <w:sz w:val="20"/>
                <w:szCs w:val="20"/>
                <w:color w:val="auto"/>
              </w:rPr>
            </w:pPr>
            <w:r>
              <w:rPr>
                <w:rFonts w:ascii="Arial" w:cs="Arial" w:eastAsia="Arial" w:hAnsi="Arial"/>
                <w:sz w:val="12"/>
                <w:szCs w:val="12"/>
                <w:b w:val="1"/>
                <w:bCs w:val="1"/>
                <w:color w:val="auto"/>
              </w:rPr>
              <w:t>January 1, 2009</w:t>
            </w: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Borders>
              <w:right w:val="single" w:sz="8" w:color="auto"/>
            </w:tcBorders>
            <w:gridSpan w:val="2"/>
          </w:tcPr>
          <w:p>
            <w:pPr>
              <w:jc w:val="center"/>
              <w:ind w:right="680"/>
              <w:spacing w:after="0" w:line="131" w:lineRule="exact"/>
              <w:rPr>
                <w:sz w:val="20"/>
                <w:szCs w:val="20"/>
                <w:color w:val="auto"/>
              </w:rPr>
            </w:pPr>
            <w:r>
              <w:rPr>
                <w:rFonts w:ascii="Arial" w:cs="Arial" w:eastAsia="Arial" w:hAnsi="Arial"/>
                <w:sz w:val="12"/>
                <w:szCs w:val="12"/>
                <w:b w:val="1"/>
                <w:bCs w:val="1"/>
                <w:color w:val="auto"/>
                <w:w w:val="94"/>
              </w:rPr>
              <w:t>Through</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401"/>
              <w:spacing w:after="0" w:line="131" w:lineRule="exact"/>
              <w:rPr>
                <w:sz w:val="20"/>
                <w:szCs w:val="20"/>
                <w:color w:val="auto"/>
              </w:rPr>
            </w:pPr>
            <w:r>
              <w:rPr>
                <w:rFonts w:ascii="Arial" w:cs="Arial" w:eastAsia="Arial" w:hAnsi="Arial"/>
                <w:sz w:val="12"/>
                <w:szCs w:val="12"/>
                <w:b w:val="1"/>
                <w:bCs w:val="1"/>
                <w:color w:val="auto"/>
              </w:rPr>
              <w:t>Through</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280"/>
              <w:spacing w:after="0" w:line="131" w:lineRule="exact"/>
              <w:rPr>
                <w:sz w:val="20"/>
                <w:szCs w:val="20"/>
                <w:color w:val="auto"/>
              </w:rPr>
            </w:pPr>
            <w:r>
              <w:rPr>
                <w:rFonts w:ascii="Arial" w:cs="Arial" w:eastAsia="Arial" w:hAnsi="Arial"/>
                <w:sz w:val="12"/>
                <w:szCs w:val="12"/>
                <w:b w:val="1"/>
                <w:bCs w:val="1"/>
                <w:color w:val="auto"/>
                <w:w w:val="90"/>
              </w:rPr>
              <w:t>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540" w:type="dxa"/>
            <w:vAlign w:val="bottom"/>
            <w:tcBorders>
              <w:right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December 31, 2009</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01"/>
              <w:spacing w:after="0"/>
              <w:rPr>
                <w:sz w:val="20"/>
                <w:szCs w:val="20"/>
                <w:color w:val="auto"/>
              </w:rPr>
            </w:pPr>
            <w:r>
              <w:rPr>
                <w:rFonts w:ascii="Arial" w:cs="Arial" w:eastAsia="Arial" w:hAnsi="Arial"/>
                <w:sz w:val="12"/>
                <w:szCs w:val="12"/>
                <w:b w:val="1"/>
                <w:bCs w:val="1"/>
                <w:color w:val="auto"/>
                <w:w w:val="88"/>
              </w:rPr>
              <w:t>July 9, 2009</w:t>
            </w:r>
          </w:p>
        </w:tc>
        <w:tc>
          <w:tcPr>
            <w:tcW w:w="22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w w:val="96"/>
              </w:rPr>
              <w:t>December 31, 2008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sales and revenue</w:t>
            </w:r>
          </w:p>
        </w:tc>
        <w:tc>
          <w:tcPr>
            <w:tcW w:w="23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560" w:type="dxa"/>
            <w:vAlign w:val="bottom"/>
            <w:tcBorders>
              <w:right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tcPr>
          <w:p>
            <w:pPr>
              <w:ind w:left="160"/>
              <w:spacing w:after="0"/>
              <w:rPr>
                <w:sz w:val="20"/>
                <w:szCs w:val="20"/>
                <w:color w:val="auto"/>
              </w:rPr>
            </w:pPr>
            <w:r>
              <w:rPr>
                <w:rFonts w:ascii="Arial" w:cs="Arial" w:eastAsia="Arial" w:hAnsi="Arial"/>
                <w:sz w:val="15"/>
                <w:szCs w:val="15"/>
                <w:color w:val="auto"/>
              </w:rPr>
              <w:t>Sales</w:t>
            </w:r>
          </w:p>
        </w:tc>
        <w:tc>
          <w:tcPr>
            <w:tcW w:w="2480" w:type="dxa"/>
            <w:vAlign w:val="bottom"/>
            <w:gridSpan w:val="2"/>
          </w:tcPr>
          <w:p>
            <w:pPr>
              <w:ind w:left="236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57,329</w:t>
            </w:r>
          </w:p>
        </w:tc>
        <w:tc>
          <w:tcPr>
            <w:tcW w:w="560" w:type="dxa"/>
            <w:vAlign w:val="bottom"/>
            <w:tcBorders>
              <w:right w:val="single" w:sz="8" w:color="auto"/>
            </w:tcBorders>
          </w:tcPr>
          <w:p>
            <w:pPr>
              <w:spacing w:after="0"/>
              <w:rPr>
                <w:sz w:val="16"/>
                <w:szCs w:val="16"/>
                <w:color w:val="auto"/>
              </w:rPr>
            </w:pPr>
          </w:p>
        </w:tc>
        <w:tc>
          <w:tcPr>
            <w:tcW w:w="480" w:type="dxa"/>
            <w:vAlign w:val="bottom"/>
            <w:gridSpan w:val="2"/>
          </w:tcPr>
          <w:p>
            <w:pPr>
              <w:ind w:left="380"/>
              <w:spacing w:after="0"/>
              <w:rPr>
                <w:sz w:val="20"/>
                <w:szCs w:val="20"/>
                <w:color w:val="auto"/>
              </w:rPr>
            </w:pPr>
            <w:r>
              <w:rPr>
                <w:rFonts w:ascii="Arial" w:cs="Arial" w:eastAsia="Arial" w:hAnsi="Arial"/>
                <w:sz w:val="15"/>
                <w:szCs w:val="15"/>
                <w:color w:val="auto"/>
                <w:w w:val="95"/>
              </w:rPr>
              <w:t>$</w:t>
            </w:r>
          </w:p>
        </w:tc>
        <w:tc>
          <w:tcPr>
            <w:tcW w:w="980" w:type="dxa"/>
            <w:vAlign w:val="bottom"/>
            <w:gridSpan w:val="2"/>
          </w:tcPr>
          <w:p>
            <w:pPr>
              <w:jc w:val="right"/>
              <w:ind w:right="201"/>
              <w:spacing w:after="0"/>
              <w:rPr>
                <w:sz w:val="20"/>
                <w:szCs w:val="20"/>
                <w:color w:val="auto"/>
              </w:rPr>
            </w:pPr>
            <w:r>
              <w:rPr>
                <w:rFonts w:ascii="Arial" w:cs="Arial" w:eastAsia="Arial" w:hAnsi="Arial"/>
                <w:sz w:val="15"/>
                <w:szCs w:val="15"/>
                <w:color w:val="auto"/>
              </w:rPr>
              <w:t>46,787</w:t>
            </w:r>
          </w:p>
        </w:tc>
        <w:tc>
          <w:tcPr>
            <w:tcW w:w="38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147,732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revenue</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w:t>
            </w:r>
          </w:p>
        </w:tc>
        <w:tc>
          <w:tcPr>
            <w:tcW w:w="56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5"/>
                <w:szCs w:val="15"/>
                <w:color w:val="auto"/>
              </w:rPr>
              <w:t>328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160"/>
              <w:spacing w:after="0"/>
              <w:rPr>
                <w:sz w:val="20"/>
                <w:szCs w:val="20"/>
                <w:color w:val="auto"/>
              </w:rPr>
            </w:pPr>
            <w:r>
              <w:rPr>
                <w:rFonts w:ascii="Arial" w:cs="Arial" w:eastAsia="Arial" w:hAnsi="Arial"/>
                <w:sz w:val="15"/>
                <w:szCs w:val="15"/>
                <w:color w:val="auto"/>
              </w:rPr>
              <w:t>Total net sales and revenue</w:t>
            </w:r>
          </w:p>
        </w:tc>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780" w:type="dxa"/>
            <w:vAlign w:val="bottom"/>
            <w:vMerge w:val="continue"/>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57,474</w:t>
            </w:r>
          </w:p>
        </w:tc>
        <w:tc>
          <w:tcPr>
            <w:tcW w:w="56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5"/>
                <w:szCs w:val="15"/>
                <w:color w:val="auto"/>
              </w:rPr>
              <w:t>47,115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148,979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Costs and expenses</w:t>
            </w:r>
          </w:p>
        </w:tc>
        <w:tc>
          <w:tcPr>
            <w:tcW w:w="23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56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tcPr>
          <w:p>
            <w:pPr>
              <w:ind w:left="160"/>
              <w:spacing w:after="0"/>
              <w:rPr>
                <w:sz w:val="20"/>
                <w:szCs w:val="20"/>
                <w:color w:val="auto"/>
              </w:rPr>
            </w:pPr>
            <w:r>
              <w:rPr>
                <w:rFonts w:ascii="Arial" w:cs="Arial" w:eastAsia="Arial" w:hAnsi="Arial"/>
                <w:sz w:val="15"/>
                <w:szCs w:val="15"/>
                <w:color w:val="auto"/>
              </w:rPr>
              <w:t>Cost of sales</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56,381</w:t>
            </w:r>
          </w:p>
        </w:tc>
        <w:tc>
          <w:tcPr>
            <w:tcW w:w="56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5"/>
                <w:szCs w:val="15"/>
                <w:color w:val="auto"/>
              </w:rPr>
              <w:t>55,814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149,257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Selling, general and administrative expense</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6,006</w:t>
            </w:r>
          </w:p>
        </w:tc>
        <w:tc>
          <w:tcPr>
            <w:tcW w:w="56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5"/>
                <w:szCs w:val="15"/>
                <w:color w:val="auto"/>
              </w:rPr>
              <w:t>6,161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14,253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tcPr>
          <w:p>
            <w:pPr>
              <w:ind w:left="160"/>
              <w:spacing w:after="0"/>
              <w:rPr>
                <w:sz w:val="20"/>
                <w:szCs w:val="20"/>
                <w:color w:val="auto"/>
              </w:rPr>
            </w:pPr>
            <w:r>
              <w:rPr>
                <w:rFonts w:ascii="Arial" w:cs="Arial" w:eastAsia="Arial" w:hAnsi="Arial"/>
                <w:sz w:val="15"/>
                <w:szCs w:val="15"/>
                <w:color w:val="auto"/>
              </w:rPr>
              <w:t>Other expenses, net</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w:t>
            </w:r>
          </w:p>
        </w:tc>
        <w:tc>
          <w:tcPr>
            <w:tcW w:w="56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5"/>
                <w:szCs w:val="15"/>
                <w:color w:val="auto"/>
              </w:rPr>
              <w:t>1,235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6,699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costs and expenses</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62,402</w:t>
            </w:r>
          </w:p>
        </w:tc>
        <w:tc>
          <w:tcPr>
            <w:tcW w:w="56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5"/>
                <w:szCs w:val="15"/>
                <w:color w:val="auto"/>
              </w:rPr>
              <w:t>63,210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170,209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360"/>
              <w:spacing w:after="0"/>
              <w:rPr>
                <w:sz w:val="20"/>
                <w:szCs w:val="20"/>
                <w:color w:val="auto"/>
              </w:rPr>
            </w:pPr>
            <w:r>
              <w:rPr>
                <w:rFonts w:ascii="Arial" w:cs="Arial" w:eastAsia="Arial" w:hAnsi="Arial"/>
                <w:sz w:val="15"/>
                <w:szCs w:val="15"/>
                <w:color w:val="auto"/>
              </w:rPr>
              <w:t>Operating loss</w:t>
            </w:r>
          </w:p>
        </w:tc>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(4,928)</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5"/>
                <w:szCs w:val="15"/>
                <w:color w:val="auto"/>
              </w:rPr>
              <w:t>(16,095)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(21,230)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Equity in income (loss) of and disposition of interest in GMAC</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5"/>
                <w:szCs w:val="15"/>
                <w:color w:val="auto"/>
              </w:rPr>
              <w:t>1,380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(6,183)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tcPr>
          <w:p>
            <w:pPr>
              <w:spacing w:after="0"/>
              <w:rPr>
                <w:sz w:val="20"/>
                <w:szCs w:val="20"/>
                <w:color w:val="auto"/>
              </w:rPr>
            </w:pPr>
            <w:r>
              <w:rPr>
                <w:rFonts w:ascii="Arial" w:cs="Arial" w:eastAsia="Arial" w:hAnsi="Arial"/>
                <w:sz w:val="15"/>
                <w:szCs w:val="15"/>
                <w:color w:val="auto"/>
              </w:rPr>
              <w:t>Interest expense</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(694)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5"/>
                <w:szCs w:val="15"/>
                <w:color w:val="auto"/>
              </w:rPr>
              <w:t>(5,428)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(2,525)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and other non-operating income, net</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w:t>
            </w:r>
          </w:p>
        </w:tc>
        <w:tc>
          <w:tcPr>
            <w:tcW w:w="56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5"/>
                <w:szCs w:val="15"/>
                <w:color w:val="auto"/>
              </w:rPr>
              <w:t>852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tcPr>
          <w:p>
            <w:pPr>
              <w:spacing w:after="0"/>
              <w:rPr>
                <w:sz w:val="20"/>
                <w:szCs w:val="20"/>
                <w:color w:val="auto"/>
              </w:rPr>
            </w:pPr>
            <w:r>
              <w:rPr>
                <w:rFonts w:ascii="Arial" w:cs="Arial" w:eastAsia="Arial" w:hAnsi="Arial"/>
                <w:sz w:val="15"/>
                <w:szCs w:val="15"/>
                <w:color w:val="auto"/>
              </w:rPr>
              <w:t>Gain (loss) on extinguishment of debt</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(101)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5"/>
                <w:szCs w:val="15"/>
                <w:color w:val="auto"/>
              </w:rPr>
              <w:t>(1,088)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Reorganization gains, net</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5"/>
                <w:szCs w:val="15"/>
                <w:color w:val="auto"/>
              </w:rPr>
              <w:t>128,155</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5"/>
                <w:szCs w:val="15"/>
                <w:color w:val="auto"/>
              </w:rPr>
              <w:t>Income (loss) before income taxes and equity income</w:t>
            </w:r>
          </w:p>
        </w:tc>
        <w:tc>
          <w:tcPr>
            <w:tcW w:w="2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gridSpan w:val="2"/>
            <w:vMerge w:val="continue"/>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(5,283)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5"/>
                <w:szCs w:val="15"/>
                <w:color w:val="auto"/>
              </w:rPr>
              <w:t>107,776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(29,471)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 (benefit)</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(1,000)</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5"/>
                <w:szCs w:val="15"/>
                <w:color w:val="auto"/>
              </w:rPr>
              <w:t>(1,166)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1,766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tcPr>
          <w:p>
            <w:pPr>
              <w:spacing w:after="0"/>
              <w:rPr>
                <w:sz w:val="20"/>
                <w:szCs w:val="20"/>
                <w:color w:val="auto"/>
              </w:rPr>
            </w:pPr>
            <w:r>
              <w:rPr>
                <w:rFonts w:ascii="Arial" w:cs="Arial" w:eastAsia="Arial" w:hAnsi="Arial"/>
                <w:sz w:val="15"/>
                <w:szCs w:val="15"/>
                <w:color w:val="auto"/>
              </w:rPr>
              <w:t>Equity income, net of tax</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497</w:t>
            </w:r>
          </w:p>
        </w:tc>
        <w:tc>
          <w:tcPr>
            <w:tcW w:w="56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5"/>
                <w:szCs w:val="15"/>
                <w:color w:val="auto"/>
              </w:rPr>
              <w:t>61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 (loss)</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(3,786)</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5"/>
                <w:szCs w:val="15"/>
                <w:color w:val="auto"/>
              </w:rPr>
              <w:t>109,003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(31,051)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tcPr>
          <w:p>
            <w:pPr>
              <w:spacing w:after="0"/>
              <w:rPr>
                <w:sz w:val="20"/>
                <w:szCs w:val="20"/>
                <w:color w:val="auto"/>
              </w:rPr>
            </w:pPr>
            <w:r>
              <w:rPr>
                <w:rFonts w:ascii="Arial" w:cs="Arial" w:eastAsia="Arial" w:hAnsi="Arial"/>
                <w:sz w:val="15"/>
                <w:szCs w:val="15"/>
                <w:color w:val="auto"/>
              </w:rPr>
              <w:t>Less: Net (income) loss attributable to noncontrolling interests</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(511)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5"/>
                <w:szCs w:val="15"/>
                <w:color w:val="auto"/>
              </w:rPr>
              <w:t>115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 (loss) attributable to stockholders</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(4,297)</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5"/>
                <w:szCs w:val="15"/>
                <w:color w:val="auto"/>
              </w:rPr>
              <w:t>109,118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(30,943)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tcPr>
          <w:p>
            <w:pPr>
              <w:spacing w:after="0"/>
              <w:rPr>
                <w:sz w:val="20"/>
                <w:szCs w:val="20"/>
                <w:color w:val="auto"/>
              </w:rPr>
            </w:pPr>
            <w:r>
              <w:rPr>
                <w:rFonts w:ascii="Arial" w:cs="Arial" w:eastAsia="Arial" w:hAnsi="Arial"/>
                <w:sz w:val="15"/>
                <w:szCs w:val="15"/>
                <w:color w:val="auto"/>
              </w:rPr>
              <w:t>Less: Cumulative dividends on preferred stock</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131</w:t>
            </w:r>
          </w:p>
        </w:tc>
        <w:tc>
          <w:tcPr>
            <w:tcW w:w="56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 (loss) attributable to common stockholders</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4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(4,428)</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95"/>
              </w:rPr>
              <w:t>$</w:t>
            </w: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5"/>
                <w:szCs w:val="15"/>
                <w:color w:val="auto"/>
              </w:rPr>
              <w:t>109,118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(30,943)</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Earnings (loss) per share</w:t>
            </w: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0" w:type="dxa"/>
            <w:vAlign w:val="bottom"/>
            <w:gridSpan w:val="2"/>
            <w:vMerge w:val="continue"/>
          </w:tcPr>
          <w:p>
            <w:pPr>
              <w:spacing w:after="0"/>
              <w:rPr>
                <w:sz w:val="15"/>
                <w:szCs w:val="15"/>
                <w:color w:val="auto"/>
              </w:rPr>
            </w:pP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Basic</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tcPr>
          <w:p>
            <w:pPr>
              <w:ind w:left="160"/>
              <w:spacing w:after="0"/>
              <w:rPr>
                <w:sz w:val="20"/>
                <w:szCs w:val="20"/>
                <w:color w:val="auto"/>
              </w:rPr>
            </w:pPr>
            <w:r>
              <w:rPr>
                <w:rFonts w:ascii="Arial" w:cs="Arial" w:eastAsia="Arial" w:hAnsi="Arial"/>
                <w:sz w:val="15"/>
                <w:szCs w:val="15"/>
                <w:color w:val="auto"/>
              </w:rPr>
              <w:t>Income (loss) attributable to common stockholders</w:t>
            </w:r>
          </w:p>
        </w:tc>
        <w:tc>
          <w:tcPr>
            <w:tcW w:w="2480" w:type="dxa"/>
            <w:vAlign w:val="bottom"/>
            <w:gridSpan w:val="2"/>
          </w:tcPr>
          <w:p>
            <w:pPr>
              <w:ind w:left="2360"/>
              <w:spacing w:after="0"/>
              <w:rPr>
                <w:sz w:val="20"/>
                <w:szCs w:val="20"/>
                <w:color w:val="auto"/>
              </w:rPr>
            </w:pPr>
            <w:r>
              <w:rPr>
                <w:rFonts w:ascii="Arial" w:cs="Arial" w:eastAsia="Arial" w:hAnsi="Arial"/>
                <w:sz w:val="15"/>
                <w:szCs w:val="15"/>
                <w:color w:val="auto"/>
              </w:rPr>
              <w:t>$</w:t>
            </w:r>
          </w:p>
        </w:tc>
        <w:tc>
          <w:tcPr>
            <w:tcW w:w="14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(10.73)</w:t>
            </w:r>
          </w:p>
        </w:tc>
        <w:tc>
          <w:tcPr>
            <w:tcW w:w="480" w:type="dxa"/>
            <w:vAlign w:val="bottom"/>
            <w:gridSpan w:val="2"/>
          </w:tcPr>
          <w:p>
            <w:pPr>
              <w:ind w:left="380"/>
              <w:spacing w:after="0"/>
              <w:rPr>
                <w:sz w:val="20"/>
                <w:szCs w:val="20"/>
                <w:color w:val="auto"/>
              </w:rPr>
            </w:pPr>
            <w:r>
              <w:rPr>
                <w:rFonts w:ascii="Arial" w:cs="Arial" w:eastAsia="Arial" w:hAnsi="Arial"/>
                <w:sz w:val="15"/>
                <w:szCs w:val="15"/>
                <w:color w:val="auto"/>
                <w:w w:val="95"/>
              </w:rPr>
              <w:t>$</w:t>
            </w:r>
          </w:p>
        </w:tc>
        <w:tc>
          <w:tcPr>
            <w:tcW w:w="980" w:type="dxa"/>
            <w:vAlign w:val="bottom"/>
            <w:gridSpan w:val="2"/>
          </w:tcPr>
          <w:p>
            <w:pPr>
              <w:jc w:val="right"/>
              <w:ind w:right="201"/>
              <w:spacing w:after="0"/>
              <w:rPr>
                <w:sz w:val="20"/>
                <w:szCs w:val="20"/>
                <w:color w:val="auto"/>
              </w:rPr>
            </w:pPr>
            <w:r>
              <w:rPr>
                <w:rFonts w:ascii="Arial" w:cs="Arial" w:eastAsia="Arial" w:hAnsi="Arial"/>
                <w:sz w:val="15"/>
                <w:szCs w:val="15"/>
                <w:color w:val="auto"/>
              </w:rPr>
              <w:t>178.63</w:t>
            </w:r>
          </w:p>
        </w:tc>
        <w:tc>
          <w:tcPr>
            <w:tcW w:w="38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(53.47)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Weighted-average common shares outstanding</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w:t>
            </w:r>
          </w:p>
        </w:tc>
        <w:tc>
          <w:tcPr>
            <w:tcW w:w="56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5"/>
                <w:szCs w:val="15"/>
                <w:color w:val="auto"/>
              </w:rPr>
              <w:t>611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579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tcPr>
          <w:p>
            <w:pPr>
              <w:spacing w:after="0"/>
              <w:rPr>
                <w:sz w:val="20"/>
                <w:szCs w:val="20"/>
                <w:color w:val="auto"/>
              </w:rPr>
            </w:pPr>
            <w:r>
              <w:rPr>
                <w:rFonts w:ascii="Arial" w:cs="Arial" w:eastAsia="Arial" w:hAnsi="Arial"/>
                <w:sz w:val="15"/>
                <w:szCs w:val="15"/>
                <w:b w:val="1"/>
                <w:bCs w:val="1"/>
                <w:color w:val="auto"/>
              </w:rPr>
              <w:t>Diluted</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Income (loss) attributable to common stockholders</w:t>
            </w:r>
          </w:p>
        </w:tc>
        <w:tc>
          <w:tcPr>
            <w:tcW w:w="2480" w:type="dxa"/>
            <w:vAlign w:val="bottom"/>
            <w:gridSpan w:val="2"/>
            <w:shd w:val="clear" w:color="auto" w:fill="CCEEFF"/>
          </w:tcPr>
          <w:p>
            <w:pPr>
              <w:ind w:left="2360"/>
              <w:spacing w:after="0"/>
              <w:rPr>
                <w:sz w:val="20"/>
                <w:szCs w:val="20"/>
                <w:color w:val="auto"/>
              </w:rPr>
            </w:pPr>
            <w:r>
              <w:rPr>
                <w:rFonts w:ascii="Arial" w:cs="Arial" w:eastAsia="Arial" w:hAnsi="Arial"/>
                <w:sz w:val="15"/>
                <w:szCs w:val="15"/>
                <w:color w:val="auto"/>
              </w:rPr>
              <w:t>$</w:t>
            </w:r>
          </w:p>
        </w:tc>
        <w:tc>
          <w:tcPr>
            <w:tcW w:w="14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(10.73)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95"/>
              </w:rPr>
              <w:t>$</w:t>
            </w: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5"/>
                <w:szCs w:val="15"/>
                <w:color w:val="auto"/>
              </w:rPr>
              <w:t>178.55</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(53.47)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tcPr>
          <w:p>
            <w:pPr>
              <w:ind w:left="360"/>
              <w:spacing w:after="0"/>
              <w:rPr>
                <w:sz w:val="20"/>
                <w:szCs w:val="20"/>
                <w:color w:val="auto"/>
              </w:rPr>
            </w:pPr>
            <w:r>
              <w:rPr>
                <w:rFonts w:ascii="Arial" w:cs="Arial" w:eastAsia="Arial" w:hAnsi="Arial"/>
                <w:sz w:val="15"/>
                <w:szCs w:val="15"/>
                <w:color w:val="auto"/>
              </w:rPr>
              <w:t>Weighted-average common shares outstanding</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413</w:t>
            </w:r>
          </w:p>
        </w:tc>
        <w:tc>
          <w:tcPr>
            <w:tcW w:w="56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5"/>
                <w:szCs w:val="15"/>
                <w:color w:val="auto"/>
              </w:rPr>
              <w:t>611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579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Cash dividends per common share</w:t>
            </w:r>
          </w:p>
        </w:tc>
        <w:tc>
          <w:tcPr>
            <w:tcW w:w="2480" w:type="dxa"/>
            <w:vAlign w:val="bottom"/>
            <w:gridSpan w:val="2"/>
            <w:shd w:val="clear" w:color="auto" w:fill="CCEEFF"/>
          </w:tcPr>
          <w:p>
            <w:pPr>
              <w:ind w:left="2360"/>
              <w:spacing w:after="0"/>
              <w:rPr>
                <w:sz w:val="20"/>
                <w:szCs w:val="20"/>
                <w:color w:val="auto"/>
              </w:rPr>
            </w:pPr>
            <w:r>
              <w:rPr>
                <w:rFonts w:ascii="Arial" w:cs="Arial" w:eastAsia="Arial" w:hAnsi="Arial"/>
                <w:sz w:val="15"/>
                <w:szCs w:val="15"/>
                <w:color w:val="auto"/>
              </w:rPr>
              <w:t>$</w:t>
            </w:r>
          </w:p>
        </w:tc>
        <w:tc>
          <w:tcPr>
            <w:tcW w:w="14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95"/>
              </w:rPr>
              <w:t>$</w:t>
            </w: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0.50</w:t>
            </w:r>
          </w:p>
        </w:tc>
        <w:tc>
          <w:tcPr>
            <w:tcW w:w="0" w:type="dxa"/>
            <w:vAlign w:val="bottom"/>
          </w:tcPr>
          <w:p>
            <w:pPr>
              <w:spacing w:after="0"/>
              <w:rPr>
                <w:sz w:val="1"/>
                <w:szCs w:val="1"/>
                <w:color w:val="auto"/>
              </w:rPr>
            </w:pPr>
          </w:p>
        </w:tc>
      </w:tr>
      <w:tr>
        <w:trPr>
          <w:trHeight w:val="403"/>
        </w:trPr>
        <w:tc>
          <w:tcPr>
            <w:tcW w:w="4800" w:type="dxa"/>
            <w:vAlign w:val="bottom"/>
            <w:gridSpan w:val="2"/>
          </w:tcPr>
          <w:p>
            <w:pPr>
              <w:spacing w:after="0"/>
              <w:rPr>
                <w:sz w:val="20"/>
                <w:szCs w:val="20"/>
                <w:color w:val="auto"/>
              </w:rPr>
            </w:pPr>
            <w:r>
              <w:rPr>
                <w:rFonts w:ascii="Arial" w:cs="Arial" w:eastAsia="Arial" w:hAnsi="Arial"/>
                <w:sz w:val="15"/>
                <w:szCs w:val="15"/>
                <w:b w:val="1"/>
                <w:bCs w:val="1"/>
                <w:color w:val="auto"/>
              </w:rPr>
              <w:t>Amounts attributable to common stockholders:</w:t>
            </w: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(loss) of tax</w:t>
            </w:r>
          </w:p>
        </w:tc>
        <w:tc>
          <w:tcPr>
            <w:tcW w:w="2480" w:type="dxa"/>
            <w:vAlign w:val="bottom"/>
            <w:gridSpan w:val="2"/>
            <w:shd w:val="clear" w:color="auto" w:fill="CCEEFF"/>
          </w:tcPr>
          <w:p>
            <w:pPr>
              <w:ind w:left="2360"/>
              <w:spacing w:after="0"/>
              <w:rPr>
                <w:sz w:val="20"/>
                <w:szCs w:val="20"/>
                <w:color w:val="auto"/>
              </w:rPr>
            </w:pPr>
            <w:r>
              <w:rPr>
                <w:rFonts w:ascii="Arial" w:cs="Arial" w:eastAsia="Arial" w:hAnsi="Arial"/>
                <w:sz w:val="15"/>
                <w:szCs w:val="15"/>
                <w:color w:val="auto"/>
              </w:rPr>
              <w:t>$</w:t>
            </w:r>
          </w:p>
        </w:tc>
        <w:tc>
          <w:tcPr>
            <w:tcW w:w="14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(4,428)</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95"/>
              </w:rPr>
              <w:t>$</w:t>
            </w: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5"/>
                <w:szCs w:val="15"/>
                <w:color w:val="auto"/>
              </w:rPr>
              <w:t>109,118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(30,943)</w:t>
            </w: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360" w:type="dxa"/>
            <w:vAlign w:val="bottom"/>
          </w:tcPr>
          <w:p>
            <w:pPr>
              <w:jc w:val="right"/>
              <w:ind w:right="1323"/>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57" w:right="2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35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3770" cy="35560"/>
                    </a:xfrm>
                    <a:prstGeom prst="rect">
                      <a:avLst/>
                    </a:prstGeom>
                    <a:noFill/>
                  </pic:spPr>
                </pic:pic>
              </a:graphicData>
            </a:graphic>
          </wp:anchor>
        </w:drawing>
        <w:t>General Motors Company and Subsidiaries</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Balance Sheets</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color w:val="auto"/>
        </w:rPr>
        <w:t>In millions, except share amounts</w:t>
      </w:r>
      <w:r>
        <w:rPr>
          <w:rFonts w:ascii="Arial" w:cs="Arial" w:eastAsia="Arial" w:hAnsi="Arial"/>
          <w:sz w:val="15"/>
          <w:szCs w:val="15"/>
          <w:i w:val="1"/>
          <w:iCs w:val="1"/>
          <w:color w:val="auto"/>
        </w:rPr>
        <w:t>)</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9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2"/>
                <w:szCs w:val="12"/>
                <w:b w:val="1"/>
                <w:bCs w:val="1"/>
                <w:color w:val="auto"/>
                <w:w w:val="82"/>
              </w:rPr>
              <w:t>Successor</w:t>
            </w:r>
          </w:p>
        </w:tc>
        <w:tc>
          <w:tcPr>
            <w:tcW w:w="200" w:type="dxa"/>
            <w:vAlign w:val="bottom"/>
          </w:tcPr>
          <w:p>
            <w:pPr>
              <w:spacing w:after="0"/>
              <w:rPr>
                <w:sz w:val="17"/>
                <w:szCs w:val="17"/>
                <w:color w:val="auto"/>
              </w:rPr>
            </w:pP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Predecessor</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700" w:type="dxa"/>
            <w:vAlign w:val="bottom"/>
            <w:tcBorders>
              <w:top w:val="single" w:sz="8" w:color="auto"/>
            </w:tcBorders>
            <w:gridSpan w:val="2"/>
          </w:tcPr>
          <w:p>
            <w:pPr>
              <w:spacing w:after="0" w:line="112" w:lineRule="exact"/>
              <w:rPr>
                <w:sz w:val="20"/>
                <w:szCs w:val="20"/>
                <w:color w:val="auto"/>
              </w:rPr>
            </w:pPr>
            <w:r>
              <w:rPr>
                <w:rFonts w:ascii="Arial" w:cs="Arial" w:eastAsia="Arial" w:hAnsi="Arial"/>
                <w:sz w:val="12"/>
                <w:szCs w:val="12"/>
                <w:b w:val="1"/>
                <w:bCs w:val="1"/>
                <w:color w:val="auto"/>
                <w:w w:val="87"/>
              </w:rPr>
              <w:t>December 31,</w:t>
            </w:r>
          </w:p>
        </w:tc>
        <w:tc>
          <w:tcPr>
            <w:tcW w:w="42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top w:val="single" w:sz="8" w:color="auto"/>
            </w:tcBorders>
            <w:gridSpan w:val="2"/>
          </w:tcPr>
          <w:p>
            <w:pPr>
              <w:spacing w:after="0" w:line="112" w:lineRule="exact"/>
              <w:rPr>
                <w:sz w:val="20"/>
                <w:szCs w:val="20"/>
                <w:color w:val="auto"/>
              </w:rPr>
            </w:pPr>
            <w:r>
              <w:rPr>
                <w:rFonts w:ascii="Arial" w:cs="Arial" w:eastAsia="Arial" w:hAnsi="Arial"/>
                <w:sz w:val="12"/>
                <w:szCs w:val="12"/>
                <w:b w:val="1"/>
                <w:bCs w:val="1"/>
                <w:color w:val="auto"/>
                <w:w w:val="87"/>
              </w:rPr>
              <w:t>December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4"/>
              <w:spacing w:after="0"/>
              <w:rPr>
                <w:sz w:val="20"/>
                <w:szCs w:val="20"/>
                <w:color w:val="auto"/>
              </w:rPr>
            </w:pPr>
            <w:r>
              <w:rPr>
                <w:rFonts w:ascii="Arial" w:cs="Arial" w:eastAsia="Arial" w:hAnsi="Arial"/>
                <w:sz w:val="12"/>
                <w:szCs w:val="12"/>
                <w:b w:val="1"/>
                <w:bCs w:val="1"/>
                <w:color w:val="auto"/>
              </w:rPr>
              <w:t>2009</w:t>
            </w:r>
          </w:p>
        </w:tc>
        <w:tc>
          <w:tcPr>
            <w:tcW w:w="4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3"/>
              <w:spacing w:after="0"/>
              <w:rPr>
                <w:sz w:val="20"/>
                <w:szCs w:val="20"/>
                <w:color w:val="auto"/>
              </w:rPr>
            </w:pPr>
            <w:r>
              <w:rPr>
                <w:rFonts w:ascii="Arial" w:cs="Arial" w:eastAsia="Arial" w:hAnsi="Arial"/>
                <w:sz w:val="12"/>
                <w:szCs w:val="12"/>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300" w:type="dxa"/>
            <w:vAlign w:val="bottom"/>
          </w:tcPr>
          <w:p>
            <w:pPr>
              <w:ind w:left="4240"/>
              <w:spacing w:after="0"/>
              <w:rPr>
                <w:sz w:val="20"/>
                <w:szCs w:val="20"/>
                <w:color w:val="auto"/>
              </w:rPr>
            </w:pPr>
            <w:r>
              <w:rPr>
                <w:rFonts w:ascii="Arial" w:cs="Arial" w:eastAsia="Arial" w:hAnsi="Arial"/>
                <w:sz w:val="15"/>
                <w:szCs w:val="15"/>
                <w:b w:val="1"/>
                <w:bCs w:val="1"/>
                <w:color w:val="auto"/>
              </w:rPr>
              <w:t>ASSETS</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320" w:type="dxa"/>
            <w:vAlign w:val="bottom"/>
            <w:gridSpan w:val="2"/>
          </w:tcPr>
          <w:p>
            <w:pPr>
              <w:spacing w:after="0"/>
              <w:rPr>
                <w:sz w:val="20"/>
                <w:szCs w:val="20"/>
                <w:color w:val="auto"/>
              </w:rPr>
            </w:pPr>
            <w:r>
              <w:rPr>
                <w:rFonts w:ascii="Arial" w:cs="Arial" w:eastAsia="Arial" w:hAnsi="Arial"/>
                <w:sz w:val="15"/>
                <w:szCs w:val="15"/>
                <w:b w:val="1"/>
                <w:bCs w:val="1"/>
                <w:color w:val="auto"/>
              </w:rPr>
              <w:t>Current Assets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22,679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14,053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Marketable securities</w:t>
            </w: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w:t>
            </w:r>
          </w:p>
        </w:tc>
        <w:tc>
          <w:tcPr>
            <w:tcW w:w="4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cash, cash equivalents and marketable securities</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22,813</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14,194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Restricted cash</w:t>
            </w:r>
          </w:p>
        </w:tc>
        <w:tc>
          <w:tcPr>
            <w:tcW w:w="8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5"/>
                <w:szCs w:val="15"/>
                <w:color w:val="auto"/>
              </w:rPr>
              <w:t>13,917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672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Accounts and notes receivable (net of allowance of $250 and $422)</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7,518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7,918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Inventories</w:t>
            </w:r>
          </w:p>
        </w:tc>
        <w:tc>
          <w:tcPr>
            <w:tcW w:w="8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5"/>
                <w:szCs w:val="15"/>
                <w:color w:val="auto"/>
              </w:rPr>
              <w:t>10,107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13,195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Assets held for sale</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388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Equipment on operating leases, net</w:t>
            </w:r>
          </w:p>
        </w:tc>
        <w:tc>
          <w:tcPr>
            <w:tcW w:w="8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5"/>
                <w:szCs w:val="15"/>
                <w:color w:val="auto"/>
              </w:rPr>
              <w:t>2,727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5,142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current assets and deferred income taxes</w:t>
            </w: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1,777</w:t>
            </w:r>
          </w:p>
        </w:tc>
        <w:tc>
          <w:tcPr>
            <w:tcW w:w="4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Total current assets</w:t>
            </w:r>
          </w:p>
        </w:tc>
        <w:tc>
          <w:tcPr>
            <w:tcW w:w="8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5"/>
                <w:szCs w:val="15"/>
                <w:color w:val="auto"/>
              </w:rPr>
              <w:t>59,247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44,267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Non-Current Assets</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Restricted cash</w:t>
            </w:r>
          </w:p>
        </w:tc>
        <w:tc>
          <w:tcPr>
            <w:tcW w:w="8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5"/>
                <w:szCs w:val="15"/>
                <w:color w:val="auto"/>
              </w:rPr>
              <w:t>1,489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1,917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Equity in net assets of nonconsolidated affiliates</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7,936</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2,146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Assets held for sale</w:t>
            </w:r>
          </w:p>
        </w:tc>
        <w:tc>
          <w:tcPr>
            <w:tcW w:w="8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5"/>
                <w:szCs w:val="15"/>
                <w:color w:val="auto"/>
              </w:rPr>
              <w:t>530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Equipment on operating leases, net</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3</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Property, net</w:t>
            </w:r>
          </w:p>
        </w:tc>
        <w:tc>
          <w:tcPr>
            <w:tcW w:w="8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5"/>
                <w:szCs w:val="15"/>
                <w:color w:val="auto"/>
              </w:rPr>
              <w:t>18,687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39,665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Goodwill</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30,672</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Intangible assets, net</w:t>
            </w:r>
          </w:p>
        </w:tc>
        <w:tc>
          <w:tcPr>
            <w:tcW w:w="8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5"/>
                <w:szCs w:val="15"/>
                <w:color w:val="auto"/>
              </w:rPr>
              <w:t>14,547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265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Deferred income taxes</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564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Prepaid pension</w:t>
            </w:r>
          </w:p>
        </w:tc>
        <w:tc>
          <w:tcPr>
            <w:tcW w:w="8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5"/>
                <w:szCs w:val="15"/>
                <w:color w:val="auto"/>
              </w:rPr>
              <w:t>98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assets</w:t>
            </w: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2,522</w:t>
            </w:r>
          </w:p>
        </w:tc>
        <w:tc>
          <w:tcPr>
            <w:tcW w:w="4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2,130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Total non-current assets</w:t>
            </w: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77,048</w:t>
            </w:r>
          </w:p>
        </w:tc>
        <w:tc>
          <w:tcPr>
            <w:tcW w:w="4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46,772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136,295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91,039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vMerge w:val="restart"/>
          </w:tcPr>
          <w:p>
            <w:pPr>
              <w:ind w:left="3160"/>
              <w:spacing w:after="0"/>
              <w:rPr>
                <w:sz w:val="20"/>
                <w:szCs w:val="20"/>
                <w:color w:val="auto"/>
              </w:rPr>
            </w:pPr>
            <w:r>
              <w:rPr>
                <w:rFonts w:ascii="Arial" w:cs="Arial" w:eastAsia="Arial" w:hAnsi="Arial"/>
                <w:sz w:val="15"/>
                <w:szCs w:val="15"/>
                <w:b w:val="1"/>
                <w:bCs w:val="1"/>
                <w:color w:val="auto"/>
              </w:rPr>
              <w:t>LIABILITIES AND EQUITY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Current Liabilities</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Accounts payable (principally trade)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5"/>
                <w:szCs w:val="15"/>
                <w:color w:val="auto"/>
              </w:rPr>
              <w:t>18,725</w:t>
            </w:r>
          </w:p>
        </w:tc>
        <w:tc>
          <w:tcPr>
            <w:tcW w:w="2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22,259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Short-term debt and current portion of long-term debt</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10,221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16,920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Liabilities held for sale</w:t>
            </w:r>
          </w:p>
        </w:tc>
        <w:tc>
          <w:tcPr>
            <w:tcW w:w="8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5"/>
                <w:szCs w:val="15"/>
                <w:color w:val="auto"/>
              </w:rPr>
              <w:t>355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Postretirement benefits other than pensions</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846</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4,002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Accrued expenses</w:t>
            </w: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22,288</w:t>
            </w:r>
          </w:p>
        </w:tc>
        <w:tc>
          <w:tcPr>
            <w:tcW w:w="4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32,427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current liabilities</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52,435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75,608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tcPr>
          <w:p>
            <w:pPr>
              <w:spacing w:after="0"/>
              <w:rPr>
                <w:sz w:val="20"/>
                <w:szCs w:val="20"/>
                <w:color w:val="auto"/>
              </w:rPr>
            </w:pPr>
            <w:r>
              <w:rPr>
                <w:rFonts w:ascii="Arial" w:cs="Arial" w:eastAsia="Arial" w:hAnsi="Arial"/>
                <w:sz w:val="15"/>
                <w:szCs w:val="15"/>
                <w:b w:val="1"/>
                <w:bCs w:val="1"/>
                <w:color w:val="auto"/>
              </w:rPr>
              <w:t>Non-Current Liabilities</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Long-term debt</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5,562</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29,018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Liabilities held for sale</w:t>
            </w:r>
          </w:p>
        </w:tc>
        <w:tc>
          <w:tcPr>
            <w:tcW w:w="8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5"/>
                <w:szCs w:val="15"/>
                <w:color w:val="auto"/>
              </w:rPr>
              <w:t>270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Postretirement benefits other than pensions</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8,708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28,919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Pensions</w:t>
            </w:r>
          </w:p>
        </w:tc>
        <w:tc>
          <w:tcPr>
            <w:tcW w:w="8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5"/>
                <w:szCs w:val="15"/>
                <w:color w:val="auto"/>
              </w:rPr>
              <w:t>27,086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25,178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liabilities and deferred income taxes</w:t>
            </w: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13,279</w:t>
            </w:r>
          </w:p>
        </w:tc>
        <w:tc>
          <w:tcPr>
            <w:tcW w:w="4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17,392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Total non-current liabilities</w:t>
            </w: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54,905</w:t>
            </w:r>
          </w:p>
        </w:tc>
        <w:tc>
          <w:tcPr>
            <w:tcW w:w="4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100,507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liabilities</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107,340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9"/>
              </w:rPr>
              <w:t>176,115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tcPr>
          <w:p>
            <w:pPr>
              <w:spacing w:after="0"/>
              <w:rPr>
                <w:sz w:val="20"/>
                <w:szCs w:val="20"/>
                <w:color w:val="auto"/>
              </w:rPr>
            </w:pPr>
            <w:r>
              <w:rPr>
                <w:rFonts w:ascii="Arial" w:cs="Arial" w:eastAsia="Arial" w:hAnsi="Arial"/>
                <w:sz w:val="15"/>
                <w:szCs w:val="15"/>
                <w:color w:val="auto"/>
              </w:rPr>
              <w:t>Commitments and contingencies</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5"/>
                <w:szCs w:val="15"/>
                <w:color w:val="auto"/>
              </w:rPr>
              <w:t>Preferred stock, $0.01 par value (1,000,000,000 shares authorized and 360,000,000 shares issued and outstanding at December 31, 2009)</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6,998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tcPr>
          <w:p>
            <w:pPr>
              <w:spacing w:after="0"/>
              <w:rPr>
                <w:sz w:val="20"/>
                <w:szCs w:val="20"/>
                <w:color w:val="auto"/>
              </w:rPr>
            </w:pPr>
            <w:r>
              <w:rPr>
                <w:rFonts w:ascii="Arial" w:cs="Arial" w:eastAsia="Arial" w:hAnsi="Arial"/>
                <w:sz w:val="15"/>
                <w:szCs w:val="15"/>
                <w:b w:val="1"/>
                <w:bCs w:val="1"/>
                <w:color w:val="auto"/>
              </w:rPr>
              <w:t>Equity (Deficit)</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Old GM</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Preferred stock, no par value (6,000,000 shares authorized, no shares issued and outstanding)</w:t>
            </w:r>
          </w:p>
        </w:tc>
        <w:tc>
          <w:tcPr>
            <w:tcW w:w="8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Preference stock, $0.10 par value (100,000,000 shares authorized, no shares issued and outstanding)</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rPr>
              <w:t>Common stock, $1 2/3 par value common stock (2,000,000,000 shares authorized, 800,937,541 shares issued and 610,483,231 shares</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tcPr>
          <w:p>
            <w:pPr>
              <w:ind w:left="360"/>
              <w:spacing w:after="0"/>
              <w:rPr>
                <w:sz w:val="20"/>
                <w:szCs w:val="20"/>
                <w:color w:val="auto"/>
              </w:rPr>
            </w:pPr>
            <w:r>
              <w:rPr>
                <w:rFonts w:ascii="Arial" w:cs="Arial" w:eastAsia="Arial" w:hAnsi="Arial"/>
                <w:sz w:val="15"/>
                <w:szCs w:val="15"/>
                <w:color w:val="auto"/>
              </w:rPr>
              <w:t>outstanding at December 31, 2008)</w:t>
            </w:r>
          </w:p>
        </w:tc>
        <w:tc>
          <w:tcPr>
            <w:tcW w:w="8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1,017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General Motors Company</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tcPr>
          <w:p>
            <w:pPr>
              <w:ind w:left="160"/>
              <w:spacing w:after="0"/>
              <w:rPr>
                <w:sz w:val="20"/>
                <w:szCs w:val="20"/>
                <w:color w:val="auto"/>
              </w:rPr>
            </w:pPr>
            <w:r>
              <w:rPr>
                <w:rFonts w:ascii="Arial" w:cs="Arial" w:eastAsia="Arial" w:hAnsi="Arial"/>
                <w:sz w:val="15"/>
                <w:szCs w:val="15"/>
                <w:color w:val="auto"/>
                <w:w w:val="98"/>
              </w:rPr>
              <w:t>Common stock, $0.01 par value (2,500,000,000 shares authorized and 500,000,000 shares issued and outstanding at December 31, 2009)</w:t>
            </w:r>
          </w:p>
        </w:tc>
        <w:tc>
          <w:tcPr>
            <w:tcW w:w="8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5"/>
                <w:szCs w:val="15"/>
                <w:color w:val="auto"/>
              </w:rPr>
              <w:t>Capital surplus (principally additional paid-in capital)</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24,050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16,489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tcPr>
          <w:p>
            <w:pPr>
              <w:spacing w:after="0"/>
              <w:rPr>
                <w:sz w:val="20"/>
                <w:szCs w:val="20"/>
                <w:color w:val="auto"/>
              </w:rPr>
            </w:pPr>
            <w:r>
              <w:rPr>
                <w:rFonts w:ascii="Arial" w:cs="Arial" w:eastAsia="Arial" w:hAnsi="Arial"/>
                <w:sz w:val="15"/>
                <w:szCs w:val="15"/>
                <w:color w:val="auto"/>
              </w:rPr>
              <w:t>Accumulated deficit</w:t>
            </w:r>
          </w:p>
        </w:tc>
        <w:tc>
          <w:tcPr>
            <w:tcW w:w="8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5"/>
                <w:szCs w:val="15"/>
                <w:color w:val="auto"/>
              </w:rPr>
              <w:t>(4,394)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(70,727)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income (loss)</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1,588</w:t>
            </w:r>
          </w:p>
        </w:tc>
        <w:tc>
          <w:tcPr>
            <w:tcW w:w="4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(32,339)</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5"/>
                <w:szCs w:val="15"/>
                <w:color w:val="auto"/>
              </w:rPr>
              <w:t>Total stockholders’ equity (deficit)</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3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21,249</w:t>
            </w:r>
          </w:p>
        </w:tc>
        <w:tc>
          <w:tcPr>
            <w:tcW w:w="4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(85,560)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5"/>
                <w:szCs w:val="15"/>
                <w:color w:val="auto"/>
              </w:rPr>
              <w:t>Noncontrolling interests</w:t>
            </w: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708</w:t>
            </w:r>
          </w:p>
        </w:tc>
        <w:tc>
          <w:tcPr>
            <w:tcW w:w="4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320" w:type="dxa"/>
            <w:vAlign w:val="bottom"/>
            <w:gridSpan w:val="2"/>
          </w:tcPr>
          <w:p>
            <w:pPr>
              <w:spacing w:after="0"/>
              <w:rPr>
                <w:sz w:val="20"/>
                <w:szCs w:val="20"/>
                <w:color w:val="auto"/>
              </w:rPr>
            </w:pPr>
            <w:r>
              <w:rPr>
                <w:rFonts w:ascii="Arial" w:cs="Arial" w:eastAsia="Arial" w:hAnsi="Arial"/>
                <w:sz w:val="15"/>
                <w:szCs w:val="15"/>
                <w:color w:val="auto"/>
              </w:rPr>
              <w:t>Total equity (deficit)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21,957</w:t>
            </w:r>
          </w:p>
        </w:tc>
        <w:tc>
          <w:tcPr>
            <w:tcW w:w="4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(85,076)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Liabilities and Equity (Deficit)</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136,295</w:t>
            </w:r>
          </w:p>
        </w:tc>
        <w:tc>
          <w:tcPr>
            <w:tcW w:w="4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91,039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sectPr>
          <w:pgSz w:w="11900" w:h="16838" w:orient="portrait"/>
          <w:cols w:equalWidth="0" w:num="1">
            <w:col w:w="11440"/>
          </w:cols>
          <w:pgMar w:left="240" w:top="257" w:right="219" w:bottom="1440" w:gutter="0" w:footer="0" w:header="0"/>
        </w:sect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40"/>
          </w:cols>
          <w:pgMar w:left="240" w:top="257" w:right="21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35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3770" cy="35560"/>
                    </a:xfrm>
                    <a:prstGeom prst="rect">
                      <a:avLst/>
                    </a:prstGeom>
                    <a:noFill/>
                  </pic:spPr>
                </pic:pic>
              </a:graphicData>
            </a:graphic>
          </wp:anchor>
        </w:drawing>
        <w:t>General Motors Company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Supplemental Material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Old GM</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January 1, 2009 Through July 9, 2009</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the period January 1, 2009 through July 9, 2009, Old GM recorded the following Reorganization gains, net, arising from the 363 Sale and fresh-start reporting: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Predecessor</w:t>
            </w:r>
          </w:p>
        </w:tc>
        <w:tc>
          <w:tcPr>
            <w:tcW w:w="0" w:type="dxa"/>
            <w:vAlign w:val="bottom"/>
          </w:tcPr>
          <w:p>
            <w:pPr>
              <w:spacing w:after="0"/>
              <w:rPr>
                <w:sz w:val="1"/>
                <w:szCs w:val="1"/>
                <w:color w:val="auto"/>
              </w:rPr>
            </w:pPr>
          </w:p>
        </w:tc>
      </w:tr>
      <w:tr>
        <w:trPr>
          <w:trHeight w:val="112"/>
        </w:trPr>
        <w:tc>
          <w:tcPr>
            <w:tcW w:w="83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20" w:type="dxa"/>
            <w:vAlign w:val="bottom"/>
            <w:tcBorders>
              <w:top w:val="single" w:sz="8" w:color="auto"/>
            </w:tcBorders>
            <w:gridSpan w:val="2"/>
          </w:tcPr>
          <w:p>
            <w:pPr>
              <w:jc w:val="center"/>
              <w:spacing w:after="0" w:line="112" w:lineRule="exact"/>
              <w:rPr>
                <w:sz w:val="20"/>
                <w:szCs w:val="20"/>
                <w:color w:val="auto"/>
              </w:rPr>
            </w:pPr>
            <w:r>
              <w:rPr>
                <w:rFonts w:ascii="Arial" w:cs="Arial" w:eastAsia="Arial" w:hAnsi="Arial"/>
                <w:sz w:val="12"/>
                <w:szCs w:val="12"/>
                <w:b w:val="1"/>
                <w:bCs w:val="1"/>
                <w:color w:val="auto"/>
                <w:w w:val="91"/>
              </w:rPr>
              <w:t>January 1, 2009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3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40"/>
              <w:spacing w:after="0" w:line="131" w:lineRule="exact"/>
              <w:rPr>
                <w:sz w:val="20"/>
                <w:szCs w:val="20"/>
                <w:color w:val="auto"/>
              </w:rPr>
            </w:pPr>
            <w:r>
              <w:rPr>
                <w:rFonts w:ascii="Arial" w:cs="Arial" w:eastAsia="Arial" w:hAnsi="Arial"/>
                <w:sz w:val="12"/>
                <w:szCs w:val="12"/>
                <w:b w:val="1"/>
                <w:bCs w:val="1"/>
                <w:color w:val="auto"/>
                <w:w w:val="94"/>
              </w:rPr>
              <w:t>Through</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26"/>
              <w:spacing w:after="0"/>
              <w:rPr>
                <w:sz w:val="20"/>
                <w:szCs w:val="20"/>
                <w:color w:val="auto"/>
              </w:rPr>
            </w:pPr>
            <w:r>
              <w:rPr>
                <w:rFonts w:ascii="Arial" w:cs="Arial" w:eastAsia="Arial" w:hAnsi="Arial"/>
                <w:sz w:val="12"/>
                <w:szCs w:val="12"/>
                <w:b w:val="1"/>
                <w:bCs w:val="1"/>
                <w:color w:val="auto"/>
                <w:w w:val="91"/>
              </w:rPr>
              <w:t>July 9,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320" w:type="dxa"/>
            <w:vAlign w:val="bottom"/>
            <w:shd w:val="clear" w:color="auto" w:fill="CCEEFF"/>
          </w:tcPr>
          <w:p>
            <w:pPr>
              <w:spacing w:after="0"/>
              <w:rPr>
                <w:sz w:val="20"/>
                <w:szCs w:val="20"/>
                <w:color w:val="auto"/>
              </w:rPr>
            </w:pPr>
            <w:r>
              <w:rPr>
                <w:rFonts w:ascii="Arial" w:cs="Arial" w:eastAsia="Arial" w:hAnsi="Arial"/>
                <w:sz w:val="15"/>
                <w:szCs w:val="15"/>
                <w:color w:val="auto"/>
              </w:rPr>
              <w:t>Change in net assets resulting from the application of fresh-start reporting</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33,829</w:t>
            </w:r>
          </w:p>
        </w:tc>
        <w:tc>
          <w:tcPr>
            <w:tcW w:w="0" w:type="dxa"/>
            <w:vAlign w:val="bottom"/>
          </w:tcPr>
          <w:p>
            <w:pPr>
              <w:spacing w:after="0"/>
              <w:rPr>
                <w:sz w:val="1"/>
                <w:szCs w:val="1"/>
                <w:color w:val="auto"/>
              </w:rPr>
            </w:pPr>
          </w:p>
        </w:tc>
      </w:tr>
      <w:tr>
        <w:trPr>
          <w:trHeight w:val="190"/>
        </w:trPr>
        <w:tc>
          <w:tcPr>
            <w:tcW w:w="8320" w:type="dxa"/>
            <w:vAlign w:val="bottom"/>
          </w:tcPr>
          <w:p>
            <w:pPr>
              <w:spacing w:after="0"/>
              <w:rPr>
                <w:sz w:val="20"/>
                <w:szCs w:val="20"/>
                <w:color w:val="auto"/>
              </w:rPr>
            </w:pPr>
            <w:r>
              <w:rPr>
                <w:rFonts w:ascii="Arial" w:cs="Arial" w:eastAsia="Arial" w:hAnsi="Arial"/>
                <w:sz w:val="15"/>
                <w:szCs w:val="15"/>
                <w:color w:val="auto"/>
              </w:rPr>
              <w:t>Fair value of New GM’s Series A Preferred Stock, common shares and warrants issued in 363 Sale</w:t>
            </w: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20,532</w:t>
            </w:r>
          </w:p>
        </w:tc>
        <w:tc>
          <w:tcPr>
            <w:tcW w:w="0" w:type="dxa"/>
            <w:vAlign w:val="bottom"/>
          </w:tcPr>
          <w:p>
            <w:pPr>
              <w:spacing w:after="0"/>
              <w:rPr>
                <w:sz w:val="1"/>
                <w:szCs w:val="1"/>
                <w:color w:val="auto"/>
              </w:rPr>
            </w:pPr>
          </w:p>
        </w:tc>
      </w:tr>
      <w:tr>
        <w:trPr>
          <w:trHeight w:val="190"/>
        </w:trPr>
        <w:tc>
          <w:tcPr>
            <w:tcW w:w="8320" w:type="dxa"/>
            <w:vAlign w:val="bottom"/>
            <w:shd w:val="clear" w:color="auto" w:fill="CCEEFF"/>
          </w:tcPr>
          <w:p>
            <w:pPr>
              <w:spacing w:after="0"/>
              <w:rPr>
                <w:sz w:val="20"/>
                <w:szCs w:val="20"/>
                <w:color w:val="auto"/>
              </w:rPr>
            </w:pPr>
            <w:r>
              <w:rPr>
                <w:rFonts w:ascii="Arial" w:cs="Arial" w:eastAsia="Arial" w:hAnsi="Arial"/>
                <w:sz w:val="15"/>
                <w:szCs w:val="15"/>
                <w:color w:val="auto"/>
              </w:rPr>
              <w:t>Gain from the conversion of debt owed to UST to equity</w:t>
            </w: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31,561</w:t>
            </w:r>
          </w:p>
        </w:tc>
        <w:tc>
          <w:tcPr>
            <w:tcW w:w="0" w:type="dxa"/>
            <w:vAlign w:val="bottom"/>
          </w:tcPr>
          <w:p>
            <w:pPr>
              <w:spacing w:after="0"/>
              <w:rPr>
                <w:sz w:val="1"/>
                <w:szCs w:val="1"/>
                <w:color w:val="auto"/>
              </w:rPr>
            </w:pPr>
          </w:p>
        </w:tc>
      </w:tr>
      <w:tr>
        <w:trPr>
          <w:trHeight w:val="190"/>
        </w:trPr>
        <w:tc>
          <w:tcPr>
            <w:tcW w:w="8320" w:type="dxa"/>
            <w:vAlign w:val="bottom"/>
          </w:tcPr>
          <w:p>
            <w:pPr>
              <w:spacing w:after="0"/>
              <w:rPr>
                <w:sz w:val="20"/>
                <w:szCs w:val="20"/>
                <w:color w:val="auto"/>
              </w:rPr>
            </w:pPr>
            <w:r>
              <w:rPr>
                <w:rFonts w:ascii="Arial" w:cs="Arial" w:eastAsia="Arial" w:hAnsi="Arial"/>
                <w:sz w:val="15"/>
                <w:szCs w:val="15"/>
                <w:color w:val="auto"/>
              </w:rPr>
              <w:t>Gain from the conversion of debt owed to EDC to equity</w:t>
            </w: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5,964</w:t>
            </w:r>
          </w:p>
        </w:tc>
        <w:tc>
          <w:tcPr>
            <w:tcW w:w="0" w:type="dxa"/>
            <w:vAlign w:val="bottom"/>
          </w:tcPr>
          <w:p>
            <w:pPr>
              <w:spacing w:after="0"/>
              <w:rPr>
                <w:sz w:val="1"/>
                <w:szCs w:val="1"/>
                <w:color w:val="auto"/>
              </w:rPr>
            </w:pPr>
          </w:p>
        </w:tc>
      </w:tr>
      <w:tr>
        <w:trPr>
          <w:trHeight w:val="190"/>
        </w:trPr>
        <w:tc>
          <w:tcPr>
            <w:tcW w:w="8320" w:type="dxa"/>
            <w:vAlign w:val="bottom"/>
            <w:shd w:val="clear" w:color="auto" w:fill="CCEEFF"/>
          </w:tcPr>
          <w:p>
            <w:pPr>
              <w:spacing w:after="0"/>
              <w:rPr>
                <w:sz w:val="20"/>
                <w:szCs w:val="20"/>
                <w:color w:val="auto"/>
              </w:rPr>
            </w:pPr>
            <w:r>
              <w:rPr>
                <w:rFonts w:ascii="Arial" w:cs="Arial" w:eastAsia="Arial" w:hAnsi="Arial"/>
                <w:sz w:val="15"/>
                <w:szCs w:val="15"/>
                <w:color w:val="auto"/>
              </w:rPr>
              <w:t>Gain from the modification and measurement of GM’s VEBA obligation</w:t>
            </w: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7,731</w:t>
            </w:r>
          </w:p>
        </w:tc>
        <w:tc>
          <w:tcPr>
            <w:tcW w:w="0" w:type="dxa"/>
            <w:vAlign w:val="bottom"/>
          </w:tcPr>
          <w:p>
            <w:pPr>
              <w:spacing w:after="0"/>
              <w:rPr>
                <w:sz w:val="1"/>
                <w:szCs w:val="1"/>
                <w:color w:val="auto"/>
              </w:rPr>
            </w:pPr>
          </w:p>
        </w:tc>
      </w:tr>
      <w:tr>
        <w:trPr>
          <w:trHeight w:val="190"/>
        </w:trPr>
        <w:tc>
          <w:tcPr>
            <w:tcW w:w="8320" w:type="dxa"/>
            <w:vAlign w:val="bottom"/>
          </w:tcPr>
          <w:p>
            <w:pPr>
              <w:spacing w:after="0"/>
              <w:rPr>
                <w:sz w:val="20"/>
                <w:szCs w:val="20"/>
                <w:color w:val="auto"/>
              </w:rPr>
            </w:pPr>
            <w:r>
              <w:rPr>
                <w:rFonts w:ascii="Arial" w:cs="Arial" w:eastAsia="Arial" w:hAnsi="Arial"/>
                <w:sz w:val="15"/>
                <w:szCs w:val="15"/>
                <w:color w:val="auto"/>
              </w:rPr>
              <w:t>Gain from the modification and measurement of other employee benefit plans</w:t>
            </w: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4,585</w:t>
            </w:r>
          </w:p>
        </w:tc>
        <w:tc>
          <w:tcPr>
            <w:tcW w:w="0" w:type="dxa"/>
            <w:vAlign w:val="bottom"/>
          </w:tcPr>
          <w:p>
            <w:pPr>
              <w:spacing w:after="0"/>
              <w:rPr>
                <w:sz w:val="1"/>
                <w:szCs w:val="1"/>
                <w:color w:val="auto"/>
              </w:rPr>
            </w:pPr>
          </w:p>
        </w:tc>
      </w:tr>
      <w:tr>
        <w:trPr>
          <w:trHeight w:val="190"/>
        </w:trPr>
        <w:tc>
          <w:tcPr>
            <w:tcW w:w="8320" w:type="dxa"/>
            <w:vAlign w:val="bottom"/>
            <w:shd w:val="clear" w:color="auto" w:fill="CCEEFF"/>
          </w:tcPr>
          <w:p>
            <w:pPr>
              <w:spacing w:after="0"/>
              <w:rPr>
                <w:sz w:val="20"/>
                <w:szCs w:val="20"/>
                <w:color w:val="auto"/>
              </w:rPr>
            </w:pPr>
            <w:r>
              <w:rPr>
                <w:rFonts w:ascii="Arial" w:cs="Arial" w:eastAsia="Arial" w:hAnsi="Arial"/>
                <w:sz w:val="15"/>
                <w:szCs w:val="15"/>
                <w:color w:val="auto"/>
              </w:rPr>
              <w:t>Gain from the settlement of net liabilities retained by MLC via the 363 Sale</w:t>
            </w: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25,177</w:t>
            </w:r>
          </w:p>
        </w:tc>
        <w:tc>
          <w:tcPr>
            <w:tcW w:w="0" w:type="dxa"/>
            <w:vAlign w:val="bottom"/>
          </w:tcPr>
          <w:p>
            <w:pPr>
              <w:spacing w:after="0"/>
              <w:rPr>
                <w:sz w:val="1"/>
                <w:szCs w:val="1"/>
                <w:color w:val="auto"/>
              </w:rPr>
            </w:pPr>
          </w:p>
        </w:tc>
      </w:tr>
      <w:tr>
        <w:trPr>
          <w:trHeight w:val="190"/>
        </w:trPr>
        <w:tc>
          <w:tcPr>
            <w:tcW w:w="8320" w:type="dxa"/>
            <w:vAlign w:val="bottom"/>
          </w:tcPr>
          <w:p>
            <w:pPr>
              <w:spacing w:after="0"/>
              <w:rPr>
                <w:sz w:val="20"/>
                <w:szCs w:val="20"/>
                <w:color w:val="auto"/>
              </w:rPr>
            </w:pPr>
            <w:r>
              <w:rPr>
                <w:rFonts w:ascii="Arial" w:cs="Arial" w:eastAsia="Arial" w:hAnsi="Arial"/>
                <w:sz w:val="15"/>
                <w:szCs w:val="15"/>
                <w:color w:val="auto"/>
              </w:rPr>
              <w:t>Income tax benefit for release of valuation allowances and other tax adjustments</w:t>
            </w: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710</w:t>
            </w:r>
          </w:p>
        </w:tc>
        <w:tc>
          <w:tcPr>
            <w:tcW w:w="0" w:type="dxa"/>
            <w:vAlign w:val="bottom"/>
          </w:tcPr>
          <w:p>
            <w:pPr>
              <w:spacing w:after="0"/>
              <w:rPr>
                <w:sz w:val="1"/>
                <w:szCs w:val="1"/>
                <w:color w:val="auto"/>
              </w:rPr>
            </w:pPr>
          </w:p>
        </w:tc>
      </w:tr>
      <w:tr>
        <w:trPr>
          <w:trHeight w:val="190"/>
        </w:trPr>
        <w:tc>
          <w:tcPr>
            <w:tcW w:w="8320" w:type="dxa"/>
            <w:vAlign w:val="bottom"/>
            <w:shd w:val="clear" w:color="auto" w:fill="CCEEFF"/>
          </w:tcPr>
          <w:p>
            <w:pPr>
              <w:spacing w:after="0"/>
              <w:rPr>
                <w:sz w:val="20"/>
                <w:szCs w:val="20"/>
                <w:color w:val="auto"/>
              </w:rPr>
            </w:pPr>
            <w:r>
              <w:rPr>
                <w:rFonts w:ascii="Arial" w:cs="Arial" w:eastAsia="Arial" w:hAnsi="Arial"/>
                <w:sz w:val="15"/>
                <w:szCs w:val="15"/>
                <w:color w:val="auto"/>
              </w:rPr>
              <w:t>Other 363 Sale adjustments</w:t>
            </w: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90"/>
        </w:trPr>
        <w:tc>
          <w:tcPr>
            <w:tcW w:w="8320" w:type="dxa"/>
            <w:vAlign w:val="bottom"/>
          </w:tcPr>
          <w:p>
            <w:pPr>
              <w:spacing w:after="0"/>
              <w:rPr>
                <w:sz w:val="20"/>
                <w:szCs w:val="20"/>
                <w:color w:val="auto"/>
              </w:rPr>
            </w:pPr>
            <w:r>
              <w:rPr>
                <w:rFonts w:ascii="Arial" w:cs="Arial" w:eastAsia="Arial" w:hAnsi="Arial"/>
                <w:sz w:val="15"/>
                <w:szCs w:val="15"/>
                <w:color w:val="auto"/>
              </w:rPr>
              <w:t>Amount recorded in Income tax benefit</w:t>
            </w: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(710)</w:t>
            </w:r>
          </w:p>
        </w:tc>
        <w:tc>
          <w:tcPr>
            <w:tcW w:w="0" w:type="dxa"/>
            <w:vAlign w:val="bottom"/>
          </w:tcPr>
          <w:p>
            <w:pPr>
              <w:spacing w:after="0"/>
              <w:rPr>
                <w:sz w:val="1"/>
                <w:szCs w:val="1"/>
                <w:color w:val="auto"/>
              </w:rPr>
            </w:pPr>
          </w:p>
        </w:tc>
      </w:tr>
      <w:tr>
        <w:trPr>
          <w:trHeight w:val="190"/>
        </w:trPr>
        <w:tc>
          <w:tcPr>
            <w:tcW w:w="8320" w:type="dxa"/>
            <w:vAlign w:val="bottom"/>
            <w:shd w:val="clear" w:color="auto" w:fill="CCEEFF"/>
          </w:tcPr>
          <w:p>
            <w:pPr>
              <w:spacing w:after="0"/>
              <w:rPr>
                <w:sz w:val="20"/>
                <w:szCs w:val="20"/>
                <w:color w:val="auto"/>
              </w:rPr>
            </w:pPr>
            <w:r>
              <w:rPr>
                <w:rFonts w:ascii="Arial" w:cs="Arial" w:eastAsia="Arial" w:hAnsi="Arial"/>
                <w:sz w:val="15"/>
                <w:szCs w:val="15"/>
                <w:color w:val="auto"/>
              </w:rPr>
              <w:t>Other losses, net</w:t>
            </w: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(1,203)</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5"/>
                <w:szCs w:val="15"/>
                <w:color w:val="auto"/>
              </w:rPr>
              <w:t>Total Reorganization gains, net</w:t>
            </w: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20" w:type="dxa"/>
            <w:vAlign w:val="bottom"/>
            <w:vMerge w:val="continue"/>
          </w:tcPr>
          <w:p>
            <w:pPr>
              <w:spacing w:after="0"/>
              <w:rPr>
                <w:sz w:val="16"/>
                <w:szCs w:val="16"/>
                <w:color w:val="auto"/>
              </w:rPr>
            </w:pPr>
          </w:p>
        </w:tc>
        <w:tc>
          <w:tcPr>
            <w:tcW w:w="2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128,155</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5680"/>
              <w:spacing w:after="0"/>
              <w:rPr>
                <w:sz w:val="20"/>
                <w:szCs w:val="20"/>
                <w:color w:val="auto"/>
              </w:rPr>
            </w:pPr>
            <w:r>
              <w:rPr>
                <w:rFonts w:ascii="Arial" w:cs="Arial" w:eastAsia="Arial" w:hAnsi="Arial"/>
                <w:sz w:val="15"/>
                <w:szCs w:val="15"/>
                <w:color w:val="auto"/>
              </w:rPr>
              <w:t>7</w:t>
            </w: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320" w:type="dxa"/>
            <w:vAlign w:val="bottom"/>
            <w:vMerge w:val="continue"/>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57" w:right="219" w:bottom="1440" w:gutter="0" w:footer="0" w:header="0"/>
        </w:sectPr>
      </w:pPr>
    </w:p>
    <w:bookmarkStart w:id="13" w:name="page14"/>
    <w:bookmarkEnd w:id="13"/>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224790</wp:posOffset>
            </wp:positionH>
            <wp:positionV relativeFrom="page">
              <wp:posOffset>164465</wp:posOffset>
            </wp:positionV>
            <wp:extent cx="4261485" cy="5438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4261485" cy="5438140"/>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80"/>
        <w:spacing w:after="0"/>
        <w:rPr>
          <w:sz w:val="20"/>
          <w:szCs w:val="20"/>
          <w:color w:val="auto"/>
        </w:rPr>
      </w:pPr>
      <w:r>
        <w:rPr>
          <w:rFonts w:ascii="Arial" w:cs="Arial" w:eastAsia="Arial" w:hAnsi="Arial"/>
          <w:sz w:val="43"/>
          <w:szCs w:val="43"/>
          <w:b w:val="1"/>
          <w:bCs w:val="1"/>
          <w:color w:val="auto"/>
        </w:rPr>
        <w:t>General Motors Company</w:t>
      </w:r>
    </w:p>
    <w:p>
      <w:pPr>
        <w:spacing w:after="0" w:line="292" w:lineRule="exact"/>
        <w:rPr>
          <w:sz w:val="20"/>
          <w:szCs w:val="20"/>
          <w:color w:val="auto"/>
        </w:rPr>
      </w:pPr>
    </w:p>
    <w:p>
      <w:pPr>
        <w:ind w:left="3560"/>
        <w:spacing w:after="0"/>
        <w:rPr>
          <w:sz w:val="20"/>
          <w:szCs w:val="20"/>
          <w:color w:val="auto"/>
        </w:rPr>
      </w:pPr>
      <w:r>
        <w:rPr>
          <w:rFonts w:ascii="Arial" w:cs="Arial" w:eastAsia="Arial" w:hAnsi="Arial"/>
          <w:sz w:val="38"/>
          <w:szCs w:val="38"/>
          <w:color w:val="auto"/>
        </w:rPr>
        <w:t>April 7, 2010</w:t>
      </w:r>
    </w:p>
    <w:p>
      <w:pPr>
        <w:sectPr>
          <w:pgSz w:w="11900" w:h="16838" w:orient="portrait"/>
          <w:cols w:equalWidth="0" w:num="1">
            <w:col w:w="10200"/>
          </w:cols>
          <w:pgMar w:left="1440" w:top="314" w:right="259" w:bottom="1440" w:gutter="0" w:footer="0" w:header="0"/>
        </w:sectPr>
      </w:pPr>
    </w:p>
    <w:bookmarkStart w:id="14" w:name="page15"/>
    <w:bookmarkEnd w:id="14"/>
    <w:p>
      <w:pPr>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51663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3770" cy="5166360"/>
                    </a:xfrm>
                    <a:prstGeom prst="rect">
                      <a:avLst/>
                    </a:prstGeom>
                    <a:noFill/>
                  </pic:spPr>
                </pic:pic>
              </a:graphicData>
            </a:graphic>
          </wp:anchor>
        </w:drawing>
        <w:t>Forward Looking Statements</w:t>
      </w:r>
    </w:p>
    <w:p>
      <w:pPr>
        <w:spacing w:after="0" w:line="200" w:lineRule="exact"/>
        <w:rPr>
          <w:sz w:val="20"/>
          <w:szCs w:val="20"/>
          <w:color w:val="auto"/>
        </w:rPr>
      </w:pPr>
    </w:p>
    <w:p>
      <w:pPr>
        <w:spacing w:after="0" w:line="303" w:lineRule="exact"/>
        <w:rPr>
          <w:sz w:val="20"/>
          <w:szCs w:val="20"/>
          <w:color w:val="auto"/>
        </w:rPr>
      </w:pPr>
    </w:p>
    <w:p>
      <w:pPr>
        <w:ind w:left="540" w:right="1180"/>
        <w:spacing w:after="0" w:line="235" w:lineRule="auto"/>
        <w:rPr>
          <w:sz w:val="20"/>
          <w:szCs w:val="20"/>
          <w:color w:val="auto"/>
        </w:rPr>
      </w:pPr>
      <w:r>
        <w:rPr>
          <w:rFonts w:ascii="Arial" w:cs="Arial" w:eastAsia="Arial" w:hAnsi="Arial"/>
          <w:sz w:val="23"/>
          <w:szCs w:val="23"/>
          <w:i w:val="1"/>
          <w:iCs w:val="1"/>
          <w:color w:val="auto"/>
        </w:rPr>
        <w:t>In this presentation and in related comments by our management, our use of the words “expect,” “anticipate,” “possible,” “potential,” “believe,” “intend,” “target,”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w:t>
      </w:r>
    </w:p>
    <w:p>
      <w:pPr>
        <w:spacing w:after="0" w:line="221" w:lineRule="exact"/>
        <w:rPr>
          <w:sz w:val="20"/>
          <w:szCs w:val="20"/>
          <w:color w:val="auto"/>
        </w:rPr>
      </w:pPr>
    </w:p>
    <w:p>
      <w:pPr>
        <w:ind w:left="540" w:right="1200"/>
        <w:spacing w:after="0" w:line="234" w:lineRule="auto"/>
        <w:rPr>
          <w:sz w:val="20"/>
          <w:szCs w:val="20"/>
          <w:color w:val="auto"/>
        </w:rPr>
      </w:pPr>
      <w:r>
        <w:rPr>
          <w:rFonts w:ascii="Arial" w:cs="Arial" w:eastAsia="Arial" w:hAnsi="Arial"/>
          <w:sz w:val="23"/>
          <w:szCs w:val="23"/>
          <w:i w:val="1"/>
          <w:iCs w:val="1"/>
          <w:color w:val="auto"/>
        </w:rPr>
        <w:t>Among other items, such factors might include: our ability to comply with the requirements of our credit agreements with the U.S. Treasury and EDC and to repay those agreements as planned;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planning significant investment in new technology, and our ability to realize successful vehicle applications of new technology.</w:t>
      </w:r>
    </w:p>
    <w:p>
      <w:pPr>
        <w:spacing w:after="0" w:line="213" w:lineRule="exact"/>
        <w:rPr>
          <w:sz w:val="20"/>
          <w:szCs w:val="20"/>
          <w:color w:val="auto"/>
        </w:rPr>
      </w:pPr>
    </w:p>
    <w:p>
      <w:pPr>
        <w:ind w:left="540" w:right="1480"/>
        <w:spacing w:after="0" w:line="246" w:lineRule="auto"/>
        <w:rPr>
          <w:sz w:val="20"/>
          <w:szCs w:val="20"/>
          <w:color w:val="auto"/>
        </w:rPr>
      </w:pPr>
      <w:r>
        <w:rPr>
          <w:rFonts w:ascii="Arial" w:cs="Arial" w:eastAsia="Arial" w:hAnsi="Arial"/>
          <w:sz w:val="23"/>
          <w:szCs w:val="23"/>
          <w:i w:val="1"/>
          <w:iCs w:val="1"/>
          <w:color w:val="auto"/>
        </w:rPr>
        <w:t>Our most recent annual report on Form 10-K provides information about these and other factors, which may be revised or supplemented in future reports to the SEC on Form 10-Q or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w:t>
      </w:r>
    </w:p>
    <w:p>
      <w:pPr>
        <w:sectPr>
          <w:pgSz w:w="11900" w:h="16838" w:orient="portrait"/>
          <w:cols w:equalWidth="0" w:num="1">
            <w:col w:w="9380"/>
          </w:cols>
          <w:pgMar w:left="1440" w:top="529" w:right="1079" w:bottom="1440" w:gutter="0" w:footer="0" w:header="0"/>
        </w:sectPr>
      </w:pPr>
    </w:p>
    <w:bookmarkStart w:id="15" w:name="page16"/>
    <w:bookmarkEnd w:id="15"/>
    <w:p>
      <w:pPr>
        <w:ind w:left="46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51663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3770" cy="5166360"/>
                    </a:xfrm>
                    <a:prstGeom prst="rect">
                      <a:avLst/>
                    </a:prstGeom>
                    <a:noFill/>
                  </pic:spPr>
                </pic:pic>
              </a:graphicData>
            </a:graphic>
          </wp:anchor>
        </w:drawing>
        <w:t>Vision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20"/>
        <w:spacing w:after="0"/>
        <w:rPr>
          <w:sz w:val="20"/>
          <w:szCs w:val="20"/>
          <w:color w:val="auto"/>
        </w:rPr>
      </w:pPr>
      <w:r>
        <w:rPr>
          <w:rFonts w:ascii="Arial" w:cs="Arial" w:eastAsia="Arial" w:hAnsi="Arial"/>
          <w:sz w:val="76"/>
          <w:szCs w:val="76"/>
          <w:b w:val="1"/>
          <w:bCs w:val="1"/>
          <w:i w:val="1"/>
          <w:iCs w:val="1"/>
          <w:color w:val="FFFFFF"/>
        </w:rPr>
        <w:t>Design, Build &amp; Sell</w:t>
      </w:r>
    </w:p>
    <w:p>
      <w:pPr>
        <w:spacing w:after="0" w:line="326" w:lineRule="exact"/>
        <w:rPr>
          <w:sz w:val="20"/>
          <w:szCs w:val="20"/>
          <w:color w:val="auto"/>
        </w:rPr>
      </w:pPr>
    </w:p>
    <w:p>
      <w:pPr>
        <w:jc w:val="center"/>
        <w:ind w:right="680"/>
        <w:spacing w:after="0"/>
        <w:rPr>
          <w:sz w:val="20"/>
          <w:szCs w:val="20"/>
          <w:color w:val="auto"/>
        </w:rPr>
      </w:pPr>
      <w:r>
        <w:rPr>
          <w:rFonts w:ascii="Arial" w:cs="Arial" w:eastAsia="Arial" w:hAnsi="Arial"/>
          <w:sz w:val="75"/>
          <w:szCs w:val="75"/>
          <w:b w:val="1"/>
          <w:bCs w:val="1"/>
          <w:i w:val="1"/>
          <w:iCs w:val="1"/>
          <w:color w:val="FFFFFF"/>
        </w:rPr>
        <w:t>the World’s Best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2</w:t>
      </w:r>
    </w:p>
    <w:p>
      <w:pPr>
        <w:sectPr>
          <w:pgSz w:w="11900" w:h="16838" w:orient="portrait"/>
          <w:cols w:equalWidth="0" w:num="1">
            <w:col w:w="9920"/>
          </w:cols>
          <w:pgMar w:left="920" w:top="470" w:right="1059" w:bottom="1440" w:gutter="0" w:footer="0" w:header="0"/>
        </w:sectPr>
      </w:pPr>
    </w:p>
    <w:bookmarkStart w:id="16" w:name="page17"/>
    <w:bookmarkEnd w:id="16"/>
    <w:p>
      <w:pPr>
        <w:ind w:left="78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3770" cy="35560"/>
                    </a:xfrm>
                    <a:prstGeom prst="rect">
                      <a:avLst/>
                    </a:prstGeom>
                    <a:noFill/>
                  </pic:spPr>
                </pic:pic>
              </a:graphicData>
            </a:graphic>
          </wp:anchor>
        </w:drawing>
        <w:t>Key 2010 CY Launches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20"/>
        <w:spacing w:after="0"/>
        <w:tabs>
          <w:tab w:leader="none" w:pos="4300" w:val="left"/>
          <w:tab w:leader="none" w:pos="7060" w:val="left"/>
        </w:tabs>
        <w:rPr>
          <w:sz w:val="20"/>
          <w:szCs w:val="20"/>
          <w:color w:val="auto"/>
        </w:rPr>
      </w:pPr>
      <w:r>
        <w:rPr>
          <w:rFonts w:ascii="Arial" w:cs="Arial" w:eastAsia="Arial" w:hAnsi="Arial"/>
          <w:sz w:val="20"/>
          <w:szCs w:val="20"/>
          <w:b w:val="1"/>
          <w:bCs w:val="1"/>
          <w:color w:val="FFFFFF"/>
        </w:rPr>
        <w:t>2011 Chevy Cruze</w:t>
      </w:r>
      <w:r>
        <w:rPr>
          <w:sz w:val="20"/>
          <w:szCs w:val="20"/>
          <w:color w:val="auto"/>
        </w:rPr>
        <w:tab/>
      </w:r>
      <w:r>
        <w:rPr>
          <w:rFonts w:ascii="Arial" w:cs="Arial" w:eastAsia="Arial" w:hAnsi="Arial"/>
          <w:sz w:val="20"/>
          <w:szCs w:val="20"/>
          <w:b w:val="1"/>
          <w:bCs w:val="1"/>
          <w:color w:val="FFFFFF"/>
        </w:rPr>
        <w:t>2011 Buick Regal</w:t>
      </w:r>
      <w:r>
        <w:rPr>
          <w:sz w:val="20"/>
          <w:szCs w:val="20"/>
          <w:color w:val="auto"/>
        </w:rPr>
        <w:tab/>
      </w:r>
      <w:r>
        <w:rPr>
          <w:rFonts w:ascii="Arial" w:cs="Arial" w:eastAsia="Arial" w:hAnsi="Arial"/>
          <w:sz w:val="20"/>
          <w:szCs w:val="20"/>
          <w:b w:val="1"/>
          <w:bCs w:val="1"/>
          <w:color w:val="FFFFFF"/>
        </w:rPr>
        <w:t>2011 Chevy Volt</w:t>
      </w:r>
    </w:p>
    <w:p>
      <w:pPr>
        <w:spacing w:after="0" w:line="347"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GMNA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520"/>
        <w:spacing w:after="0"/>
        <w:tabs>
          <w:tab w:leader="none" w:pos="4280" w:val="left"/>
          <w:tab w:leader="none" w:pos="7020" w:val="left"/>
        </w:tabs>
        <w:rPr>
          <w:sz w:val="20"/>
          <w:szCs w:val="20"/>
          <w:color w:val="auto"/>
        </w:rPr>
      </w:pPr>
      <w:r>
        <w:rPr>
          <w:rFonts w:ascii="Arial" w:cs="Arial" w:eastAsia="Arial" w:hAnsi="Arial"/>
          <w:sz w:val="20"/>
          <w:szCs w:val="20"/>
          <w:b w:val="1"/>
          <w:bCs w:val="1"/>
          <w:color w:val="FFFFFF"/>
        </w:rPr>
        <w:t>2011 Opel Meriva</w:t>
      </w:r>
      <w:r>
        <w:rPr>
          <w:sz w:val="20"/>
          <w:szCs w:val="20"/>
          <w:color w:val="auto"/>
        </w:rPr>
        <w:tab/>
      </w:r>
      <w:r>
        <w:rPr>
          <w:rFonts w:ascii="Arial" w:cs="Arial" w:eastAsia="Arial" w:hAnsi="Arial"/>
          <w:sz w:val="40"/>
          <w:szCs w:val="40"/>
          <w:b w:val="1"/>
          <w:bCs w:val="1"/>
          <w:color w:val="FFFFFF"/>
          <w:vertAlign w:val="superscript"/>
        </w:rPr>
        <w:t>2011 Opel Astra Wagon</w:t>
      </w:r>
      <w:r>
        <w:rPr>
          <w:sz w:val="20"/>
          <w:szCs w:val="20"/>
          <w:color w:val="auto"/>
        </w:rPr>
        <w:tab/>
      </w:r>
      <w:r>
        <w:rPr>
          <w:rFonts w:ascii="Arial" w:cs="Arial" w:eastAsia="Arial" w:hAnsi="Arial"/>
          <w:sz w:val="20"/>
          <w:szCs w:val="20"/>
          <w:b w:val="1"/>
          <w:bCs w:val="1"/>
          <w:color w:val="FFFFFF"/>
        </w:rPr>
        <w:t>2011 Chevy Orlando</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FFFFFF"/>
        </w:rPr>
        <w:t>GME</w:t>
      </w:r>
    </w:p>
    <w:p>
      <w:pPr>
        <w:ind w:left="4760"/>
        <w:spacing w:after="0"/>
        <w:rPr>
          <w:sz w:val="20"/>
          <w:szCs w:val="20"/>
          <w:color w:val="auto"/>
        </w:rPr>
      </w:pPr>
      <w:r>
        <w:rPr>
          <w:rFonts w:ascii="Arial" w:cs="Arial" w:eastAsia="Arial" w:hAnsi="Arial"/>
          <w:sz w:val="25"/>
          <w:szCs w:val="25"/>
          <w:i w:val="1"/>
          <w:iCs w:val="1"/>
          <w:color w:val="auto"/>
        </w:rPr>
        <w:t>Coming Soon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520"/>
        <w:spacing w:after="0"/>
        <w:tabs>
          <w:tab w:leader="none" w:pos="4300" w:val="left"/>
          <w:tab w:leader="none" w:pos="7040" w:val="left"/>
        </w:tabs>
        <w:rPr>
          <w:sz w:val="20"/>
          <w:szCs w:val="20"/>
          <w:color w:val="auto"/>
        </w:rPr>
      </w:pPr>
      <w:r>
        <w:rPr>
          <w:rFonts w:ascii="Arial" w:cs="Arial" w:eastAsia="Arial" w:hAnsi="Arial"/>
          <w:sz w:val="20"/>
          <w:szCs w:val="20"/>
          <w:b w:val="1"/>
          <w:bCs w:val="1"/>
          <w:color w:val="FFFFFF"/>
        </w:rPr>
        <w:t>2011 Chevy Sail</w:t>
      </w:r>
      <w:r>
        <w:rPr>
          <w:sz w:val="20"/>
          <w:szCs w:val="20"/>
          <w:color w:val="auto"/>
        </w:rPr>
        <w:tab/>
      </w:r>
      <w:r>
        <w:rPr>
          <w:rFonts w:ascii="Arial" w:cs="Arial" w:eastAsia="Arial" w:hAnsi="Arial"/>
          <w:sz w:val="20"/>
          <w:szCs w:val="20"/>
          <w:b w:val="1"/>
          <w:bCs w:val="1"/>
          <w:color w:val="FFFFFF"/>
        </w:rPr>
        <w:t>2011 Buick Excelle</w:t>
      </w:r>
      <w:r>
        <w:rPr>
          <w:sz w:val="20"/>
          <w:szCs w:val="20"/>
          <w:color w:val="auto"/>
        </w:rPr>
        <w:tab/>
      </w:r>
      <w:r>
        <w:rPr>
          <w:rFonts w:ascii="Arial" w:cs="Arial" w:eastAsia="Arial" w:hAnsi="Arial"/>
          <w:sz w:val="20"/>
          <w:szCs w:val="20"/>
          <w:b w:val="1"/>
          <w:bCs w:val="1"/>
          <w:color w:val="FFFFFF"/>
        </w:rPr>
        <w:t>2011 Chevy Spark</w:t>
      </w:r>
    </w:p>
    <w:p>
      <w:pPr>
        <w:spacing w:after="0" w:line="264" w:lineRule="exact"/>
        <w:rPr>
          <w:sz w:val="20"/>
          <w:szCs w:val="20"/>
          <w:color w:val="auto"/>
        </w:rPr>
      </w:pPr>
    </w:p>
    <w:p>
      <w:pPr>
        <w:ind w:left="80"/>
        <w:spacing w:after="0"/>
        <w:rPr>
          <w:sz w:val="20"/>
          <w:szCs w:val="20"/>
          <w:color w:val="auto"/>
        </w:rPr>
      </w:pPr>
      <w:r>
        <w:rPr>
          <w:rFonts w:ascii="Arial" w:cs="Arial" w:eastAsia="Arial" w:hAnsi="Arial"/>
          <w:sz w:val="32"/>
          <w:szCs w:val="32"/>
          <w:b w:val="1"/>
          <w:bCs w:val="1"/>
          <w:color w:val="FFFFFF"/>
        </w:rPr>
        <w:t>GMIO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3</w:t>
      </w:r>
    </w:p>
    <w:p>
      <w:pPr>
        <w:sectPr>
          <w:pgSz w:w="11900" w:h="16838" w:orient="portrait"/>
          <w:cols w:equalWidth="0" w:num="1">
            <w:col w:w="10160"/>
          </w:cols>
          <w:pgMar w:left="660" w:top="529" w:right="1079" w:bottom="1440" w:gutter="0" w:footer="0" w:header="0"/>
        </w:sectPr>
      </w:pPr>
    </w:p>
    <w:bookmarkStart w:id="17" w:name="page18"/>
    <w:bookmarkEnd w:id="17"/>
    <w:p>
      <w:pPr>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51663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3770" cy="5166360"/>
                    </a:xfrm>
                    <a:prstGeom prst="rect">
                      <a:avLst/>
                    </a:prstGeom>
                    <a:noFill/>
                  </pic:spPr>
                </pic:pic>
              </a:graphicData>
            </a:graphic>
          </wp:anchor>
        </w:drawing>
        <w:t>Rebuild First Class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5800" w:val="left"/>
        </w:tabs>
        <w:rPr>
          <w:sz w:val="20"/>
          <w:szCs w:val="20"/>
          <w:color w:val="auto"/>
        </w:rPr>
      </w:pPr>
      <w:r>
        <w:rPr>
          <w:rFonts w:ascii="Arial" w:cs="Arial" w:eastAsia="Arial" w:hAnsi="Arial"/>
          <w:sz w:val="38"/>
          <w:szCs w:val="38"/>
          <w:b w:val="1"/>
          <w:bCs w:val="1"/>
          <w:color w:val="FFFFFF"/>
        </w:rPr>
        <w:t>Customers</w:t>
      </w:r>
      <w:r>
        <w:rPr>
          <w:sz w:val="20"/>
          <w:szCs w:val="20"/>
          <w:color w:val="auto"/>
        </w:rPr>
        <w:tab/>
      </w:r>
      <w:r>
        <w:rPr>
          <w:rFonts w:ascii="Arial" w:cs="Arial" w:eastAsia="Arial" w:hAnsi="Arial"/>
          <w:sz w:val="38"/>
          <w:szCs w:val="38"/>
          <w:b w:val="1"/>
          <w:bCs w:val="1"/>
          <w:color w:val="FFFFFF"/>
        </w:rPr>
        <w:t>Dealers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0"/>
        <w:spacing w:after="0"/>
        <w:tabs>
          <w:tab w:leader="none" w:pos="5120" w:val="left"/>
        </w:tabs>
        <w:rPr>
          <w:sz w:val="20"/>
          <w:szCs w:val="20"/>
          <w:color w:val="auto"/>
        </w:rPr>
      </w:pPr>
      <w:r>
        <w:rPr>
          <w:rFonts w:ascii="Arial" w:cs="Arial" w:eastAsia="Arial" w:hAnsi="Arial"/>
          <w:sz w:val="38"/>
          <w:szCs w:val="38"/>
          <w:b w:val="1"/>
          <w:bCs w:val="1"/>
          <w:color w:val="FFFFFF"/>
        </w:rPr>
        <w:t>Communities</w:t>
      </w:r>
      <w:r>
        <w:rPr>
          <w:sz w:val="20"/>
          <w:szCs w:val="20"/>
          <w:color w:val="auto"/>
        </w:rPr>
        <w:tab/>
      </w:r>
      <w:r>
        <w:rPr>
          <w:rFonts w:ascii="Arial" w:cs="Arial" w:eastAsia="Arial" w:hAnsi="Arial"/>
          <w:sz w:val="38"/>
          <w:szCs w:val="38"/>
          <w:b w:val="1"/>
          <w:bCs w:val="1"/>
          <w:color w:val="FFFFFF"/>
        </w:rPr>
        <w:t>Union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
        <w:spacing w:after="0"/>
        <w:tabs>
          <w:tab w:leader="none" w:pos="5600" w:val="left"/>
        </w:tabs>
        <w:rPr>
          <w:sz w:val="20"/>
          <w:szCs w:val="20"/>
          <w:color w:val="auto"/>
        </w:rPr>
      </w:pPr>
      <w:r>
        <w:rPr>
          <w:rFonts w:ascii="Arial" w:cs="Arial" w:eastAsia="Arial" w:hAnsi="Arial"/>
          <w:sz w:val="38"/>
          <w:szCs w:val="38"/>
          <w:b w:val="1"/>
          <w:bCs w:val="1"/>
          <w:color w:val="FFFFFF"/>
        </w:rPr>
        <w:t>Employees</w:t>
      </w:r>
      <w:r>
        <w:rPr>
          <w:sz w:val="20"/>
          <w:szCs w:val="20"/>
          <w:color w:val="auto"/>
        </w:rPr>
        <w:tab/>
      </w:r>
      <w:r>
        <w:rPr>
          <w:rFonts w:ascii="Arial" w:cs="Arial" w:eastAsia="Arial" w:hAnsi="Arial"/>
          <w:sz w:val="38"/>
          <w:szCs w:val="38"/>
          <w:b w:val="1"/>
          <w:bCs w:val="1"/>
          <w:color w:val="FFFFFF"/>
        </w:rPr>
        <w:t>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4</w:t>
      </w:r>
    </w:p>
    <w:p>
      <w:pPr>
        <w:sectPr>
          <w:pgSz w:w="11900" w:h="16838" w:orient="portrait"/>
          <w:cols w:equalWidth="0" w:num="1">
            <w:col w:w="9380"/>
          </w:cols>
          <w:pgMar w:left="1440" w:top="529" w:right="1079" w:bottom="1440" w:gutter="0" w:footer="0" w:header="0"/>
        </w:sectPr>
      </w:pPr>
    </w:p>
    <w:bookmarkStart w:id="18" w:name="page19"/>
    <w:bookmarkEnd w:id="18"/>
    <w:p>
      <w:pPr>
        <w:ind w:left="86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51663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3770" cy="5166360"/>
                    </a:xfrm>
                    <a:prstGeom prst="rect">
                      <a:avLst/>
                    </a:prstGeom>
                    <a:noFill/>
                  </pic:spPr>
                </pic:pic>
              </a:graphicData>
            </a:graphic>
          </wp:anchor>
        </w:drawing>
        <w:t>Summary of 2009 Results</w:t>
      </w:r>
    </w:p>
    <w:p>
      <w:pPr>
        <w:spacing w:after="0" w:line="200" w:lineRule="exact"/>
        <w:rPr>
          <w:sz w:val="20"/>
          <w:szCs w:val="20"/>
          <w:color w:val="auto"/>
        </w:rPr>
      </w:pPr>
    </w:p>
    <w:p>
      <w:pPr>
        <w:spacing w:after="0" w:line="363" w:lineRule="exact"/>
        <w:rPr>
          <w:sz w:val="20"/>
          <w:szCs w:val="20"/>
          <w:color w:val="auto"/>
        </w:rPr>
      </w:pPr>
    </w:p>
    <w:p>
      <w:pPr>
        <w:ind w:left="1280"/>
        <w:spacing w:after="0"/>
        <w:rPr>
          <w:sz w:val="20"/>
          <w:szCs w:val="20"/>
          <w:color w:val="auto"/>
        </w:rPr>
      </w:pPr>
      <w:r>
        <w:rPr>
          <w:rFonts w:ascii="Arial" w:cs="Arial" w:eastAsia="Arial" w:hAnsi="Arial"/>
          <w:sz w:val="44"/>
          <w:szCs w:val="44"/>
          <w:b w:val="1"/>
          <w:bCs w:val="1"/>
          <w:color w:val="FFFFFF"/>
        </w:rPr>
        <w:t>Return to profitability a key priority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140" w:type="dxa"/>
        <w:tblCellMar>
          <w:top w:w="0" w:type="dxa"/>
          <w:left w:w="0" w:type="dxa"/>
          <w:bottom w:w="0" w:type="dxa"/>
          <w:right w:w="0" w:type="dxa"/>
        </w:tblCellMar>
      </w:tblPr>
      <w:tr>
        <w:trPr>
          <w:trHeight w:val="506"/>
        </w:trPr>
        <w:tc>
          <w:tcPr>
            <w:tcW w:w="4620" w:type="dxa"/>
            <w:vAlign w:val="bottom"/>
          </w:tcPr>
          <w:p>
            <w:pPr>
              <w:spacing w:after="0"/>
              <w:rPr>
                <w:sz w:val="24"/>
                <w:szCs w:val="24"/>
                <w:color w:val="auto"/>
              </w:rPr>
            </w:pPr>
          </w:p>
        </w:tc>
        <w:tc>
          <w:tcPr>
            <w:tcW w:w="1900" w:type="dxa"/>
            <w:vAlign w:val="bottom"/>
          </w:tcPr>
          <w:p>
            <w:pPr>
              <w:ind w:left="740"/>
              <w:spacing w:after="0"/>
              <w:rPr>
                <w:sz w:val="20"/>
                <w:szCs w:val="20"/>
                <w:color w:val="auto"/>
              </w:rPr>
            </w:pPr>
            <w:r>
              <w:rPr>
                <w:rFonts w:ascii="Arial" w:cs="Arial" w:eastAsia="Arial" w:hAnsi="Arial"/>
                <w:sz w:val="38"/>
                <w:szCs w:val="38"/>
                <w:b w:val="1"/>
                <w:bCs w:val="1"/>
                <w:color w:val="FFFFFF"/>
              </w:rPr>
              <w:t>Q4</w:t>
            </w:r>
          </w:p>
        </w:tc>
        <w:tc>
          <w:tcPr>
            <w:tcW w:w="3240" w:type="dxa"/>
            <w:vAlign w:val="bottom"/>
          </w:tcPr>
          <w:p>
            <w:pPr>
              <w:ind w:left="300"/>
              <w:spacing w:after="0"/>
              <w:rPr>
                <w:sz w:val="20"/>
                <w:szCs w:val="20"/>
                <w:color w:val="auto"/>
              </w:rPr>
            </w:pPr>
            <w:r>
              <w:rPr>
                <w:rFonts w:ascii="Arial" w:cs="Arial" w:eastAsia="Arial" w:hAnsi="Arial"/>
                <w:sz w:val="38"/>
                <w:szCs w:val="38"/>
                <w:b w:val="1"/>
                <w:bCs w:val="1"/>
                <w:color w:val="FFFFFF"/>
                <w:w w:val="99"/>
              </w:rPr>
              <w:t>July 10 – Dec 31</w:t>
            </w:r>
          </w:p>
        </w:tc>
        <w:tc>
          <w:tcPr>
            <w:tcW w:w="0" w:type="dxa"/>
            <w:vAlign w:val="bottom"/>
          </w:tcPr>
          <w:p>
            <w:pPr>
              <w:spacing w:after="0"/>
              <w:rPr>
                <w:sz w:val="1"/>
                <w:szCs w:val="1"/>
                <w:color w:val="auto"/>
              </w:rPr>
            </w:pPr>
          </w:p>
        </w:tc>
      </w:tr>
      <w:tr>
        <w:trPr>
          <w:trHeight w:val="772"/>
        </w:trPr>
        <w:tc>
          <w:tcPr>
            <w:tcW w:w="4620" w:type="dxa"/>
            <w:vAlign w:val="bottom"/>
          </w:tcPr>
          <w:p>
            <w:pPr>
              <w:spacing w:after="0"/>
              <w:rPr>
                <w:sz w:val="20"/>
                <w:szCs w:val="20"/>
                <w:color w:val="auto"/>
              </w:rPr>
            </w:pPr>
            <w:r>
              <w:rPr>
                <w:rFonts w:ascii="Arial" w:cs="Arial" w:eastAsia="Arial" w:hAnsi="Arial"/>
                <w:sz w:val="38"/>
                <w:szCs w:val="38"/>
                <w:color w:val="auto"/>
              </w:rPr>
              <w:t>Global Revenue</w:t>
            </w:r>
          </w:p>
        </w:tc>
        <w:tc>
          <w:tcPr>
            <w:tcW w:w="1900" w:type="dxa"/>
            <w:vAlign w:val="bottom"/>
          </w:tcPr>
          <w:p>
            <w:pPr>
              <w:jc w:val="center"/>
              <w:spacing w:after="0"/>
              <w:rPr>
                <w:sz w:val="20"/>
                <w:szCs w:val="20"/>
                <w:color w:val="auto"/>
              </w:rPr>
            </w:pPr>
            <w:r>
              <w:rPr>
                <w:rFonts w:ascii="Arial" w:cs="Arial" w:eastAsia="Arial" w:hAnsi="Arial"/>
                <w:sz w:val="38"/>
                <w:szCs w:val="38"/>
                <w:color w:val="auto"/>
                <w:w w:val="99"/>
              </w:rPr>
              <w:t>$32.3B</w:t>
            </w:r>
          </w:p>
        </w:tc>
        <w:tc>
          <w:tcPr>
            <w:tcW w:w="3240" w:type="dxa"/>
            <w:vAlign w:val="bottom"/>
          </w:tcPr>
          <w:p>
            <w:pPr>
              <w:jc w:val="center"/>
              <w:ind w:left="110"/>
              <w:spacing w:after="0"/>
              <w:rPr>
                <w:sz w:val="20"/>
                <w:szCs w:val="20"/>
                <w:color w:val="auto"/>
              </w:rPr>
            </w:pPr>
            <w:r>
              <w:rPr>
                <w:rFonts w:ascii="Arial" w:cs="Arial" w:eastAsia="Arial" w:hAnsi="Arial"/>
                <w:sz w:val="38"/>
                <w:szCs w:val="38"/>
                <w:color w:val="auto"/>
              </w:rPr>
              <w:t>$57.5B</w:t>
            </w:r>
          </w:p>
        </w:tc>
        <w:tc>
          <w:tcPr>
            <w:tcW w:w="0" w:type="dxa"/>
            <w:vAlign w:val="bottom"/>
          </w:tcPr>
          <w:p>
            <w:pPr>
              <w:spacing w:after="0"/>
              <w:rPr>
                <w:sz w:val="1"/>
                <w:szCs w:val="1"/>
                <w:color w:val="auto"/>
              </w:rPr>
            </w:pPr>
          </w:p>
        </w:tc>
      </w:tr>
      <w:tr>
        <w:trPr>
          <w:trHeight w:val="962"/>
        </w:trPr>
        <w:tc>
          <w:tcPr>
            <w:tcW w:w="4620" w:type="dxa"/>
            <w:vAlign w:val="bottom"/>
          </w:tcPr>
          <w:p>
            <w:pPr>
              <w:spacing w:after="0"/>
              <w:rPr>
                <w:sz w:val="20"/>
                <w:szCs w:val="20"/>
                <w:color w:val="auto"/>
              </w:rPr>
            </w:pPr>
            <w:r>
              <w:rPr>
                <w:rFonts w:ascii="Arial" w:cs="Arial" w:eastAsia="Arial" w:hAnsi="Arial"/>
                <w:sz w:val="38"/>
                <w:szCs w:val="38"/>
                <w:color w:val="auto"/>
              </w:rPr>
              <w:t>EBIT</w:t>
            </w:r>
          </w:p>
        </w:tc>
        <w:tc>
          <w:tcPr>
            <w:tcW w:w="1900" w:type="dxa"/>
            <w:vAlign w:val="bottom"/>
          </w:tcPr>
          <w:p>
            <w:pPr>
              <w:jc w:val="center"/>
              <w:spacing w:after="0"/>
              <w:rPr>
                <w:sz w:val="20"/>
                <w:szCs w:val="20"/>
                <w:color w:val="auto"/>
              </w:rPr>
            </w:pPr>
            <w:r>
              <w:rPr>
                <w:rFonts w:ascii="Arial" w:cs="Arial" w:eastAsia="Arial" w:hAnsi="Arial"/>
                <w:sz w:val="38"/>
                <w:szCs w:val="38"/>
                <w:color w:val="auto"/>
                <w:w w:val="99"/>
              </w:rPr>
              <w:t>$(4.0)B</w:t>
            </w:r>
          </w:p>
        </w:tc>
        <w:tc>
          <w:tcPr>
            <w:tcW w:w="3240" w:type="dxa"/>
            <w:vAlign w:val="bottom"/>
          </w:tcPr>
          <w:p>
            <w:pPr>
              <w:jc w:val="center"/>
              <w:ind w:left="90"/>
              <w:spacing w:after="0"/>
              <w:rPr>
                <w:sz w:val="20"/>
                <w:szCs w:val="20"/>
                <w:color w:val="auto"/>
              </w:rPr>
            </w:pPr>
            <w:r>
              <w:rPr>
                <w:rFonts w:ascii="Arial" w:cs="Arial" w:eastAsia="Arial" w:hAnsi="Arial"/>
                <w:sz w:val="38"/>
                <w:szCs w:val="38"/>
                <w:color w:val="auto"/>
                <w:w w:val="99"/>
              </w:rPr>
              <w:t>$(4.8)B</w:t>
            </w:r>
          </w:p>
        </w:tc>
        <w:tc>
          <w:tcPr>
            <w:tcW w:w="0" w:type="dxa"/>
            <w:vAlign w:val="bottom"/>
          </w:tcPr>
          <w:p>
            <w:pPr>
              <w:spacing w:after="0"/>
              <w:rPr>
                <w:sz w:val="1"/>
                <w:szCs w:val="1"/>
                <w:color w:val="auto"/>
              </w:rPr>
            </w:pPr>
          </w:p>
        </w:tc>
      </w:tr>
      <w:tr>
        <w:trPr>
          <w:trHeight w:val="891"/>
        </w:trPr>
        <w:tc>
          <w:tcPr>
            <w:tcW w:w="4620" w:type="dxa"/>
            <w:vAlign w:val="bottom"/>
          </w:tcPr>
          <w:p>
            <w:pPr>
              <w:spacing w:after="0"/>
              <w:rPr>
                <w:sz w:val="20"/>
                <w:szCs w:val="20"/>
                <w:color w:val="auto"/>
              </w:rPr>
            </w:pPr>
            <w:r>
              <w:rPr>
                <w:rFonts w:ascii="Arial" w:cs="Arial" w:eastAsia="Arial" w:hAnsi="Arial"/>
                <w:sz w:val="38"/>
                <w:szCs w:val="38"/>
                <w:color w:val="auto"/>
              </w:rPr>
              <w:t>Total Net Income/(Loss)</w:t>
            </w:r>
          </w:p>
        </w:tc>
        <w:tc>
          <w:tcPr>
            <w:tcW w:w="1900" w:type="dxa"/>
            <w:vAlign w:val="bottom"/>
          </w:tcPr>
          <w:p>
            <w:pPr>
              <w:jc w:val="center"/>
              <w:spacing w:after="0"/>
              <w:rPr>
                <w:sz w:val="20"/>
                <w:szCs w:val="20"/>
                <w:color w:val="auto"/>
              </w:rPr>
            </w:pPr>
            <w:r>
              <w:rPr>
                <w:rFonts w:ascii="Arial" w:cs="Arial" w:eastAsia="Arial" w:hAnsi="Arial"/>
                <w:sz w:val="38"/>
                <w:szCs w:val="38"/>
                <w:color w:val="auto"/>
                <w:w w:val="99"/>
              </w:rPr>
              <w:t>$(3.4)B</w:t>
            </w:r>
          </w:p>
        </w:tc>
        <w:tc>
          <w:tcPr>
            <w:tcW w:w="3240" w:type="dxa"/>
            <w:vAlign w:val="bottom"/>
          </w:tcPr>
          <w:p>
            <w:pPr>
              <w:jc w:val="center"/>
              <w:ind w:left="90"/>
              <w:spacing w:after="0"/>
              <w:rPr>
                <w:sz w:val="20"/>
                <w:szCs w:val="20"/>
                <w:color w:val="auto"/>
              </w:rPr>
            </w:pPr>
            <w:r>
              <w:rPr>
                <w:rFonts w:ascii="Arial" w:cs="Arial" w:eastAsia="Arial" w:hAnsi="Arial"/>
                <w:sz w:val="38"/>
                <w:szCs w:val="38"/>
                <w:color w:val="auto"/>
                <w:w w:val="99"/>
              </w:rPr>
              <w:t>$(4.3)B</w:t>
            </w:r>
          </w:p>
        </w:tc>
        <w:tc>
          <w:tcPr>
            <w:tcW w:w="0" w:type="dxa"/>
            <w:vAlign w:val="bottom"/>
          </w:tcPr>
          <w:p>
            <w:pPr>
              <w:spacing w:after="0"/>
              <w:rPr>
                <w:sz w:val="1"/>
                <w:szCs w:val="1"/>
                <w:color w:val="auto"/>
              </w:rPr>
            </w:pPr>
          </w:p>
        </w:tc>
      </w:tr>
      <w:tr>
        <w:trPr>
          <w:trHeight w:val="701"/>
        </w:trPr>
        <w:tc>
          <w:tcPr>
            <w:tcW w:w="4620" w:type="dxa"/>
            <w:vAlign w:val="bottom"/>
          </w:tcPr>
          <w:p>
            <w:pPr>
              <w:spacing w:after="0"/>
              <w:rPr>
                <w:sz w:val="20"/>
                <w:szCs w:val="20"/>
                <w:color w:val="auto"/>
              </w:rPr>
            </w:pPr>
            <w:r>
              <w:rPr>
                <w:rFonts w:ascii="Arial" w:cs="Arial" w:eastAsia="Arial" w:hAnsi="Arial"/>
                <w:sz w:val="38"/>
                <w:szCs w:val="38"/>
                <w:color w:val="auto"/>
              </w:rPr>
              <w:t>Net cash provided/(used)</w:t>
            </w:r>
          </w:p>
        </w:tc>
        <w:tc>
          <w:tcPr>
            <w:tcW w:w="1900" w:type="dxa"/>
            <w:vAlign w:val="bottom"/>
            <w:vMerge w:val="restart"/>
          </w:tcPr>
          <w:p>
            <w:pPr>
              <w:jc w:val="center"/>
              <w:spacing w:after="0"/>
              <w:rPr>
                <w:sz w:val="20"/>
                <w:szCs w:val="20"/>
                <w:color w:val="auto"/>
              </w:rPr>
            </w:pPr>
            <w:r>
              <w:rPr>
                <w:rFonts w:ascii="Arial" w:cs="Arial" w:eastAsia="Arial" w:hAnsi="Arial"/>
                <w:sz w:val="38"/>
                <w:szCs w:val="38"/>
                <w:color w:val="auto"/>
                <w:w w:val="99"/>
              </w:rPr>
              <w:t>(1.9)</w:t>
            </w:r>
          </w:p>
        </w:tc>
        <w:tc>
          <w:tcPr>
            <w:tcW w:w="3240" w:type="dxa"/>
            <w:vAlign w:val="bottom"/>
            <w:vMerge w:val="restart"/>
          </w:tcPr>
          <w:p>
            <w:pPr>
              <w:jc w:val="center"/>
              <w:ind w:left="130"/>
              <w:spacing w:after="0"/>
              <w:rPr>
                <w:sz w:val="20"/>
                <w:szCs w:val="20"/>
                <w:color w:val="auto"/>
              </w:rPr>
            </w:pPr>
            <w:r>
              <w:rPr>
                <w:rFonts w:ascii="Arial" w:cs="Arial" w:eastAsia="Arial" w:hAnsi="Arial"/>
                <w:sz w:val="38"/>
                <w:szCs w:val="38"/>
                <w:color w:val="auto"/>
                <w:w w:val="98"/>
              </w:rPr>
              <w:t>1.0</w:t>
            </w:r>
          </w:p>
        </w:tc>
        <w:tc>
          <w:tcPr>
            <w:tcW w:w="0" w:type="dxa"/>
            <w:vAlign w:val="bottom"/>
          </w:tcPr>
          <w:p>
            <w:pPr>
              <w:spacing w:after="0"/>
              <w:rPr>
                <w:sz w:val="1"/>
                <w:szCs w:val="1"/>
                <w:color w:val="auto"/>
              </w:rPr>
            </w:pPr>
          </w:p>
        </w:tc>
      </w:tr>
      <w:tr>
        <w:trPr>
          <w:trHeight w:val="226"/>
        </w:trPr>
        <w:tc>
          <w:tcPr>
            <w:tcW w:w="4620" w:type="dxa"/>
            <w:vAlign w:val="bottom"/>
            <w:vMerge w:val="restart"/>
          </w:tcPr>
          <w:p>
            <w:pPr>
              <w:spacing w:after="0"/>
              <w:rPr>
                <w:sz w:val="20"/>
                <w:szCs w:val="20"/>
                <w:color w:val="auto"/>
              </w:rPr>
            </w:pPr>
            <w:r>
              <w:rPr>
                <w:rFonts w:ascii="Arial" w:cs="Arial" w:eastAsia="Arial" w:hAnsi="Arial"/>
                <w:sz w:val="38"/>
                <w:szCs w:val="38"/>
                <w:color w:val="auto"/>
              </w:rPr>
              <w:t>operating activities</w:t>
            </w:r>
          </w:p>
        </w:tc>
        <w:tc>
          <w:tcPr>
            <w:tcW w:w="1900" w:type="dxa"/>
            <w:vAlign w:val="bottom"/>
            <w:vMerge w:val="continue"/>
          </w:tcPr>
          <w:p>
            <w:pPr>
              <w:spacing w:after="0"/>
              <w:rPr>
                <w:sz w:val="19"/>
                <w:szCs w:val="19"/>
                <w:color w:val="auto"/>
              </w:rPr>
            </w:pPr>
          </w:p>
        </w:tc>
        <w:tc>
          <w:tcPr>
            <w:tcW w:w="3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20" w:type="dxa"/>
            <w:vAlign w:val="bottom"/>
            <w:vMerge w:val="continue"/>
          </w:tcPr>
          <w:p>
            <w:pPr>
              <w:spacing w:after="0"/>
              <w:rPr>
                <w:sz w:val="20"/>
                <w:szCs w:val="20"/>
                <w:color w:val="auto"/>
              </w:rPr>
            </w:pPr>
          </w:p>
        </w:tc>
        <w:tc>
          <w:tcPr>
            <w:tcW w:w="19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7"/>
          <w:szCs w:val="27"/>
          <w:i w:val="1"/>
          <w:iCs w:val="1"/>
          <w:color w:val="auto"/>
        </w:rPr>
        <w:t>Memo: Total net income/(loss) excludes preferred dividends</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5</w:t>
      </w:r>
    </w:p>
    <w:p>
      <w:pPr>
        <w:sectPr>
          <w:pgSz w:w="11900" w:h="16838" w:orient="portrait"/>
          <w:cols w:equalWidth="0" w:num="1">
            <w:col w:w="10240"/>
          </w:cols>
          <w:pgMar w:left="580" w:top="565" w:right="1079" w:bottom="1440" w:gutter="0" w:footer="0" w:header="0"/>
        </w:sectPr>
      </w:pPr>
    </w:p>
    <w:bookmarkStart w:id="19" w:name="page20"/>
    <w:bookmarkEnd w:id="19"/>
    <w:p>
      <w:pPr>
        <w:ind w:left="122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51663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3770" cy="5166360"/>
                    </a:xfrm>
                    <a:prstGeom prst="rect">
                      <a:avLst/>
                    </a:prstGeom>
                    <a:noFill/>
                  </pic:spPr>
                </pic:pic>
              </a:graphicData>
            </a:graphic>
          </wp:anchor>
        </w:drawing>
        <w:t>Q4 2009 EBIT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20"/>
        <w:spacing w:after="0"/>
        <w:rPr>
          <w:sz w:val="20"/>
          <w:szCs w:val="20"/>
          <w:color w:val="auto"/>
        </w:rPr>
      </w:pPr>
      <w:r>
        <w:rPr>
          <w:rFonts w:ascii="Arial" w:cs="Arial" w:eastAsia="Arial" w:hAnsi="Arial"/>
          <w:sz w:val="25"/>
          <w:szCs w:val="25"/>
          <w:b w:val="1"/>
          <w:bCs w:val="1"/>
          <w:color w:val="auto"/>
        </w:rPr>
        <w:t>($M)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Memo: Old GM EBIT</w:t>
      </w:r>
    </w:p>
    <w:p>
      <w:pPr>
        <w:spacing w:after="0" w:line="230" w:lineRule="exact"/>
        <w:rPr>
          <w:sz w:val="20"/>
          <w:szCs w:val="20"/>
          <w:color w:val="auto"/>
        </w:rPr>
      </w:pPr>
    </w:p>
    <w:p>
      <w:pPr>
        <w:ind w:left="80"/>
        <w:spacing w:after="0"/>
        <w:tabs>
          <w:tab w:leader="none" w:pos="1480" w:val="left"/>
          <w:tab w:leader="none" w:pos="3340" w:val="left"/>
          <w:tab w:leader="none" w:pos="5280" w:val="left"/>
          <w:tab w:leader="none" w:pos="7320" w:val="left"/>
          <w:tab w:leader="none" w:pos="9040" w:val="left"/>
        </w:tabs>
        <w:rPr>
          <w:sz w:val="20"/>
          <w:szCs w:val="20"/>
          <w:color w:val="auto"/>
        </w:rPr>
      </w:pPr>
      <w:r>
        <w:rPr>
          <w:rFonts w:ascii="Arial" w:cs="Arial" w:eastAsia="Arial" w:hAnsi="Arial"/>
          <w:sz w:val="25"/>
          <w:szCs w:val="25"/>
          <w:color w:val="auto"/>
        </w:rPr>
        <w:t>Q4 2008</w:t>
      </w:r>
      <w:r>
        <w:rPr>
          <w:sz w:val="20"/>
          <w:szCs w:val="20"/>
          <w:color w:val="auto"/>
        </w:rPr>
        <w:tab/>
      </w:r>
      <w:r>
        <w:rPr>
          <w:rFonts w:ascii="Arial" w:cs="Arial" w:eastAsia="Arial" w:hAnsi="Arial"/>
          <w:sz w:val="25"/>
          <w:szCs w:val="25"/>
          <w:color w:val="auto"/>
        </w:rPr>
        <w:t>(3,403)</w:t>
      </w:r>
      <w:r>
        <w:rPr>
          <w:sz w:val="20"/>
          <w:szCs w:val="20"/>
          <w:color w:val="auto"/>
        </w:rPr>
        <w:tab/>
      </w:r>
      <w:r>
        <w:rPr>
          <w:rFonts w:ascii="Arial" w:cs="Arial" w:eastAsia="Arial" w:hAnsi="Arial"/>
          <w:sz w:val="25"/>
          <w:szCs w:val="25"/>
          <w:color w:val="auto"/>
        </w:rPr>
        <w:t>(1,855)</w:t>
      </w:r>
      <w:r>
        <w:rPr>
          <w:sz w:val="20"/>
          <w:szCs w:val="20"/>
          <w:color w:val="auto"/>
        </w:rPr>
        <w:tab/>
      </w:r>
      <w:r>
        <w:rPr>
          <w:rFonts w:ascii="Arial" w:cs="Arial" w:eastAsia="Arial" w:hAnsi="Arial"/>
          <w:sz w:val="25"/>
          <w:szCs w:val="25"/>
          <w:color w:val="auto"/>
        </w:rPr>
        <w:t>(1,074)</w:t>
      </w:r>
      <w:r>
        <w:rPr>
          <w:sz w:val="20"/>
          <w:szCs w:val="20"/>
          <w:color w:val="auto"/>
        </w:rPr>
        <w:tab/>
      </w:r>
      <w:r>
        <w:rPr>
          <w:rFonts w:ascii="Arial" w:cs="Arial" w:eastAsia="Arial" w:hAnsi="Arial"/>
          <w:sz w:val="25"/>
          <w:szCs w:val="25"/>
          <w:color w:val="auto"/>
        </w:rPr>
        <w:t>(2,321)</w:t>
      </w:r>
      <w:r>
        <w:rPr>
          <w:sz w:val="20"/>
          <w:szCs w:val="20"/>
          <w:color w:val="auto"/>
        </w:rPr>
        <w:tab/>
      </w:r>
      <w:r>
        <w:rPr>
          <w:rFonts w:ascii="Arial" w:cs="Arial" w:eastAsia="Arial" w:hAnsi="Arial"/>
          <w:sz w:val="24"/>
          <w:szCs w:val="24"/>
          <w:color w:val="auto"/>
        </w:rPr>
        <w:t>(8,653)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6</w:t>
      </w:r>
    </w:p>
    <w:p>
      <w:pPr>
        <w:sectPr>
          <w:pgSz w:w="11900" w:h="16838" w:orient="portrait"/>
          <w:cols w:equalWidth="0" w:num="1">
            <w:col w:w="10600"/>
          </w:cols>
          <w:pgMar w:left="360" w:top="529" w:right="939" w:bottom="1440" w:gutter="0" w:footer="0" w:header="0"/>
        </w:sectPr>
      </w:pPr>
    </w:p>
    <w:bookmarkStart w:id="20" w:name="page21"/>
    <w:bookmarkEnd w:id="20"/>
    <w:p>
      <w:pPr>
        <w:ind w:left="76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51663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3770" cy="5166360"/>
                    </a:xfrm>
                    <a:prstGeom prst="rect">
                      <a:avLst/>
                    </a:prstGeom>
                    <a:noFill/>
                  </pic:spPr>
                </pic:pic>
              </a:graphicData>
            </a:graphic>
          </wp:anchor>
        </w:drawing>
        <w:t>Sustainable Financial Strength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380"/>
        </w:trPr>
        <w:tc>
          <w:tcPr>
            <w:tcW w:w="49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32"/>
                <w:szCs w:val="32"/>
                <w:b w:val="1"/>
                <w:bCs w:val="1"/>
                <w:color w:val="FFFFFF"/>
              </w:rPr>
              <w:t>Old GM</w:t>
            </w:r>
          </w:p>
        </w:tc>
        <w:tc>
          <w:tcPr>
            <w:tcW w:w="2220" w:type="dxa"/>
            <w:vAlign w:val="bottom"/>
          </w:tcPr>
          <w:p>
            <w:pPr>
              <w:jc w:val="center"/>
              <w:ind w:left="120"/>
              <w:spacing w:after="0"/>
              <w:rPr>
                <w:sz w:val="20"/>
                <w:szCs w:val="20"/>
                <w:color w:val="auto"/>
              </w:rPr>
            </w:pPr>
            <w:r>
              <w:rPr>
                <w:rFonts w:ascii="Arial" w:cs="Arial" w:eastAsia="Arial" w:hAnsi="Arial"/>
                <w:sz w:val="32"/>
                <w:szCs w:val="32"/>
                <w:b w:val="1"/>
                <w:bCs w:val="1"/>
                <w:color w:val="FFFFFF"/>
                <w:w w:val="99"/>
              </w:rPr>
              <w:t>New GM</w:t>
            </w:r>
          </w:p>
        </w:tc>
      </w:tr>
      <w:tr>
        <w:trPr>
          <w:trHeight w:val="426"/>
        </w:trPr>
        <w:tc>
          <w:tcPr>
            <w:tcW w:w="4920" w:type="dxa"/>
            <w:vAlign w:val="bottom"/>
          </w:tcPr>
          <w:p>
            <w:pPr>
              <w:spacing w:after="0"/>
              <w:rPr>
                <w:sz w:val="20"/>
                <w:szCs w:val="20"/>
                <w:color w:val="auto"/>
              </w:rPr>
            </w:pPr>
            <w:r>
              <w:rPr>
                <w:rFonts w:ascii="Arial" w:cs="Arial" w:eastAsia="Arial" w:hAnsi="Arial"/>
                <w:sz w:val="32"/>
                <w:szCs w:val="32"/>
                <w:b w:val="1"/>
                <w:bCs w:val="1"/>
                <w:color w:val="FFFFFF"/>
              </w:rPr>
              <w:t>($B)</w:t>
            </w:r>
          </w:p>
        </w:tc>
        <w:tc>
          <w:tcPr>
            <w:tcW w:w="2460" w:type="dxa"/>
            <w:vAlign w:val="bottom"/>
          </w:tcPr>
          <w:p>
            <w:pPr>
              <w:jc w:val="center"/>
              <w:spacing w:after="0"/>
              <w:rPr>
                <w:sz w:val="20"/>
                <w:szCs w:val="20"/>
                <w:color w:val="auto"/>
              </w:rPr>
            </w:pPr>
            <w:r>
              <w:rPr>
                <w:rFonts w:ascii="Arial" w:cs="Arial" w:eastAsia="Arial" w:hAnsi="Arial"/>
                <w:sz w:val="32"/>
                <w:szCs w:val="32"/>
                <w:b w:val="1"/>
                <w:bCs w:val="1"/>
                <w:color w:val="FFFFFF"/>
              </w:rPr>
              <w:t>Dec 31, 2008</w:t>
            </w:r>
          </w:p>
        </w:tc>
        <w:tc>
          <w:tcPr>
            <w:tcW w:w="2220" w:type="dxa"/>
            <w:vAlign w:val="bottom"/>
          </w:tcPr>
          <w:p>
            <w:pPr>
              <w:jc w:val="center"/>
              <w:ind w:left="120"/>
              <w:spacing w:after="0"/>
              <w:rPr>
                <w:sz w:val="20"/>
                <w:szCs w:val="20"/>
                <w:color w:val="auto"/>
              </w:rPr>
            </w:pPr>
            <w:r>
              <w:rPr>
                <w:rFonts w:ascii="Arial" w:cs="Arial" w:eastAsia="Arial" w:hAnsi="Arial"/>
                <w:sz w:val="32"/>
                <w:szCs w:val="32"/>
                <w:b w:val="1"/>
                <w:bCs w:val="1"/>
                <w:color w:val="FFFFFF"/>
              </w:rPr>
              <w:t>Dec 31, 2009</w:t>
            </w:r>
          </w:p>
        </w:tc>
      </w:tr>
      <w:tr>
        <w:trPr>
          <w:trHeight w:val="630"/>
        </w:trPr>
        <w:tc>
          <w:tcPr>
            <w:tcW w:w="4920" w:type="dxa"/>
            <w:vAlign w:val="bottom"/>
          </w:tcPr>
          <w:p>
            <w:pPr>
              <w:spacing w:after="0"/>
              <w:rPr>
                <w:sz w:val="20"/>
                <w:szCs w:val="20"/>
                <w:color w:val="auto"/>
              </w:rPr>
            </w:pPr>
            <w:r>
              <w:rPr>
                <w:rFonts w:ascii="Arial" w:cs="Arial" w:eastAsia="Arial" w:hAnsi="Arial"/>
                <w:sz w:val="32"/>
                <w:szCs w:val="32"/>
                <w:b w:val="1"/>
                <w:bCs w:val="1"/>
                <w:color w:val="auto"/>
              </w:rPr>
              <w:t>Cash &amp; marketable securities *</w:t>
            </w:r>
          </w:p>
        </w:tc>
        <w:tc>
          <w:tcPr>
            <w:tcW w:w="2460" w:type="dxa"/>
            <w:vAlign w:val="bottom"/>
          </w:tcPr>
          <w:p>
            <w:pPr>
              <w:jc w:val="center"/>
              <w:spacing w:after="0"/>
              <w:rPr>
                <w:sz w:val="20"/>
                <w:szCs w:val="20"/>
                <w:color w:val="auto"/>
              </w:rPr>
            </w:pPr>
            <w:r>
              <w:rPr>
                <w:rFonts w:ascii="Arial" w:cs="Arial" w:eastAsia="Arial" w:hAnsi="Arial"/>
                <w:sz w:val="32"/>
                <w:szCs w:val="32"/>
                <w:b w:val="1"/>
                <w:bCs w:val="1"/>
                <w:color w:val="auto"/>
                <w:w w:val="99"/>
              </w:rPr>
              <w:t>14.2</w:t>
            </w:r>
          </w:p>
        </w:tc>
        <w:tc>
          <w:tcPr>
            <w:tcW w:w="2220" w:type="dxa"/>
            <w:vAlign w:val="bottom"/>
          </w:tcPr>
          <w:p>
            <w:pPr>
              <w:jc w:val="center"/>
              <w:ind w:left="100"/>
              <w:spacing w:after="0"/>
              <w:rPr>
                <w:sz w:val="20"/>
                <w:szCs w:val="20"/>
                <w:color w:val="auto"/>
              </w:rPr>
            </w:pPr>
            <w:r>
              <w:rPr>
                <w:rFonts w:ascii="Arial" w:cs="Arial" w:eastAsia="Arial" w:hAnsi="Arial"/>
                <w:sz w:val="32"/>
                <w:szCs w:val="32"/>
                <w:b w:val="1"/>
                <w:bCs w:val="1"/>
                <w:color w:val="auto"/>
              </w:rPr>
              <w:t>36.2</w:t>
            </w:r>
          </w:p>
        </w:tc>
      </w:tr>
      <w:tr>
        <w:trPr>
          <w:trHeight w:val="748"/>
        </w:trPr>
        <w:tc>
          <w:tcPr>
            <w:tcW w:w="4920" w:type="dxa"/>
            <w:vAlign w:val="bottom"/>
          </w:tcPr>
          <w:p>
            <w:pPr>
              <w:spacing w:after="0"/>
              <w:rPr>
                <w:sz w:val="20"/>
                <w:szCs w:val="20"/>
                <w:color w:val="auto"/>
              </w:rPr>
            </w:pPr>
            <w:r>
              <w:rPr>
                <w:rFonts w:ascii="Arial" w:cs="Arial" w:eastAsia="Arial" w:hAnsi="Arial"/>
                <w:sz w:val="32"/>
                <w:szCs w:val="32"/>
                <w:b w:val="1"/>
                <w:bCs w:val="1"/>
                <w:color w:val="auto"/>
              </w:rPr>
              <w:t>Key Obligations:</w:t>
            </w:r>
          </w:p>
        </w:tc>
        <w:tc>
          <w:tcPr>
            <w:tcW w:w="24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46"/>
        </w:trPr>
        <w:tc>
          <w:tcPr>
            <w:tcW w:w="4920" w:type="dxa"/>
            <w:vAlign w:val="bottom"/>
          </w:tcPr>
          <w:p>
            <w:pPr>
              <w:ind w:left="140"/>
              <w:spacing w:after="0"/>
              <w:rPr>
                <w:sz w:val="20"/>
                <w:szCs w:val="20"/>
                <w:color w:val="auto"/>
              </w:rPr>
            </w:pPr>
            <w:r>
              <w:rPr>
                <w:rFonts w:ascii="Arial" w:cs="Arial" w:eastAsia="Arial" w:hAnsi="Arial"/>
                <w:sz w:val="32"/>
                <w:szCs w:val="32"/>
                <w:color w:val="auto"/>
              </w:rPr>
              <w:t>Debt</w:t>
            </w:r>
          </w:p>
        </w:tc>
        <w:tc>
          <w:tcPr>
            <w:tcW w:w="2460" w:type="dxa"/>
            <w:vAlign w:val="bottom"/>
          </w:tcPr>
          <w:p>
            <w:pPr>
              <w:jc w:val="center"/>
              <w:spacing w:after="0"/>
              <w:rPr>
                <w:sz w:val="20"/>
                <w:szCs w:val="20"/>
                <w:color w:val="auto"/>
              </w:rPr>
            </w:pPr>
            <w:r>
              <w:rPr>
                <w:rFonts w:ascii="Arial" w:cs="Arial" w:eastAsia="Arial" w:hAnsi="Arial"/>
                <w:sz w:val="32"/>
                <w:szCs w:val="32"/>
                <w:color w:val="auto"/>
                <w:w w:val="99"/>
              </w:rPr>
              <w:t>45.9</w:t>
            </w:r>
          </w:p>
        </w:tc>
        <w:tc>
          <w:tcPr>
            <w:tcW w:w="2220" w:type="dxa"/>
            <w:vAlign w:val="bottom"/>
          </w:tcPr>
          <w:p>
            <w:pPr>
              <w:jc w:val="center"/>
              <w:ind w:left="100"/>
              <w:spacing w:after="0"/>
              <w:rPr>
                <w:sz w:val="20"/>
                <w:szCs w:val="20"/>
                <w:color w:val="auto"/>
              </w:rPr>
            </w:pPr>
            <w:r>
              <w:rPr>
                <w:rFonts w:ascii="Arial" w:cs="Arial" w:eastAsia="Arial" w:hAnsi="Arial"/>
                <w:sz w:val="32"/>
                <w:szCs w:val="32"/>
                <w:color w:val="auto"/>
              </w:rPr>
              <w:t>15.8</w:t>
            </w:r>
          </w:p>
        </w:tc>
      </w:tr>
      <w:tr>
        <w:trPr>
          <w:trHeight w:val="641"/>
        </w:trPr>
        <w:tc>
          <w:tcPr>
            <w:tcW w:w="4920" w:type="dxa"/>
            <w:vAlign w:val="bottom"/>
          </w:tcPr>
          <w:p>
            <w:pPr>
              <w:ind w:left="140"/>
              <w:spacing w:after="0"/>
              <w:rPr>
                <w:sz w:val="20"/>
                <w:szCs w:val="20"/>
                <w:color w:val="auto"/>
              </w:rPr>
            </w:pPr>
            <w:r>
              <w:rPr>
                <w:rFonts w:ascii="Arial" w:cs="Arial" w:eastAsia="Arial" w:hAnsi="Arial"/>
                <w:sz w:val="32"/>
                <w:szCs w:val="32"/>
                <w:color w:val="auto"/>
              </w:rPr>
              <w:t>Preferred Stock</w:t>
            </w:r>
          </w:p>
        </w:tc>
        <w:tc>
          <w:tcPr>
            <w:tcW w:w="2460" w:type="dxa"/>
            <w:vAlign w:val="bottom"/>
          </w:tcPr>
          <w:p>
            <w:pPr>
              <w:jc w:val="center"/>
              <w:spacing w:after="0"/>
              <w:rPr>
                <w:sz w:val="20"/>
                <w:szCs w:val="20"/>
                <w:color w:val="auto"/>
              </w:rPr>
            </w:pPr>
            <w:r>
              <w:rPr>
                <w:rFonts w:ascii="Arial" w:cs="Arial" w:eastAsia="Arial" w:hAnsi="Arial"/>
                <w:sz w:val="32"/>
                <w:szCs w:val="32"/>
                <w:color w:val="auto"/>
                <w:w w:val="98"/>
              </w:rPr>
              <w:t>n/a</w:t>
            </w:r>
          </w:p>
        </w:tc>
        <w:tc>
          <w:tcPr>
            <w:tcW w:w="2220" w:type="dxa"/>
            <w:vAlign w:val="bottom"/>
          </w:tcPr>
          <w:p>
            <w:pPr>
              <w:jc w:val="center"/>
              <w:ind w:left="100"/>
              <w:spacing w:after="0"/>
              <w:rPr>
                <w:sz w:val="20"/>
                <w:szCs w:val="20"/>
                <w:color w:val="auto"/>
              </w:rPr>
            </w:pPr>
            <w:r>
              <w:rPr>
                <w:rFonts w:ascii="Arial" w:cs="Arial" w:eastAsia="Arial" w:hAnsi="Arial"/>
                <w:sz w:val="32"/>
                <w:szCs w:val="32"/>
                <w:color w:val="auto"/>
                <w:w w:val="98"/>
              </w:rPr>
              <w:t>7.0</w:t>
            </w:r>
          </w:p>
        </w:tc>
      </w:tr>
      <w:tr>
        <w:trPr>
          <w:trHeight w:val="713"/>
        </w:trPr>
        <w:tc>
          <w:tcPr>
            <w:tcW w:w="4920" w:type="dxa"/>
            <w:vAlign w:val="bottom"/>
          </w:tcPr>
          <w:p>
            <w:pPr>
              <w:ind w:left="140"/>
              <w:spacing w:after="0"/>
              <w:rPr>
                <w:sz w:val="20"/>
                <w:szCs w:val="20"/>
                <w:color w:val="auto"/>
              </w:rPr>
            </w:pPr>
            <w:r>
              <w:rPr>
                <w:rFonts w:ascii="Arial" w:cs="Arial" w:eastAsia="Arial" w:hAnsi="Arial"/>
                <w:sz w:val="32"/>
                <w:szCs w:val="32"/>
                <w:color w:val="auto"/>
              </w:rPr>
              <w:t>Underfunded Pensions</w:t>
            </w:r>
          </w:p>
        </w:tc>
        <w:tc>
          <w:tcPr>
            <w:tcW w:w="2460" w:type="dxa"/>
            <w:vAlign w:val="bottom"/>
          </w:tcPr>
          <w:p>
            <w:pPr>
              <w:jc w:val="center"/>
              <w:spacing w:after="0"/>
              <w:rPr>
                <w:sz w:val="20"/>
                <w:szCs w:val="20"/>
                <w:color w:val="auto"/>
              </w:rPr>
            </w:pPr>
            <w:r>
              <w:rPr>
                <w:rFonts w:ascii="Arial" w:cs="Arial" w:eastAsia="Arial" w:hAnsi="Arial"/>
                <w:sz w:val="32"/>
                <w:szCs w:val="32"/>
                <w:color w:val="auto"/>
                <w:w w:val="99"/>
              </w:rPr>
              <w:t>25.6</w:t>
            </w:r>
          </w:p>
        </w:tc>
        <w:tc>
          <w:tcPr>
            <w:tcW w:w="2220" w:type="dxa"/>
            <w:vAlign w:val="bottom"/>
          </w:tcPr>
          <w:p>
            <w:pPr>
              <w:jc w:val="center"/>
              <w:ind w:left="100"/>
              <w:spacing w:after="0"/>
              <w:rPr>
                <w:sz w:val="20"/>
                <w:szCs w:val="20"/>
                <w:color w:val="auto"/>
              </w:rPr>
            </w:pPr>
            <w:r>
              <w:rPr>
                <w:rFonts w:ascii="Arial" w:cs="Arial" w:eastAsia="Arial" w:hAnsi="Arial"/>
                <w:sz w:val="32"/>
                <w:szCs w:val="32"/>
                <w:color w:val="auto"/>
              </w:rPr>
              <w:t>27.5</w:t>
            </w:r>
          </w:p>
        </w:tc>
      </w:tr>
      <w:tr>
        <w:trPr>
          <w:trHeight w:val="701"/>
        </w:trPr>
        <w:tc>
          <w:tcPr>
            <w:tcW w:w="4920" w:type="dxa"/>
            <w:vAlign w:val="bottom"/>
          </w:tcPr>
          <w:p>
            <w:pPr>
              <w:ind w:left="140"/>
              <w:spacing w:after="0"/>
              <w:rPr>
                <w:sz w:val="20"/>
                <w:szCs w:val="20"/>
                <w:color w:val="auto"/>
              </w:rPr>
            </w:pPr>
            <w:r>
              <w:rPr>
                <w:rFonts w:ascii="Arial" w:cs="Arial" w:eastAsia="Arial" w:hAnsi="Arial"/>
                <w:sz w:val="32"/>
                <w:szCs w:val="32"/>
                <w:color w:val="auto"/>
              </w:rPr>
              <w:t>Underfunded OPEB</w:t>
            </w:r>
          </w:p>
        </w:tc>
        <w:tc>
          <w:tcPr>
            <w:tcW w:w="2460" w:type="dxa"/>
            <w:vAlign w:val="bottom"/>
          </w:tcPr>
          <w:p>
            <w:pPr>
              <w:jc w:val="center"/>
              <w:spacing w:after="0"/>
              <w:rPr>
                <w:sz w:val="20"/>
                <w:szCs w:val="20"/>
                <w:color w:val="auto"/>
              </w:rPr>
            </w:pPr>
            <w:r>
              <w:rPr>
                <w:rFonts w:ascii="Arial" w:cs="Arial" w:eastAsia="Arial" w:hAnsi="Arial"/>
                <w:sz w:val="32"/>
                <w:szCs w:val="32"/>
                <w:color w:val="auto"/>
                <w:w w:val="99"/>
              </w:rPr>
              <w:t>32.9</w:t>
            </w:r>
          </w:p>
        </w:tc>
        <w:tc>
          <w:tcPr>
            <w:tcW w:w="2220" w:type="dxa"/>
            <w:vAlign w:val="bottom"/>
          </w:tcPr>
          <w:p>
            <w:pPr>
              <w:jc w:val="center"/>
              <w:ind w:left="100"/>
              <w:spacing w:after="0"/>
              <w:rPr>
                <w:sz w:val="20"/>
                <w:szCs w:val="20"/>
                <w:color w:val="auto"/>
              </w:rPr>
            </w:pPr>
            <w:r>
              <w:rPr>
                <w:rFonts w:ascii="Arial" w:cs="Arial" w:eastAsia="Arial" w:hAnsi="Arial"/>
                <w:sz w:val="32"/>
                <w:szCs w:val="32"/>
                <w:color w:val="auto"/>
                <w:w w:val="98"/>
              </w:rPr>
              <w:t>9.6</w:t>
            </w:r>
          </w:p>
        </w:tc>
      </w:tr>
      <w:tr>
        <w:trPr>
          <w:trHeight w:val="665"/>
        </w:trPr>
        <w:tc>
          <w:tcPr>
            <w:tcW w:w="4920" w:type="dxa"/>
            <w:vAlign w:val="bottom"/>
          </w:tcPr>
          <w:p>
            <w:pPr>
              <w:ind w:left="360"/>
              <w:spacing w:after="0"/>
              <w:rPr>
                <w:sz w:val="20"/>
                <w:szCs w:val="20"/>
                <w:color w:val="auto"/>
              </w:rPr>
            </w:pPr>
            <w:r>
              <w:rPr>
                <w:rFonts w:ascii="Arial" w:cs="Arial" w:eastAsia="Arial" w:hAnsi="Arial"/>
                <w:sz w:val="32"/>
                <w:szCs w:val="32"/>
                <w:b w:val="1"/>
                <w:bCs w:val="1"/>
                <w:color w:val="auto"/>
              </w:rPr>
              <w:t>Total Key Obligations</w:t>
            </w:r>
          </w:p>
        </w:tc>
        <w:tc>
          <w:tcPr>
            <w:tcW w:w="2460" w:type="dxa"/>
            <w:vAlign w:val="bottom"/>
          </w:tcPr>
          <w:p>
            <w:pPr>
              <w:jc w:val="center"/>
              <w:spacing w:after="0"/>
              <w:rPr>
                <w:sz w:val="20"/>
                <w:szCs w:val="20"/>
                <w:color w:val="auto"/>
              </w:rPr>
            </w:pPr>
            <w:r>
              <w:rPr>
                <w:rFonts w:ascii="Arial" w:cs="Arial" w:eastAsia="Arial" w:hAnsi="Arial"/>
                <w:sz w:val="32"/>
                <w:szCs w:val="32"/>
                <w:b w:val="1"/>
                <w:bCs w:val="1"/>
                <w:color w:val="auto"/>
                <w:w w:val="99"/>
              </w:rPr>
              <w:t>104.4</w:t>
            </w:r>
          </w:p>
        </w:tc>
        <w:tc>
          <w:tcPr>
            <w:tcW w:w="2220" w:type="dxa"/>
            <w:vAlign w:val="bottom"/>
          </w:tcPr>
          <w:p>
            <w:pPr>
              <w:jc w:val="center"/>
              <w:ind w:left="100"/>
              <w:spacing w:after="0"/>
              <w:rPr>
                <w:sz w:val="20"/>
                <w:szCs w:val="20"/>
                <w:color w:val="auto"/>
              </w:rPr>
            </w:pPr>
            <w:r>
              <w:rPr>
                <w:rFonts w:ascii="Arial" w:cs="Arial" w:eastAsia="Arial" w:hAnsi="Arial"/>
                <w:sz w:val="32"/>
                <w:szCs w:val="32"/>
                <w:b w:val="1"/>
                <w:bCs w:val="1"/>
                <w:color w:val="auto"/>
              </w:rPr>
              <w:t>59.9</w:t>
            </w:r>
          </w:p>
        </w:tc>
      </w:tr>
    </w:tbl>
    <w:p>
      <w:pPr>
        <w:spacing w:after="0" w:line="365" w:lineRule="exact"/>
        <w:rPr>
          <w:sz w:val="20"/>
          <w:szCs w:val="20"/>
          <w:color w:val="auto"/>
        </w:rPr>
      </w:pPr>
    </w:p>
    <w:p>
      <w:pPr>
        <w:spacing w:after="0"/>
        <w:rPr>
          <w:sz w:val="20"/>
          <w:szCs w:val="20"/>
          <w:color w:val="auto"/>
        </w:rPr>
      </w:pPr>
      <w:r>
        <w:rPr>
          <w:rFonts w:ascii="Arial" w:cs="Arial" w:eastAsia="Arial" w:hAnsi="Arial"/>
          <w:sz w:val="25"/>
          <w:szCs w:val="25"/>
          <w:i w:val="1"/>
          <w:iCs w:val="1"/>
          <w:color w:val="auto"/>
        </w:rPr>
        <w:t>* Includes UST &amp; Canadian HC Trust Restricted Cash</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7</w:t>
      </w:r>
    </w:p>
    <w:p>
      <w:pPr>
        <w:sectPr>
          <w:pgSz w:w="11900" w:h="16838" w:orient="portrait"/>
          <w:cols w:equalWidth="0" w:num="1">
            <w:col w:w="10160"/>
          </w:cols>
          <w:pgMar w:left="680" w:top="529" w:right="1059" w:bottom="1440" w:gutter="0" w:footer="0" w:header="0"/>
        </w:sectPr>
      </w:pPr>
    </w:p>
    <w:bookmarkStart w:id="21" w:name="page22"/>
    <w:bookmarkEnd w:id="21"/>
    <w:p>
      <w:pPr>
        <w:jc w:val="center"/>
        <w:ind w:right="-5"/>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51663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3770" cy="5166360"/>
                    </a:xfrm>
                    <a:prstGeom prst="rect">
                      <a:avLst/>
                    </a:prstGeom>
                    <a:noFill/>
                  </pic:spPr>
                </pic:pic>
              </a:graphicData>
            </a:graphic>
          </wp:anchor>
        </w:drawing>
        <w:t>Integrity &amp; Reliability in Public Reporting</w:t>
      </w:r>
    </w:p>
    <w:p>
      <w:pPr>
        <w:spacing w:after="0" w:line="200" w:lineRule="exact"/>
        <w:rPr>
          <w:sz w:val="20"/>
          <w:szCs w:val="20"/>
          <w:color w:val="auto"/>
        </w:rPr>
      </w:pPr>
    </w:p>
    <w:p>
      <w:pPr>
        <w:spacing w:after="0" w:line="294" w:lineRule="exact"/>
        <w:rPr>
          <w:sz w:val="20"/>
          <w:szCs w:val="20"/>
          <w:color w:val="auto"/>
        </w:rPr>
      </w:pPr>
    </w:p>
    <w:p>
      <w:pPr>
        <w:ind w:left="6"/>
        <w:spacing w:after="0"/>
        <w:rPr>
          <w:sz w:val="20"/>
          <w:szCs w:val="20"/>
          <w:color w:val="auto"/>
        </w:rPr>
      </w:pPr>
      <w:r>
        <w:rPr>
          <w:rFonts w:ascii="Arial" w:cs="Arial" w:eastAsia="Arial" w:hAnsi="Arial"/>
          <w:sz w:val="38"/>
          <w:szCs w:val="38"/>
          <w:b w:val="1"/>
          <w:bCs w:val="1"/>
          <w:color w:val="FFFFFF"/>
        </w:rPr>
        <w:t>Fresh-start accounting a key milestone for going public</w:t>
      </w:r>
    </w:p>
    <w:p>
      <w:pPr>
        <w:spacing w:after="0" w:line="200" w:lineRule="exact"/>
        <w:rPr>
          <w:sz w:val="20"/>
          <w:szCs w:val="20"/>
          <w:color w:val="auto"/>
        </w:rPr>
      </w:pPr>
    </w:p>
    <w:p>
      <w:pPr>
        <w:spacing w:after="0" w:line="254" w:lineRule="exact"/>
        <w:rPr>
          <w:sz w:val="20"/>
          <w:szCs w:val="20"/>
          <w:color w:val="auto"/>
        </w:rPr>
      </w:pPr>
    </w:p>
    <w:p>
      <w:pPr>
        <w:ind w:left="426" w:hanging="426"/>
        <w:spacing w:after="0"/>
        <w:tabs>
          <w:tab w:leader="none" w:pos="426" w:val="left"/>
        </w:tabs>
        <w:numPr>
          <w:ilvl w:val="0"/>
          <w:numId w:val="6"/>
        </w:numPr>
        <w:rPr>
          <w:rFonts w:ascii="Arial" w:cs="Arial" w:eastAsia="Arial" w:hAnsi="Arial"/>
          <w:sz w:val="38"/>
          <w:szCs w:val="38"/>
          <w:color w:val="auto"/>
        </w:rPr>
      </w:pPr>
      <w:r>
        <w:rPr>
          <w:rFonts w:ascii="Arial" w:cs="Arial" w:eastAsia="Arial" w:hAnsi="Arial"/>
          <w:sz w:val="38"/>
          <w:szCs w:val="38"/>
          <w:color w:val="auto"/>
        </w:rPr>
        <w:t>Requirement resulting from 363 transaction</w:t>
      </w:r>
    </w:p>
    <w:p>
      <w:pPr>
        <w:spacing w:after="0" w:line="311" w:lineRule="exact"/>
        <w:rPr>
          <w:rFonts w:ascii="Arial" w:cs="Arial" w:eastAsia="Arial" w:hAnsi="Arial"/>
          <w:sz w:val="38"/>
          <w:szCs w:val="38"/>
          <w:color w:val="auto"/>
        </w:rPr>
      </w:pPr>
    </w:p>
    <w:p>
      <w:pPr>
        <w:ind w:left="426" w:right="720" w:hanging="426"/>
        <w:spacing w:after="0" w:line="253" w:lineRule="auto"/>
        <w:tabs>
          <w:tab w:leader="none" w:pos="426" w:val="left"/>
        </w:tabs>
        <w:numPr>
          <w:ilvl w:val="0"/>
          <w:numId w:val="6"/>
        </w:numPr>
        <w:rPr>
          <w:rFonts w:ascii="Arial" w:cs="Arial" w:eastAsia="Arial" w:hAnsi="Arial"/>
          <w:sz w:val="38"/>
          <w:szCs w:val="38"/>
          <w:color w:val="auto"/>
        </w:rPr>
      </w:pPr>
      <w:r>
        <w:rPr>
          <w:rFonts w:ascii="Arial" w:cs="Arial" w:eastAsia="Arial" w:hAnsi="Arial"/>
          <w:sz w:val="38"/>
          <w:szCs w:val="38"/>
          <w:color w:val="auto"/>
        </w:rPr>
        <w:t>Resets the basis for accounting to fair value as of July 10 and results in a new entity for financial reporting purposes</w:t>
      </w:r>
    </w:p>
    <w:p>
      <w:pPr>
        <w:spacing w:after="0" w:line="269" w:lineRule="exact"/>
        <w:rPr>
          <w:rFonts w:ascii="Arial" w:cs="Arial" w:eastAsia="Arial" w:hAnsi="Arial"/>
          <w:sz w:val="38"/>
          <w:szCs w:val="38"/>
          <w:color w:val="auto"/>
        </w:rPr>
      </w:pPr>
    </w:p>
    <w:p>
      <w:pPr>
        <w:ind w:left="426" w:right="240" w:hanging="426"/>
        <w:spacing w:after="0" w:line="252" w:lineRule="auto"/>
        <w:tabs>
          <w:tab w:leader="none" w:pos="426" w:val="left"/>
        </w:tabs>
        <w:numPr>
          <w:ilvl w:val="0"/>
          <w:numId w:val="6"/>
        </w:numPr>
        <w:rPr>
          <w:rFonts w:ascii="Arial" w:cs="Arial" w:eastAsia="Arial" w:hAnsi="Arial"/>
          <w:sz w:val="38"/>
          <w:szCs w:val="38"/>
          <w:color w:val="auto"/>
        </w:rPr>
      </w:pPr>
      <w:r>
        <w:rPr>
          <w:rFonts w:ascii="Arial" w:cs="Arial" w:eastAsia="Arial" w:hAnsi="Arial"/>
          <w:sz w:val="38"/>
          <w:szCs w:val="38"/>
          <w:color w:val="auto"/>
        </w:rPr>
        <w:t>Substantially all of GM’s assets and liabilities recorded at fair value as of July 10, similar to purchase accounting</w:t>
      </w:r>
    </w:p>
    <w:p>
      <w:pPr>
        <w:spacing w:after="0" w:line="3" w:lineRule="exact"/>
        <w:rPr>
          <w:rFonts w:ascii="Arial" w:cs="Arial" w:eastAsia="Arial" w:hAnsi="Arial"/>
          <w:sz w:val="38"/>
          <w:szCs w:val="38"/>
          <w:color w:val="auto"/>
        </w:rPr>
      </w:pPr>
    </w:p>
    <w:p>
      <w:pPr>
        <w:ind w:left="566"/>
        <w:spacing w:after="0"/>
        <w:rPr>
          <w:rFonts w:ascii="Arial" w:cs="Arial" w:eastAsia="Arial" w:hAnsi="Arial"/>
          <w:sz w:val="38"/>
          <w:szCs w:val="38"/>
          <w:color w:val="auto"/>
        </w:rPr>
      </w:pPr>
      <w:r>
        <w:rPr>
          <w:rFonts w:ascii="Arial" w:cs="Arial" w:eastAsia="Arial" w:hAnsi="Arial"/>
          <w:sz w:val="32"/>
          <w:szCs w:val="32"/>
          <w:color w:val="auto"/>
        </w:rPr>
        <w:t>– Adjustments recorded to ledgers &amp; subledgers</w:t>
      </w:r>
    </w:p>
    <w:p>
      <w:pPr>
        <w:spacing w:after="0" w:line="59" w:lineRule="exact"/>
        <w:rPr>
          <w:rFonts w:ascii="Arial" w:cs="Arial" w:eastAsia="Arial" w:hAnsi="Arial"/>
          <w:sz w:val="38"/>
          <w:szCs w:val="38"/>
          <w:color w:val="auto"/>
        </w:rPr>
      </w:pPr>
    </w:p>
    <w:p>
      <w:pPr>
        <w:ind w:left="566"/>
        <w:spacing w:after="0"/>
        <w:rPr>
          <w:rFonts w:ascii="Arial" w:cs="Arial" w:eastAsia="Arial" w:hAnsi="Arial"/>
          <w:sz w:val="38"/>
          <w:szCs w:val="38"/>
          <w:color w:val="auto"/>
        </w:rPr>
      </w:pPr>
      <w:r>
        <w:rPr>
          <w:rFonts w:ascii="Arial" w:cs="Arial" w:eastAsia="Arial" w:hAnsi="Arial"/>
          <w:sz w:val="32"/>
          <w:szCs w:val="32"/>
          <w:color w:val="auto"/>
        </w:rPr>
        <w:t>– More than 1 million asset records adjusted</w:t>
      </w:r>
    </w:p>
    <w:p>
      <w:pPr>
        <w:spacing w:after="0" w:line="326" w:lineRule="exact"/>
        <w:rPr>
          <w:rFonts w:ascii="Arial" w:cs="Arial" w:eastAsia="Arial" w:hAnsi="Arial"/>
          <w:sz w:val="38"/>
          <w:szCs w:val="38"/>
          <w:color w:val="auto"/>
        </w:rPr>
      </w:pPr>
    </w:p>
    <w:p>
      <w:pPr>
        <w:ind w:left="426" w:hanging="426"/>
        <w:spacing w:after="0"/>
        <w:tabs>
          <w:tab w:leader="none" w:pos="426" w:val="left"/>
        </w:tabs>
        <w:numPr>
          <w:ilvl w:val="0"/>
          <w:numId w:val="6"/>
        </w:numPr>
        <w:rPr>
          <w:rFonts w:ascii="Arial" w:cs="Arial" w:eastAsia="Arial" w:hAnsi="Arial"/>
          <w:sz w:val="38"/>
          <w:szCs w:val="38"/>
          <w:color w:val="auto"/>
        </w:rPr>
      </w:pPr>
      <w:r>
        <w:rPr>
          <w:rFonts w:ascii="Arial" w:cs="Arial" w:eastAsia="Arial" w:hAnsi="Arial"/>
          <w:sz w:val="38"/>
          <w:szCs w:val="38"/>
          <w:color w:val="auto"/>
        </w:rPr>
        <w:t>Initiative was a major undertaking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8</w:t>
      </w:r>
    </w:p>
    <w:p>
      <w:pPr>
        <w:sectPr>
          <w:pgSz w:w="11900" w:h="16838" w:orient="portrait"/>
          <w:cols w:equalWidth="0" w:num="1">
            <w:col w:w="10226"/>
          </w:cols>
          <w:pgMar w:left="674" w:top="529" w:right="999" w:bottom="1440" w:gutter="0" w:footer="0" w:header="0"/>
        </w:sectPr>
      </w:pPr>
    </w:p>
    <w:bookmarkStart w:id="22" w:name="page23"/>
    <w:bookmarkEnd w:id="22"/>
    <w:p>
      <w:pPr>
        <w:ind w:left="1093"/>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51663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3770" cy="5166360"/>
                    </a:xfrm>
                    <a:prstGeom prst="rect">
                      <a:avLst/>
                    </a:prstGeom>
                    <a:noFill/>
                  </pic:spPr>
                </pic:pic>
              </a:graphicData>
            </a:graphic>
          </wp:anchor>
        </w:drawing>
        <w:t>July 10 Reorg &amp; Fresh-Start</w:t>
      </w:r>
    </w:p>
    <w:p>
      <w:pPr>
        <w:sectPr>
          <w:pgSz w:w="11900" w:h="16838" w:orient="portrait"/>
          <w:cols w:equalWidth="0" w:num="1">
            <w:col w:w="10473"/>
          </w:cols>
          <w:pgMar w:left="627" w:top="52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93"/>
        <w:spacing w:after="0"/>
        <w:rPr>
          <w:sz w:val="20"/>
          <w:szCs w:val="20"/>
          <w:color w:val="auto"/>
        </w:rPr>
      </w:pPr>
      <w:r>
        <w:rPr>
          <w:rFonts w:ascii="Arial" w:cs="Arial" w:eastAsia="Arial" w:hAnsi="Arial"/>
          <w:sz w:val="32"/>
          <w:szCs w:val="32"/>
          <w:b w:val="1"/>
          <w:bCs w:val="1"/>
          <w:color w:val="auto"/>
        </w:rPr>
        <w:t>July 10 Reorganization</w:t>
      </w:r>
    </w:p>
    <w:p>
      <w:pPr>
        <w:spacing w:after="0" w:line="263" w:lineRule="exact"/>
        <w:rPr>
          <w:sz w:val="20"/>
          <w:szCs w:val="20"/>
          <w:color w:val="auto"/>
        </w:rPr>
      </w:pPr>
    </w:p>
    <w:p>
      <w:pPr>
        <w:ind w:left="433" w:right="200" w:hanging="433"/>
        <w:spacing w:after="0" w:line="274" w:lineRule="auto"/>
        <w:tabs>
          <w:tab w:leader="none" w:pos="433" w:val="left"/>
        </w:tabs>
        <w:numPr>
          <w:ilvl w:val="0"/>
          <w:numId w:val="7"/>
        </w:numPr>
        <w:rPr>
          <w:rFonts w:ascii="Arial" w:cs="Arial" w:eastAsia="Arial" w:hAnsi="Arial"/>
          <w:sz w:val="27"/>
          <w:szCs w:val="27"/>
          <w:color w:val="auto"/>
        </w:rPr>
      </w:pPr>
      <w:r>
        <w:rPr>
          <w:rFonts w:ascii="Arial" w:cs="Arial" w:eastAsia="Arial" w:hAnsi="Arial"/>
          <w:sz w:val="27"/>
          <w:szCs w:val="27"/>
          <w:color w:val="auto"/>
        </w:rPr>
        <w:t>$83B reduction in liabilities extinguished through 363 sale &amp; issued common equity, warrants &amp; preferred stock fair valued at $20B</w:t>
      </w:r>
    </w:p>
    <w:p>
      <w:pPr>
        <w:spacing w:after="0" w:line="149" w:lineRule="exact"/>
        <w:rPr>
          <w:rFonts w:ascii="Arial" w:cs="Arial" w:eastAsia="Arial" w:hAnsi="Arial"/>
          <w:sz w:val="27"/>
          <w:szCs w:val="27"/>
          <w:color w:val="auto"/>
        </w:rPr>
      </w:pPr>
    </w:p>
    <w:p>
      <w:pPr>
        <w:ind w:left="433" w:right="360" w:hanging="433"/>
        <w:spacing w:after="0" w:line="247" w:lineRule="auto"/>
        <w:tabs>
          <w:tab w:leader="none" w:pos="433" w:val="left"/>
        </w:tabs>
        <w:numPr>
          <w:ilvl w:val="0"/>
          <w:numId w:val="7"/>
        </w:numPr>
        <w:rPr>
          <w:rFonts w:ascii="Arial" w:cs="Arial" w:eastAsia="Arial" w:hAnsi="Arial"/>
          <w:sz w:val="29"/>
          <w:szCs w:val="29"/>
          <w:color w:val="auto"/>
        </w:rPr>
      </w:pPr>
      <w:r>
        <w:rPr>
          <w:rFonts w:ascii="Arial" w:cs="Arial" w:eastAsia="Arial" w:hAnsi="Arial"/>
          <w:sz w:val="29"/>
          <w:szCs w:val="29"/>
          <w:color w:val="auto"/>
        </w:rPr>
        <w:t>$8B reduction in OPEB related to Revised UAW Settlement Agreement</w:t>
      </w:r>
    </w:p>
    <w:p>
      <w:pPr>
        <w:spacing w:after="0" w:line="181" w:lineRule="exact"/>
        <w:rPr>
          <w:rFonts w:ascii="Arial" w:cs="Arial" w:eastAsia="Arial" w:hAnsi="Arial"/>
          <w:sz w:val="29"/>
          <w:szCs w:val="29"/>
          <w:color w:val="auto"/>
        </w:rPr>
      </w:pPr>
    </w:p>
    <w:p>
      <w:pPr>
        <w:ind w:left="433" w:hanging="433"/>
        <w:spacing w:after="0" w:line="250" w:lineRule="auto"/>
        <w:tabs>
          <w:tab w:leader="none" w:pos="433" w:val="left"/>
        </w:tabs>
        <w:numPr>
          <w:ilvl w:val="0"/>
          <w:numId w:val="7"/>
        </w:numPr>
        <w:rPr>
          <w:rFonts w:ascii="Arial" w:cs="Arial" w:eastAsia="Arial" w:hAnsi="Arial"/>
          <w:sz w:val="29"/>
          <w:szCs w:val="29"/>
          <w:color w:val="auto"/>
        </w:rPr>
      </w:pPr>
      <w:r>
        <w:rPr>
          <w:rFonts w:ascii="Arial" w:cs="Arial" w:eastAsia="Arial" w:hAnsi="Arial"/>
          <w:sz w:val="29"/>
          <w:szCs w:val="29"/>
          <w:color w:val="auto"/>
        </w:rPr>
        <w:t>$4B reduction in pension and OPEB resulting from July 10 implementation of modification to benefit plans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80"/>
        <w:spacing w:after="0"/>
        <w:rPr>
          <w:sz w:val="20"/>
          <w:szCs w:val="20"/>
          <w:color w:val="auto"/>
        </w:rPr>
      </w:pPr>
      <w:r>
        <w:rPr>
          <w:rFonts w:ascii="Arial" w:cs="Arial" w:eastAsia="Arial" w:hAnsi="Arial"/>
          <w:sz w:val="32"/>
          <w:szCs w:val="32"/>
          <w:b w:val="1"/>
          <w:bCs w:val="1"/>
          <w:color w:val="auto"/>
        </w:rPr>
        <w:t>July 10 Fresh-Start</w:t>
      </w:r>
    </w:p>
    <w:p>
      <w:pPr>
        <w:spacing w:after="0" w:line="263" w:lineRule="exact"/>
        <w:rPr>
          <w:sz w:val="20"/>
          <w:szCs w:val="20"/>
          <w:color w:val="auto"/>
        </w:rPr>
      </w:pPr>
    </w:p>
    <w:p>
      <w:pPr>
        <w:ind w:left="420" w:hanging="420"/>
        <w:spacing w:after="0"/>
        <w:tabs>
          <w:tab w:leader="none" w:pos="420" w:val="left"/>
        </w:tabs>
        <w:numPr>
          <w:ilvl w:val="0"/>
          <w:numId w:val="8"/>
        </w:numPr>
        <w:rPr>
          <w:rFonts w:ascii="Arial" w:cs="Arial" w:eastAsia="Arial" w:hAnsi="Arial"/>
          <w:sz w:val="29"/>
          <w:szCs w:val="29"/>
          <w:color w:val="auto"/>
        </w:rPr>
      </w:pPr>
      <w:r>
        <w:rPr>
          <w:rFonts w:ascii="Arial" w:cs="Arial" w:eastAsia="Arial" w:hAnsi="Arial"/>
          <w:sz w:val="29"/>
          <w:szCs w:val="29"/>
          <w:color w:val="auto"/>
        </w:rPr>
        <w:t>Recognition of $30B goodwill</w:t>
      </w:r>
    </w:p>
    <w:p>
      <w:pPr>
        <w:spacing w:after="0" w:line="201" w:lineRule="exact"/>
        <w:rPr>
          <w:rFonts w:ascii="Arial" w:cs="Arial" w:eastAsia="Arial" w:hAnsi="Arial"/>
          <w:sz w:val="29"/>
          <w:szCs w:val="29"/>
          <w:color w:val="auto"/>
        </w:rPr>
      </w:pPr>
    </w:p>
    <w:p>
      <w:pPr>
        <w:ind w:left="420" w:right="460" w:hanging="420"/>
        <w:spacing w:after="0" w:line="255" w:lineRule="auto"/>
        <w:tabs>
          <w:tab w:leader="none" w:pos="420" w:val="left"/>
        </w:tabs>
        <w:numPr>
          <w:ilvl w:val="0"/>
          <w:numId w:val="8"/>
        </w:numPr>
        <w:rPr>
          <w:rFonts w:ascii="Arial" w:cs="Arial" w:eastAsia="Arial" w:hAnsi="Arial"/>
          <w:sz w:val="29"/>
          <w:szCs w:val="29"/>
          <w:color w:val="auto"/>
        </w:rPr>
      </w:pPr>
      <w:r>
        <w:rPr>
          <w:rFonts w:ascii="Arial" w:cs="Arial" w:eastAsia="Arial" w:hAnsi="Arial"/>
          <w:sz w:val="29"/>
          <w:szCs w:val="29"/>
          <w:color w:val="auto"/>
        </w:rPr>
        <w:t>Recognition of $16B intangible assets</w:t>
      </w:r>
    </w:p>
    <w:p>
      <w:pPr>
        <w:spacing w:after="0" w:line="170" w:lineRule="exact"/>
        <w:rPr>
          <w:rFonts w:ascii="Arial" w:cs="Arial" w:eastAsia="Arial" w:hAnsi="Arial"/>
          <w:sz w:val="29"/>
          <w:szCs w:val="29"/>
          <w:color w:val="auto"/>
        </w:rPr>
      </w:pPr>
    </w:p>
    <w:p>
      <w:pPr>
        <w:ind w:left="420" w:right="140" w:hanging="420"/>
        <w:spacing w:after="0" w:line="247" w:lineRule="auto"/>
        <w:tabs>
          <w:tab w:leader="none" w:pos="420" w:val="left"/>
        </w:tabs>
        <w:numPr>
          <w:ilvl w:val="0"/>
          <w:numId w:val="8"/>
        </w:numPr>
        <w:rPr>
          <w:rFonts w:ascii="Arial" w:cs="Arial" w:eastAsia="Arial" w:hAnsi="Arial"/>
          <w:sz w:val="29"/>
          <w:szCs w:val="29"/>
          <w:color w:val="auto"/>
        </w:rPr>
      </w:pPr>
      <w:r>
        <w:rPr>
          <w:rFonts w:ascii="Arial" w:cs="Arial" w:eastAsia="Arial" w:hAnsi="Arial"/>
          <w:sz w:val="29"/>
          <w:szCs w:val="29"/>
          <w:color w:val="auto"/>
        </w:rPr>
        <w:t>$19B balance in property, plant &amp; equipment which is an $18B reduction</w:t>
      </w:r>
    </w:p>
    <w:p>
      <w:pPr>
        <w:spacing w:after="0" w:line="181" w:lineRule="exact"/>
        <w:rPr>
          <w:rFonts w:ascii="Arial" w:cs="Arial" w:eastAsia="Arial" w:hAnsi="Arial"/>
          <w:sz w:val="29"/>
          <w:szCs w:val="29"/>
          <w:color w:val="auto"/>
        </w:rPr>
      </w:pPr>
    </w:p>
    <w:p>
      <w:pPr>
        <w:ind w:left="420" w:right="740" w:hanging="420"/>
        <w:spacing w:after="0" w:line="255" w:lineRule="auto"/>
        <w:tabs>
          <w:tab w:leader="none" w:pos="420" w:val="left"/>
        </w:tabs>
        <w:numPr>
          <w:ilvl w:val="0"/>
          <w:numId w:val="8"/>
        </w:numPr>
        <w:rPr>
          <w:rFonts w:ascii="Arial" w:cs="Arial" w:eastAsia="Arial" w:hAnsi="Arial"/>
          <w:sz w:val="29"/>
          <w:szCs w:val="29"/>
          <w:color w:val="auto"/>
        </w:rPr>
      </w:pPr>
      <w:r>
        <w:rPr>
          <w:rFonts w:ascii="Arial" w:cs="Arial" w:eastAsia="Arial" w:hAnsi="Arial"/>
          <w:sz w:val="29"/>
          <w:szCs w:val="29"/>
          <w:color w:val="auto"/>
        </w:rPr>
        <w:t>$8B balance in equity &amp; cost based investments</w:t>
      </w:r>
    </w:p>
    <w:p>
      <w:pPr>
        <w:spacing w:after="0" w:line="1035" w:lineRule="exact"/>
        <w:rPr>
          <w:sz w:val="20"/>
          <w:szCs w:val="20"/>
          <w:color w:val="auto"/>
        </w:rPr>
      </w:pPr>
    </w:p>
    <w:p>
      <w:pPr>
        <w:sectPr>
          <w:pgSz w:w="11900" w:h="16838" w:orient="portrait"/>
          <w:cols w:equalWidth="0" w:num="2">
            <w:col w:w="4993" w:space="720"/>
            <w:col w:w="4760"/>
          </w:cols>
          <w:pgMar w:left="627" w:top="529"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333"/>
        <w:spacing w:after="0"/>
        <w:rPr>
          <w:sz w:val="20"/>
          <w:szCs w:val="20"/>
          <w:color w:val="auto"/>
        </w:rPr>
      </w:pPr>
      <w:r>
        <w:rPr>
          <w:rFonts w:ascii="Arial" w:cs="Arial" w:eastAsia="Arial" w:hAnsi="Arial"/>
          <w:sz w:val="25"/>
          <w:szCs w:val="25"/>
          <w:b w:val="1"/>
          <w:bCs w:val="1"/>
          <w:color w:val="auto"/>
        </w:rPr>
        <w:t>9</w:t>
      </w:r>
    </w:p>
    <w:p>
      <w:pPr>
        <w:sectPr>
          <w:pgSz w:w="11900" w:h="16838" w:orient="portrait"/>
          <w:cols w:equalWidth="0" w:num="1">
            <w:col w:w="10473"/>
          </w:cols>
          <w:pgMar w:left="627" w:top="529" w:right="799" w:bottom="1440" w:gutter="0" w:footer="0" w:header="0"/>
          <w:type w:val="continuous"/>
        </w:sectPr>
      </w:pPr>
    </w:p>
    <w:bookmarkStart w:id="23" w:name="page24"/>
    <w:bookmarkEnd w:id="23"/>
    <w:p>
      <w:pPr>
        <w:ind w:left="861"/>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51663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3770" cy="5166360"/>
                    </a:xfrm>
                    <a:prstGeom prst="rect">
                      <a:avLst/>
                    </a:prstGeom>
                    <a:noFill/>
                  </pic:spPr>
                </pic:pic>
              </a:graphicData>
            </a:graphic>
          </wp:anchor>
        </w:drawing>
        <w:t>Commitments to Stakeholders</w:t>
      </w:r>
    </w:p>
    <w:p>
      <w:pPr>
        <w:spacing w:after="0" w:line="200" w:lineRule="exact"/>
        <w:rPr>
          <w:sz w:val="20"/>
          <w:szCs w:val="20"/>
          <w:color w:val="auto"/>
        </w:rPr>
      </w:pPr>
    </w:p>
    <w:p>
      <w:pPr>
        <w:spacing w:after="0" w:line="227" w:lineRule="exact"/>
        <w:rPr>
          <w:sz w:val="20"/>
          <w:szCs w:val="20"/>
          <w:color w:val="auto"/>
        </w:rPr>
      </w:pPr>
    </w:p>
    <w:p>
      <w:pPr>
        <w:ind w:left="421" w:hanging="421"/>
        <w:spacing w:after="0"/>
        <w:tabs>
          <w:tab w:leader="none" w:pos="421" w:val="left"/>
        </w:tabs>
        <w:numPr>
          <w:ilvl w:val="0"/>
          <w:numId w:val="9"/>
        </w:numPr>
        <w:rPr>
          <w:rFonts w:ascii="Arial" w:cs="Arial" w:eastAsia="Arial" w:hAnsi="Arial"/>
          <w:sz w:val="44"/>
          <w:szCs w:val="44"/>
          <w:color w:val="auto"/>
        </w:rPr>
      </w:pPr>
      <w:r>
        <w:rPr>
          <w:rFonts w:ascii="Arial" w:cs="Arial" w:eastAsia="Arial" w:hAnsi="Arial"/>
          <w:sz w:val="44"/>
          <w:szCs w:val="44"/>
          <w:color w:val="auto"/>
        </w:rPr>
        <w:t>Original government loans of $8.4B</w:t>
      </w:r>
    </w:p>
    <w:p>
      <w:pPr>
        <w:spacing w:after="0" w:line="84" w:lineRule="exact"/>
        <w:rPr>
          <w:rFonts w:ascii="Arial" w:cs="Arial" w:eastAsia="Arial" w:hAnsi="Arial"/>
          <w:sz w:val="44"/>
          <w:szCs w:val="44"/>
          <w:color w:val="auto"/>
        </w:rPr>
      </w:pPr>
    </w:p>
    <w:p>
      <w:pPr>
        <w:ind w:left="561"/>
        <w:spacing w:after="0"/>
        <w:rPr>
          <w:rFonts w:ascii="Arial" w:cs="Arial" w:eastAsia="Arial" w:hAnsi="Arial"/>
          <w:sz w:val="44"/>
          <w:szCs w:val="44"/>
          <w:color w:val="auto"/>
        </w:rPr>
      </w:pPr>
      <w:r>
        <w:rPr>
          <w:rFonts w:ascii="Arial" w:cs="Arial" w:eastAsia="Arial" w:hAnsi="Arial"/>
          <w:sz w:val="38"/>
          <w:szCs w:val="38"/>
          <w:color w:val="auto"/>
        </w:rPr>
        <w:t>– Paid $2.4B to UST &amp; $0.4B to EDC through Mar 31</w:t>
      </w:r>
    </w:p>
    <w:p>
      <w:pPr>
        <w:spacing w:after="0" w:line="61" w:lineRule="exact"/>
        <w:rPr>
          <w:rFonts w:ascii="Arial" w:cs="Arial" w:eastAsia="Arial" w:hAnsi="Arial"/>
          <w:sz w:val="44"/>
          <w:szCs w:val="44"/>
          <w:color w:val="auto"/>
        </w:rPr>
      </w:pPr>
    </w:p>
    <w:p>
      <w:pPr>
        <w:ind w:left="921" w:right="220" w:hanging="356"/>
        <w:spacing w:after="0" w:line="265" w:lineRule="auto"/>
        <w:rPr>
          <w:rFonts w:ascii="Arial" w:cs="Arial" w:eastAsia="Arial" w:hAnsi="Arial"/>
          <w:sz w:val="44"/>
          <w:szCs w:val="44"/>
          <w:color w:val="auto"/>
        </w:rPr>
      </w:pPr>
      <w:r>
        <w:rPr>
          <w:rFonts w:ascii="Arial" w:cs="Arial" w:eastAsia="Arial" w:hAnsi="Arial"/>
          <w:sz w:val="38"/>
          <w:szCs w:val="38"/>
          <w:color w:val="auto"/>
        </w:rPr>
        <w:t>– Outstanding balance to be repaid in full by June at the latest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10</w:t>
      </w:r>
    </w:p>
    <w:p>
      <w:pPr>
        <w:sectPr>
          <w:pgSz w:w="11900" w:h="16838" w:orient="portrait"/>
          <w:cols w:equalWidth="0" w:num="1">
            <w:col w:w="10241"/>
          </w:cols>
          <w:pgMar w:left="579" w:top="529" w:right="1079" w:bottom="1440" w:gutter="0" w:footer="0" w:header="0"/>
        </w:sectPr>
      </w:pPr>
    </w:p>
    <w:bookmarkStart w:id="24" w:name="page25"/>
    <w:bookmarkEnd w:id="24"/>
    <w:p>
      <w:pPr>
        <w:ind w:left="102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51663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3770" cy="5166360"/>
                    </a:xfrm>
                    <a:prstGeom prst="rect">
                      <a:avLst/>
                    </a:prstGeom>
                    <a:noFill/>
                  </pic:spPr>
                </pic:pic>
              </a:graphicData>
            </a:graphic>
          </wp:anchor>
        </w:drawing>
        <w:t>New Leadership Team</w:t>
      </w:r>
    </w:p>
    <w:p>
      <w:pPr>
        <w:spacing w:after="0" w:line="200" w:lineRule="exact"/>
        <w:rPr>
          <w:sz w:val="20"/>
          <w:szCs w:val="20"/>
          <w:color w:val="auto"/>
        </w:rPr>
      </w:pPr>
    </w:p>
    <w:p>
      <w:pPr>
        <w:spacing w:after="0" w:line="345" w:lineRule="exact"/>
        <w:rPr>
          <w:sz w:val="20"/>
          <w:szCs w:val="20"/>
          <w:color w:val="auto"/>
        </w:rPr>
      </w:pPr>
    </w:p>
    <w:p>
      <w:pPr>
        <w:jc w:val="center"/>
        <w:ind w:left="640" w:right="120"/>
        <w:spacing w:after="0" w:line="289" w:lineRule="auto"/>
        <w:rPr>
          <w:sz w:val="20"/>
          <w:szCs w:val="20"/>
          <w:color w:val="auto"/>
        </w:rPr>
      </w:pPr>
      <w:r>
        <w:rPr>
          <w:rFonts w:ascii="Arial" w:cs="Arial" w:eastAsia="Arial" w:hAnsi="Arial"/>
          <w:sz w:val="29"/>
          <w:szCs w:val="29"/>
          <w:b w:val="1"/>
          <w:bCs w:val="1"/>
          <w:color w:val="auto"/>
        </w:rPr>
        <w:t xml:space="preserve">12 of 13 EC members new to company or in new positions since July 2009 </w:t>
      </w:r>
      <w:r>
        <w:rPr>
          <w:rFonts w:ascii="Arial" w:cs="Arial" w:eastAsia="Arial" w:hAnsi="Arial"/>
          <w:sz w:val="29"/>
          <w:szCs w:val="29"/>
          <w:b w:val="1"/>
          <w:bCs w:val="1"/>
          <w:i w:val="1"/>
          <w:iCs w:val="1"/>
          <w:color w:val="auto"/>
        </w:rPr>
        <w:t>(Tom Stephens appointed to current position May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FFFFFF"/>
        </w:rPr>
        <w:t>Ed Whitacre</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FFFFFF"/>
        </w:rPr>
        <w:t>Chairman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375"/>
        </w:trPr>
        <w:tc>
          <w:tcPr>
            <w:tcW w:w="1660" w:type="dxa"/>
            <w:vAlign w:val="bottom"/>
          </w:tcPr>
          <w:p>
            <w:pPr>
              <w:jc w:val="center"/>
              <w:ind w:right="31"/>
              <w:spacing w:after="0"/>
              <w:rPr>
                <w:sz w:val="20"/>
                <w:szCs w:val="20"/>
                <w:color w:val="auto"/>
              </w:rPr>
            </w:pPr>
            <w:r>
              <w:rPr>
                <w:rFonts w:ascii="Arial" w:cs="Arial" w:eastAsia="Arial" w:hAnsi="Arial"/>
                <w:sz w:val="23"/>
                <w:szCs w:val="23"/>
                <w:b w:val="1"/>
                <w:bCs w:val="1"/>
                <w:color w:val="FFFFFF"/>
                <w:w w:val="97"/>
              </w:rPr>
              <w:t>Tom Stephens</w:t>
            </w:r>
          </w:p>
        </w:tc>
        <w:tc>
          <w:tcPr>
            <w:tcW w:w="1700" w:type="dxa"/>
            <w:vAlign w:val="bottom"/>
          </w:tcPr>
          <w:p>
            <w:pPr>
              <w:jc w:val="center"/>
              <w:spacing w:after="0"/>
              <w:rPr>
                <w:sz w:val="20"/>
                <w:szCs w:val="20"/>
                <w:color w:val="auto"/>
              </w:rPr>
            </w:pPr>
            <w:r>
              <w:rPr>
                <w:rFonts w:ascii="Arial" w:cs="Arial" w:eastAsia="Arial" w:hAnsi="Arial"/>
                <w:sz w:val="23"/>
                <w:szCs w:val="23"/>
                <w:b w:val="1"/>
                <w:bCs w:val="1"/>
                <w:color w:val="FFFFFF"/>
                <w:w w:val="98"/>
              </w:rPr>
              <w:t>Steve Girsky</w:t>
            </w:r>
          </w:p>
        </w:tc>
        <w:tc>
          <w:tcPr>
            <w:tcW w:w="1820" w:type="dxa"/>
            <w:vAlign w:val="bottom"/>
          </w:tcPr>
          <w:p>
            <w:pPr>
              <w:jc w:val="center"/>
              <w:spacing w:after="0"/>
              <w:rPr>
                <w:sz w:val="20"/>
                <w:szCs w:val="20"/>
                <w:color w:val="auto"/>
              </w:rPr>
            </w:pPr>
            <w:r>
              <w:rPr>
                <w:rFonts w:ascii="Arial" w:cs="Arial" w:eastAsia="Arial" w:hAnsi="Arial"/>
                <w:sz w:val="23"/>
                <w:szCs w:val="23"/>
                <w:b w:val="1"/>
                <w:bCs w:val="1"/>
                <w:color w:val="FFFFFF"/>
                <w:w w:val="97"/>
              </w:rPr>
              <w:t>Chris Liddell</w:t>
            </w:r>
          </w:p>
        </w:tc>
        <w:tc>
          <w:tcPr>
            <w:tcW w:w="1680" w:type="dxa"/>
            <w:vAlign w:val="bottom"/>
          </w:tcPr>
          <w:p>
            <w:pPr>
              <w:jc w:val="center"/>
              <w:spacing w:after="0"/>
              <w:rPr>
                <w:sz w:val="20"/>
                <w:szCs w:val="20"/>
                <w:color w:val="auto"/>
              </w:rPr>
            </w:pPr>
            <w:r>
              <w:rPr>
                <w:rFonts w:ascii="Arial" w:cs="Arial" w:eastAsia="Arial" w:hAnsi="Arial"/>
                <w:sz w:val="23"/>
                <w:szCs w:val="23"/>
                <w:b w:val="1"/>
                <w:bCs w:val="1"/>
                <w:color w:val="FFFFFF"/>
                <w:w w:val="97"/>
              </w:rPr>
              <w:t>Nick Reilly</w:t>
            </w:r>
          </w:p>
        </w:tc>
        <w:tc>
          <w:tcPr>
            <w:tcW w:w="1800" w:type="dxa"/>
            <w:vAlign w:val="bottom"/>
          </w:tcPr>
          <w:p>
            <w:pPr>
              <w:jc w:val="center"/>
              <w:spacing w:after="0"/>
              <w:rPr>
                <w:sz w:val="20"/>
                <w:szCs w:val="20"/>
                <w:color w:val="auto"/>
              </w:rPr>
            </w:pPr>
            <w:r>
              <w:rPr>
                <w:rFonts w:ascii="Arial" w:cs="Arial" w:eastAsia="Arial" w:hAnsi="Arial"/>
                <w:sz w:val="23"/>
                <w:szCs w:val="23"/>
                <w:b w:val="1"/>
                <w:bCs w:val="1"/>
                <w:color w:val="FFFFFF"/>
                <w:w w:val="99"/>
              </w:rPr>
              <w:t>Mark Reuss</w:t>
            </w:r>
          </w:p>
        </w:tc>
        <w:tc>
          <w:tcPr>
            <w:tcW w:w="1540" w:type="dxa"/>
            <w:vAlign w:val="bottom"/>
          </w:tcPr>
          <w:p>
            <w:pPr>
              <w:jc w:val="center"/>
              <w:ind w:left="151"/>
              <w:spacing w:after="0"/>
              <w:rPr>
                <w:sz w:val="20"/>
                <w:szCs w:val="20"/>
                <w:color w:val="auto"/>
              </w:rPr>
            </w:pPr>
            <w:r>
              <w:rPr>
                <w:rFonts w:ascii="Arial" w:cs="Arial" w:eastAsia="Arial" w:hAnsi="Arial"/>
                <w:sz w:val="23"/>
                <w:szCs w:val="23"/>
                <w:b w:val="1"/>
                <w:bCs w:val="1"/>
                <w:color w:val="FFFFFF"/>
                <w:w w:val="98"/>
              </w:rPr>
              <w:t>Tim Lee</w:t>
            </w:r>
          </w:p>
        </w:tc>
        <w:tc>
          <w:tcPr>
            <w:tcW w:w="0" w:type="dxa"/>
            <w:vAlign w:val="bottom"/>
          </w:tcPr>
          <w:p>
            <w:pPr>
              <w:spacing w:after="0"/>
              <w:rPr>
                <w:sz w:val="1"/>
                <w:szCs w:val="1"/>
                <w:color w:val="auto"/>
              </w:rPr>
            </w:pPr>
          </w:p>
        </w:tc>
      </w:tr>
      <w:tr>
        <w:trPr>
          <w:trHeight w:val="187"/>
        </w:trPr>
        <w:tc>
          <w:tcPr>
            <w:tcW w:w="1660" w:type="dxa"/>
            <w:vAlign w:val="bottom"/>
            <w:vMerge w:val="restart"/>
          </w:tcPr>
          <w:p>
            <w:pPr>
              <w:jc w:val="center"/>
              <w:ind w:right="91"/>
              <w:spacing w:after="0"/>
              <w:rPr>
                <w:sz w:val="20"/>
                <w:szCs w:val="20"/>
                <w:color w:val="auto"/>
              </w:rPr>
            </w:pPr>
            <w:r>
              <w:rPr>
                <w:rFonts w:ascii="Arial" w:cs="Arial" w:eastAsia="Arial" w:hAnsi="Arial"/>
                <w:sz w:val="15"/>
                <w:szCs w:val="15"/>
                <w:b w:val="1"/>
                <w:bCs w:val="1"/>
                <w:color w:val="FFFFFF"/>
              </w:rPr>
              <w:t>Vice Chairman</w:t>
            </w:r>
          </w:p>
        </w:tc>
        <w:tc>
          <w:tcPr>
            <w:tcW w:w="1700" w:type="dxa"/>
            <w:vAlign w:val="bottom"/>
          </w:tcPr>
          <w:p>
            <w:pPr>
              <w:jc w:val="center"/>
              <w:ind w:right="34"/>
              <w:spacing w:after="0"/>
              <w:rPr>
                <w:sz w:val="20"/>
                <w:szCs w:val="20"/>
                <w:color w:val="auto"/>
              </w:rPr>
            </w:pPr>
            <w:r>
              <w:rPr>
                <w:rFonts w:ascii="Arial" w:cs="Arial" w:eastAsia="Arial" w:hAnsi="Arial"/>
                <w:sz w:val="15"/>
                <w:szCs w:val="15"/>
                <w:b w:val="1"/>
                <w:bCs w:val="1"/>
                <w:color w:val="FFFFFF"/>
              </w:rPr>
              <w:t>Vice Chairman</w:t>
            </w:r>
          </w:p>
        </w:tc>
        <w:tc>
          <w:tcPr>
            <w:tcW w:w="1820" w:type="dxa"/>
            <w:vAlign w:val="bottom"/>
            <w:vMerge w:val="restart"/>
          </w:tcPr>
          <w:p>
            <w:pPr>
              <w:jc w:val="center"/>
              <w:ind w:right="31"/>
              <w:spacing w:after="0"/>
              <w:rPr>
                <w:sz w:val="20"/>
                <w:szCs w:val="20"/>
                <w:color w:val="auto"/>
              </w:rPr>
            </w:pPr>
            <w:r>
              <w:rPr>
                <w:rFonts w:ascii="Arial" w:cs="Arial" w:eastAsia="Arial" w:hAnsi="Arial"/>
                <w:sz w:val="15"/>
                <w:szCs w:val="15"/>
                <w:b w:val="1"/>
                <w:bCs w:val="1"/>
                <w:color w:val="FFFFFF"/>
              </w:rPr>
              <w:t>Vice Chairman</w:t>
            </w:r>
          </w:p>
        </w:tc>
        <w:tc>
          <w:tcPr>
            <w:tcW w:w="1680" w:type="dxa"/>
            <w:vAlign w:val="bottom"/>
            <w:vMerge w:val="restart"/>
          </w:tcPr>
          <w:p>
            <w:pPr>
              <w:jc w:val="center"/>
              <w:ind w:right="11"/>
              <w:spacing w:after="0"/>
              <w:rPr>
                <w:sz w:val="20"/>
                <w:szCs w:val="20"/>
                <w:color w:val="auto"/>
              </w:rPr>
            </w:pPr>
            <w:r>
              <w:rPr>
                <w:rFonts w:ascii="Arial" w:cs="Arial" w:eastAsia="Arial" w:hAnsi="Arial"/>
                <w:sz w:val="15"/>
                <w:szCs w:val="15"/>
                <w:b w:val="1"/>
                <w:bCs w:val="1"/>
                <w:color w:val="FFFFFF"/>
              </w:rPr>
              <w:t>President</w:t>
            </w:r>
          </w:p>
        </w:tc>
        <w:tc>
          <w:tcPr>
            <w:tcW w:w="1800" w:type="dxa"/>
            <w:vAlign w:val="bottom"/>
            <w:vMerge w:val="restart"/>
          </w:tcPr>
          <w:p>
            <w:pPr>
              <w:jc w:val="center"/>
              <w:spacing w:after="0"/>
              <w:rPr>
                <w:sz w:val="20"/>
                <w:szCs w:val="20"/>
                <w:color w:val="auto"/>
              </w:rPr>
            </w:pPr>
            <w:r>
              <w:rPr>
                <w:rFonts w:ascii="Arial" w:cs="Arial" w:eastAsia="Arial" w:hAnsi="Arial"/>
                <w:sz w:val="15"/>
                <w:szCs w:val="15"/>
                <w:b w:val="1"/>
                <w:bCs w:val="1"/>
                <w:color w:val="FFFFFF"/>
              </w:rPr>
              <w:t>President</w:t>
            </w:r>
          </w:p>
        </w:tc>
        <w:tc>
          <w:tcPr>
            <w:tcW w:w="1540" w:type="dxa"/>
            <w:vAlign w:val="bottom"/>
            <w:vMerge w:val="restart"/>
          </w:tcPr>
          <w:p>
            <w:pPr>
              <w:jc w:val="center"/>
              <w:ind w:left="131"/>
              <w:spacing w:after="0"/>
              <w:rPr>
                <w:sz w:val="20"/>
                <w:szCs w:val="20"/>
                <w:color w:val="auto"/>
              </w:rPr>
            </w:pPr>
            <w:r>
              <w:rPr>
                <w:rFonts w:ascii="Arial" w:cs="Arial" w:eastAsia="Arial" w:hAnsi="Arial"/>
                <w:sz w:val="15"/>
                <w:szCs w:val="15"/>
                <w:b w:val="1"/>
                <w:bCs w:val="1"/>
                <w:color w:val="FFFFFF"/>
              </w:rPr>
              <w:t>President</w:t>
            </w:r>
          </w:p>
        </w:tc>
        <w:tc>
          <w:tcPr>
            <w:tcW w:w="0" w:type="dxa"/>
            <w:vAlign w:val="bottom"/>
          </w:tcPr>
          <w:p>
            <w:pPr>
              <w:spacing w:after="0"/>
              <w:rPr>
                <w:sz w:val="1"/>
                <w:szCs w:val="1"/>
                <w:color w:val="auto"/>
              </w:rPr>
            </w:pPr>
          </w:p>
        </w:tc>
      </w:tr>
      <w:tr>
        <w:trPr>
          <w:trHeight w:val="158"/>
        </w:trPr>
        <w:tc>
          <w:tcPr>
            <w:tcW w:w="1660" w:type="dxa"/>
            <w:vAlign w:val="bottom"/>
            <w:vMerge w:val="continue"/>
          </w:tcPr>
          <w:p>
            <w:pPr>
              <w:spacing w:after="0"/>
              <w:rPr>
                <w:sz w:val="13"/>
                <w:szCs w:val="13"/>
                <w:color w:val="auto"/>
              </w:rPr>
            </w:pPr>
          </w:p>
        </w:tc>
        <w:tc>
          <w:tcPr>
            <w:tcW w:w="1700" w:type="dxa"/>
            <w:vAlign w:val="bottom"/>
          </w:tcPr>
          <w:p>
            <w:pPr>
              <w:jc w:val="center"/>
              <w:ind w:right="34"/>
              <w:spacing w:after="0" w:line="158" w:lineRule="exact"/>
              <w:rPr>
                <w:sz w:val="20"/>
                <w:szCs w:val="20"/>
                <w:color w:val="auto"/>
              </w:rPr>
            </w:pPr>
            <w:r>
              <w:rPr>
                <w:rFonts w:ascii="Arial" w:cs="Arial" w:eastAsia="Arial" w:hAnsi="Arial"/>
                <w:sz w:val="15"/>
                <w:szCs w:val="15"/>
                <w:b w:val="1"/>
                <w:bCs w:val="1"/>
                <w:color w:val="FFFFFF"/>
              </w:rPr>
              <w:t>Corp. Strategy &amp;</w:t>
            </w:r>
          </w:p>
        </w:tc>
        <w:tc>
          <w:tcPr>
            <w:tcW w:w="182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660" w:type="dxa"/>
            <w:vAlign w:val="bottom"/>
          </w:tcPr>
          <w:p>
            <w:pPr>
              <w:jc w:val="center"/>
              <w:ind w:right="71"/>
              <w:spacing w:after="0"/>
              <w:rPr>
                <w:sz w:val="20"/>
                <w:szCs w:val="20"/>
                <w:color w:val="auto"/>
              </w:rPr>
            </w:pPr>
            <w:r>
              <w:rPr>
                <w:rFonts w:ascii="Arial" w:cs="Arial" w:eastAsia="Arial" w:hAnsi="Arial"/>
                <w:sz w:val="15"/>
                <w:szCs w:val="15"/>
                <w:b w:val="1"/>
                <w:bCs w:val="1"/>
                <w:color w:val="FFFFFF"/>
              </w:rPr>
              <w:t>Global Prod. Ops</w:t>
            </w:r>
          </w:p>
        </w:tc>
        <w:tc>
          <w:tcPr>
            <w:tcW w:w="1700" w:type="dxa"/>
            <w:vAlign w:val="bottom"/>
          </w:tcPr>
          <w:p>
            <w:pPr>
              <w:jc w:val="center"/>
              <w:ind w:right="14"/>
              <w:spacing w:after="0"/>
              <w:rPr>
                <w:sz w:val="20"/>
                <w:szCs w:val="20"/>
                <w:color w:val="auto"/>
              </w:rPr>
            </w:pPr>
            <w:r>
              <w:rPr>
                <w:rFonts w:ascii="Arial" w:cs="Arial" w:eastAsia="Arial" w:hAnsi="Arial"/>
                <w:sz w:val="15"/>
                <w:szCs w:val="15"/>
                <w:b w:val="1"/>
                <w:bCs w:val="1"/>
                <w:color w:val="FFFFFF"/>
              </w:rPr>
              <w:t>Bus. Dev</w:t>
            </w:r>
            <w:r>
              <w:rPr>
                <w:rFonts w:ascii="Arial" w:cs="Arial" w:eastAsia="Arial" w:hAnsi="Arial"/>
                <w:sz w:val="15"/>
                <w:szCs w:val="15"/>
                <w:b w:val="1"/>
                <w:bCs w:val="1"/>
                <w:color w:val="FFFF00"/>
              </w:rPr>
              <w:t>.</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FFFFFF"/>
              </w:rPr>
              <w:t>CFO</w:t>
            </w:r>
          </w:p>
        </w:tc>
        <w:tc>
          <w:tcPr>
            <w:tcW w:w="1680" w:type="dxa"/>
            <w:vAlign w:val="bottom"/>
          </w:tcPr>
          <w:p>
            <w:pPr>
              <w:jc w:val="center"/>
              <w:spacing w:after="0"/>
              <w:rPr>
                <w:sz w:val="20"/>
                <w:szCs w:val="20"/>
                <w:color w:val="auto"/>
              </w:rPr>
            </w:pPr>
            <w:r>
              <w:rPr>
                <w:rFonts w:ascii="Arial" w:cs="Arial" w:eastAsia="Arial" w:hAnsi="Arial"/>
                <w:sz w:val="15"/>
                <w:szCs w:val="15"/>
                <w:b w:val="1"/>
                <w:bCs w:val="1"/>
                <w:color w:val="FFFFFF"/>
              </w:rPr>
              <w:t>Europe</w:t>
            </w:r>
          </w:p>
        </w:tc>
        <w:tc>
          <w:tcPr>
            <w:tcW w:w="1800" w:type="dxa"/>
            <w:vAlign w:val="bottom"/>
          </w:tcPr>
          <w:p>
            <w:pPr>
              <w:jc w:val="center"/>
              <w:spacing w:after="0"/>
              <w:rPr>
                <w:sz w:val="20"/>
                <w:szCs w:val="20"/>
                <w:color w:val="auto"/>
              </w:rPr>
            </w:pPr>
            <w:r>
              <w:rPr>
                <w:rFonts w:ascii="Arial" w:cs="Arial" w:eastAsia="Arial" w:hAnsi="Arial"/>
                <w:sz w:val="15"/>
                <w:szCs w:val="15"/>
                <w:b w:val="1"/>
                <w:bCs w:val="1"/>
                <w:color w:val="FFFFFF"/>
              </w:rPr>
              <w:t>North America</w:t>
            </w:r>
          </w:p>
        </w:tc>
        <w:tc>
          <w:tcPr>
            <w:tcW w:w="1540" w:type="dxa"/>
            <w:vAlign w:val="bottom"/>
          </w:tcPr>
          <w:p>
            <w:pPr>
              <w:jc w:val="center"/>
              <w:ind w:left="131"/>
              <w:spacing w:after="0"/>
              <w:rPr>
                <w:sz w:val="20"/>
                <w:szCs w:val="20"/>
                <w:color w:val="auto"/>
              </w:rPr>
            </w:pPr>
            <w:r>
              <w:rPr>
                <w:rFonts w:ascii="Arial" w:cs="Arial" w:eastAsia="Arial" w:hAnsi="Arial"/>
                <w:sz w:val="15"/>
                <w:szCs w:val="15"/>
                <w:b w:val="1"/>
                <w:bCs w:val="1"/>
                <w:color w:val="FFFFFF"/>
              </w:rPr>
              <w:t>International Ops.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312"/>
        </w:trPr>
        <w:tc>
          <w:tcPr>
            <w:tcW w:w="1640" w:type="dxa"/>
            <w:vAlign w:val="bottom"/>
            <w:vMerge w:val="restart"/>
          </w:tcPr>
          <w:p>
            <w:pPr>
              <w:jc w:val="center"/>
              <w:ind w:right="125"/>
              <w:spacing w:after="0"/>
              <w:rPr>
                <w:sz w:val="20"/>
                <w:szCs w:val="20"/>
                <w:color w:val="auto"/>
              </w:rPr>
            </w:pPr>
            <w:r>
              <w:rPr>
                <w:rFonts w:ascii="Arial" w:cs="Arial" w:eastAsia="Arial" w:hAnsi="Arial"/>
                <w:sz w:val="23"/>
                <w:szCs w:val="23"/>
                <w:b w:val="1"/>
                <w:bCs w:val="1"/>
                <w:color w:val="FFFFFF"/>
              </w:rPr>
              <w:t>Selim Bingol</w:t>
            </w:r>
          </w:p>
        </w:tc>
        <w:tc>
          <w:tcPr>
            <w:tcW w:w="1680" w:type="dxa"/>
            <w:vAlign w:val="bottom"/>
          </w:tcPr>
          <w:p>
            <w:pPr>
              <w:jc w:val="center"/>
              <w:spacing w:after="0"/>
              <w:rPr>
                <w:sz w:val="20"/>
                <w:szCs w:val="20"/>
                <w:color w:val="auto"/>
              </w:rPr>
            </w:pPr>
            <w:r>
              <w:rPr>
                <w:rFonts w:ascii="Arial" w:cs="Arial" w:eastAsia="Arial" w:hAnsi="Arial"/>
                <w:sz w:val="23"/>
                <w:szCs w:val="23"/>
                <w:b w:val="1"/>
                <w:bCs w:val="1"/>
                <w:color w:val="FFFFFF"/>
                <w:w w:val="98"/>
              </w:rPr>
              <w:t>Mary Barra</w:t>
            </w:r>
          </w:p>
        </w:tc>
        <w:tc>
          <w:tcPr>
            <w:tcW w:w="1840" w:type="dxa"/>
            <w:vAlign w:val="bottom"/>
            <w:vMerge w:val="restart"/>
          </w:tcPr>
          <w:p>
            <w:pPr>
              <w:ind w:left="280"/>
              <w:spacing w:after="0"/>
              <w:rPr>
                <w:sz w:val="20"/>
                <w:szCs w:val="20"/>
                <w:color w:val="auto"/>
              </w:rPr>
            </w:pPr>
            <w:r>
              <w:rPr>
                <w:rFonts w:ascii="Arial" w:cs="Arial" w:eastAsia="Arial" w:hAnsi="Arial"/>
                <w:sz w:val="23"/>
                <w:szCs w:val="23"/>
                <w:b w:val="1"/>
                <w:bCs w:val="1"/>
                <w:color w:val="FFFFFF"/>
              </w:rPr>
              <w:t>Mike Millikin</w:t>
            </w:r>
          </w:p>
        </w:tc>
        <w:tc>
          <w:tcPr>
            <w:tcW w:w="1620" w:type="dxa"/>
            <w:vAlign w:val="bottom"/>
          </w:tcPr>
          <w:p>
            <w:pPr>
              <w:jc w:val="center"/>
              <w:spacing w:after="0"/>
              <w:rPr>
                <w:sz w:val="20"/>
                <w:szCs w:val="20"/>
                <w:color w:val="auto"/>
              </w:rPr>
            </w:pPr>
            <w:r>
              <w:rPr>
                <w:rFonts w:ascii="Arial" w:cs="Arial" w:eastAsia="Arial" w:hAnsi="Arial"/>
                <w:sz w:val="23"/>
                <w:szCs w:val="23"/>
                <w:b w:val="1"/>
                <w:bCs w:val="1"/>
                <w:color w:val="FFFFFF"/>
                <w:w w:val="96"/>
              </w:rPr>
              <w:t>Terry Kline</w:t>
            </w:r>
          </w:p>
        </w:tc>
        <w:tc>
          <w:tcPr>
            <w:tcW w:w="1960" w:type="dxa"/>
            <w:vAlign w:val="bottom"/>
          </w:tcPr>
          <w:p>
            <w:pPr>
              <w:jc w:val="center"/>
              <w:spacing w:after="0"/>
              <w:rPr>
                <w:sz w:val="20"/>
                <w:szCs w:val="20"/>
                <w:color w:val="auto"/>
              </w:rPr>
            </w:pPr>
            <w:r>
              <w:rPr>
                <w:rFonts w:ascii="Arial" w:cs="Arial" w:eastAsia="Arial" w:hAnsi="Arial"/>
                <w:sz w:val="23"/>
                <w:szCs w:val="23"/>
                <w:b w:val="1"/>
                <w:bCs w:val="1"/>
                <w:color w:val="FFFFFF"/>
                <w:w w:val="98"/>
              </w:rPr>
              <w:t>John Montford</w:t>
            </w:r>
          </w:p>
        </w:tc>
        <w:tc>
          <w:tcPr>
            <w:tcW w:w="1260" w:type="dxa"/>
            <w:vAlign w:val="bottom"/>
            <w:vMerge w:val="restart"/>
          </w:tcPr>
          <w:p>
            <w:pPr>
              <w:jc w:val="center"/>
              <w:ind w:left="125"/>
              <w:spacing w:after="0"/>
              <w:rPr>
                <w:sz w:val="20"/>
                <w:szCs w:val="20"/>
                <w:color w:val="auto"/>
              </w:rPr>
            </w:pPr>
            <w:r>
              <w:rPr>
                <w:rFonts w:ascii="Arial" w:cs="Arial" w:eastAsia="Arial" w:hAnsi="Arial"/>
                <w:sz w:val="23"/>
                <w:szCs w:val="23"/>
                <w:b w:val="1"/>
                <w:bCs w:val="1"/>
                <w:color w:val="FFFFFF"/>
                <w:w w:val="97"/>
              </w:rPr>
              <w:t>Bob Lutz</w:t>
            </w:r>
          </w:p>
        </w:tc>
        <w:tc>
          <w:tcPr>
            <w:tcW w:w="0" w:type="dxa"/>
            <w:vAlign w:val="bottom"/>
          </w:tcPr>
          <w:p>
            <w:pPr>
              <w:spacing w:after="0"/>
              <w:rPr>
                <w:sz w:val="1"/>
                <w:szCs w:val="1"/>
                <w:color w:val="auto"/>
              </w:rPr>
            </w:pPr>
          </w:p>
        </w:tc>
      </w:tr>
      <w:tr>
        <w:trPr>
          <w:trHeight w:val="107"/>
        </w:trPr>
        <w:tc>
          <w:tcPr>
            <w:tcW w:w="1640" w:type="dxa"/>
            <w:vAlign w:val="bottom"/>
            <w:vMerge w:val="continue"/>
          </w:tcPr>
          <w:p>
            <w:pPr>
              <w:spacing w:after="0"/>
              <w:rPr>
                <w:sz w:val="9"/>
                <w:szCs w:val="9"/>
                <w:color w:val="auto"/>
              </w:rPr>
            </w:pPr>
          </w:p>
        </w:tc>
        <w:tc>
          <w:tcPr>
            <w:tcW w:w="1680" w:type="dxa"/>
            <w:vAlign w:val="bottom"/>
            <w:vMerge w:val="restart"/>
          </w:tcPr>
          <w:p>
            <w:pPr>
              <w:ind w:left="360"/>
              <w:spacing w:after="0"/>
              <w:rPr>
                <w:sz w:val="20"/>
                <w:szCs w:val="20"/>
                <w:color w:val="auto"/>
              </w:rPr>
            </w:pPr>
            <w:r>
              <w:rPr>
                <w:rFonts w:ascii="Arial" w:cs="Arial" w:eastAsia="Arial" w:hAnsi="Arial"/>
                <w:sz w:val="15"/>
                <w:szCs w:val="15"/>
                <w:b w:val="1"/>
                <w:bCs w:val="1"/>
                <w:color w:val="FFFFFF"/>
              </w:rPr>
              <w:t>V.P. Human</w:t>
            </w:r>
          </w:p>
        </w:tc>
        <w:tc>
          <w:tcPr>
            <w:tcW w:w="1840" w:type="dxa"/>
            <w:vAlign w:val="bottom"/>
            <w:vMerge w:val="continue"/>
          </w:tcPr>
          <w:p>
            <w:pPr>
              <w:spacing w:after="0"/>
              <w:rPr>
                <w:sz w:val="9"/>
                <w:szCs w:val="9"/>
                <w:color w:val="auto"/>
              </w:rPr>
            </w:pPr>
          </w:p>
        </w:tc>
        <w:tc>
          <w:tcPr>
            <w:tcW w:w="1620" w:type="dxa"/>
            <w:vAlign w:val="bottom"/>
            <w:vMerge w:val="restart"/>
          </w:tcPr>
          <w:p>
            <w:pPr>
              <w:jc w:val="center"/>
              <w:spacing w:after="0"/>
              <w:rPr>
                <w:sz w:val="20"/>
                <w:szCs w:val="20"/>
                <w:color w:val="auto"/>
              </w:rPr>
            </w:pPr>
            <w:r>
              <w:rPr>
                <w:rFonts w:ascii="Arial" w:cs="Arial" w:eastAsia="Arial" w:hAnsi="Arial"/>
                <w:sz w:val="15"/>
                <w:szCs w:val="15"/>
                <w:b w:val="1"/>
                <w:bCs w:val="1"/>
                <w:color w:val="FFFFFF"/>
              </w:rPr>
              <w:t>V.P. Information</w:t>
            </w:r>
          </w:p>
        </w:tc>
        <w:tc>
          <w:tcPr>
            <w:tcW w:w="1960" w:type="dxa"/>
            <w:vAlign w:val="bottom"/>
            <w:vMerge w:val="restart"/>
          </w:tcPr>
          <w:p>
            <w:pPr>
              <w:jc w:val="center"/>
              <w:spacing w:after="0"/>
              <w:rPr>
                <w:sz w:val="20"/>
                <w:szCs w:val="20"/>
                <w:color w:val="auto"/>
              </w:rPr>
            </w:pPr>
            <w:r>
              <w:rPr>
                <w:rFonts w:ascii="Arial" w:cs="Arial" w:eastAsia="Arial" w:hAnsi="Arial"/>
                <w:sz w:val="15"/>
                <w:szCs w:val="15"/>
                <w:b w:val="1"/>
                <w:bCs w:val="1"/>
                <w:color w:val="FFFFFF"/>
              </w:rPr>
              <w:t>Senior Advisor</w:t>
            </w: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640" w:type="dxa"/>
            <w:vAlign w:val="bottom"/>
          </w:tcPr>
          <w:p>
            <w:pPr>
              <w:jc w:val="center"/>
              <w:ind w:right="125"/>
              <w:spacing w:after="0" w:line="205" w:lineRule="exact"/>
              <w:rPr>
                <w:sz w:val="20"/>
                <w:szCs w:val="20"/>
                <w:color w:val="auto"/>
              </w:rPr>
            </w:pPr>
            <w:r>
              <w:rPr>
                <w:rFonts w:ascii="Arial" w:cs="Arial" w:eastAsia="Arial" w:hAnsi="Arial"/>
                <w:sz w:val="15"/>
                <w:szCs w:val="15"/>
                <w:b w:val="1"/>
                <w:bCs w:val="1"/>
                <w:color w:val="FFFFFF"/>
              </w:rPr>
              <w:t xml:space="preserve">V.P. Comm </w:t>
            </w:r>
            <w:r>
              <w:rPr>
                <w:rFonts w:ascii="Arial" w:cs="Arial" w:eastAsia="Arial" w:hAnsi="Arial"/>
                <w:sz w:val="19"/>
                <w:szCs w:val="19"/>
                <w:b w:val="1"/>
                <w:bCs w:val="1"/>
                <w:color w:val="FFFFFF"/>
              </w:rPr>
              <w:t>.</w:t>
            </w:r>
          </w:p>
        </w:tc>
        <w:tc>
          <w:tcPr>
            <w:tcW w:w="1680" w:type="dxa"/>
            <w:vAlign w:val="bottom"/>
            <w:vMerge w:val="continue"/>
          </w:tcPr>
          <w:p>
            <w:pPr>
              <w:spacing w:after="0"/>
              <w:rPr>
                <w:sz w:val="17"/>
                <w:szCs w:val="17"/>
                <w:color w:val="auto"/>
              </w:rPr>
            </w:pPr>
          </w:p>
        </w:tc>
        <w:tc>
          <w:tcPr>
            <w:tcW w:w="1840" w:type="dxa"/>
            <w:vAlign w:val="bottom"/>
          </w:tcPr>
          <w:p>
            <w:pPr>
              <w:ind w:left="560"/>
              <w:spacing w:after="0"/>
              <w:rPr>
                <w:sz w:val="20"/>
                <w:szCs w:val="20"/>
                <w:color w:val="auto"/>
              </w:rPr>
            </w:pPr>
            <w:r>
              <w:rPr>
                <w:rFonts w:ascii="Arial" w:cs="Arial" w:eastAsia="Arial" w:hAnsi="Arial"/>
                <w:sz w:val="15"/>
                <w:szCs w:val="15"/>
                <w:b w:val="1"/>
                <w:bCs w:val="1"/>
                <w:color w:val="FFFFFF"/>
              </w:rPr>
              <w:t>V.P. Legal</w:t>
            </w:r>
          </w:p>
        </w:tc>
        <w:tc>
          <w:tcPr>
            <w:tcW w:w="1620" w:type="dxa"/>
            <w:vAlign w:val="bottom"/>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1260" w:type="dxa"/>
            <w:vAlign w:val="bottom"/>
          </w:tcPr>
          <w:p>
            <w:pPr>
              <w:jc w:val="center"/>
              <w:ind w:left="105"/>
              <w:spacing w:after="0"/>
              <w:rPr>
                <w:sz w:val="20"/>
                <w:szCs w:val="20"/>
                <w:color w:val="auto"/>
              </w:rPr>
            </w:pPr>
            <w:r>
              <w:rPr>
                <w:rFonts w:ascii="Arial" w:cs="Arial" w:eastAsia="Arial" w:hAnsi="Arial"/>
                <w:sz w:val="15"/>
                <w:szCs w:val="15"/>
                <w:b w:val="1"/>
                <w:bCs w:val="1"/>
                <w:color w:val="FFFFFF"/>
              </w:rPr>
              <w:t>Vice Chairman</w:t>
            </w:r>
          </w:p>
        </w:tc>
        <w:tc>
          <w:tcPr>
            <w:tcW w:w="0" w:type="dxa"/>
            <w:vAlign w:val="bottom"/>
          </w:tcPr>
          <w:p>
            <w:pPr>
              <w:spacing w:after="0"/>
              <w:rPr>
                <w:sz w:val="1"/>
                <w:szCs w:val="1"/>
                <w:color w:val="auto"/>
              </w:rPr>
            </w:pPr>
          </w:p>
        </w:tc>
      </w:tr>
      <w:tr>
        <w:trPr>
          <w:trHeight w:val="204"/>
        </w:trPr>
        <w:tc>
          <w:tcPr>
            <w:tcW w:w="16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5"/>
                <w:szCs w:val="15"/>
                <w:b w:val="1"/>
                <w:bCs w:val="1"/>
                <w:color w:val="FFFFFF"/>
              </w:rPr>
              <w:t>Resources</w:t>
            </w:r>
          </w:p>
        </w:tc>
        <w:tc>
          <w:tcPr>
            <w:tcW w:w="18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b w:val="1"/>
                <w:bCs w:val="1"/>
                <w:color w:val="FFFFFF"/>
                <w:w w:val="99"/>
              </w:rPr>
              <w:t>Technology</w:t>
            </w:r>
          </w:p>
        </w:tc>
        <w:tc>
          <w:tcPr>
            <w:tcW w:w="1960" w:type="dxa"/>
            <w:vAlign w:val="bottom"/>
          </w:tcPr>
          <w:p>
            <w:pPr>
              <w:jc w:val="center"/>
              <w:spacing w:after="0"/>
              <w:rPr>
                <w:sz w:val="20"/>
                <w:szCs w:val="20"/>
                <w:color w:val="auto"/>
              </w:rPr>
            </w:pPr>
            <w:r>
              <w:rPr>
                <w:rFonts w:ascii="Arial" w:cs="Arial" w:eastAsia="Arial" w:hAnsi="Arial"/>
                <w:sz w:val="15"/>
                <w:szCs w:val="15"/>
                <w:b w:val="1"/>
                <w:bCs w:val="1"/>
                <w:color w:val="FFFFFF"/>
              </w:rPr>
              <w:t>Gov’t Relations</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11</w:t>
      </w:r>
    </w:p>
    <w:p>
      <w:pPr>
        <w:sectPr>
          <w:pgSz w:w="11900" w:h="16838" w:orient="portrait"/>
          <w:cols w:equalWidth="0" w:num="1">
            <w:col w:w="10380"/>
          </w:cols>
          <w:pgMar w:left="560" w:top="529" w:right="9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5490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3770" cy="549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79"/>
        <w:spacing w:after="0"/>
        <w:rPr>
          <w:sz w:val="20"/>
          <w:szCs w:val="20"/>
          <w:color w:val="auto"/>
        </w:rPr>
      </w:pPr>
      <w:r>
        <w:rPr>
          <w:rFonts w:ascii="Arial" w:cs="Arial" w:eastAsia="Arial" w:hAnsi="Arial"/>
          <w:sz w:val="44"/>
          <w:szCs w:val="44"/>
          <w:b w:val="1"/>
          <w:bCs w:val="1"/>
          <w:color w:val="auto"/>
        </w:rPr>
        <w:t>General Motors Company</w:t>
      </w:r>
    </w:p>
    <w:p>
      <w:pPr>
        <w:spacing w:after="0" w:line="200" w:lineRule="exact"/>
        <w:rPr>
          <w:sz w:val="20"/>
          <w:szCs w:val="20"/>
          <w:color w:val="auto"/>
        </w:rPr>
      </w:pPr>
    </w:p>
    <w:p>
      <w:pPr>
        <w:spacing w:after="0" w:line="351"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auto"/>
        </w:rPr>
        <w:t>Select Supplemental Financial Information</w:t>
      </w:r>
    </w:p>
    <w:p>
      <w:pPr>
        <w:sectPr>
          <w:pgSz w:w="11900" w:h="16838" w:orient="portrait"/>
          <w:cols w:equalWidth="0" w:num="1">
            <w:col w:w="9020"/>
          </w:cols>
          <w:pgMar w:left="1440" w:top="1440" w:right="1439" w:bottom="1440" w:gutter="0" w:footer="0" w:header="0"/>
        </w:sectPr>
      </w:pPr>
    </w:p>
    <w:bookmarkStart w:id="26" w:name="page27"/>
    <w:bookmarkEnd w:id="26"/>
    <w:p>
      <w:pPr>
        <w:ind w:left="1300"/>
        <w:spacing w:after="0"/>
        <w:rPr>
          <w:sz w:val="20"/>
          <w:szCs w:val="20"/>
          <w:color w:val="auto"/>
        </w:rPr>
      </w:pPr>
      <w:r>
        <w:rPr>
          <w:rFonts w:ascii="Arial" w:cs="Arial" w:eastAsia="Arial" w:hAnsi="Arial"/>
          <w:sz w:val="44"/>
          <w:szCs w:val="44"/>
          <w:b w:val="1"/>
          <w:bCs w:val="1"/>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51663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3770" cy="5166360"/>
                    </a:xfrm>
                    <a:prstGeom prst="rect">
                      <a:avLst/>
                    </a:prstGeom>
                    <a:noFill/>
                  </pic:spPr>
                </pic:pic>
              </a:graphicData>
            </a:graphic>
          </wp:anchor>
        </w:drawing>
        <w:t>EBIT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20" w:type="dxa"/>
            <w:vAlign w:val="bottom"/>
            <w:gridSpan w:val="3"/>
          </w:tcPr>
          <w:p>
            <w:pPr>
              <w:jc w:val="right"/>
              <w:ind w:right="1805"/>
              <w:spacing w:after="0"/>
              <w:rPr>
                <w:sz w:val="20"/>
                <w:szCs w:val="20"/>
                <w:color w:val="auto"/>
              </w:rPr>
            </w:pPr>
            <w:r>
              <w:rPr>
                <w:rFonts w:ascii="Arial" w:cs="Arial" w:eastAsia="Arial" w:hAnsi="Arial"/>
                <w:sz w:val="19"/>
                <w:szCs w:val="19"/>
                <w:b w:val="1"/>
                <w:bCs w:val="1"/>
                <w:color w:val="auto"/>
              </w:rPr>
              <w:t>Successor</w:t>
            </w:r>
          </w:p>
        </w:tc>
        <w:tc>
          <w:tcPr>
            <w:tcW w:w="320" w:type="dxa"/>
            <w:vAlign w:val="bottom"/>
          </w:tcPr>
          <w:p>
            <w:pPr>
              <w:spacing w:after="0"/>
              <w:rPr>
                <w:sz w:val="21"/>
                <w:szCs w:val="21"/>
                <w:color w:val="auto"/>
              </w:rPr>
            </w:pPr>
          </w:p>
        </w:tc>
        <w:tc>
          <w:tcPr>
            <w:tcW w:w="1800" w:type="dxa"/>
            <w:vAlign w:val="bottom"/>
          </w:tcPr>
          <w:p>
            <w:pPr>
              <w:jc w:val="center"/>
              <w:ind w:right="245"/>
              <w:spacing w:after="0"/>
              <w:rPr>
                <w:sz w:val="20"/>
                <w:szCs w:val="20"/>
                <w:color w:val="auto"/>
              </w:rPr>
            </w:pPr>
            <w:r>
              <w:rPr>
                <w:rFonts w:ascii="Arial" w:cs="Arial" w:eastAsia="Arial" w:hAnsi="Arial"/>
                <w:sz w:val="19"/>
                <w:szCs w:val="19"/>
                <w:b w:val="1"/>
                <w:bCs w:val="1"/>
                <w:color w:val="auto"/>
                <w:w w:val="99"/>
              </w:rPr>
              <w:t>Predecessor</w:t>
            </w:r>
          </w:p>
        </w:tc>
        <w:tc>
          <w:tcPr>
            <w:tcW w:w="0" w:type="dxa"/>
            <w:vAlign w:val="bottom"/>
          </w:tcPr>
          <w:p>
            <w:pPr>
              <w:spacing w:after="0"/>
              <w:rPr>
                <w:sz w:val="1"/>
                <w:szCs w:val="1"/>
                <w:color w:val="auto"/>
              </w:rPr>
            </w:pPr>
          </w:p>
        </w:tc>
      </w:tr>
      <w:tr>
        <w:trPr>
          <w:trHeight w:val="249"/>
        </w:trPr>
        <w:tc>
          <w:tcPr>
            <w:tcW w:w="3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20" w:type="dxa"/>
            <w:vAlign w:val="bottom"/>
          </w:tcPr>
          <w:p>
            <w:pPr>
              <w:jc w:val="center"/>
              <w:ind w:right="405"/>
              <w:spacing w:after="0"/>
              <w:rPr>
                <w:sz w:val="20"/>
                <w:szCs w:val="20"/>
                <w:color w:val="auto"/>
              </w:rPr>
            </w:pPr>
            <w:r>
              <w:rPr>
                <w:rFonts w:ascii="Arial" w:cs="Arial" w:eastAsia="Arial" w:hAnsi="Arial"/>
                <w:sz w:val="19"/>
                <w:szCs w:val="19"/>
                <w:b w:val="1"/>
                <w:bCs w:val="1"/>
                <w:color w:val="auto"/>
              </w:rPr>
              <w:t>July 10, 2009</w:t>
            </w:r>
          </w:p>
        </w:tc>
        <w:tc>
          <w:tcPr>
            <w:tcW w:w="300" w:type="dxa"/>
            <w:vAlign w:val="bottom"/>
          </w:tcPr>
          <w:p>
            <w:pPr>
              <w:spacing w:after="0"/>
              <w:rPr>
                <w:sz w:val="21"/>
                <w:szCs w:val="21"/>
                <w:color w:val="auto"/>
              </w:rPr>
            </w:pPr>
          </w:p>
        </w:tc>
        <w:tc>
          <w:tcPr>
            <w:tcW w:w="2000" w:type="dxa"/>
            <w:vAlign w:val="bottom"/>
          </w:tcPr>
          <w:p>
            <w:pPr>
              <w:jc w:val="center"/>
              <w:ind w:right="365"/>
              <w:spacing w:after="0"/>
              <w:rPr>
                <w:sz w:val="20"/>
                <w:szCs w:val="20"/>
                <w:color w:val="auto"/>
              </w:rPr>
            </w:pPr>
            <w:r>
              <w:rPr>
                <w:rFonts w:ascii="Arial" w:cs="Arial" w:eastAsia="Arial" w:hAnsi="Arial"/>
                <w:sz w:val="19"/>
                <w:szCs w:val="19"/>
                <w:b w:val="1"/>
                <w:bCs w:val="1"/>
                <w:color w:val="auto"/>
              </w:rPr>
              <w:t>October 1, 2009</w:t>
            </w:r>
          </w:p>
        </w:tc>
        <w:tc>
          <w:tcPr>
            <w:tcW w:w="320" w:type="dxa"/>
            <w:vAlign w:val="bottom"/>
          </w:tcPr>
          <w:p>
            <w:pPr>
              <w:spacing w:after="0"/>
              <w:rPr>
                <w:sz w:val="21"/>
                <w:szCs w:val="21"/>
                <w:color w:val="auto"/>
              </w:rPr>
            </w:pPr>
          </w:p>
        </w:tc>
        <w:tc>
          <w:tcPr>
            <w:tcW w:w="1800" w:type="dxa"/>
            <w:vAlign w:val="bottom"/>
          </w:tcPr>
          <w:p>
            <w:pPr>
              <w:jc w:val="center"/>
              <w:ind w:right="245"/>
              <w:spacing w:after="0"/>
              <w:rPr>
                <w:sz w:val="20"/>
                <w:szCs w:val="20"/>
                <w:color w:val="auto"/>
              </w:rPr>
            </w:pPr>
            <w:r>
              <w:rPr>
                <w:rFonts w:ascii="Arial" w:cs="Arial" w:eastAsia="Arial" w:hAnsi="Arial"/>
                <w:sz w:val="19"/>
                <w:szCs w:val="19"/>
                <w:b w:val="1"/>
                <w:bCs w:val="1"/>
                <w:color w:val="auto"/>
              </w:rPr>
              <w:t>October 1, 2008</w:t>
            </w:r>
          </w:p>
        </w:tc>
        <w:tc>
          <w:tcPr>
            <w:tcW w:w="0" w:type="dxa"/>
            <w:vAlign w:val="bottom"/>
          </w:tcPr>
          <w:p>
            <w:pPr>
              <w:spacing w:after="0"/>
              <w:rPr>
                <w:sz w:val="1"/>
                <w:szCs w:val="1"/>
                <w:color w:val="auto"/>
              </w:rPr>
            </w:pPr>
          </w:p>
        </w:tc>
      </w:tr>
      <w:tr>
        <w:trPr>
          <w:trHeight w:val="249"/>
        </w:trPr>
        <w:tc>
          <w:tcPr>
            <w:tcW w:w="3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20" w:type="dxa"/>
            <w:vAlign w:val="bottom"/>
          </w:tcPr>
          <w:p>
            <w:pPr>
              <w:jc w:val="center"/>
              <w:ind w:right="425"/>
              <w:spacing w:after="0"/>
              <w:rPr>
                <w:sz w:val="20"/>
                <w:szCs w:val="20"/>
                <w:color w:val="auto"/>
              </w:rPr>
            </w:pPr>
            <w:r>
              <w:rPr>
                <w:rFonts w:ascii="Arial" w:cs="Arial" w:eastAsia="Arial" w:hAnsi="Arial"/>
                <w:sz w:val="19"/>
                <w:szCs w:val="19"/>
                <w:b w:val="1"/>
                <w:bCs w:val="1"/>
                <w:color w:val="auto"/>
                <w:w w:val="98"/>
              </w:rPr>
              <w:t>Through</w:t>
            </w:r>
          </w:p>
        </w:tc>
        <w:tc>
          <w:tcPr>
            <w:tcW w:w="300" w:type="dxa"/>
            <w:vAlign w:val="bottom"/>
          </w:tcPr>
          <w:p>
            <w:pPr>
              <w:spacing w:after="0"/>
              <w:rPr>
                <w:sz w:val="21"/>
                <w:szCs w:val="21"/>
                <w:color w:val="auto"/>
              </w:rPr>
            </w:pPr>
          </w:p>
        </w:tc>
        <w:tc>
          <w:tcPr>
            <w:tcW w:w="2000" w:type="dxa"/>
            <w:vAlign w:val="bottom"/>
          </w:tcPr>
          <w:p>
            <w:pPr>
              <w:jc w:val="center"/>
              <w:ind w:right="385"/>
              <w:spacing w:after="0"/>
              <w:rPr>
                <w:sz w:val="20"/>
                <w:szCs w:val="20"/>
                <w:color w:val="auto"/>
              </w:rPr>
            </w:pPr>
            <w:r>
              <w:rPr>
                <w:rFonts w:ascii="Arial" w:cs="Arial" w:eastAsia="Arial" w:hAnsi="Arial"/>
                <w:sz w:val="19"/>
                <w:szCs w:val="19"/>
                <w:b w:val="1"/>
                <w:bCs w:val="1"/>
                <w:color w:val="auto"/>
                <w:w w:val="98"/>
              </w:rPr>
              <w:t>Through</w:t>
            </w:r>
          </w:p>
        </w:tc>
        <w:tc>
          <w:tcPr>
            <w:tcW w:w="320" w:type="dxa"/>
            <w:vAlign w:val="bottom"/>
          </w:tcPr>
          <w:p>
            <w:pPr>
              <w:spacing w:after="0"/>
              <w:rPr>
                <w:sz w:val="21"/>
                <w:szCs w:val="21"/>
                <w:color w:val="auto"/>
              </w:rPr>
            </w:pPr>
          </w:p>
        </w:tc>
        <w:tc>
          <w:tcPr>
            <w:tcW w:w="1800" w:type="dxa"/>
            <w:vAlign w:val="bottom"/>
          </w:tcPr>
          <w:p>
            <w:pPr>
              <w:jc w:val="center"/>
              <w:ind w:right="265"/>
              <w:spacing w:after="0"/>
              <w:rPr>
                <w:sz w:val="20"/>
                <w:szCs w:val="20"/>
                <w:color w:val="auto"/>
              </w:rPr>
            </w:pPr>
            <w:r>
              <w:rPr>
                <w:rFonts w:ascii="Arial" w:cs="Arial" w:eastAsia="Arial" w:hAnsi="Arial"/>
                <w:sz w:val="19"/>
                <w:szCs w:val="19"/>
                <w:b w:val="1"/>
                <w:bCs w:val="1"/>
                <w:color w:val="auto"/>
                <w:w w:val="98"/>
              </w:rPr>
              <w:t>Through</w:t>
            </w:r>
          </w:p>
        </w:tc>
        <w:tc>
          <w:tcPr>
            <w:tcW w:w="0" w:type="dxa"/>
            <w:vAlign w:val="bottom"/>
          </w:tcPr>
          <w:p>
            <w:pPr>
              <w:spacing w:after="0"/>
              <w:rPr>
                <w:sz w:val="1"/>
                <w:szCs w:val="1"/>
                <w:color w:val="auto"/>
              </w:rPr>
            </w:pPr>
          </w:p>
        </w:tc>
      </w:tr>
      <w:tr>
        <w:trPr>
          <w:trHeight w:val="252"/>
        </w:trPr>
        <w:tc>
          <w:tcPr>
            <w:tcW w:w="336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Operating segments (EBIT)</w:t>
            </w:r>
          </w:p>
        </w:tc>
        <w:tc>
          <w:tcPr>
            <w:tcW w:w="2480" w:type="dxa"/>
            <w:vAlign w:val="bottom"/>
            <w:gridSpan w:val="2"/>
          </w:tcPr>
          <w:p>
            <w:pPr>
              <w:jc w:val="center"/>
              <w:spacing w:after="0"/>
              <w:rPr>
                <w:sz w:val="20"/>
                <w:szCs w:val="20"/>
                <w:color w:val="auto"/>
              </w:rPr>
            </w:pPr>
            <w:r>
              <w:rPr>
                <w:rFonts w:ascii="Arial" w:cs="Arial" w:eastAsia="Arial" w:hAnsi="Arial"/>
                <w:sz w:val="19"/>
                <w:szCs w:val="19"/>
                <w:b w:val="1"/>
                <w:bCs w:val="1"/>
                <w:color w:val="auto"/>
                <w:w w:val="99"/>
              </w:rPr>
              <w:t>December 31, 2009</w:t>
            </w:r>
          </w:p>
        </w:tc>
        <w:tc>
          <w:tcPr>
            <w:tcW w:w="2300" w:type="dxa"/>
            <w:vAlign w:val="bottom"/>
            <w:gridSpan w:val="2"/>
          </w:tcPr>
          <w:p>
            <w:pPr>
              <w:jc w:val="center"/>
              <w:ind w:right="65"/>
              <w:spacing w:after="0"/>
              <w:rPr>
                <w:sz w:val="20"/>
                <w:szCs w:val="20"/>
                <w:color w:val="auto"/>
              </w:rPr>
            </w:pPr>
            <w:r>
              <w:rPr>
                <w:rFonts w:ascii="Arial" w:cs="Arial" w:eastAsia="Arial" w:hAnsi="Arial"/>
                <w:sz w:val="19"/>
                <w:szCs w:val="19"/>
                <w:b w:val="1"/>
                <w:bCs w:val="1"/>
                <w:color w:val="auto"/>
                <w:w w:val="99"/>
              </w:rPr>
              <w:t>December 31, 2009</w:t>
            </w:r>
          </w:p>
        </w:tc>
        <w:tc>
          <w:tcPr>
            <w:tcW w:w="2120" w:type="dxa"/>
            <w:vAlign w:val="bottom"/>
            <w:gridSpan w:val="2"/>
          </w:tcPr>
          <w:p>
            <w:pPr>
              <w:jc w:val="center"/>
              <w:spacing w:after="0"/>
              <w:rPr>
                <w:sz w:val="20"/>
                <w:szCs w:val="20"/>
                <w:color w:val="auto"/>
              </w:rPr>
            </w:pPr>
            <w:r>
              <w:rPr>
                <w:rFonts w:ascii="Arial" w:cs="Arial" w:eastAsia="Arial" w:hAnsi="Arial"/>
                <w:sz w:val="19"/>
                <w:szCs w:val="19"/>
                <w:b w:val="1"/>
                <w:bCs w:val="1"/>
                <w:color w:val="auto"/>
                <w:w w:val="99"/>
              </w:rPr>
              <w:t>December 31, 2008</w:t>
            </w:r>
          </w:p>
        </w:tc>
        <w:tc>
          <w:tcPr>
            <w:tcW w:w="0" w:type="dxa"/>
            <w:vAlign w:val="bottom"/>
          </w:tcPr>
          <w:p>
            <w:pPr>
              <w:spacing w:after="0"/>
              <w:rPr>
                <w:sz w:val="1"/>
                <w:szCs w:val="1"/>
                <w:color w:val="auto"/>
              </w:rPr>
            </w:pPr>
          </w:p>
        </w:tc>
      </w:tr>
      <w:tr>
        <w:trPr>
          <w:trHeight w:val="249"/>
        </w:trPr>
        <w:tc>
          <w:tcPr>
            <w:tcW w:w="336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00" w:type="dxa"/>
            <w:vAlign w:val="bottom"/>
            <w:vMerge w:val="restart"/>
          </w:tcPr>
          <w:p>
            <w:pPr>
              <w:jc w:val="right"/>
              <w:ind w:right="5"/>
              <w:spacing w:after="0"/>
              <w:rPr>
                <w:sz w:val="20"/>
                <w:szCs w:val="20"/>
                <w:color w:val="auto"/>
              </w:rPr>
            </w:pPr>
            <w:r>
              <w:rPr>
                <w:rFonts w:ascii="Arial" w:cs="Arial" w:eastAsia="Arial" w:hAnsi="Arial"/>
                <w:sz w:val="19"/>
                <w:szCs w:val="19"/>
                <w:color w:val="auto"/>
              </w:rPr>
              <w:t>$</w:t>
            </w:r>
          </w:p>
        </w:tc>
        <w:tc>
          <w:tcPr>
            <w:tcW w:w="2000" w:type="dxa"/>
            <w:vAlign w:val="bottom"/>
            <w:vMerge w:val="restart"/>
          </w:tcPr>
          <w:p>
            <w:pPr>
              <w:jc w:val="right"/>
              <w:ind w:right="25"/>
              <w:spacing w:after="0"/>
              <w:rPr>
                <w:sz w:val="20"/>
                <w:szCs w:val="20"/>
                <w:color w:val="auto"/>
              </w:rPr>
            </w:pPr>
            <w:r>
              <w:rPr>
                <w:rFonts w:ascii="Arial" w:cs="Arial" w:eastAsia="Arial" w:hAnsi="Arial"/>
                <w:sz w:val="19"/>
                <w:szCs w:val="19"/>
                <w:color w:val="auto"/>
              </w:rPr>
              <w:t>(3,443)</w:t>
            </w:r>
          </w:p>
        </w:tc>
        <w:tc>
          <w:tcPr>
            <w:tcW w:w="3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800" w:type="dxa"/>
            <w:vAlign w:val="bottom"/>
            <w:vMerge w:val="restart"/>
          </w:tcPr>
          <w:p>
            <w:pPr>
              <w:jc w:val="right"/>
              <w:spacing w:after="0"/>
              <w:rPr>
                <w:sz w:val="20"/>
                <w:szCs w:val="20"/>
                <w:color w:val="auto"/>
              </w:rPr>
            </w:pPr>
            <w:r>
              <w:rPr>
                <w:rFonts w:ascii="Arial" w:cs="Arial" w:eastAsia="Arial" w:hAnsi="Arial"/>
                <w:sz w:val="19"/>
                <w:szCs w:val="19"/>
                <w:color w:val="auto"/>
              </w:rPr>
              <w:t>(3,403)</w:t>
            </w:r>
          </w:p>
        </w:tc>
        <w:tc>
          <w:tcPr>
            <w:tcW w:w="0" w:type="dxa"/>
            <w:vAlign w:val="bottom"/>
          </w:tcPr>
          <w:p>
            <w:pPr>
              <w:spacing w:after="0"/>
              <w:rPr>
                <w:sz w:val="1"/>
                <w:szCs w:val="1"/>
                <w:color w:val="auto"/>
              </w:rPr>
            </w:pPr>
          </w:p>
        </w:tc>
      </w:tr>
      <w:tr>
        <w:trPr>
          <w:trHeight w:val="200"/>
        </w:trPr>
        <w:tc>
          <w:tcPr>
            <w:tcW w:w="3360" w:type="dxa"/>
            <w:vAlign w:val="bottom"/>
          </w:tcPr>
          <w:p>
            <w:pPr>
              <w:spacing w:after="0" w:line="200" w:lineRule="exact"/>
              <w:rPr>
                <w:sz w:val="20"/>
                <w:szCs w:val="20"/>
                <w:color w:val="auto"/>
              </w:rPr>
            </w:pPr>
            <w:r>
              <w:rPr>
                <w:rFonts w:ascii="Arial" w:cs="Arial" w:eastAsia="Arial" w:hAnsi="Arial"/>
                <w:sz w:val="19"/>
                <w:szCs w:val="19"/>
                <w:color w:val="auto"/>
              </w:rPr>
              <w:t>GMNA</w:t>
            </w:r>
          </w:p>
        </w:tc>
        <w:tc>
          <w:tcPr>
            <w:tcW w:w="560" w:type="dxa"/>
            <w:vAlign w:val="bottom"/>
          </w:tcPr>
          <w:p>
            <w:pPr>
              <w:jc w:val="right"/>
              <w:ind w:right="65"/>
              <w:spacing w:after="0" w:line="200" w:lineRule="exact"/>
              <w:rPr>
                <w:sz w:val="20"/>
                <w:szCs w:val="20"/>
                <w:color w:val="auto"/>
              </w:rPr>
            </w:pPr>
            <w:r>
              <w:rPr>
                <w:rFonts w:ascii="Arial" w:cs="Arial" w:eastAsia="Arial" w:hAnsi="Arial"/>
                <w:sz w:val="19"/>
                <w:szCs w:val="19"/>
                <w:color w:val="auto"/>
              </w:rPr>
              <w:t>$</w:t>
            </w:r>
          </w:p>
        </w:tc>
        <w:tc>
          <w:tcPr>
            <w:tcW w:w="1920" w:type="dxa"/>
            <w:vAlign w:val="bottom"/>
          </w:tcPr>
          <w:p>
            <w:pPr>
              <w:jc w:val="right"/>
              <w:ind w:right="45"/>
              <w:spacing w:after="0" w:line="200" w:lineRule="exact"/>
              <w:rPr>
                <w:sz w:val="20"/>
                <w:szCs w:val="20"/>
                <w:color w:val="auto"/>
              </w:rPr>
            </w:pPr>
            <w:r>
              <w:rPr>
                <w:rFonts w:ascii="Arial" w:cs="Arial" w:eastAsia="Arial" w:hAnsi="Arial"/>
                <w:sz w:val="19"/>
                <w:szCs w:val="19"/>
                <w:color w:val="auto"/>
              </w:rPr>
              <w:t>(4,820)</w:t>
            </w:r>
          </w:p>
        </w:tc>
        <w:tc>
          <w:tcPr>
            <w:tcW w:w="30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r>
              <w:rPr>
                <w:rFonts w:ascii="Arial" w:cs="Arial" w:eastAsia="Arial" w:hAnsi="Arial"/>
                <w:sz w:val="19"/>
                <w:szCs w:val="19"/>
                <w:color w:val="auto"/>
              </w:rPr>
              <w:t>GMIO</w:t>
            </w:r>
          </w:p>
        </w:tc>
        <w:tc>
          <w:tcPr>
            <w:tcW w:w="560" w:type="dxa"/>
            <w:vAlign w:val="bottom"/>
          </w:tcPr>
          <w:p>
            <w:pPr>
              <w:spacing w:after="0"/>
              <w:rPr>
                <w:sz w:val="20"/>
                <w:szCs w:val="20"/>
                <w:color w:val="auto"/>
              </w:rPr>
            </w:pPr>
          </w:p>
        </w:tc>
        <w:tc>
          <w:tcPr>
            <w:tcW w:w="1920" w:type="dxa"/>
            <w:vAlign w:val="bottom"/>
          </w:tcPr>
          <w:p>
            <w:pPr>
              <w:jc w:val="right"/>
              <w:ind w:right="145"/>
              <w:spacing w:after="0"/>
              <w:rPr>
                <w:sz w:val="20"/>
                <w:szCs w:val="20"/>
                <w:color w:val="auto"/>
              </w:rPr>
            </w:pPr>
            <w:r>
              <w:rPr>
                <w:rFonts w:ascii="Arial" w:cs="Arial" w:eastAsia="Arial" w:hAnsi="Arial"/>
                <w:sz w:val="19"/>
                <w:szCs w:val="19"/>
                <w:color w:val="auto"/>
              </w:rPr>
              <w:t>1,198</w:t>
            </w:r>
          </w:p>
        </w:tc>
        <w:tc>
          <w:tcPr>
            <w:tcW w:w="300" w:type="dxa"/>
            <w:vAlign w:val="bottom"/>
          </w:tcPr>
          <w:p>
            <w:pPr>
              <w:spacing w:after="0"/>
              <w:rPr>
                <w:sz w:val="20"/>
                <w:szCs w:val="20"/>
                <w:color w:val="auto"/>
              </w:rPr>
            </w:pPr>
          </w:p>
        </w:tc>
        <w:tc>
          <w:tcPr>
            <w:tcW w:w="2000" w:type="dxa"/>
            <w:vAlign w:val="bottom"/>
          </w:tcPr>
          <w:p>
            <w:pPr>
              <w:jc w:val="right"/>
              <w:ind w:right="145"/>
              <w:spacing w:after="0"/>
              <w:rPr>
                <w:sz w:val="20"/>
                <w:szCs w:val="20"/>
                <w:color w:val="auto"/>
              </w:rPr>
            </w:pPr>
            <w:r>
              <w:rPr>
                <w:rFonts w:ascii="Arial" w:cs="Arial" w:eastAsia="Arial" w:hAnsi="Arial"/>
                <w:sz w:val="19"/>
                <w:szCs w:val="19"/>
                <w:color w:val="auto"/>
              </w:rPr>
              <w:t>738</w:t>
            </w: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9"/>
                <w:szCs w:val="19"/>
                <w:color w:val="auto"/>
              </w:rPr>
              <w:t>(1,074)</w:t>
            </w:r>
          </w:p>
        </w:tc>
        <w:tc>
          <w:tcPr>
            <w:tcW w:w="0" w:type="dxa"/>
            <w:vAlign w:val="bottom"/>
          </w:tcPr>
          <w:p>
            <w:pPr>
              <w:spacing w:after="0"/>
              <w:rPr>
                <w:sz w:val="1"/>
                <w:szCs w:val="1"/>
                <w:color w:val="auto"/>
              </w:rPr>
            </w:pPr>
          </w:p>
        </w:tc>
      </w:tr>
      <w:tr>
        <w:trPr>
          <w:trHeight w:val="249"/>
        </w:trPr>
        <w:tc>
          <w:tcPr>
            <w:tcW w:w="3360" w:type="dxa"/>
            <w:vAlign w:val="bottom"/>
          </w:tcPr>
          <w:p>
            <w:pPr>
              <w:spacing w:after="0"/>
              <w:rPr>
                <w:sz w:val="20"/>
                <w:szCs w:val="20"/>
                <w:color w:val="auto"/>
              </w:rPr>
            </w:pPr>
            <w:r>
              <w:rPr>
                <w:rFonts w:ascii="Arial" w:cs="Arial" w:eastAsia="Arial" w:hAnsi="Arial"/>
                <w:sz w:val="19"/>
                <w:szCs w:val="19"/>
                <w:color w:val="auto"/>
              </w:rPr>
              <w:t>GME</w:t>
            </w:r>
          </w:p>
        </w:tc>
        <w:tc>
          <w:tcPr>
            <w:tcW w:w="560" w:type="dxa"/>
            <w:vAlign w:val="bottom"/>
          </w:tcPr>
          <w:p>
            <w:pPr>
              <w:spacing w:after="0"/>
              <w:rPr>
                <w:sz w:val="21"/>
                <w:szCs w:val="21"/>
                <w:color w:val="auto"/>
              </w:rPr>
            </w:pPr>
          </w:p>
        </w:tc>
        <w:tc>
          <w:tcPr>
            <w:tcW w:w="1920" w:type="dxa"/>
            <w:vAlign w:val="bottom"/>
          </w:tcPr>
          <w:p>
            <w:pPr>
              <w:jc w:val="right"/>
              <w:ind w:right="85"/>
              <w:spacing w:after="0"/>
              <w:rPr>
                <w:sz w:val="20"/>
                <w:szCs w:val="20"/>
                <w:color w:val="auto"/>
              </w:rPr>
            </w:pPr>
            <w:r>
              <w:rPr>
                <w:rFonts w:ascii="Arial" w:cs="Arial" w:eastAsia="Arial" w:hAnsi="Arial"/>
                <w:sz w:val="19"/>
                <w:szCs w:val="19"/>
                <w:color w:val="auto"/>
              </w:rPr>
              <w:t>(805)</w:t>
            </w:r>
          </w:p>
        </w:tc>
        <w:tc>
          <w:tcPr>
            <w:tcW w:w="300" w:type="dxa"/>
            <w:vAlign w:val="bottom"/>
          </w:tcPr>
          <w:p>
            <w:pPr>
              <w:spacing w:after="0"/>
              <w:rPr>
                <w:sz w:val="21"/>
                <w:szCs w:val="21"/>
                <w:color w:val="auto"/>
              </w:rPr>
            </w:pPr>
          </w:p>
        </w:tc>
        <w:tc>
          <w:tcPr>
            <w:tcW w:w="2000" w:type="dxa"/>
            <w:vAlign w:val="bottom"/>
          </w:tcPr>
          <w:p>
            <w:pPr>
              <w:jc w:val="center"/>
              <w:ind w:left="1145"/>
              <w:spacing w:after="0"/>
              <w:rPr>
                <w:sz w:val="20"/>
                <w:szCs w:val="20"/>
                <w:color w:val="auto"/>
              </w:rPr>
            </w:pPr>
            <w:r>
              <w:rPr>
                <w:rFonts w:ascii="Arial" w:cs="Arial" w:eastAsia="Arial" w:hAnsi="Arial"/>
                <w:sz w:val="19"/>
                <w:szCs w:val="19"/>
                <w:color w:val="auto"/>
                <w:w w:val="99"/>
              </w:rPr>
              <w:t>(814)</w:t>
            </w: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9"/>
                <w:szCs w:val="19"/>
                <w:color w:val="auto"/>
              </w:rPr>
              <w:t>(1,855)</w:t>
            </w:r>
          </w:p>
        </w:tc>
        <w:tc>
          <w:tcPr>
            <w:tcW w:w="0" w:type="dxa"/>
            <w:vAlign w:val="bottom"/>
          </w:tcPr>
          <w:p>
            <w:pPr>
              <w:spacing w:after="0"/>
              <w:rPr>
                <w:sz w:val="1"/>
                <w:szCs w:val="1"/>
                <w:color w:val="auto"/>
              </w:rPr>
            </w:pPr>
          </w:p>
        </w:tc>
      </w:tr>
      <w:tr>
        <w:trPr>
          <w:trHeight w:val="226"/>
        </w:trPr>
        <w:tc>
          <w:tcPr>
            <w:tcW w:w="3360" w:type="dxa"/>
            <w:vAlign w:val="bottom"/>
          </w:tcPr>
          <w:p>
            <w:pPr>
              <w:ind w:left="200"/>
              <w:spacing w:after="0"/>
              <w:rPr>
                <w:sz w:val="20"/>
                <w:szCs w:val="20"/>
                <w:color w:val="auto"/>
              </w:rPr>
            </w:pPr>
            <w:r>
              <w:rPr>
                <w:rFonts w:ascii="Arial" w:cs="Arial" w:eastAsia="Arial" w:hAnsi="Arial"/>
                <w:sz w:val="19"/>
                <w:szCs w:val="19"/>
                <w:color w:val="auto"/>
              </w:rPr>
              <w:t>Total operating segments</w:t>
            </w:r>
          </w:p>
        </w:tc>
        <w:tc>
          <w:tcPr>
            <w:tcW w:w="560" w:type="dxa"/>
            <w:vAlign w:val="bottom"/>
          </w:tcPr>
          <w:p>
            <w:pPr>
              <w:spacing w:after="0"/>
              <w:rPr>
                <w:sz w:val="19"/>
                <w:szCs w:val="19"/>
                <w:color w:val="auto"/>
              </w:rPr>
            </w:pPr>
          </w:p>
        </w:tc>
        <w:tc>
          <w:tcPr>
            <w:tcW w:w="1920" w:type="dxa"/>
            <w:vAlign w:val="bottom"/>
          </w:tcPr>
          <w:p>
            <w:pPr>
              <w:jc w:val="right"/>
              <w:ind w:right="85"/>
              <w:spacing w:after="0"/>
              <w:rPr>
                <w:sz w:val="20"/>
                <w:szCs w:val="20"/>
                <w:color w:val="auto"/>
              </w:rPr>
            </w:pPr>
            <w:r>
              <w:rPr>
                <w:rFonts w:ascii="Arial" w:cs="Arial" w:eastAsia="Arial" w:hAnsi="Arial"/>
                <w:sz w:val="19"/>
                <w:szCs w:val="19"/>
                <w:color w:val="auto"/>
              </w:rPr>
              <w:t>(4,427)</w:t>
            </w:r>
          </w:p>
        </w:tc>
        <w:tc>
          <w:tcPr>
            <w:tcW w:w="300" w:type="dxa"/>
            <w:vAlign w:val="bottom"/>
          </w:tcPr>
          <w:p>
            <w:pPr>
              <w:spacing w:after="0"/>
              <w:rPr>
                <w:sz w:val="19"/>
                <w:szCs w:val="19"/>
                <w:color w:val="auto"/>
              </w:rPr>
            </w:pPr>
          </w:p>
        </w:tc>
        <w:tc>
          <w:tcPr>
            <w:tcW w:w="2000" w:type="dxa"/>
            <w:vAlign w:val="bottom"/>
          </w:tcPr>
          <w:p>
            <w:pPr>
              <w:jc w:val="right"/>
              <w:ind w:right="65"/>
              <w:spacing w:after="0"/>
              <w:rPr>
                <w:sz w:val="20"/>
                <w:szCs w:val="20"/>
                <w:color w:val="auto"/>
              </w:rPr>
            </w:pPr>
            <w:r>
              <w:rPr>
                <w:rFonts w:ascii="Arial" w:cs="Arial" w:eastAsia="Arial" w:hAnsi="Arial"/>
                <w:sz w:val="19"/>
                <w:szCs w:val="19"/>
                <w:color w:val="auto"/>
              </w:rPr>
              <w:t>(3,519)</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9"/>
                <w:szCs w:val="19"/>
                <w:color w:val="auto"/>
              </w:rPr>
              <w:t>(6,332)</w:t>
            </w:r>
          </w:p>
        </w:tc>
        <w:tc>
          <w:tcPr>
            <w:tcW w:w="0" w:type="dxa"/>
            <w:vAlign w:val="bottom"/>
          </w:tcPr>
          <w:p>
            <w:pPr>
              <w:spacing w:after="0"/>
              <w:rPr>
                <w:sz w:val="1"/>
                <w:szCs w:val="1"/>
                <w:color w:val="auto"/>
              </w:rPr>
            </w:pPr>
          </w:p>
        </w:tc>
      </w:tr>
      <w:tr>
        <w:trPr>
          <w:trHeight w:val="273"/>
        </w:trPr>
        <w:tc>
          <w:tcPr>
            <w:tcW w:w="3360" w:type="dxa"/>
            <w:vAlign w:val="bottom"/>
          </w:tcPr>
          <w:p>
            <w:pPr>
              <w:spacing w:after="0"/>
              <w:rPr>
                <w:sz w:val="20"/>
                <w:szCs w:val="20"/>
                <w:color w:val="auto"/>
              </w:rPr>
            </w:pPr>
            <w:r>
              <w:rPr>
                <w:rFonts w:ascii="Arial" w:cs="Arial" w:eastAsia="Arial" w:hAnsi="Arial"/>
                <w:sz w:val="19"/>
                <w:szCs w:val="19"/>
                <w:color w:val="auto"/>
              </w:rPr>
              <w:t>Corporate and eliminations</w:t>
            </w:r>
          </w:p>
        </w:tc>
        <w:tc>
          <w:tcPr>
            <w:tcW w:w="560" w:type="dxa"/>
            <w:vAlign w:val="bottom"/>
          </w:tcPr>
          <w:p>
            <w:pPr>
              <w:spacing w:after="0"/>
              <w:rPr>
                <w:sz w:val="23"/>
                <w:szCs w:val="23"/>
                <w:color w:val="auto"/>
              </w:rPr>
            </w:pPr>
          </w:p>
        </w:tc>
        <w:tc>
          <w:tcPr>
            <w:tcW w:w="1920" w:type="dxa"/>
            <w:vAlign w:val="bottom"/>
          </w:tcPr>
          <w:p>
            <w:pPr>
              <w:jc w:val="right"/>
              <w:ind w:right="85"/>
              <w:spacing w:after="0"/>
              <w:rPr>
                <w:sz w:val="20"/>
                <w:szCs w:val="20"/>
                <w:color w:val="auto"/>
              </w:rPr>
            </w:pPr>
            <w:r>
              <w:rPr>
                <w:rFonts w:ascii="Arial" w:cs="Arial" w:eastAsia="Arial" w:hAnsi="Arial"/>
                <w:sz w:val="19"/>
                <w:szCs w:val="19"/>
                <w:color w:val="auto"/>
              </w:rPr>
              <w:t>(360)</w:t>
            </w:r>
          </w:p>
        </w:tc>
        <w:tc>
          <w:tcPr>
            <w:tcW w:w="300" w:type="dxa"/>
            <w:vAlign w:val="bottom"/>
          </w:tcPr>
          <w:p>
            <w:pPr>
              <w:spacing w:after="0"/>
              <w:rPr>
                <w:sz w:val="23"/>
                <w:szCs w:val="23"/>
                <w:color w:val="auto"/>
              </w:rPr>
            </w:pPr>
          </w:p>
        </w:tc>
        <w:tc>
          <w:tcPr>
            <w:tcW w:w="2000" w:type="dxa"/>
            <w:vAlign w:val="bottom"/>
          </w:tcPr>
          <w:p>
            <w:pPr>
              <w:jc w:val="right"/>
              <w:ind w:right="85"/>
              <w:spacing w:after="0"/>
              <w:rPr>
                <w:sz w:val="20"/>
                <w:szCs w:val="20"/>
                <w:color w:val="auto"/>
              </w:rPr>
            </w:pPr>
            <w:r>
              <w:rPr>
                <w:rFonts w:ascii="Arial" w:cs="Arial" w:eastAsia="Arial" w:hAnsi="Arial"/>
                <w:sz w:val="19"/>
                <w:szCs w:val="19"/>
                <w:color w:val="auto"/>
              </w:rPr>
              <w:t>(527)</w:t>
            </w:r>
          </w:p>
        </w:tc>
        <w:tc>
          <w:tcPr>
            <w:tcW w:w="32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9"/>
                <w:szCs w:val="19"/>
                <w:color w:val="auto"/>
              </w:rPr>
              <w:t>(2,321)</w:t>
            </w:r>
          </w:p>
        </w:tc>
        <w:tc>
          <w:tcPr>
            <w:tcW w:w="0" w:type="dxa"/>
            <w:vAlign w:val="bottom"/>
          </w:tcPr>
          <w:p>
            <w:pPr>
              <w:spacing w:after="0"/>
              <w:rPr>
                <w:sz w:val="1"/>
                <w:szCs w:val="1"/>
                <w:color w:val="auto"/>
              </w:rPr>
            </w:pPr>
          </w:p>
        </w:tc>
      </w:tr>
      <w:tr>
        <w:trPr>
          <w:trHeight w:val="249"/>
        </w:trPr>
        <w:tc>
          <w:tcPr>
            <w:tcW w:w="3360" w:type="dxa"/>
            <w:vAlign w:val="bottom"/>
          </w:tcPr>
          <w:p>
            <w:pPr>
              <w:ind w:left="100"/>
              <w:spacing w:after="0"/>
              <w:rPr>
                <w:sz w:val="20"/>
                <w:szCs w:val="20"/>
                <w:color w:val="auto"/>
              </w:rPr>
            </w:pPr>
            <w:r>
              <w:rPr>
                <w:rFonts w:ascii="Arial" w:cs="Arial" w:eastAsia="Arial" w:hAnsi="Arial"/>
                <w:sz w:val="19"/>
                <w:szCs w:val="19"/>
                <w:b w:val="1"/>
                <w:bCs w:val="1"/>
                <w:color w:val="auto"/>
              </w:rPr>
              <w:t>Income (loss) attributable to</w:t>
            </w:r>
          </w:p>
        </w:tc>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360" w:type="dxa"/>
            <w:vAlign w:val="bottom"/>
          </w:tcPr>
          <w:p>
            <w:pPr>
              <w:ind w:left="100"/>
              <w:spacing w:after="0"/>
              <w:rPr>
                <w:sz w:val="20"/>
                <w:szCs w:val="20"/>
                <w:color w:val="auto"/>
              </w:rPr>
            </w:pPr>
            <w:r>
              <w:rPr>
                <w:rFonts w:ascii="Arial" w:cs="Arial" w:eastAsia="Arial" w:hAnsi="Arial"/>
                <w:sz w:val="19"/>
                <w:szCs w:val="19"/>
                <w:b w:val="1"/>
                <w:bCs w:val="1"/>
                <w:color w:val="auto"/>
              </w:rPr>
              <w:t>stockholders before interest and</w:t>
            </w:r>
          </w:p>
        </w:tc>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60" w:type="dxa"/>
            <w:vAlign w:val="bottom"/>
          </w:tcPr>
          <w:p>
            <w:pPr>
              <w:ind w:left="100"/>
              <w:spacing w:after="0"/>
              <w:rPr>
                <w:sz w:val="20"/>
                <w:szCs w:val="20"/>
                <w:color w:val="auto"/>
              </w:rPr>
            </w:pPr>
            <w:r>
              <w:rPr>
                <w:rFonts w:ascii="Arial" w:cs="Arial" w:eastAsia="Arial" w:hAnsi="Arial"/>
                <w:sz w:val="19"/>
                <w:szCs w:val="19"/>
                <w:b w:val="1"/>
                <w:bCs w:val="1"/>
                <w:color w:val="auto"/>
              </w:rPr>
              <w:t>income taxes</w:t>
            </w:r>
          </w:p>
        </w:tc>
        <w:tc>
          <w:tcPr>
            <w:tcW w:w="560" w:type="dxa"/>
            <w:vAlign w:val="bottom"/>
          </w:tcPr>
          <w:p>
            <w:pPr>
              <w:spacing w:after="0"/>
              <w:rPr>
                <w:sz w:val="20"/>
                <w:szCs w:val="20"/>
                <w:color w:val="auto"/>
              </w:rPr>
            </w:pPr>
          </w:p>
        </w:tc>
        <w:tc>
          <w:tcPr>
            <w:tcW w:w="1920" w:type="dxa"/>
            <w:vAlign w:val="bottom"/>
          </w:tcPr>
          <w:p>
            <w:pPr>
              <w:jc w:val="right"/>
              <w:ind w:right="25"/>
              <w:spacing w:after="0"/>
              <w:rPr>
                <w:sz w:val="20"/>
                <w:szCs w:val="20"/>
                <w:color w:val="auto"/>
              </w:rPr>
            </w:pPr>
            <w:r>
              <w:rPr>
                <w:rFonts w:ascii="Arial" w:cs="Arial" w:eastAsia="Arial" w:hAnsi="Arial"/>
                <w:sz w:val="19"/>
                <w:szCs w:val="19"/>
                <w:color w:val="auto"/>
              </w:rPr>
              <w:t>(4,787)</w:t>
            </w:r>
          </w:p>
        </w:tc>
        <w:tc>
          <w:tcPr>
            <w:tcW w:w="300" w:type="dxa"/>
            <w:vAlign w:val="bottom"/>
          </w:tcPr>
          <w:p>
            <w:pPr>
              <w:spacing w:after="0"/>
              <w:rPr>
                <w:sz w:val="20"/>
                <w:szCs w:val="20"/>
                <w:color w:val="auto"/>
              </w:rPr>
            </w:pPr>
          </w:p>
        </w:tc>
        <w:tc>
          <w:tcPr>
            <w:tcW w:w="2000" w:type="dxa"/>
            <w:vAlign w:val="bottom"/>
          </w:tcPr>
          <w:p>
            <w:pPr>
              <w:jc w:val="right"/>
              <w:ind w:right="65"/>
              <w:spacing w:after="0"/>
              <w:rPr>
                <w:sz w:val="20"/>
                <w:szCs w:val="20"/>
                <w:color w:val="auto"/>
              </w:rPr>
            </w:pPr>
            <w:r>
              <w:rPr>
                <w:rFonts w:ascii="Arial" w:cs="Arial" w:eastAsia="Arial" w:hAnsi="Arial"/>
                <w:sz w:val="19"/>
                <w:szCs w:val="19"/>
                <w:color w:val="auto"/>
              </w:rPr>
              <w:t>(4,046)</w:t>
            </w: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9"/>
                <w:szCs w:val="19"/>
                <w:color w:val="auto"/>
              </w:rPr>
              <w:t>(8,653)</w:t>
            </w: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r>
              <w:rPr>
                <w:rFonts w:ascii="Arial" w:cs="Arial" w:eastAsia="Arial" w:hAnsi="Arial"/>
                <w:sz w:val="19"/>
                <w:szCs w:val="19"/>
                <w:color w:val="auto"/>
              </w:rPr>
              <w:t>Interest income</w:t>
            </w:r>
          </w:p>
        </w:tc>
        <w:tc>
          <w:tcPr>
            <w:tcW w:w="560" w:type="dxa"/>
            <w:vAlign w:val="bottom"/>
          </w:tcPr>
          <w:p>
            <w:pPr>
              <w:spacing w:after="0"/>
              <w:rPr>
                <w:sz w:val="20"/>
                <w:szCs w:val="20"/>
                <w:color w:val="auto"/>
              </w:rPr>
            </w:pPr>
          </w:p>
        </w:tc>
        <w:tc>
          <w:tcPr>
            <w:tcW w:w="1920" w:type="dxa"/>
            <w:vAlign w:val="bottom"/>
          </w:tcPr>
          <w:p>
            <w:pPr>
              <w:jc w:val="right"/>
              <w:ind w:right="105"/>
              <w:spacing w:after="0"/>
              <w:rPr>
                <w:sz w:val="20"/>
                <w:szCs w:val="20"/>
                <w:color w:val="auto"/>
              </w:rPr>
            </w:pPr>
            <w:r>
              <w:rPr>
                <w:rFonts w:ascii="Arial" w:cs="Arial" w:eastAsia="Arial" w:hAnsi="Arial"/>
                <w:sz w:val="19"/>
                <w:szCs w:val="19"/>
                <w:color w:val="auto"/>
              </w:rPr>
              <w:t>184</w:t>
            </w:r>
          </w:p>
        </w:tc>
        <w:tc>
          <w:tcPr>
            <w:tcW w:w="300" w:type="dxa"/>
            <w:vAlign w:val="bottom"/>
          </w:tcPr>
          <w:p>
            <w:pPr>
              <w:spacing w:after="0"/>
              <w:rPr>
                <w:sz w:val="20"/>
                <w:szCs w:val="20"/>
                <w:color w:val="auto"/>
              </w:rPr>
            </w:pPr>
          </w:p>
        </w:tc>
        <w:tc>
          <w:tcPr>
            <w:tcW w:w="2000" w:type="dxa"/>
            <w:vAlign w:val="bottom"/>
          </w:tcPr>
          <w:p>
            <w:pPr>
              <w:jc w:val="right"/>
              <w:ind w:right="145"/>
              <w:spacing w:after="0"/>
              <w:rPr>
                <w:sz w:val="20"/>
                <w:szCs w:val="20"/>
                <w:color w:val="auto"/>
              </w:rPr>
            </w:pPr>
            <w:r>
              <w:rPr>
                <w:rFonts w:ascii="Arial" w:cs="Arial" w:eastAsia="Arial" w:hAnsi="Arial"/>
                <w:sz w:val="19"/>
                <w:szCs w:val="19"/>
                <w:color w:val="auto"/>
              </w:rPr>
              <w:t>75</w:t>
            </w:r>
          </w:p>
        </w:tc>
        <w:tc>
          <w:tcPr>
            <w:tcW w:w="320" w:type="dxa"/>
            <w:vAlign w:val="bottom"/>
          </w:tcPr>
          <w:p>
            <w:pPr>
              <w:spacing w:after="0"/>
              <w:rPr>
                <w:sz w:val="20"/>
                <w:szCs w:val="20"/>
                <w:color w:val="auto"/>
              </w:rPr>
            </w:pPr>
          </w:p>
        </w:tc>
        <w:tc>
          <w:tcPr>
            <w:tcW w:w="1800" w:type="dxa"/>
            <w:vAlign w:val="bottom"/>
          </w:tcPr>
          <w:p>
            <w:pPr>
              <w:jc w:val="right"/>
              <w:ind w:right="25"/>
              <w:spacing w:after="0"/>
              <w:rPr>
                <w:sz w:val="20"/>
                <w:szCs w:val="20"/>
                <w:color w:val="auto"/>
              </w:rPr>
            </w:pPr>
            <w:r>
              <w:rPr>
                <w:rFonts w:ascii="Arial" w:cs="Arial" w:eastAsia="Arial" w:hAnsi="Arial"/>
                <w:sz w:val="19"/>
                <w:szCs w:val="19"/>
                <w:color w:val="auto"/>
              </w:rPr>
              <w:t>102</w:t>
            </w: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r>
              <w:rPr>
                <w:rFonts w:ascii="Arial" w:cs="Arial" w:eastAsia="Arial" w:hAnsi="Arial"/>
                <w:sz w:val="19"/>
                <w:szCs w:val="19"/>
                <w:color w:val="auto"/>
              </w:rPr>
              <w:t>Interest expense</w:t>
            </w:r>
          </w:p>
        </w:tc>
        <w:tc>
          <w:tcPr>
            <w:tcW w:w="560" w:type="dxa"/>
            <w:vAlign w:val="bottom"/>
          </w:tcPr>
          <w:p>
            <w:pPr>
              <w:spacing w:after="0"/>
              <w:rPr>
                <w:sz w:val="20"/>
                <w:szCs w:val="20"/>
                <w:color w:val="auto"/>
              </w:rPr>
            </w:pPr>
          </w:p>
        </w:tc>
        <w:tc>
          <w:tcPr>
            <w:tcW w:w="1920" w:type="dxa"/>
            <w:vAlign w:val="bottom"/>
          </w:tcPr>
          <w:p>
            <w:pPr>
              <w:jc w:val="right"/>
              <w:ind w:right="105"/>
              <w:spacing w:after="0"/>
              <w:rPr>
                <w:sz w:val="20"/>
                <w:szCs w:val="20"/>
                <w:color w:val="auto"/>
              </w:rPr>
            </w:pPr>
            <w:r>
              <w:rPr>
                <w:rFonts w:ascii="Arial" w:cs="Arial" w:eastAsia="Arial" w:hAnsi="Arial"/>
                <w:sz w:val="19"/>
                <w:szCs w:val="19"/>
                <w:color w:val="auto"/>
              </w:rPr>
              <w:t>694</w:t>
            </w:r>
          </w:p>
        </w:tc>
        <w:tc>
          <w:tcPr>
            <w:tcW w:w="300" w:type="dxa"/>
            <w:vAlign w:val="bottom"/>
          </w:tcPr>
          <w:p>
            <w:pPr>
              <w:spacing w:after="0"/>
              <w:rPr>
                <w:sz w:val="20"/>
                <w:szCs w:val="20"/>
                <w:color w:val="auto"/>
              </w:rPr>
            </w:pPr>
          </w:p>
        </w:tc>
        <w:tc>
          <w:tcPr>
            <w:tcW w:w="2000" w:type="dxa"/>
            <w:vAlign w:val="bottom"/>
          </w:tcPr>
          <w:p>
            <w:pPr>
              <w:jc w:val="center"/>
              <w:ind w:left="1145"/>
              <w:spacing w:after="0"/>
              <w:rPr>
                <w:sz w:val="20"/>
                <w:szCs w:val="20"/>
                <w:color w:val="auto"/>
              </w:rPr>
            </w:pPr>
            <w:r>
              <w:rPr>
                <w:rFonts w:ascii="Arial" w:cs="Arial" w:eastAsia="Arial" w:hAnsi="Arial"/>
                <w:sz w:val="19"/>
                <w:szCs w:val="19"/>
                <w:color w:val="auto"/>
              </w:rPr>
              <w:t>329</w:t>
            </w:r>
          </w:p>
        </w:tc>
        <w:tc>
          <w:tcPr>
            <w:tcW w:w="320" w:type="dxa"/>
            <w:vAlign w:val="bottom"/>
          </w:tcPr>
          <w:p>
            <w:pPr>
              <w:spacing w:after="0"/>
              <w:rPr>
                <w:sz w:val="20"/>
                <w:szCs w:val="20"/>
                <w:color w:val="auto"/>
              </w:rPr>
            </w:pPr>
          </w:p>
        </w:tc>
        <w:tc>
          <w:tcPr>
            <w:tcW w:w="1800" w:type="dxa"/>
            <w:vAlign w:val="bottom"/>
          </w:tcPr>
          <w:p>
            <w:pPr>
              <w:jc w:val="right"/>
              <w:ind w:right="25"/>
              <w:spacing w:after="0"/>
              <w:rPr>
                <w:sz w:val="20"/>
                <w:szCs w:val="20"/>
                <w:color w:val="auto"/>
              </w:rPr>
            </w:pPr>
            <w:r>
              <w:rPr>
                <w:rFonts w:ascii="Arial" w:cs="Arial" w:eastAsia="Arial" w:hAnsi="Arial"/>
                <w:sz w:val="19"/>
                <w:szCs w:val="19"/>
                <w:color w:val="auto"/>
              </w:rPr>
              <w:t>308</w:t>
            </w:r>
          </w:p>
        </w:tc>
        <w:tc>
          <w:tcPr>
            <w:tcW w:w="0" w:type="dxa"/>
            <w:vAlign w:val="bottom"/>
          </w:tcPr>
          <w:p>
            <w:pPr>
              <w:spacing w:after="0"/>
              <w:rPr>
                <w:sz w:val="1"/>
                <w:szCs w:val="1"/>
                <w:color w:val="auto"/>
              </w:rPr>
            </w:pPr>
          </w:p>
        </w:tc>
      </w:tr>
      <w:tr>
        <w:trPr>
          <w:trHeight w:val="273"/>
        </w:trPr>
        <w:tc>
          <w:tcPr>
            <w:tcW w:w="3360" w:type="dxa"/>
            <w:vAlign w:val="bottom"/>
          </w:tcPr>
          <w:p>
            <w:pPr>
              <w:spacing w:after="0"/>
              <w:rPr>
                <w:sz w:val="20"/>
                <w:szCs w:val="20"/>
                <w:color w:val="auto"/>
              </w:rPr>
            </w:pPr>
            <w:r>
              <w:rPr>
                <w:rFonts w:ascii="Arial" w:cs="Arial" w:eastAsia="Arial" w:hAnsi="Arial"/>
                <w:sz w:val="19"/>
                <w:szCs w:val="19"/>
                <w:color w:val="auto"/>
              </w:rPr>
              <w:t>Income tax expense (benefits)</w:t>
            </w:r>
          </w:p>
        </w:tc>
        <w:tc>
          <w:tcPr>
            <w:tcW w:w="560" w:type="dxa"/>
            <w:vAlign w:val="bottom"/>
          </w:tcPr>
          <w:p>
            <w:pPr>
              <w:spacing w:after="0"/>
              <w:rPr>
                <w:sz w:val="23"/>
                <w:szCs w:val="23"/>
                <w:color w:val="auto"/>
              </w:rPr>
            </w:pPr>
          </w:p>
        </w:tc>
        <w:tc>
          <w:tcPr>
            <w:tcW w:w="1920" w:type="dxa"/>
            <w:vAlign w:val="bottom"/>
          </w:tcPr>
          <w:p>
            <w:pPr>
              <w:jc w:val="right"/>
              <w:ind w:right="45"/>
              <w:spacing w:after="0"/>
              <w:rPr>
                <w:sz w:val="20"/>
                <w:szCs w:val="20"/>
                <w:color w:val="auto"/>
              </w:rPr>
            </w:pPr>
            <w:r>
              <w:rPr>
                <w:rFonts w:ascii="Arial" w:cs="Arial" w:eastAsia="Arial" w:hAnsi="Arial"/>
                <w:sz w:val="19"/>
                <w:szCs w:val="19"/>
                <w:color w:val="auto"/>
              </w:rPr>
              <w:t>(1,000)</w:t>
            </w:r>
          </w:p>
        </w:tc>
        <w:tc>
          <w:tcPr>
            <w:tcW w:w="300" w:type="dxa"/>
            <w:vAlign w:val="bottom"/>
          </w:tcPr>
          <w:p>
            <w:pPr>
              <w:spacing w:after="0"/>
              <w:rPr>
                <w:sz w:val="23"/>
                <w:szCs w:val="23"/>
                <w:color w:val="auto"/>
              </w:rPr>
            </w:pPr>
          </w:p>
        </w:tc>
        <w:tc>
          <w:tcPr>
            <w:tcW w:w="2000" w:type="dxa"/>
            <w:vAlign w:val="bottom"/>
          </w:tcPr>
          <w:p>
            <w:pPr>
              <w:jc w:val="center"/>
              <w:ind w:left="1145"/>
              <w:spacing w:after="0"/>
              <w:rPr>
                <w:sz w:val="20"/>
                <w:szCs w:val="20"/>
                <w:color w:val="auto"/>
              </w:rPr>
            </w:pPr>
            <w:r>
              <w:rPr>
                <w:rFonts w:ascii="Arial" w:cs="Arial" w:eastAsia="Arial" w:hAnsi="Arial"/>
                <w:sz w:val="19"/>
                <w:szCs w:val="19"/>
                <w:color w:val="auto"/>
                <w:w w:val="99"/>
              </w:rPr>
              <w:t>(861)</w:t>
            </w:r>
          </w:p>
        </w:tc>
        <w:tc>
          <w:tcPr>
            <w:tcW w:w="320" w:type="dxa"/>
            <w:vAlign w:val="bottom"/>
          </w:tcPr>
          <w:p>
            <w:pPr>
              <w:spacing w:after="0"/>
              <w:rPr>
                <w:sz w:val="23"/>
                <w:szCs w:val="23"/>
                <w:color w:val="auto"/>
              </w:rPr>
            </w:pPr>
          </w:p>
        </w:tc>
        <w:tc>
          <w:tcPr>
            <w:tcW w:w="1800" w:type="dxa"/>
            <w:vAlign w:val="bottom"/>
          </w:tcPr>
          <w:p>
            <w:pPr>
              <w:jc w:val="right"/>
              <w:ind w:right="25"/>
              <w:spacing w:after="0"/>
              <w:rPr>
                <w:sz w:val="20"/>
                <w:szCs w:val="20"/>
                <w:color w:val="auto"/>
              </w:rPr>
            </w:pPr>
            <w:r>
              <w:rPr>
                <w:rFonts w:ascii="Arial" w:cs="Arial" w:eastAsia="Arial" w:hAnsi="Arial"/>
                <w:sz w:val="19"/>
                <w:szCs w:val="19"/>
                <w:color w:val="auto"/>
              </w:rPr>
              <w:t>737</w:t>
            </w:r>
          </w:p>
        </w:tc>
        <w:tc>
          <w:tcPr>
            <w:tcW w:w="0" w:type="dxa"/>
            <w:vAlign w:val="bottom"/>
          </w:tcPr>
          <w:p>
            <w:pPr>
              <w:spacing w:after="0"/>
              <w:rPr>
                <w:sz w:val="1"/>
                <w:szCs w:val="1"/>
                <w:color w:val="auto"/>
              </w:rPr>
            </w:pPr>
          </w:p>
        </w:tc>
      </w:tr>
      <w:tr>
        <w:trPr>
          <w:trHeight w:val="249"/>
        </w:trPr>
        <w:tc>
          <w:tcPr>
            <w:tcW w:w="3360" w:type="dxa"/>
            <w:vAlign w:val="bottom"/>
          </w:tcPr>
          <w:p>
            <w:pPr>
              <w:spacing w:after="0"/>
              <w:rPr>
                <w:sz w:val="20"/>
                <w:szCs w:val="20"/>
                <w:color w:val="auto"/>
              </w:rPr>
            </w:pPr>
            <w:r>
              <w:rPr>
                <w:rFonts w:ascii="Arial" w:cs="Arial" w:eastAsia="Arial" w:hAnsi="Arial"/>
                <w:sz w:val="19"/>
                <w:szCs w:val="19"/>
                <w:b w:val="1"/>
                <w:bCs w:val="1"/>
                <w:color w:val="auto"/>
              </w:rPr>
              <w:t>Net income (loss) attributable to</w:t>
            </w:r>
          </w:p>
        </w:tc>
        <w:tc>
          <w:tcPr>
            <w:tcW w:w="560" w:type="dxa"/>
            <w:vAlign w:val="bottom"/>
            <w:vMerge w:val="restart"/>
          </w:tcPr>
          <w:p>
            <w:pPr>
              <w:jc w:val="right"/>
              <w:ind w:right="25"/>
              <w:spacing w:after="0"/>
              <w:rPr>
                <w:sz w:val="20"/>
                <w:szCs w:val="20"/>
                <w:color w:val="auto"/>
              </w:rPr>
            </w:pPr>
            <w:r>
              <w:rPr>
                <w:rFonts w:ascii="Arial" w:cs="Arial" w:eastAsia="Arial" w:hAnsi="Arial"/>
                <w:sz w:val="19"/>
                <w:szCs w:val="19"/>
                <w:color w:val="auto"/>
              </w:rPr>
              <w:t>$</w:t>
            </w:r>
          </w:p>
        </w:tc>
        <w:tc>
          <w:tcPr>
            <w:tcW w:w="1920" w:type="dxa"/>
            <w:vAlign w:val="bottom"/>
            <w:vMerge w:val="restart"/>
          </w:tcPr>
          <w:p>
            <w:pPr>
              <w:jc w:val="right"/>
              <w:ind w:right="25"/>
              <w:spacing w:after="0"/>
              <w:rPr>
                <w:sz w:val="20"/>
                <w:szCs w:val="20"/>
                <w:color w:val="auto"/>
              </w:rPr>
            </w:pPr>
            <w:r>
              <w:rPr>
                <w:rFonts w:ascii="Arial" w:cs="Arial" w:eastAsia="Arial" w:hAnsi="Arial"/>
                <w:sz w:val="19"/>
                <w:szCs w:val="19"/>
                <w:color w:val="auto"/>
              </w:rPr>
              <w:t>(4,297)</w:t>
            </w:r>
          </w:p>
        </w:tc>
        <w:tc>
          <w:tcPr>
            <w:tcW w:w="3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2000" w:type="dxa"/>
            <w:vAlign w:val="bottom"/>
            <w:vMerge w:val="restart"/>
          </w:tcPr>
          <w:p>
            <w:pPr>
              <w:jc w:val="right"/>
              <w:ind w:right="45"/>
              <w:spacing w:after="0"/>
              <w:rPr>
                <w:sz w:val="20"/>
                <w:szCs w:val="20"/>
                <w:color w:val="auto"/>
              </w:rPr>
            </w:pPr>
            <w:r>
              <w:rPr>
                <w:rFonts w:ascii="Arial" w:cs="Arial" w:eastAsia="Arial" w:hAnsi="Arial"/>
                <w:sz w:val="19"/>
                <w:szCs w:val="19"/>
                <w:color w:val="auto"/>
              </w:rPr>
              <w:t>(3,439)</w:t>
            </w:r>
          </w:p>
        </w:tc>
        <w:tc>
          <w:tcPr>
            <w:tcW w:w="3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800" w:type="dxa"/>
            <w:vAlign w:val="bottom"/>
            <w:vMerge w:val="restart"/>
          </w:tcPr>
          <w:p>
            <w:pPr>
              <w:jc w:val="right"/>
              <w:spacing w:after="0"/>
              <w:rPr>
                <w:sz w:val="20"/>
                <w:szCs w:val="20"/>
                <w:color w:val="auto"/>
              </w:rPr>
            </w:pPr>
            <w:r>
              <w:rPr>
                <w:rFonts w:ascii="Arial" w:cs="Arial" w:eastAsia="Arial" w:hAnsi="Arial"/>
                <w:sz w:val="19"/>
                <w:szCs w:val="19"/>
                <w:color w:val="auto"/>
              </w:rPr>
              <w:t>(9,596)</w:t>
            </w:r>
          </w:p>
        </w:tc>
        <w:tc>
          <w:tcPr>
            <w:tcW w:w="0" w:type="dxa"/>
            <w:vAlign w:val="bottom"/>
          </w:tcPr>
          <w:p>
            <w:pPr>
              <w:spacing w:after="0"/>
              <w:rPr>
                <w:sz w:val="1"/>
                <w:szCs w:val="1"/>
                <w:color w:val="auto"/>
              </w:rPr>
            </w:pPr>
          </w:p>
        </w:tc>
      </w:tr>
      <w:tr>
        <w:trPr>
          <w:trHeight w:val="252"/>
        </w:trPr>
        <w:tc>
          <w:tcPr>
            <w:tcW w:w="3360" w:type="dxa"/>
            <w:vAlign w:val="bottom"/>
          </w:tcPr>
          <w:p>
            <w:pPr>
              <w:spacing w:after="0"/>
              <w:rPr>
                <w:sz w:val="20"/>
                <w:szCs w:val="20"/>
                <w:color w:val="auto"/>
              </w:rPr>
            </w:pPr>
            <w:r>
              <w:rPr>
                <w:rFonts w:ascii="Arial" w:cs="Arial" w:eastAsia="Arial" w:hAnsi="Arial"/>
                <w:sz w:val="19"/>
                <w:szCs w:val="19"/>
                <w:b w:val="1"/>
                <w:bCs w:val="1"/>
                <w:color w:val="auto"/>
              </w:rPr>
              <w:t>stockholders</w:t>
            </w:r>
          </w:p>
        </w:tc>
        <w:tc>
          <w:tcPr>
            <w:tcW w:w="560" w:type="dxa"/>
            <w:vAlign w:val="bottom"/>
            <w:vMerge w:val="continue"/>
          </w:tcPr>
          <w:p>
            <w:pPr>
              <w:spacing w:after="0"/>
              <w:rPr>
                <w:sz w:val="21"/>
                <w:szCs w:val="21"/>
                <w:color w:val="auto"/>
              </w:rPr>
            </w:pPr>
          </w:p>
        </w:tc>
        <w:tc>
          <w:tcPr>
            <w:tcW w:w="192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200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13</w:t>
      </w:r>
    </w:p>
    <w:sectPr>
      <w:pgSz w:w="11900" w:h="16838" w:orient="portrait"/>
      <w:cols w:equalWidth="0" w:num="1">
        <w:col w:w="10680"/>
      </w:cols>
      <w:pgMar w:left="360" w:top="529"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
      <w:numFmt w:val="bullet"/>
      <w:start w:val="1"/>
    </w:lvl>
    <w:lvl w:ilvl="1">
      <w:lvlJc w:val="left"/>
      <w:lvlText w:val="\endash "/>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lvl w:ilvl="1">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2019-12-11T05:19:32Z</dcterms:created>
  <dcterms:modified xsi:type="dcterms:W3CDTF">2019-12-11T05:19:32Z</dcterms:modified>
</cp:coreProperties>
</file>