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5304155</wp:posOffset>
            </wp:positionH>
            <wp:positionV relativeFrom="paragraph">
              <wp:posOffset>-601980</wp:posOffset>
            </wp:positionV>
            <wp:extent cx="8255" cy="6026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-610235</wp:posOffset>
            </wp:positionV>
            <wp:extent cx="825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-585470</wp:posOffset>
            </wp:positionV>
            <wp:extent cx="1270000" cy="561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27305</wp:posOffset>
            </wp:positionV>
            <wp:extent cx="6969125" cy="1734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3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Hatto Christopher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2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482-C23-A68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" w:right="660" w:firstLine="1"/>
        <w:spacing w:after="0" w:line="23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&amp; CAO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jc w:val="center"/>
              <w:ind w:right="68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11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5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11/23/2020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35,922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31.32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45,962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11/23/2020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35,922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10,040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11/23/2020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16,627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34.34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26,667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11/23/2020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16,627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10,040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02/15/2020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35,922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31.32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56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11/23/2020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35,922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07/28/2025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16,627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34.34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56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11/23/2020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16,627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06/07/2027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8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-4282440</wp:posOffset>
            </wp:positionV>
            <wp:extent cx="7033895" cy="44208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442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reported in this Form 4 were effected pursuant to a Rule 10b5-1 trading plan.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1"/>
        <w:spacing w:after="0" w:line="246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were granted on July 28, 2015, under the Company's 2014 Long-Term Incentive Plan. Forty percent of the options became exercisable on February 15, 2017; the remaining 60% became exercisable in three equal installments on February 15, 2018, February 15, 2019, and February 15, 2020.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Due to an administrative error, the Reporting Person's Form 3 included 23,948 options that had been exercised prior to the Reporting Person becoming a Section 16 officer.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were granted on June 7, 2017, and vested in three equal installments on February 14, 2018, February 14, 2019, and February 14, 2020.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Tia Y. Turk,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11/25/2020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Hatto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2153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2020-11-25T16:51:42Z</dcterms:created>
  <dcterms:modified xsi:type="dcterms:W3CDTF">2020-11-25T16:51:42Z</dcterms:modified>
</cp:coreProperties>
</file>