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48265 -3000</w:t>
      </w:r>
    </w:p>
    <w:p>
      <w:pPr>
        <w:spacing w:after="0" w:line="31" w:lineRule="exact"/>
        <w:rPr>
          <w:sz w:val="24"/>
          <w:szCs w:val="24"/>
          <w:color w:val="auto"/>
        </w:rPr>
      </w:pPr>
    </w:p>
    <w:p>
      <w:pPr>
        <w:sectPr>
          <w:pgSz w:w="11900" w:h="16838" w:orient="portrait"/>
          <w:cols w:equalWidth="0" w:num="2">
            <w:col w:w="7164" w:space="720"/>
            <w:col w:w="314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On December 10, 2024, General Motors Company (the “Company”) issued a press release regarding its operations with GM Cruise Holdings LLC (“Cruise”). A copy of the press release is attached hereto as Exhibit 99.1 and incorporated by reference into this Item 7.01.</w:t>
      </w:r>
    </w:p>
    <w:p>
      <w:pPr>
        <w:spacing w:after="0" w:line="162"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On December 10, 2024, Mary T. Barra, Chair and Chief Executive Officer of the Company, Paul Jacobson, Executive Vice President and Chief Financial Officer of the Company, and Dave Richardson, Senior Vice President of Software and Services Engineering of the Company will host a conference call at 4:30 p.m. ET with the investment community to discuss Cruise. Conference call details are included in the press release.</w:t>
      </w:r>
    </w:p>
    <w:p>
      <w:pPr>
        <w:spacing w:after="0" w:line="176"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of Current Report on Form 8-K shall not be considered “filed” for purposes of Section 18 of the Securities Exchange Act of 1934, as amended, or otherwise subject to the liabilities of that section, and such information shall not be deemed incorporated by reference in any filing by the Company under the Securities Act of 1933, as amended, or the Securities Exchange Act of 1934, as amended, except as may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ind w:left="504"/>
        <w:spacing w:after="0"/>
        <w:tabs>
          <w:tab w:leader="none" w:pos="108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December 10, 2024</w:t>
      </w:r>
    </w:p>
    <w:p>
      <w:pPr>
        <w:spacing w:after="0" w:line="117" w:lineRule="exact"/>
        <w:rPr>
          <w:sz w:val="20"/>
          <w:szCs w:val="20"/>
          <w:color w:val="auto"/>
        </w:rPr>
      </w:pPr>
    </w:p>
    <w:p>
      <w:pPr>
        <w:ind w:left="504"/>
        <w:spacing w:after="0"/>
        <w:tabs>
          <w:tab w:leader="none" w:pos="108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8-K, the document incorporated herein by reference, and related comments by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(2) our ability to timely fund and introduce new and improved vehicle models; (3) our ability to profitably deliver a broad portfolio of electric vehicles (EVs); (4) the success of our current line of internal combustion engine vehicles; (5) our highly competitive industry;</w:t>
      </w:r>
    </w:p>
    <w:p>
      <w:pPr>
        <w:spacing w:after="0" w:line="2" w:lineRule="exact"/>
        <w:rPr>
          <w:sz w:val="20"/>
          <w:szCs w:val="20"/>
          <w:color w:val="auto"/>
        </w:rPr>
      </w:pPr>
    </w:p>
    <w:p>
      <w:pPr>
        <w:ind w:left="4" w:hanging="4"/>
        <w:spacing w:after="0" w:line="251"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unique technological, operational, regulatory and competitive risks related to the timing and commercialization of autonomous vehicles (AVs), including the various regulatory approvals and permits required for operating driverless AVs in multiple markets; (7) risks associated with climate change; (8) global automobile market sales volume; (9) inflationary pressures, persistently high prices, uncertain availability of raw materials and commodities, and instability in logistics and related costs; (10) our business in China, which is subject to unique operational, competitive, regulatory and economic risks; (11) the success of our ongoing strategic business relationships and of our joint ventures; (12) the international scale and footprint of our operations, which exposes us to a variety of unique political, economic, competitive and regulatory risks; (13) any significant disruption at any of our manufacturing facilities; (14) the ability of our suppliers to deliver parts, systems and components without disruption and at such times to allow us to meet production schedules; (15) 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(18) our ability to comply with increasingly complex,</w:t>
      </w:r>
    </w:p>
    <w:p>
      <w:pPr>
        <w:sectPr>
          <w:pgSz w:w="11900" w:h="16838" w:orient="portrait"/>
          <w:cols w:equalWidth="0" w:num="1">
            <w:col w:w="11004"/>
          </w:cols>
          <w:pgMar w:left="436" w:top="293" w:right="459" w:bottom="1440" w:gutter="0" w:footer="0" w:header="0"/>
        </w:sectPr>
      </w:pPr>
    </w:p>
    <w:bookmarkStart w:id="2" w:name="page3"/>
    <w:bookmarkEnd w:id="2"/>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restrictive and punitive regulations relating to our enterprise data practices;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General Motors Financial Company, Inc.; (24) any significant increase in our pension funding requirement; (25) changes in our strategic plans and accounting, including with respect to Cruise; (26) the possibility that we will not be able to acquire all of the outstanding Cruise shares; (27) the possibility that charges and expenses will differ from our expectations; and (28) the possibility that our planned actions will not have the impacts we expect or intend. A further list and description of these risks, uncertainties and other factors can be found in our most recent Annual Report on Form 10-K and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December 10, 2024</w:t>
            </w: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02740" cy="891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27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Release: Tuesday, Dec. 10, 2024 at 4:05 p.m. ET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GM to refocus autonomous driving development on personal vehicles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(NYSE: GM) plans to realign its autonomous driving strategy and prioritize development of advanced driver assistance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on a path to fully autonomous personal vehicles. GM will build on the progress of Super Cruise, the company’s hands-off, eyes-on driving feature, now offered on more than 20 GM vehicle models and currently logging over 10 million miles per month.</w:t>
      </w:r>
    </w:p>
    <w:p>
      <w:pPr>
        <w:spacing w:after="0" w:line="17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GM intends to combine the majority-owned Cruise LLC and GM technical teams into a single effort to advance autonomous and assisted driving. Consistent with GM’s capital allocation priorities, GM will no longer fund Cruise’s robotaxi development work given the considerable time and resources that would be needed to scale the business, along with an increasingly competitive robotaxi market.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“GM is committed to delivering the best driving experiences to our customers in a disciplined and capital efficient manner,” said Mary Barra, chair and CEO of GM. “Cruise has been an early innovator in autonomy, and the deeper integration of our teams, paired with GM’s strong brands, scale, and manufacturing strength, will help advance our vision for the future of transportation.”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the largest U.S. automotive manufacturer, we’re fully committed to autonomous driving and excited to bring GM customers its benefits – things like enhanced safety, improved traffic flow, increased accessibility, and reduced driver stress,” said Dave Richardson, senior vice president of software and services engineering.</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GM, which owns about 90% of Cruise, has agreements with other shareholders that will raise its ownership to more than 97%. The company will pursue the acquisition of the remaining shares. Contingent upon the repurchase of these shares and Cruise board approval, GM will work with the Cruise leadership team to restructure and refocus Cruise’s operations. GM expects the restructuring to lower spending by more than $1 billion annually after the proposed plan is completed, expected in the first half of 2025.</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Conference call</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General Motors will be conducting a call to provide updates on Cruise at 4:30 PM ET today to discuss this announcement. The format of the call will include remarks by management, followed by a question-and-answer session.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Conference call details are as follows:</w:t>
      </w:r>
    </w:p>
    <w:p>
      <w:pPr>
        <w:spacing w:after="0" w:line="131"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1-800-857-9821 (U.S.)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1-517-308-9481 (international/caller-paid)</w:t>
      </w:r>
    </w:p>
    <w:p>
      <w:pPr>
        <w:spacing w:after="0" w:line="12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Conference call passcode: </w:t>
      </w:r>
      <w:r>
        <w:rPr>
          <w:rFonts w:ascii="Times New Roman" w:cs="Times New Roman" w:eastAsia="Times New Roman" w:hAnsi="Times New Roman"/>
          <w:sz w:val="18"/>
          <w:szCs w:val="18"/>
          <w:color w:val="auto"/>
        </w:rPr>
        <w:t>General Motors</w:t>
      </w:r>
    </w:p>
    <w:p>
      <w:pPr>
        <w:spacing w:after="0" w:line="13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audio replay will be available in the </w:t>
      </w:r>
      <w:r>
        <w:rPr>
          <w:rFonts w:ascii="Times New Roman" w:cs="Times New Roman" w:eastAsia="Times New Roman" w:hAnsi="Times New Roman"/>
          <w:sz w:val="18"/>
          <w:szCs w:val="18"/>
          <w:u w:val="single" w:color="auto"/>
          <w:color w:val="auto"/>
        </w:rPr>
        <w:t>Events Section</w:t>
      </w:r>
      <w:r>
        <w:rPr>
          <w:rFonts w:ascii="Times New Roman" w:cs="Times New Roman" w:eastAsia="Times New Roman" w:hAnsi="Times New Roman"/>
          <w:sz w:val="18"/>
          <w:szCs w:val="18"/>
          <w:color w:val="auto"/>
        </w:rPr>
        <w:t xml:space="preserve"> of the GM Investor Relations website.</w:t>
      </w:r>
    </w:p>
    <w:p>
      <w:pPr>
        <w:spacing w:after="0" w:line="225"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General Motors (NYSE:GM) is driving the future of transportation, leveraging advanced technology to build safer, smarter, and lower emission cars, trucks, and SUVs. GM’s Buick, Cadillac, Chevrolet, and GMC brands offer a broad portfolio of innovative gasoline-powered vehicles and the industry’s widest range of EVs, as we move to an all-electric future. Learn more at GM.com.</w:t>
      </w:r>
    </w:p>
    <w:p>
      <w:pPr>
        <w:spacing w:after="0" w:line="2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Cautionary Note on Forward-Looking Statements</w:t>
      </w:r>
      <w:r>
        <w:rPr>
          <w:rFonts w:ascii="Times New Roman" w:cs="Times New Roman" w:eastAsia="Times New Roman" w:hAnsi="Times New Roman"/>
          <w:sz w:val="17"/>
          <w:szCs w:val="17"/>
          <w:i w:val="1"/>
          <w:iCs w:val="1"/>
          <w:color w:val="auto"/>
        </w:rPr>
        <w:t>: This press release and related comments by management the document incorporated herein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and related comments by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(2) our ability to timely fund and introduce new and improved vehicle models; (3) our ability to profitably deliver a broad portfolio of electric vehicles (EVs); (4) the success of our current line of internal combustion engine vehicles; (5) our highly competitive industry; (6) the unique technological, operational, regulatory and competitive risks related to the timing and commercialization of autonomous vehicles (AVs), including the various regulatory approvals and permits required for operating driverless AVs in multiple markets; (7) risks associated with climate change; (8) global automobile market sales volume; (9) inflationary pressures, persistently high prices, uncertain availability of raw materials and commodities, and instability in logistics and related costs; (10) our business in China, which is subject to unique operational, competitive, regulatory and economic risks; (11) the success of our ongoing strategic business relationships and of our joint ventures; (12) the international scale and footprint of our operations, which exposes us to a variety of unique political, economic, competitive and regulatory risks; (13) any significant disruption at any of our manufacturing facilities; (14) the ability of our suppliers to deliver parts, systems and components without disruption and at such times to allow us to meet production schedules;</w:t>
      </w:r>
    </w:p>
    <w:p>
      <w:pPr>
        <w:spacing w:after="0" w:line="9" w:lineRule="exact"/>
        <w:rPr>
          <w:sz w:val="20"/>
          <w:szCs w:val="20"/>
          <w:color w:val="auto"/>
        </w:rPr>
      </w:pPr>
    </w:p>
    <w:p>
      <w:pPr>
        <w:ind w:left="4" w:hanging="4"/>
        <w:spacing w:after="0" w:line="251" w:lineRule="auto"/>
        <w:tabs>
          <w:tab w:leader="none" w:pos="34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(18) our ability to comply with increasingly complex, restrictive and punitive regulations relating to our enterprise data practices;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General Motors Financial Company, Inc.; (24) any significant increase in our pension funding requirements; (25) changes in our strategic plans and accounting, including with respect to Cruise; (26) the possibility that we will not be able to acquire all of the outstanding Cruise shares; (27) the possibility that potential restructuring charges and expenses will differ from our expectations; and (28) the</w:t>
      </w:r>
    </w:p>
    <w:p>
      <w:pPr>
        <w:sectPr>
          <w:pgSz w:w="11900" w:h="16838" w:orient="portrait"/>
          <w:cols w:equalWidth="0" w:num="1">
            <w:col w:w="11004"/>
          </w:cols>
          <w:pgMar w:left="436" w:top="266" w:right="45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possibility that our planned actions will not have the impacts we expect or intend. A further list and description of these risks, uncertainties and other factors can be found in our most recent Annual Report on Form 10-K and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Cain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+1 313-407-2843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james.cain@gm.com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Kelly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kevin.m.kelly@gm.com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+1 313-316-9742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Ashish Kohli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Ashish.kohli@gm.com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+1 847-964-3459</w:t>
      </w:r>
    </w:p>
    <w:sectPr>
      <w:pgSz w:w="11900" w:h="16838" w:orient="portrait"/>
      <w:cols w:equalWidth="0" w:num="1">
        <w:col w:w="10920"/>
      </w:cols>
      <w:pgMar w:left="440" w:top="2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6"/>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2024-12-10T15:13:46Z</dcterms:created>
  <dcterms:modified xsi:type="dcterms:W3CDTF">2024-12-10T15:13:46Z</dcterms:modified>
</cp:coreProperties>
</file>